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FC2A82" w14:textId="77777777" w:rsidR="004A2A33" w:rsidRPr="00C956CC" w:rsidRDefault="004A2A33" w:rsidP="00C956CC">
      <w:pPr>
        <w:pStyle w:val="ListParagraph"/>
        <w:spacing w:line="360" w:lineRule="auto"/>
        <w:rPr>
          <w:sz w:val="24"/>
          <w:szCs w:val="24"/>
        </w:rPr>
      </w:pPr>
      <w:r w:rsidRPr="00C956CC">
        <w:rPr>
          <w:sz w:val="24"/>
          <w:szCs w:val="24"/>
        </w:rPr>
        <w:t>‘Compare and contrast different conceptions of the environment’ – Jasmine Williams, 30/10/2019.</w:t>
      </w:r>
    </w:p>
    <w:p w14:paraId="3311C5D6" w14:textId="77777777" w:rsidR="004A2A33" w:rsidRPr="00C956CC" w:rsidRDefault="004A2A33" w:rsidP="00C956CC">
      <w:pPr>
        <w:spacing w:line="360" w:lineRule="auto"/>
        <w:jc w:val="both"/>
        <w:rPr>
          <w:sz w:val="24"/>
          <w:szCs w:val="24"/>
        </w:rPr>
      </w:pPr>
      <w:r w:rsidRPr="00C956CC">
        <w:rPr>
          <w:sz w:val="24"/>
          <w:szCs w:val="24"/>
        </w:rPr>
        <w:t>“Bodies can not exist without engagement with materials and energy exchanges” (Ingold, 2000); human interaction with the environment varies based on factors such as geographical location and livelihood. Indigenous tribes have a verity of practices based upon location, cosmology and environment. If a group lives in a particularly dry climate their work and livelihood reflect that; for example The San use the shells of animal eggs to collect and transport water for the day, – thus securing the water source. The San concept of the environment is not fearful as they with its changes, maintaining mutual respect for the environment and its materials. The concept of their environment, therefore, varies from groups such as the Nuer (MarshallThomas, 1959).</w:t>
      </w:r>
    </w:p>
    <w:p w14:paraId="58DD84BD" w14:textId="77777777" w:rsidR="004A2A33" w:rsidRPr="00C956CC" w:rsidRDefault="004A2A33" w:rsidP="00C956CC">
      <w:pPr>
        <w:spacing w:line="360" w:lineRule="auto"/>
        <w:jc w:val="both"/>
        <w:rPr>
          <w:sz w:val="24"/>
          <w:szCs w:val="24"/>
        </w:rPr>
      </w:pPr>
      <w:r w:rsidRPr="00C956CC">
        <w:rPr>
          <w:sz w:val="24"/>
          <w:szCs w:val="24"/>
        </w:rPr>
        <w:t xml:space="preserve">The Nuer are located within the vicinities of the Nile Valley, South Sudan. Characteristics of their environment include dry, clay-like soil which clogs during the wet seasons when the valley is prone to flooding; (Evans-Pritchard, 1940). As pastoralists, the Nuer, act as cattle herders as their form of work and livelihood, “cattle are owned by families”(Evans-Pritchard, 1940). During the wet season the Nuer hold resentment towards the environment as a cause of these floods, which jeopardise their livelihoods, as many cattle are lost during the season due to epidemics which “forced people to cultivate more extensively”(Evans-Pritchard, 1940). </w:t>
      </w:r>
    </w:p>
    <w:p w14:paraId="62C9B6FD" w14:textId="1BC47410" w:rsidR="004A2A33" w:rsidRPr="00C956CC" w:rsidRDefault="004A2A33" w:rsidP="00C956CC">
      <w:pPr>
        <w:spacing w:line="360" w:lineRule="auto"/>
        <w:jc w:val="both"/>
        <w:rPr>
          <w:sz w:val="24"/>
          <w:szCs w:val="24"/>
        </w:rPr>
      </w:pPr>
      <w:r w:rsidRPr="00C956CC">
        <w:rPr>
          <w:sz w:val="24"/>
          <w:szCs w:val="24"/>
        </w:rPr>
        <w:t xml:space="preserve">As a group which values the concept of ‘ownership’ and believe the greater number of cattle shows an individuals and families accumulation of wealth – the more cattle you possess the richer your family is perceived”(Evans-Pritchard, 1940). Therefore within times of low cattle survival, of the dry season where millet is destroyed and famine is heightened within the tribe, the Nuer are forced to turn to the environment as a form of survival – Hunting. Similar to that of the San tribe of hunter-gathers located in south Africa (Peters-Golden, 2011) the Nuer hunt Giraffe as an attempt at survival. However unlike the san these hunting expeditions are frowned upon as hunting is seen as an activity for the poor within the Nuer (Evans-Pritchard 1940) in the San hunting is a respected skill, the environment is seen as providing sustenance and therefore the san do not hunt/take more from the environment then they need; what they do take is shared equally within the group. Compared to the Nuer the San show a greater level of respected and equilibrium with the environment, neither as stated by Ingold are able to survive without their engagement with the materials with the environment however they </w:t>
      </w:r>
      <w:r w:rsidRPr="00C956CC">
        <w:rPr>
          <w:sz w:val="24"/>
          <w:szCs w:val="24"/>
        </w:rPr>
        <w:lastRenderedPageBreak/>
        <w:t xml:space="preserve">have vastly different approaches to their relationship and interaction with the environment; where the </w:t>
      </w:r>
      <w:r w:rsidR="00100B82">
        <w:rPr>
          <w:sz w:val="24"/>
          <w:szCs w:val="24"/>
        </w:rPr>
        <w:t>S</w:t>
      </w:r>
      <w:r w:rsidRPr="00C956CC">
        <w:rPr>
          <w:sz w:val="24"/>
          <w:szCs w:val="24"/>
        </w:rPr>
        <w:t>an hold the environment as a higher authority, “agential powers of nature” (Bennett, 2004) that they have an almost ‘partnership’ with (however the Nuer’s ownership is a direct example of how the Nuer present themselves as above the Environment – they can control an aspect of their environment, its animals. Their different approaches reflect their group's history with the environment and how they have adapted to survive, “the experience of our own body” (Bennett, 2004).</w:t>
      </w:r>
    </w:p>
    <w:p w14:paraId="0F53DF44" w14:textId="0FD3F591" w:rsidR="00C956CC" w:rsidRDefault="004A2A33" w:rsidP="00C956CC">
      <w:pPr>
        <w:spacing w:line="360" w:lineRule="auto"/>
        <w:jc w:val="both"/>
        <w:rPr>
          <w:sz w:val="24"/>
          <w:szCs w:val="24"/>
        </w:rPr>
      </w:pPr>
      <w:r w:rsidRPr="00C956CC">
        <w:rPr>
          <w:sz w:val="24"/>
          <w:szCs w:val="24"/>
        </w:rPr>
        <w:t xml:space="preserve"> In the Nuer group, cattle are respected as providers, women and children tend to and milk the cattle for the husband’s family; the milk is then drunk and made into cheese through fermentation with cow urine. As providers the Nuer do not see the need to move if not necessarily – every three years the Nuer move settlement in order to allow the land to regrow, they wish to settle as a group however the environment doesn’t allow permanent settlement, the land cannot feed the cattle in all seasons of drought or flooding; therefore the group is forced to move to accommodate to the development of the environment; (Evans-Pritchard 1940). This is similar to the Mbuti of the Congo (Turnbull, 1961), both groups have permanent water supplies, unlike the San who have three permanent water supplies at any given time and smaller semi-permanent waterholes during the wet season – the </w:t>
      </w:r>
      <w:r w:rsidR="00100B82">
        <w:rPr>
          <w:sz w:val="24"/>
          <w:szCs w:val="24"/>
        </w:rPr>
        <w:t>S</w:t>
      </w:r>
      <w:bookmarkStart w:id="0" w:name="_GoBack"/>
      <w:bookmarkEnd w:id="0"/>
      <w:r w:rsidRPr="00C956CC">
        <w:rPr>
          <w:sz w:val="24"/>
          <w:szCs w:val="24"/>
        </w:rPr>
        <w:t xml:space="preserve">an move when it is possible during the wet season however settle during the dry season as a mean of survival (MarshallThomas, 1959) they adopted a seasonal pattern. </w:t>
      </w:r>
    </w:p>
    <w:p w14:paraId="4D5E1C7F" w14:textId="289C4D72" w:rsidR="004A2A33" w:rsidRPr="00C956CC" w:rsidRDefault="004A2A33" w:rsidP="00C956CC">
      <w:pPr>
        <w:spacing w:line="360" w:lineRule="auto"/>
        <w:jc w:val="both"/>
        <w:rPr>
          <w:sz w:val="24"/>
          <w:szCs w:val="24"/>
        </w:rPr>
      </w:pPr>
      <w:r w:rsidRPr="00C956CC">
        <w:rPr>
          <w:sz w:val="24"/>
          <w:szCs w:val="24"/>
        </w:rPr>
        <w:t>The Mbuti settle within the forest, holding the environment in a higher archy to themselves, they respect and please the forest in exchange for its protection as a provider “the forest is god” (Turnbull, 1961. P79); in comparison to the Nuer, the Mbuti has an equilibrium with the environment they live with the forest/environment, protected and fed by the forest before dying there as a means of providing and giving back to the forest. The level of respect and partnership between the Mbuti and environment allows them the ability to settle however the Nuers approach to the environment means they are not provided with this luxury. Both groups have varied approaches to the environment which effects there livelihood, and each groups concept of the environment, where one is parental “we are the children of the forest” (Turnbull, 1961. P72); the other is weary and dominating.</w:t>
      </w:r>
    </w:p>
    <w:p w14:paraId="2E781279" w14:textId="77777777" w:rsidR="004A2A33" w:rsidRPr="00C956CC" w:rsidRDefault="004A2A33" w:rsidP="00C956CC">
      <w:pPr>
        <w:pStyle w:val="ListParagraph"/>
        <w:spacing w:line="360" w:lineRule="auto"/>
        <w:jc w:val="both"/>
        <w:rPr>
          <w:sz w:val="24"/>
          <w:szCs w:val="24"/>
        </w:rPr>
      </w:pPr>
    </w:p>
    <w:p w14:paraId="4F6979BB" w14:textId="77777777" w:rsidR="004A2A33" w:rsidRPr="00C956CC" w:rsidRDefault="004A2A33" w:rsidP="00C956CC">
      <w:pPr>
        <w:pStyle w:val="ListParagraph"/>
        <w:spacing w:line="360" w:lineRule="auto"/>
        <w:jc w:val="both"/>
        <w:rPr>
          <w:sz w:val="24"/>
          <w:szCs w:val="24"/>
        </w:rPr>
      </w:pPr>
      <w:r w:rsidRPr="00C956CC">
        <w:rPr>
          <w:sz w:val="24"/>
          <w:szCs w:val="24"/>
        </w:rPr>
        <w:lastRenderedPageBreak/>
        <w:t>Overall indigenous groups have varied approaches to the environment, each relationship and interaction is based upon that individual group's history, geographical location and livelihood. All resources for survival are provided by the environment,  therefore the availability of these resources affects the group's concept of the environment. Concepts of the environment are varied based on implication.</w:t>
      </w:r>
    </w:p>
    <w:p w14:paraId="1C6FE99B" w14:textId="77777777" w:rsidR="004A2A33" w:rsidRDefault="004A2A33" w:rsidP="00C956CC">
      <w:pPr>
        <w:pStyle w:val="ListParagraph"/>
        <w:jc w:val="both"/>
      </w:pPr>
    </w:p>
    <w:p w14:paraId="0C619DA7" w14:textId="1D1193FF" w:rsidR="004A2A33" w:rsidRDefault="004A2A33" w:rsidP="00C956CC">
      <w:pPr>
        <w:pStyle w:val="ListParagraph"/>
        <w:jc w:val="both"/>
      </w:pPr>
      <w:r>
        <w:t>Bibliography:</w:t>
      </w:r>
    </w:p>
    <w:p w14:paraId="0D8DD3B4" w14:textId="77777777" w:rsidR="004A2A33" w:rsidRDefault="004A2A33" w:rsidP="00C956CC">
      <w:pPr>
        <w:pStyle w:val="ListParagraph"/>
        <w:jc w:val="both"/>
      </w:pPr>
    </w:p>
    <w:p w14:paraId="2557B9C2" w14:textId="5E323DF4" w:rsidR="004A2A33" w:rsidRDefault="004A2A33" w:rsidP="00C956CC">
      <w:pPr>
        <w:pStyle w:val="ListParagraph"/>
        <w:jc w:val="both"/>
      </w:pPr>
      <w:r>
        <w:t xml:space="preserve">·Bennett, J. 2004 </w:t>
      </w:r>
      <w:r w:rsidRPr="004A2A33">
        <w:rPr>
          <w:i/>
          <w:iCs/>
        </w:rPr>
        <w:t>‘the force of things: Steps towards an ecology of matter’</w:t>
      </w:r>
      <w:r>
        <w:t>, California: SAGE publications.</w:t>
      </w:r>
    </w:p>
    <w:p w14:paraId="3282DCE8" w14:textId="23C3D324" w:rsidR="004A2A33" w:rsidRDefault="004A2A33" w:rsidP="00C956CC">
      <w:pPr>
        <w:pStyle w:val="ListParagraph"/>
        <w:jc w:val="both"/>
      </w:pPr>
      <w:r>
        <w:t>·Evans-Pritchard, E. (1940) ‘</w:t>
      </w:r>
      <w:r w:rsidRPr="004A2A33">
        <w:rPr>
          <w:i/>
          <w:iCs/>
        </w:rPr>
        <w:t>The Nuer’</w:t>
      </w:r>
      <w:r>
        <w:t>. Oxford: Oxford University Press.</w:t>
      </w:r>
    </w:p>
    <w:p w14:paraId="0D658C17" w14:textId="5BA6EFBF" w:rsidR="004A2A33" w:rsidRDefault="004A2A33" w:rsidP="00C956CC">
      <w:pPr>
        <w:pStyle w:val="ListParagraph"/>
        <w:jc w:val="both"/>
      </w:pPr>
      <w:r>
        <w:t>·Marshall-Thomas, E. (1959) ‘</w:t>
      </w:r>
      <w:r w:rsidRPr="004A2A33">
        <w:rPr>
          <w:i/>
          <w:iCs/>
        </w:rPr>
        <w:t>The Harmless People’</w:t>
      </w:r>
      <w:r>
        <w:t>. New york Vintage Books.</w:t>
      </w:r>
    </w:p>
    <w:p w14:paraId="7D9CA684" w14:textId="2E485FDC" w:rsidR="004A2A33" w:rsidRDefault="004A2A33" w:rsidP="00C956CC">
      <w:pPr>
        <w:pStyle w:val="ListParagraph"/>
        <w:jc w:val="both"/>
      </w:pPr>
      <w:r>
        <w:t>·Peters-Golden, H. (2011</w:t>
      </w:r>
      <w:r w:rsidRPr="004A2A33">
        <w:rPr>
          <w:i/>
          <w:iCs/>
        </w:rPr>
        <w:t>) ‘Cultural Sketches: Case Studies in Anthropology’</w:t>
      </w:r>
      <w:r>
        <w:t>. New York: McGraw-Hill Education.</w:t>
      </w:r>
    </w:p>
    <w:p w14:paraId="7EA82BD5" w14:textId="31E5AB72" w:rsidR="004A2A33" w:rsidRDefault="004A2A33" w:rsidP="00C956CC">
      <w:pPr>
        <w:pStyle w:val="ListParagraph"/>
        <w:jc w:val="both"/>
      </w:pPr>
      <w:r>
        <w:t>·Turnbull, C. (1961</w:t>
      </w:r>
      <w:r w:rsidRPr="004A2A33">
        <w:rPr>
          <w:i/>
          <w:iCs/>
        </w:rPr>
        <w:t>) ‘the forest people’</w:t>
      </w:r>
      <w:r>
        <w:t>. New York: Simon &amp; Schuster.</w:t>
      </w:r>
    </w:p>
    <w:p w14:paraId="211E39BB" w14:textId="3CB66281" w:rsidR="0055174F" w:rsidRPr="005F7045" w:rsidRDefault="0055174F" w:rsidP="00C956CC">
      <w:pPr>
        <w:pStyle w:val="ListParagraph"/>
        <w:jc w:val="both"/>
      </w:pPr>
    </w:p>
    <w:sectPr w:rsidR="0055174F" w:rsidRPr="005F70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95FD2"/>
    <w:multiLevelType w:val="hybridMultilevel"/>
    <w:tmpl w:val="B114D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9E3"/>
    <w:rsid w:val="00064E3F"/>
    <w:rsid w:val="0009704C"/>
    <w:rsid w:val="000C5613"/>
    <w:rsid w:val="000E2D7F"/>
    <w:rsid w:val="00100B82"/>
    <w:rsid w:val="002A2486"/>
    <w:rsid w:val="004749E3"/>
    <w:rsid w:val="004A2A33"/>
    <w:rsid w:val="004C58DB"/>
    <w:rsid w:val="004E03FC"/>
    <w:rsid w:val="004E0519"/>
    <w:rsid w:val="0055174F"/>
    <w:rsid w:val="00573307"/>
    <w:rsid w:val="005F7045"/>
    <w:rsid w:val="0064591E"/>
    <w:rsid w:val="0067036C"/>
    <w:rsid w:val="00706D8B"/>
    <w:rsid w:val="0076047E"/>
    <w:rsid w:val="00825084"/>
    <w:rsid w:val="008A4B93"/>
    <w:rsid w:val="009708CA"/>
    <w:rsid w:val="009F6DDE"/>
    <w:rsid w:val="00A96766"/>
    <w:rsid w:val="00AF0E24"/>
    <w:rsid w:val="00AF3C67"/>
    <w:rsid w:val="00C956CC"/>
    <w:rsid w:val="00CB19F5"/>
    <w:rsid w:val="00CC14DE"/>
    <w:rsid w:val="00D00098"/>
    <w:rsid w:val="00E610C4"/>
    <w:rsid w:val="00EB0A4F"/>
    <w:rsid w:val="00EE7C43"/>
    <w:rsid w:val="00F21764"/>
    <w:rsid w:val="00FD4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E5F43"/>
  <w15:chartTrackingRefBased/>
  <w15:docId w15:val="{EF780AF7-3A9A-4A93-BD7C-2DF6AB608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17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TotalTime>
  <Pages>3</Pages>
  <Words>906</Words>
  <Characters>5169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williams</dc:creator>
  <cp:keywords/>
  <dc:description/>
  <cp:lastModifiedBy>jasmine williams</cp:lastModifiedBy>
  <cp:revision>10</cp:revision>
  <dcterms:created xsi:type="dcterms:W3CDTF">2019-11-01T11:43:00Z</dcterms:created>
  <dcterms:modified xsi:type="dcterms:W3CDTF">2019-11-01T16:16:00Z</dcterms:modified>
</cp:coreProperties>
</file>