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AEE3C" w14:textId="57F7115D" w:rsidR="00295517" w:rsidRPr="00295517" w:rsidRDefault="00295517" w:rsidP="00295517">
      <w:r w:rsidRPr="00295517">
        <w:rPr>
          <w:b/>
          <w:bCs/>
        </w:rPr>
        <w:t>Module:</w:t>
      </w:r>
      <w:r w:rsidRPr="00295517">
        <w:t xml:space="preserve"> BMHP5014</w:t>
      </w:r>
      <w:r w:rsidRPr="00295517">
        <w:br/>
      </w:r>
      <w:r w:rsidRPr="00295517">
        <w:rPr>
          <w:b/>
          <w:bCs/>
        </w:rPr>
        <w:t>Assignment:</w:t>
      </w:r>
      <w:r w:rsidRPr="00295517">
        <w:t xml:space="preserve"> Component 1 – Online Portfolio</w:t>
      </w:r>
      <w:r w:rsidRPr="00295517">
        <w:br/>
      </w:r>
      <w:r w:rsidRPr="00295517">
        <w:rPr>
          <w:b/>
          <w:bCs/>
        </w:rPr>
        <w:t>Student Name:</w:t>
      </w:r>
      <w:r w:rsidRPr="00295517">
        <w:t xml:space="preserve"> </w:t>
      </w:r>
      <w:r w:rsidR="00C5632E">
        <w:t xml:space="preserve">Manal Ahmed </w:t>
      </w:r>
      <w:r w:rsidRPr="00295517">
        <w:br/>
      </w:r>
      <w:r w:rsidRPr="00295517">
        <w:rPr>
          <w:b/>
          <w:bCs/>
        </w:rPr>
        <w:t>Student ID:</w:t>
      </w:r>
      <w:r w:rsidRPr="00295517">
        <w:t xml:space="preserve"> </w:t>
      </w:r>
      <w:r w:rsidR="00C5632E">
        <w:t>2325945</w:t>
      </w:r>
      <w:r w:rsidRPr="00295517">
        <w:br/>
      </w:r>
      <w:r w:rsidRPr="00295517">
        <w:rPr>
          <w:b/>
          <w:bCs/>
        </w:rPr>
        <w:t>Word Count:</w:t>
      </w:r>
      <w:r w:rsidRPr="00295517">
        <w:t xml:space="preserve"> 2,000 words</w:t>
      </w:r>
    </w:p>
    <w:p w14:paraId="04F2610C" w14:textId="25030FE0" w:rsidR="00295517" w:rsidRDefault="00295517" w:rsidP="00295517"/>
    <w:p w14:paraId="11CDF37F" w14:textId="343CFE30" w:rsidR="00295517" w:rsidRDefault="00295517" w:rsidP="00295517">
      <w:r>
        <w:br w:type="page"/>
      </w:r>
    </w:p>
    <w:p w14:paraId="0B32BB02" w14:textId="22F055B3" w:rsidR="00295517" w:rsidRDefault="00295517"/>
    <w:p w14:paraId="3471648F" w14:textId="77777777" w:rsidR="00295517" w:rsidRPr="00295517" w:rsidRDefault="00295517" w:rsidP="00295517"/>
    <w:p w14:paraId="10575759" w14:textId="01BE9F1E" w:rsidR="00C5632E" w:rsidRPr="00295517" w:rsidRDefault="00295517" w:rsidP="00295517">
      <w:pPr>
        <w:rPr>
          <w:b/>
          <w:bCs/>
        </w:rPr>
      </w:pPr>
      <w:r w:rsidRPr="00295517">
        <w:rPr>
          <w:b/>
          <w:bCs/>
        </w:rPr>
        <w:t xml:space="preserve"> TASK 1 – CONCEPT MAP EXPLANATION </w:t>
      </w:r>
    </w:p>
    <w:p w14:paraId="483EFA89" w14:textId="21A475A7" w:rsidR="00295517" w:rsidRPr="00295517" w:rsidRDefault="00295517" w:rsidP="00295517">
      <w:r w:rsidRPr="00295517">
        <w:t>A concept map linking creativity, value creation, and health and social care improvement demonstrates how these interconnected concepts drive innovation and enhance service delivery. Creativity can be defined as the ability to generate ideas that are both novel and valuable within a specific context (Boden</w:t>
      </w:r>
      <w:r w:rsidR="000C7926">
        <w:t xml:space="preserve">, </w:t>
      </w:r>
      <w:r w:rsidRPr="00295517">
        <w:t>2012). Within health and social care, creativity is essential for addressing complex challenges such as increasing demand, limited resources, and health inequalities</w:t>
      </w:r>
      <w:r w:rsidR="000C7926">
        <w:t xml:space="preserve"> (Carlile and Jodan, 2012)</w:t>
      </w:r>
    </w:p>
    <w:p w14:paraId="331E3C4D" w14:textId="620CDF7C" w:rsidR="00295517" w:rsidRPr="00295517" w:rsidRDefault="00295517" w:rsidP="00295517">
      <w:r w:rsidRPr="00295517">
        <w:t>Value creation is commonly understood as achieving the best possible outcomes relative to the cost of delivering care (Porter, 2010). However, this definition extends beyond efficiency to include patient experience, equity, and long-term wellbeing. Creativity plays a crucial role in enabling value creation by supporting the development of innovative approaches such as digital health technologies and preventative care model</w:t>
      </w:r>
      <w:r w:rsidR="000C7926">
        <w:t>s.</w:t>
      </w:r>
    </w:p>
    <w:p w14:paraId="29FC2A58" w14:textId="77777777" w:rsidR="00295517" w:rsidRPr="00295517" w:rsidRDefault="00295517" w:rsidP="00295517">
      <w:r w:rsidRPr="00295517">
        <w:t>The relationship between these concepts is dynamic rather than linear. Creativity drives innovation, which can improve efficiency and patient outcomes; however, not all innovations result in value. For example, digital health technologies may improve access for some populations while excluding others with limited digital literacy, highlighting potential inequalities (Greenhalgh et al., 2017).</w:t>
      </w:r>
    </w:p>
    <w:p w14:paraId="49F139AD" w14:textId="77777777" w:rsidR="00295517" w:rsidRPr="00295517" w:rsidRDefault="00295517" w:rsidP="00295517">
      <w:r w:rsidRPr="00295517">
        <w:t>Ultimately, health and social care improvement depends on integrating creativity with evidence-based practice. By balancing innovation with feasibility and inclusivity, healthcare professionals can develop sustainable solutions that enhance both patient outcomes and system performance.</w:t>
      </w:r>
    </w:p>
    <w:p w14:paraId="463E752B" w14:textId="0D407790" w:rsidR="00295517" w:rsidRDefault="00C5632E" w:rsidP="00295517">
      <w:r>
        <w:rPr>
          <w:noProof/>
        </w:rPr>
        <w:drawing>
          <wp:inline distT="0" distB="0" distL="0" distR="0" wp14:anchorId="7D377526" wp14:editId="713C16DC">
            <wp:extent cx="3206750" cy="2137713"/>
            <wp:effectExtent l="0" t="0" r="0" b="0"/>
            <wp:docPr id="761150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150262"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30245" cy="2153375"/>
                    </a:xfrm>
                    <a:prstGeom prst="rect">
                      <a:avLst/>
                    </a:prstGeom>
                  </pic:spPr>
                </pic:pic>
              </a:graphicData>
            </a:graphic>
          </wp:inline>
        </w:drawing>
      </w:r>
    </w:p>
    <w:p w14:paraId="23D9C027" w14:textId="614C5F2E" w:rsidR="00295517" w:rsidRPr="00295517" w:rsidRDefault="00295517" w:rsidP="00295517"/>
    <w:p w14:paraId="6521CBDC" w14:textId="25692D66" w:rsidR="00295517" w:rsidRPr="00295517" w:rsidRDefault="00295517" w:rsidP="00295517">
      <w:pPr>
        <w:rPr>
          <w:b/>
          <w:bCs/>
        </w:rPr>
      </w:pPr>
      <w:r w:rsidRPr="00295517">
        <w:rPr>
          <w:b/>
          <w:bCs/>
        </w:rPr>
        <w:t xml:space="preserve"> TASK 2 – REFLECTION </w:t>
      </w:r>
    </w:p>
    <w:p w14:paraId="5C969D92" w14:textId="77777777" w:rsidR="00295517" w:rsidRPr="00295517" w:rsidRDefault="00295517" w:rsidP="00295517">
      <w:r w:rsidRPr="00295517">
        <w:lastRenderedPageBreak/>
        <w:t>Using Gibbs’ Reflective Cycle, this reflection evaluates my experience of the paperclip activity, which focused on divergent and convergent thinking.</w:t>
      </w:r>
    </w:p>
    <w:p w14:paraId="1927E466" w14:textId="01664697" w:rsidR="00295517" w:rsidRPr="00295517" w:rsidRDefault="00295517" w:rsidP="00295517">
      <w:r w:rsidRPr="00295517">
        <w:t>During the activity, my group was asked to generate as many uses as possible for a paperclip. This stage involved divergent thinking, which encourages the generation of multiple ideas without restriction (Guilford, 1967). I actively contributed to this process and found it engaging, as it promoted creativity and collaboration within the group.</w:t>
      </w:r>
    </w:p>
    <w:p w14:paraId="2A71E849" w14:textId="5D716664" w:rsidR="00295517" w:rsidRPr="00295517" w:rsidRDefault="00295517" w:rsidP="00295517">
      <w:r w:rsidRPr="00295517">
        <w:t>The second stage involved convergent thinking, where ideas were critically evaluated and refined to identify the most practical solutions. I found this stage more challenging, as it required analytical thinking and decision-making. However, it highlighted the importance of balancing creativity with practicality, particularly in professional contexts such as health and social care</w:t>
      </w:r>
      <w:r w:rsidR="000C7926">
        <w:t xml:space="preserve"> (Ryan and Deci, 2000)</w:t>
      </w:r>
    </w:p>
    <w:p w14:paraId="6EE8FA14" w14:textId="77777777" w:rsidR="00295517" w:rsidRPr="00295517" w:rsidRDefault="00295517" w:rsidP="00295517">
      <w:r w:rsidRPr="00295517">
        <w:t>Reflecting on the experience, I recognised that I am more confident in generating ideas than evaluating them. This suggests a strength in divergent thinking but highlights the need to further develop my critical analysis skills. The activity reinforced that both thinking processes are essential for effective problem-solving.</w:t>
      </w:r>
    </w:p>
    <w:p w14:paraId="7ACECEFE" w14:textId="77777777" w:rsidR="00295517" w:rsidRPr="00295517" w:rsidRDefault="00295517" w:rsidP="00295517">
      <w:r w:rsidRPr="00295517">
        <w:t>Overall, this experience enhanced my understanding of creativity as a structured process rather than a purely spontaneous ability. In future, I aim to engage more actively in evaluative stages and apply both divergent and convergent thinking in academic and professional practice.</w:t>
      </w:r>
    </w:p>
    <w:p w14:paraId="6AE7DEAE" w14:textId="21B9302C" w:rsidR="00295517" w:rsidRPr="00295517" w:rsidRDefault="00295517" w:rsidP="00295517"/>
    <w:p w14:paraId="5C56B584" w14:textId="087508F6" w:rsidR="00295517" w:rsidRPr="00295517" w:rsidRDefault="00295517" w:rsidP="00295517">
      <w:pPr>
        <w:rPr>
          <w:b/>
          <w:bCs/>
        </w:rPr>
      </w:pPr>
      <w:r w:rsidRPr="00295517">
        <w:rPr>
          <w:b/>
          <w:bCs/>
        </w:rPr>
        <w:t xml:space="preserve">TASK 3 – CASE STUDY </w:t>
      </w:r>
    </w:p>
    <w:p w14:paraId="057E6FFC" w14:textId="77777777" w:rsidR="00295517" w:rsidRPr="00295517" w:rsidRDefault="00295517" w:rsidP="00295517">
      <w:r w:rsidRPr="00295517">
        <w:t>The increasing demand on NHS services has required innovative approaches to managing chronic conditions and reducing hospital admissions. The “NHS at Home” initiative represents a creative response to these pressures through the implementation of remote monitoring technologies.</w:t>
      </w:r>
    </w:p>
    <w:p w14:paraId="5E9AC0A8" w14:textId="77777777" w:rsidR="00295517" w:rsidRPr="00295517" w:rsidRDefault="00295517" w:rsidP="00295517">
      <w:r w:rsidRPr="00295517">
        <w:t>This initiative integrates wearable devices, home-based monitoring systems, and artificial intelligence into patient care. Service users can monitor vital signs such as heart rate, blood pressure, and glucose levels at home, with data transmitted directly to healthcare professionals. This enables continuous monitoring and early intervention, shifting care from reactive to preventative models.</w:t>
      </w:r>
    </w:p>
    <w:p w14:paraId="71DDCA04" w14:textId="77777777" w:rsidR="00295517" w:rsidRPr="00295517" w:rsidRDefault="00295517" w:rsidP="00295517">
      <w:r w:rsidRPr="00295517">
        <w:t>The creativity of this initiative lies in its reconfiguration of traditional healthcare delivery. Rather than relying on hospital-based care, services are delivered within the home environment, promoting patient autonomy and convenience. This aligns with contemporary healthcare models that emphasise person-centred care.</w:t>
      </w:r>
    </w:p>
    <w:p w14:paraId="649BE540" w14:textId="77777777" w:rsidR="00295517" w:rsidRPr="00295517" w:rsidRDefault="00295517" w:rsidP="00295517">
      <w:r w:rsidRPr="00295517">
        <w:t xml:space="preserve">The value created by this innovation is significant. Evidence from Steventon et al. (2012) demonstrates that telehealth interventions can reduce hospital admissions and </w:t>
      </w:r>
      <w:r w:rsidRPr="00295517">
        <w:lastRenderedPageBreak/>
        <w:t>improve patient self-management. Similarly, Kvedar et al. (2014) argue that digital health technologies enhance patient engagement and enable personalised care. These outcomes contribute to improved patient experience and reduced pressure on healthcare resources, aligning with the concept of value as defined by Porter (2010).</w:t>
      </w:r>
    </w:p>
    <w:p w14:paraId="4BB6B45F" w14:textId="77777777" w:rsidR="00295517" w:rsidRPr="00295517" w:rsidRDefault="00295517" w:rsidP="00295517">
      <w:r w:rsidRPr="00295517">
        <w:t>However, it is important to critically evaluate the limitations of such innovations. Digital health solutions may exclude individuals with limited access to technology or low digital literacy, potentially widening health inequalities (Greenhalgh et al., 2017). Additionally, concerns around data security and over-reliance on technology must be considered.</w:t>
      </w:r>
    </w:p>
    <w:p w14:paraId="3B327E79" w14:textId="77777777" w:rsidR="00295517" w:rsidRPr="00295517" w:rsidRDefault="00295517" w:rsidP="00295517">
      <w:r w:rsidRPr="00295517">
        <w:t>In conclusion, the “NHS at Home” initiative illustrates how creativity and technology can transform healthcare delivery. However, its effectiveness depends on addressing issues of accessibility and ensuring equitable implementation.</w:t>
      </w:r>
    </w:p>
    <w:p w14:paraId="1B2AB942" w14:textId="5879C5F3" w:rsidR="00295517" w:rsidRPr="00295517" w:rsidRDefault="00295517" w:rsidP="00295517"/>
    <w:p w14:paraId="5111CF86" w14:textId="7D09DEB2" w:rsidR="00295517" w:rsidRPr="00295517" w:rsidRDefault="00295517" w:rsidP="00295517">
      <w:pPr>
        <w:rPr>
          <w:b/>
          <w:bCs/>
        </w:rPr>
      </w:pPr>
      <w:r w:rsidRPr="00295517">
        <w:rPr>
          <w:b/>
          <w:bCs/>
        </w:rPr>
        <w:t xml:space="preserve">TASK 4 – RESEARCH TASK </w:t>
      </w:r>
    </w:p>
    <w:p w14:paraId="33532A83" w14:textId="77777777" w:rsidR="00295517" w:rsidRPr="00295517" w:rsidRDefault="00295517" w:rsidP="00295517">
      <w:r w:rsidRPr="00295517">
        <w:t>Health inequalities remain a significant challenge within the UK health and social care system, affecting both access to services and overall health outcomes. These inequalities are shaped by complex social, economic, and environmental factors.</w:t>
      </w:r>
    </w:p>
    <w:p w14:paraId="1892AD79" w14:textId="77777777" w:rsidR="00295517" w:rsidRPr="00295517" w:rsidRDefault="00295517" w:rsidP="00295517">
      <w:r w:rsidRPr="00295517">
        <w:t>Marmot (2010) argues that individuals from lower socioeconomic backgrounds experience poorer health outcomes due to structural inequalities such as income disparity, poor housing, and limited access to healthcare. This highlights that health outcomes are strongly influenced by wider social determinants rather than individual behaviours alone.</w:t>
      </w:r>
    </w:p>
    <w:p w14:paraId="4E15B22E" w14:textId="299DFA1D" w:rsidR="00295517" w:rsidRPr="00295517" w:rsidRDefault="00295517" w:rsidP="00295517">
      <w:r w:rsidRPr="00295517">
        <w:t>Similarly, emphasise the role of structural factors such as unemployment and social exclusion in perpetuating health inequalities</w:t>
      </w:r>
      <w:r w:rsidR="0090418D">
        <w:t xml:space="preserve"> (</w:t>
      </w:r>
      <w:r w:rsidR="0090418D" w:rsidRPr="00295517">
        <w:t xml:space="preserve">Bambra </w:t>
      </w:r>
      <w:r w:rsidR="0090418D" w:rsidRPr="00295517">
        <w:rPr>
          <w:i/>
          <w:iCs/>
        </w:rPr>
        <w:t>et al</w:t>
      </w:r>
      <w:r w:rsidR="0090418D" w:rsidRPr="0090418D">
        <w:rPr>
          <w:i/>
          <w:iCs/>
        </w:rPr>
        <w:t>.,</w:t>
      </w:r>
      <w:r w:rsidR="0090418D">
        <w:t xml:space="preserve"> </w:t>
      </w:r>
      <w:r w:rsidR="0090418D" w:rsidRPr="00295517">
        <w:t>2015)</w:t>
      </w:r>
      <w:r w:rsidRPr="00295517">
        <w:t>. Their research indicates that individuals living in deprived areas are less likely to access preventative healthcare services, resulting in delayed diagnosis and worsening health conditions.</w:t>
      </w:r>
    </w:p>
    <w:p w14:paraId="31616388" w14:textId="77777777" w:rsidR="00295517" w:rsidRPr="00295517" w:rsidRDefault="00295517" w:rsidP="00295517">
      <w:r w:rsidRPr="00295517">
        <w:t>While both studies focus on structural causes, it can be argued that addressing health inequalities also requires consideration of behavioural and cultural factors that influence health-seeking behaviours. This suggests that interventions must operate at multiple levels, combining policy changes with community-based strategies.</w:t>
      </w:r>
    </w:p>
    <w:p w14:paraId="00342390" w14:textId="77777777" w:rsidR="00295517" w:rsidRPr="00295517" w:rsidRDefault="00295517" w:rsidP="00295517">
      <w:r w:rsidRPr="00295517">
        <w:t>Overall, the evidence demonstrates that health inequalities are deeply embedded within societal structures. Addressing these issues requires long-term, systemic change to improve access to care and reduce disparities in health outcomes.</w:t>
      </w:r>
    </w:p>
    <w:p w14:paraId="6B4505E7" w14:textId="52ABDD6F" w:rsidR="00295517" w:rsidRPr="00295517" w:rsidRDefault="00295517" w:rsidP="00295517"/>
    <w:p w14:paraId="520070C5" w14:textId="19891E73" w:rsidR="00295517" w:rsidRDefault="00295517" w:rsidP="00295517">
      <w:pPr>
        <w:rPr>
          <w:b/>
          <w:bCs/>
        </w:rPr>
      </w:pPr>
      <w:r w:rsidRPr="00295517">
        <w:rPr>
          <w:b/>
          <w:bCs/>
        </w:rPr>
        <w:t>TASK 5 – PODCAST SCRIPT</w:t>
      </w:r>
    </w:p>
    <w:p w14:paraId="4795FC29" w14:textId="77777777" w:rsidR="005479BD" w:rsidRDefault="005479BD" w:rsidP="00295517">
      <w:pPr>
        <w:rPr>
          <w:b/>
          <w:bCs/>
        </w:rPr>
      </w:pPr>
    </w:p>
    <w:p w14:paraId="378C34B8" w14:textId="03487C38" w:rsidR="005479BD" w:rsidRPr="00295517" w:rsidRDefault="005479BD" w:rsidP="00295517">
      <w:pPr>
        <w:rPr>
          <w:b/>
          <w:bCs/>
        </w:rPr>
      </w:pPr>
      <w:r>
        <w:rPr>
          <w:b/>
          <w:bCs/>
        </w:rPr>
        <w:object w:dxaOrig="2530" w:dyaOrig="831" w14:anchorId="0ED21F2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1" type="#_x0000_t75" style="width:126.3pt;height:41.55pt" o:ole="">
            <v:imagedata r:id="rId6" o:title=""/>
          </v:shape>
          <o:OLEObject Type="Embed" ProgID="Package" ShapeID="_x0000_i1131" DrawAspect="Content" ObjectID="_1837244196" r:id="rId7"/>
        </w:object>
      </w:r>
    </w:p>
    <w:p w14:paraId="71D0D066" w14:textId="265AC338" w:rsidR="00295517" w:rsidRPr="00295517" w:rsidRDefault="00295517" w:rsidP="00295517"/>
    <w:p w14:paraId="72D7D941" w14:textId="7D562B79" w:rsidR="00295517" w:rsidRPr="00295517" w:rsidRDefault="00295517" w:rsidP="00295517">
      <w:pPr>
        <w:rPr>
          <w:b/>
          <w:bCs/>
        </w:rPr>
      </w:pPr>
      <w:r w:rsidRPr="00295517">
        <w:rPr>
          <w:b/>
          <w:bCs/>
        </w:rPr>
        <w:t xml:space="preserve">TASK 6 – NHS LEADERSHIP </w:t>
      </w:r>
    </w:p>
    <w:p w14:paraId="5DB68AB9" w14:textId="77777777" w:rsidR="00295517" w:rsidRPr="00295517" w:rsidRDefault="00295517" w:rsidP="00295517">
      <w:r w:rsidRPr="00295517">
        <w:t>The NHS Leadership Framework outlines the key behaviours required for effective leadership within healthcare, focusing on delivering high-quality, person-centred care. Core components include leading with care, sharing vision, engaging teams, and improving services.</w:t>
      </w:r>
    </w:p>
    <w:p w14:paraId="3EF4BBA4" w14:textId="77777777" w:rsidR="00295517" w:rsidRPr="00295517" w:rsidRDefault="00295517" w:rsidP="00295517">
      <w:r w:rsidRPr="00295517">
        <w:t>One key component is “inspiring shared purpose,” which involves motivating staff to work towards common goals centred on patient wellbeing. Effective leaders communicate a clear vision and create a supportive environment where staff feel empowered to contribute ideas.</w:t>
      </w:r>
    </w:p>
    <w:p w14:paraId="4DCF53A6" w14:textId="77777777" w:rsidR="00295517" w:rsidRPr="00295517" w:rsidRDefault="00295517" w:rsidP="00295517">
      <w:r w:rsidRPr="00295517">
        <w:t>A leader applying this component may encourage staff to develop innovative solutions to improve care delivery, such as implementing digital consultation systems or improving patient pathways. By fostering collaboration and open communication, leaders can create a culture that supports creativity and continuous improvement.</w:t>
      </w:r>
    </w:p>
    <w:p w14:paraId="25C8F5AD" w14:textId="3A5A2162" w:rsidR="00295517" w:rsidRPr="00295517" w:rsidRDefault="00295517" w:rsidP="00295517">
      <w:r w:rsidRPr="00295517">
        <w:t>Encouraging creativity is particularly important in modern healthcare, where organisations face increasing demand and limited resources. Leaders who promote innovation can enhance efficiency, improve patient experience, and contribute to sustainable healthcare systems</w:t>
      </w:r>
      <w:r w:rsidR="0090418D">
        <w:t xml:space="preserve"> (</w:t>
      </w:r>
      <w:r w:rsidR="0090418D" w:rsidRPr="0090418D">
        <w:t xml:space="preserve">Greenhalgh </w:t>
      </w:r>
      <w:r w:rsidR="0090418D" w:rsidRPr="0090418D">
        <w:rPr>
          <w:i/>
          <w:iCs/>
        </w:rPr>
        <w:t>et al.</w:t>
      </w:r>
      <w:r w:rsidR="0090418D" w:rsidRPr="0090418D">
        <w:t>, 2017).</w:t>
      </w:r>
    </w:p>
    <w:p w14:paraId="2985B6AE" w14:textId="77777777" w:rsidR="00295517" w:rsidRPr="00295517" w:rsidRDefault="00295517" w:rsidP="00295517">
      <w:r w:rsidRPr="00295517">
        <w:t>In conclusion, the NHS Leadership Framework highlights the importance of leadership in driving innovation and improvement. By inspiring shared purpose, leaders can encourage creativity and support the development of effective, patient-centred solutions.</w:t>
      </w:r>
    </w:p>
    <w:p w14:paraId="09BDF9F8" w14:textId="2A2A2C4F" w:rsidR="00295517" w:rsidRPr="00295517" w:rsidRDefault="00295517" w:rsidP="00295517"/>
    <w:p w14:paraId="582B60E1" w14:textId="067AA575" w:rsidR="00295517" w:rsidRPr="00295517" w:rsidRDefault="00295517" w:rsidP="00295517">
      <w:pPr>
        <w:rPr>
          <w:b/>
          <w:bCs/>
        </w:rPr>
      </w:pPr>
      <w:r w:rsidRPr="00295517">
        <w:rPr>
          <w:b/>
          <w:bCs/>
        </w:rPr>
        <w:t xml:space="preserve">TASK 7 – REFLECTION JOURNAL </w:t>
      </w:r>
    </w:p>
    <w:p w14:paraId="13308403" w14:textId="77777777" w:rsidR="00295517" w:rsidRPr="00295517" w:rsidRDefault="00295517" w:rsidP="00295517">
      <w:r w:rsidRPr="00295517">
        <w:t>This module has significantly developed my understanding of creativity and value creation within health and social care. Initially, I viewed creativity as having limited relevance to healthcare; however, I now recognise it as essential for innovation and problem-solving.</w:t>
      </w:r>
    </w:p>
    <w:p w14:paraId="47452CA0" w14:textId="77777777" w:rsidR="00295517" w:rsidRPr="00295517" w:rsidRDefault="00295517" w:rsidP="00295517">
      <w:r w:rsidRPr="00295517">
        <w:t>I have developed a deeper understanding of how creativity contributes to value creation by improving patient outcomes, enhancing experiences, and increasing efficiency. This has changed my perspective on healthcare delivery, highlighting the importance of person-centred and innovative approaches.</w:t>
      </w:r>
    </w:p>
    <w:p w14:paraId="43CDBF2E" w14:textId="77777777" w:rsidR="00295517" w:rsidRPr="00295517" w:rsidRDefault="00295517" w:rsidP="00295517">
      <w:r w:rsidRPr="00295517">
        <w:lastRenderedPageBreak/>
        <w:t>Additionally, I have improved my ability to think critically and reflect on both ideas and their practical implications. I now understand the importance of balancing creativity with feasibility and ethical considerations, particularly in relation to digital health technologies.</w:t>
      </w:r>
    </w:p>
    <w:p w14:paraId="472C255F" w14:textId="77777777" w:rsidR="00295517" w:rsidRPr="00295517" w:rsidRDefault="00295517" w:rsidP="00295517">
      <w:r w:rsidRPr="00295517">
        <w:t>Overall, this module has influenced my professional development by encouraging a more analytical and reflective approach to practice. I will apply these skills in future to support continuous improvement within health and social care.</w:t>
      </w:r>
    </w:p>
    <w:p w14:paraId="03A2894E" w14:textId="02FFF14C" w:rsidR="00295517" w:rsidRPr="00295517" w:rsidRDefault="00295517" w:rsidP="00295517"/>
    <w:p w14:paraId="0D7A1602" w14:textId="555662AD" w:rsidR="00295517" w:rsidRPr="00295517" w:rsidRDefault="00295517" w:rsidP="00295517">
      <w:pPr>
        <w:rPr>
          <w:b/>
          <w:bCs/>
        </w:rPr>
      </w:pPr>
      <w:r w:rsidRPr="00295517">
        <w:rPr>
          <w:b/>
          <w:bCs/>
        </w:rPr>
        <w:t xml:space="preserve">REFERENCE LIST </w:t>
      </w:r>
    </w:p>
    <w:p w14:paraId="1FAB05B3" w14:textId="77777777" w:rsidR="00295517" w:rsidRPr="00295517" w:rsidRDefault="00295517" w:rsidP="00295517">
      <w:r w:rsidRPr="00295517">
        <w:t xml:space="preserve">Bambra, C. et al. (2015) ‘Tackling the wider social determinants of health and health inequalities’, </w:t>
      </w:r>
      <w:r w:rsidRPr="00295517">
        <w:rPr>
          <w:i/>
          <w:iCs/>
        </w:rPr>
        <w:t>Journal of Epidemiology and Community Health</w:t>
      </w:r>
      <w:r w:rsidRPr="00295517">
        <w:t>, 64(4), pp. 284–291.</w:t>
      </w:r>
    </w:p>
    <w:p w14:paraId="7F0655A0" w14:textId="77777777" w:rsidR="00295517" w:rsidRPr="00295517" w:rsidRDefault="00295517" w:rsidP="00295517">
      <w:r w:rsidRPr="00295517">
        <w:t xml:space="preserve">Greenhalgh, T. et al. (2017) ‘Beyond adoption: digital health challenges’, </w:t>
      </w:r>
      <w:r w:rsidRPr="00295517">
        <w:rPr>
          <w:i/>
          <w:iCs/>
        </w:rPr>
        <w:t>Journal of Medical Internet Research</w:t>
      </w:r>
      <w:r w:rsidRPr="00295517">
        <w:t>, 19(11), e367.</w:t>
      </w:r>
    </w:p>
    <w:p w14:paraId="310FE4C5" w14:textId="77777777" w:rsidR="00295517" w:rsidRPr="00295517" w:rsidRDefault="00295517" w:rsidP="00295517">
      <w:r w:rsidRPr="00295517">
        <w:t xml:space="preserve">Kvedar, J., Coye, M.J. and Everett, W. (2014) ‘Connected health’, </w:t>
      </w:r>
      <w:r w:rsidRPr="00295517">
        <w:rPr>
          <w:i/>
          <w:iCs/>
        </w:rPr>
        <w:t>Health Affairs</w:t>
      </w:r>
      <w:r w:rsidRPr="00295517">
        <w:t>, 33(2), pp. 194–199.</w:t>
      </w:r>
    </w:p>
    <w:p w14:paraId="49C826F8" w14:textId="77777777" w:rsidR="00295517" w:rsidRPr="00295517" w:rsidRDefault="00295517" w:rsidP="00295517">
      <w:r w:rsidRPr="00295517">
        <w:t xml:space="preserve">Marmot, M. (2010) </w:t>
      </w:r>
      <w:r w:rsidRPr="00295517">
        <w:rPr>
          <w:i/>
          <w:iCs/>
        </w:rPr>
        <w:t>Fair Society, Healthy Lives</w:t>
      </w:r>
      <w:r w:rsidRPr="00295517">
        <w:t>. London: The Marmot Review.</w:t>
      </w:r>
    </w:p>
    <w:p w14:paraId="1E8BC3EC" w14:textId="77777777" w:rsidR="00295517" w:rsidRPr="00295517" w:rsidRDefault="00295517" w:rsidP="00295517">
      <w:r w:rsidRPr="00295517">
        <w:t xml:space="preserve">Porter, M.E. (2010) ‘What is value in health care?’, </w:t>
      </w:r>
      <w:r w:rsidRPr="00295517">
        <w:rPr>
          <w:i/>
          <w:iCs/>
        </w:rPr>
        <w:t>New England Journal of Medicine</w:t>
      </w:r>
      <w:r w:rsidRPr="00295517">
        <w:t>, 363(26), pp. 2477–2481.</w:t>
      </w:r>
    </w:p>
    <w:p w14:paraId="72E807AD" w14:textId="77777777" w:rsidR="00295517" w:rsidRPr="00295517" w:rsidRDefault="00295517" w:rsidP="00295517">
      <w:r w:rsidRPr="00295517">
        <w:t xml:space="preserve">Steventon, A. et al. (2012) ‘Effect of telehealth on hospital use’, </w:t>
      </w:r>
      <w:r w:rsidRPr="00295517">
        <w:rPr>
          <w:i/>
          <w:iCs/>
        </w:rPr>
        <w:t>BMJ</w:t>
      </w:r>
      <w:r w:rsidRPr="00295517">
        <w:t>, 344, e3874.</w:t>
      </w:r>
    </w:p>
    <w:p w14:paraId="4A7B7AF9" w14:textId="77777777" w:rsidR="00295517" w:rsidRPr="00295517" w:rsidRDefault="00295517" w:rsidP="00295517">
      <w:r w:rsidRPr="00295517">
        <w:t xml:space="preserve">Ryan, R.M. and Deci, E.L. (2000) ‘Intrinsic and extrinsic motivations’, </w:t>
      </w:r>
      <w:r w:rsidRPr="00295517">
        <w:rPr>
          <w:i/>
          <w:iCs/>
        </w:rPr>
        <w:t>Contemporary Educational Psychology</w:t>
      </w:r>
      <w:r w:rsidRPr="00295517">
        <w:t>, 25(1), pp. 54–67.</w:t>
      </w:r>
    </w:p>
    <w:p w14:paraId="020B433D" w14:textId="77777777" w:rsidR="00EC7F9A" w:rsidRDefault="00EC7F9A"/>
    <w:sectPr w:rsidR="00EC7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97331"/>
    <w:multiLevelType w:val="multilevel"/>
    <w:tmpl w:val="C12C5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17198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517"/>
    <w:rsid w:val="0008538A"/>
    <w:rsid w:val="000C7926"/>
    <w:rsid w:val="00295517"/>
    <w:rsid w:val="005479BD"/>
    <w:rsid w:val="005B6944"/>
    <w:rsid w:val="0090418D"/>
    <w:rsid w:val="00C5632E"/>
    <w:rsid w:val="00EC7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9A941"/>
  <w15:chartTrackingRefBased/>
  <w15:docId w15:val="{366FE2FD-D3E3-47E2-B873-2CC13E9D16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55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55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55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55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55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55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55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55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55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5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55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55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55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55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55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55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55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5517"/>
    <w:rPr>
      <w:rFonts w:eastAsiaTheme="majorEastAsia" w:cstheme="majorBidi"/>
      <w:color w:val="272727" w:themeColor="text1" w:themeTint="D8"/>
    </w:rPr>
  </w:style>
  <w:style w:type="paragraph" w:styleId="Title">
    <w:name w:val="Title"/>
    <w:basedOn w:val="Normal"/>
    <w:next w:val="Normal"/>
    <w:link w:val="TitleChar"/>
    <w:uiPriority w:val="10"/>
    <w:qFormat/>
    <w:rsid w:val="002955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55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55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55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5517"/>
    <w:pPr>
      <w:spacing w:before="160"/>
      <w:jc w:val="center"/>
    </w:pPr>
    <w:rPr>
      <w:i/>
      <w:iCs/>
      <w:color w:val="404040" w:themeColor="text1" w:themeTint="BF"/>
    </w:rPr>
  </w:style>
  <w:style w:type="character" w:customStyle="1" w:styleId="QuoteChar">
    <w:name w:val="Quote Char"/>
    <w:basedOn w:val="DefaultParagraphFont"/>
    <w:link w:val="Quote"/>
    <w:uiPriority w:val="29"/>
    <w:rsid w:val="00295517"/>
    <w:rPr>
      <w:i/>
      <w:iCs/>
      <w:color w:val="404040" w:themeColor="text1" w:themeTint="BF"/>
    </w:rPr>
  </w:style>
  <w:style w:type="paragraph" w:styleId="ListParagraph">
    <w:name w:val="List Paragraph"/>
    <w:basedOn w:val="Normal"/>
    <w:uiPriority w:val="34"/>
    <w:qFormat/>
    <w:rsid w:val="00295517"/>
    <w:pPr>
      <w:ind w:left="720"/>
      <w:contextualSpacing/>
    </w:pPr>
  </w:style>
  <w:style w:type="character" w:styleId="IntenseEmphasis">
    <w:name w:val="Intense Emphasis"/>
    <w:basedOn w:val="DefaultParagraphFont"/>
    <w:uiPriority w:val="21"/>
    <w:qFormat/>
    <w:rsid w:val="00295517"/>
    <w:rPr>
      <w:i/>
      <w:iCs/>
      <w:color w:val="0F4761" w:themeColor="accent1" w:themeShade="BF"/>
    </w:rPr>
  </w:style>
  <w:style w:type="paragraph" w:styleId="IntenseQuote">
    <w:name w:val="Intense Quote"/>
    <w:basedOn w:val="Normal"/>
    <w:next w:val="Normal"/>
    <w:link w:val="IntenseQuoteChar"/>
    <w:uiPriority w:val="30"/>
    <w:qFormat/>
    <w:rsid w:val="002955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5517"/>
    <w:rPr>
      <w:i/>
      <w:iCs/>
      <w:color w:val="0F4761" w:themeColor="accent1" w:themeShade="BF"/>
    </w:rPr>
  </w:style>
  <w:style w:type="character" w:styleId="IntenseReference">
    <w:name w:val="Intense Reference"/>
    <w:basedOn w:val="DefaultParagraphFont"/>
    <w:uiPriority w:val="32"/>
    <w:qFormat/>
    <w:rsid w:val="002955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oleObject" Target="embeddings/oleObject1.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emf"/><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6</Pages>
  <Words>1545</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Ahmed (2325945)</dc:creator>
  <cp:keywords/>
  <dc:description/>
  <cp:lastModifiedBy>Manal Ahmed (2325945)</cp:lastModifiedBy>
  <cp:revision>1</cp:revision>
  <dcterms:created xsi:type="dcterms:W3CDTF">2026-04-09T11:05:00Z</dcterms:created>
  <dcterms:modified xsi:type="dcterms:W3CDTF">2026-04-09T11:50:00Z</dcterms:modified>
</cp:coreProperties>
</file>