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szCs w:val="24"/>
          <w:lang w:val="en-GB" w:eastAsia="en-GB"/>
        </w:rPr>
        <w:id w:val="-573426570"/>
        <w:docPartObj>
          <w:docPartGallery w:val="Cover Pages"/>
          <w:docPartUnique/>
        </w:docPartObj>
      </w:sdtPr>
      <w:sdtEndPr>
        <w:rPr>
          <w:rFonts w:ascii="Baskerville" w:eastAsia="Times New Roman" w:hAnsi="Baskerville" w:cs="Heebo"/>
          <w:b/>
          <w:bCs/>
          <w:caps w:val="0"/>
          <w:shd w:val="clear" w:color="auto" w:fill="FFFFFF"/>
        </w:rPr>
      </w:sdtEndPr>
      <w:sdtContent>
        <w:tbl>
          <w:tblPr>
            <w:tblW w:w="5000" w:type="pct"/>
            <w:jc w:val="center"/>
            <w:tblLook w:val="04A0" w:firstRow="1" w:lastRow="0" w:firstColumn="1" w:lastColumn="0" w:noHBand="0" w:noVBand="1"/>
          </w:tblPr>
          <w:tblGrid>
            <w:gridCol w:w="9236"/>
          </w:tblGrid>
          <w:tr w:rsidR="00882953" w:rsidRPr="00882953" w14:paraId="3A7B553A" w14:textId="77777777">
            <w:trPr>
              <w:trHeight w:val="2880"/>
              <w:jc w:val="center"/>
            </w:trPr>
            <w:tc>
              <w:tcPr>
                <w:tcW w:w="5000" w:type="pct"/>
              </w:tcPr>
              <w:p w14:paraId="2EE8F7E8" w14:textId="0274B010" w:rsidR="002B5D96" w:rsidRPr="00882953" w:rsidRDefault="002B5D96" w:rsidP="002B5D96">
                <w:pPr>
                  <w:pStyle w:val="NoSpacing"/>
                  <w:jc w:val="center"/>
                  <w:rPr>
                    <w:rFonts w:asciiTheme="majorHAnsi" w:eastAsiaTheme="majorEastAsia" w:hAnsiTheme="majorHAnsi" w:cstheme="majorBidi"/>
                    <w:caps/>
                  </w:rPr>
                </w:pPr>
              </w:p>
            </w:tc>
          </w:tr>
          <w:tr w:rsidR="00882953" w:rsidRPr="00882953" w14:paraId="13A55CD0" w14:textId="77777777" w:rsidTr="00E629E5">
            <w:trPr>
              <w:trHeight w:val="948"/>
              <w:jc w:val="center"/>
            </w:trPr>
            <w:tc>
              <w:tcPr>
                <w:tcW w:w="5000" w:type="pct"/>
                <w:tcBorders>
                  <w:bottom w:val="single" w:sz="4" w:space="0" w:color="4472C4" w:themeColor="accent1"/>
                </w:tcBorders>
                <w:vAlign w:val="center"/>
              </w:tcPr>
              <w:p w14:paraId="0A55AB9D" w14:textId="11DA5F86" w:rsidR="002B5D96" w:rsidRPr="00882953" w:rsidRDefault="00850CCD" w:rsidP="00AE027E">
                <w:pPr>
                  <w:pStyle w:val="NoSpacing"/>
                  <w:jc w:val="center"/>
                  <w:rPr>
                    <w:rFonts w:ascii="Arial" w:hAnsi="Arial" w:cs="Arial"/>
                    <w:b/>
                    <w:bCs/>
                    <w:sz w:val="56"/>
                    <w:szCs w:val="56"/>
                  </w:rPr>
                </w:pPr>
                <w:r w:rsidRPr="00882953">
                  <w:rPr>
                    <w:rFonts w:ascii="Arial" w:hAnsi="Arial" w:cs="Arial"/>
                    <w:b/>
                    <w:bCs/>
                    <w:sz w:val="56"/>
                    <w:szCs w:val="56"/>
                  </w:rPr>
                  <w:t>Practitioner Research Proposal</w:t>
                </w:r>
              </w:p>
            </w:tc>
          </w:tr>
          <w:tr w:rsidR="00882953" w:rsidRPr="00882953" w14:paraId="2194BEEC" w14:textId="77777777" w:rsidTr="00E629E5">
            <w:trPr>
              <w:trHeight w:val="720"/>
              <w:jc w:val="center"/>
            </w:trPr>
            <w:tc>
              <w:tcPr>
                <w:tcW w:w="5000" w:type="pct"/>
                <w:tcBorders>
                  <w:top w:val="single" w:sz="4" w:space="0" w:color="4472C4" w:themeColor="accent1"/>
                </w:tcBorders>
                <w:vAlign w:val="center"/>
              </w:tcPr>
              <w:p w14:paraId="49E64292" w14:textId="77777777" w:rsidR="002B5D96" w:rsidRPr="00882953" w:rsidRDefault="002B5D96" w:rsidP="00E629E5">
                <w:pPr>
                  <w:pStyle w:val="NoSpacing"/>
                  <w:jc w:val="center"/>
                  <w:rPr>
                    <w:rFonts w:ascii="Arial" w:eastAsiaTheme="majorEastAsia" w:hAnsi="Arial" w:cs="Arial"/>
                    <w:sz w:val="44"/>
                    <w:szCs w:val="44"/>
                  </w:rPr>
                </w:pPr>
              </w:p>
            </w:tc>
          </w:tr>
          <w:tr w:rsidR="00882953" w:rsidRPr="00882953" w14:paraId="0EDB1BE3" w14:textId="77777777" w:rsidTr="00E629E5">
            <w:trPr>
              <w:trHeight w:val="360"/>
              <w:jc w:val="center"/>
            </w:trPr>
            <w:tc>
              <w:tcPr>
                <w:tcW w:w="5000" w:type="pct"/>
                <w:vAlign w:val="center"/>
              </w:tcPr>
              <w:p w14:paraId="626D1C14" w14:textId="77777777" w:rsidR="002B5D96" w:rsidRPr="00882953" w:rsidRDefault="002B5D96" w:rsidP="00E629E5">
                <w:pPr>
                  <w:pStyle w:val="NoSpacing"/>
                  <w:rPr>
                    <w:rFonts w:ascii="Arial" w:hAnsi="Arial" w:cs="Arial"/>
                  </w:rPr>
                </w:pPr>
              </w:p>
            </w:tc>
          </w:tr>
        </w:tbl>
        <w:p w14:paraId="06C9872B" w14:textId="77777777" w:rsidR="002B5D96" w:rsidRPr="00882953" w:rsidRDefault="002B5D96" w:rsidP="002B5D96">
          <w:pPr>
            <w:spacing w:line="360" w:lineRule="auto"/>
            <w:rPr>
              <w:rFonts w:ascii="Arial" w:hAnsi="Arial" w:cs="Arial"/>
            </w:rPr>
          </w:pPr>
          <w:r w:rsidRPr="00882953">
            <w:rPr>
              <w:rFonts w:ascii="Arial" w:hAnsi="Arial" w:cs="Arial"/>
            </w:rPr>
            <w:t>Ethan Keeble</w:t>
          </w:r>
        </w:p>
        <w:p w14:paraId="7C533CD5" w14:textId="77777777" w:rsidR="002B5D96" w:rsidRPr="00882953" w:rsidRDefault="002B5D96" w:rsidP="002B5D96">
          <w:pPr>
            <w:spacing w:line="360" w:lineRule="auto"/>
            <w:rPr>
              <w:rFonts w:ascii="Arial" w:hAnsi="Arial" w:cs="Arial"/>
            </w:rPr>
          </w:pPr>
          <w:r w:rsidRPr="00882953">
            <w:rPr>
              <w:rFonts w:ascii="Arial" w:hAnsi="Arial" w:cs="Arial"/>
            </w:rPr>
            <w:t>Student number: 2405245</w:t>
          </w:r>
        </w:p>
        <w:p w14:paraId="2051AAC5" w14:textId="77777777" w:rsidR="002B5D96" w:rsidRPr="00882953" w:rsidRDefault="002B5D96" w:rsidP="002B5D96">
          <w:pPr>
            <w:spacing w:line="360" w:lineRule="auto"/>
            <w:rPr>
              <w:rFonts w:ascii="Arial" w:hAnsi="Arial" w:cs="Arial"/>
            </w:rPr>
          </w:pPr>
          <w:r w:rsidRPr="00882953">
            <w:rPr>
              <w:rFonts w:ascii="Arial" w:hAnsi="Arial" w:cs="Arial"/>
            </w:rPr>
            <w:t>Course: Doctorate in Professional Practice (</w:t>
          </w:r>
          <w:proofErr w:type="spellStart"/>
          <w:r w:rsidRPr="00882953">
            <w:rPr>
              <w:rFonts w:ascii="Arial" w:hAnsi="Arial" w:cs="Arial"/>
            </w:rPr>
            <w:t>DProf</w:t>
          </w:r>
          <w:proofErr w:type="spellEnd"/>
          <w:r w:rsidRPr="00882953">
            <w:rPr>
              <w:rFonts w:ascii="Arial" w:hAnsi="Arial" w:cs="Arial"/>
            </w:rPr>
            <w:t>)</w:t>
          </w:r>
        </w:p>
        <w:p w14:paraId="781116EA" w14:textId="36D29043" w:rsidR="002B5D96" w:rsidRPr="00882953" w:rsidRDefault="00137DE2" w:rsidP="002B5D96">
          <w:pPr>
            <w:spacing w:line="360" w:lineRule="auto"/>
            <w:rPr>
              <w:rFonts w:ascii="Arial" w:hAnsi="Arial" w:cs="Arial"/>
            </w:rPr>
          </w:pPr>
          <w:r w:rsidRPr="00882953">
            <w:rPr>
              <w:rFonts w:ascii="Arial" w:hAnsi="Arial" w:cs="Arial"/>
            </w:rPr>
            <w:t>Module</w:t>
          </w:r>
          <w:r w:rsidR="002B5D96" w:rsidRPr="00882953">
            <w:rPr>
              <w:rFonts w:ascii="Arial" w:hAnsi="Arial" w:cs="Arial"/>
            </w:rPr>
            <w:t xml:space="preserve">: </w:t>
          </w:r>
          <w:r w:rsidR="00850CCD" w:rsidRPr="00882953">
            <w:rPr>
              <w:rFonts w:ascii="Arial" w:hAnsi="Arial" w:cs="Arial"/>
            </w:rPr>
            <w:t>BMDP7003 Practitioner Research Proposal</w:t>
          </w:r>
        </w:p>
        <w:p w14:paraId="6D6D76CE" w14:textId="25AF9A6E" w:rsidR="002B5D96" w:rsidRPr="00882953" w:rsidRDefault="002B5D96" w:rsidP="002B5D96">
          <w:pPr>
            <w:rPr>
              <w:rFonts w:ascii="Arial" w:hAnsi="Arial" w:cs="Arial"/>
            </w:rPr>
          </w:pPr>
          <w:r w:rsidRPr="00882953">
            <w:rPr>
              <w:rFonts w:ascii="Arial" w:hAnsi="Arial" w:cs="Arial"/>
            </w:rPr>
            <w:t>Word count:</w:t>
          </w:r>
          <w:r w:rsidR="00EC2F0E" w:rsidRPr="00882953">
            <w:rPr>
              <w:rFonts w:ascii="Arial" w:hAnsi="Arial" w:cs="Arial"/>
            </w:rPr>
            <w:t xml:space="preserve"> </w:t>
          </w:r>
          <w:r w:rsidR="00850CCD" w:rsidRPr="00882953">
            <w:rPr>
              <w:rFonts w:ascii="Arial" w:hAnsi="Arial" w:cs="Arial"/>
            </w:rPr>
            <w:t xml:space="preserve"> </w:t>
          </w:r>
          <w:r w:rsidR="003C7F7F" w:rsidRPr="00882953">
            <w:rPr>
              <w:rFonts w:ascii="Arial" w:hAnsi="Arial" w:cs="Arial"/>
            </w:rPr>
            <w:t>4</w:t>
          </w:r>
          <w:r w:rsidR="00523643" w:rsidRPr="00882953">
            <w:rPr>
              <w:rFonts w:ascii="Arial" w:hAnsi="Arial" w:cs="Arial"/>
            </w:rPr>
            <w:t>,</w:t>
          </w:r>
          <w:r w:rsidR="003C7F7F" w:rsidRPr="00882953">
            <w:rPr>
              <w:rFonts w:ascii="Arial" w:hAnsi="Arial" w:cs="Arial"/>
            </w:rPr>
            <w:t>00</w:t>
          </w:r>
          <w:r w:rsidR="00D37625">
            <w:rPr>
              <w:rFonts w:ascii="Arial" w:hAnsi="Arial" w:cs="Arial"/>
            </w:rPr>
            <w:t>3</w:t>
          </w:r>
          <w:bookmarkStart w:id="0" w:name="_GoBack"/>
          <w:bookmarkEnd w:id="0"/>
        </w:p>
        <w:p w14:paraId="4BE5187B" w14:textId="4CDAACF2" w:rsidR="002B5D96" w:rsidRPr="00882953" w:rsidRDefault="002B5D96">
          <w:pPr>
            <w:rPr>
              <w:rFonts w:ascii="Baskerville" w:hAnsi="Baskerville" w:cs="Heebo"/>
              <w:b/>
              <w:bCs/>
              <w:shd w:val="clear" w:color="auto" w:fill="FFFFFF"/>
            </w:rPr>
          </w:pPr>
          <w:r w:rsidRPr="00882953">
            <w:rPr>
              <w:rFonts w:ascii="Baskerville" w:hAnsi="Baskerville" w:cs="Heebo"/>
              <w:b/>
              <w:bCs/>
              <w:shd w:val="clear" w:color="auto" w:fill="FFFFFF"/>
            </w:rPr>
            <w:br w:type="page"/>
          </w:r>
        </w:p>
      </w:sdtContent>
    </w:sdt>
    <w:p w14:paraId="64ADBA32" w14:textId="77777777" w:rsidR="00CD75E6" w:rsidRPr="00882953" w:rsidRDefault="00CD75E6" w:rsidP="00CD75E6">
      <w:pPr>
        <w:spacing w:line="276" w:lineRule="auto"/>
        <w:jc w:val="center"/>
        <w:rPr>
          <w:rFonts w:ascii="Arial" w:hAnsi="Arial" w:cs="Arial"/>
          <w:b/>
          <w:bCs/>
        </w:rPr>
      </w:pPr>
      <w:r w:rsidRPr="00882953">
        <w:rPr>
          <w:rFonts w:ascii="Arial" w:hAnsi="Arial" w:cs="Arial"/>
          <w:b/>
          <w:bCs/>
          <w:shd w:val="clear" w:color="auto" w:fill="FFFFFF"/>
        </w:rPr>
        <w:lastRenderedPageBreak/>
        <w:t>EXPLORING THE CULTURE OF LANGUAGE USE IN CHILDREN'S SERVICES: A RESEARCH PROPOSAL</w:t>
      </w:r>
    </w:p>
    <w:p w14:paraId="77CCF2D7" w14:textId="77777777" w:rsidR="00CD75E6" w:rsidRPr="00882953" w:rsidRDefault="00CD75E6" w:rsidP="00CD75E6">
      <w:pPr>
        <w:spacing w:line="276" w:lineRule="auto"/>
        <w:jc w:val="both"/>
        <w:rPr>
          <w:rFonts w:ascii="Arial" w:hAnsi="Arial" w:cs="Arial"/>
          <w:u w:val="single"/>
        </w:rPr>
      </w:pPr>
    </w:p>
    <w:p w14:paraId="0C8D2AC7" w14:textId="77777777" w:rsidR="00CD75E6" w:rsidRPr="00882953" w:rsidRDefault="00CD75E6" w:rsidP="00CD75E6">
      <w:pPr>
        <w:spacing w:line="276" w:lineRule="auto"/>
        <w:jc w:val="both"/>
        <w:rPr>
          <w:rFonts w:ascii="Arial" w:hAnsi="Arial" w:cs="Arial"/>
          <w:u w:val="single"/>
        </w:rPr>
      </w:pPr>
      <w:r w:rsidRPr="00882953">
        <w:rPr>
          <w:rFonts w:ascii="Arial" w:hAnsi="Arial" w:cs="Arial"/>
          <w:u w:val="single"/>
        </w:rPr>
        <w:t>Background and Context</w:t>
      </w:r>
    </w:p>
    <w:p w14:paraId="1EAED3C2" w14:textId="77777777" w:rsidR="00CD75E6" w:rsidRPr="00882953" w:rsidRDefault="00CD75E6" w:rsidP="00CD75E6">
      <w:pPr>
        <w:spacing w:line="276" w:lineRule="auto"/>
        <w:jc w:val="both"/>
        <w:rPr>
          <w:rFonts w:ascii="Arial" w:hAnsi="Arial" w:cs="Arial"/>
        </w:rPr>
      </w:pPr>
    </w:p>
    <w:p w14:paraId="33FE8D8C" w14:textId="77777777" w:rsidR="00CD75E6" w:rsidRPr="00882953" w:rsidRDefault="00CD75E6" w:rsidP="00CD75E6">
      <w:pPr>
        <w:spacing w:line="276" w:lineRule="auto"/>
        <w:jc w:val="both"/>
        <w:rPr>
          <w:rFonts w:ascii="Arial" w:hAnsi="Arial" w:cs="Arial"/>
        </w:rPr>
      </w:pPr>
      <w:r w:rsidRPr="00882953">
        <w:rPr>
          <w:rFonts w:ascii="Arial" w:hAnsi="Arial" w:cs="Arial"/>
        </w:rPr>
        <w:t xml:space="preserve">This work forms a qualitative research proposal that has been tailored to explore a selected and justified topic area within the field of health and social care. This initial section provides the background context for the proposal, inclusive of its justification, which is followed by the aims and objectives, and a background literature review to understand what is already known and published in the topic area. Further, the methodology to address the proposed research aims and objectives is described and justified, along with the key ethical considerations. </w:t>
      </w:r>
    </w:p>
    <w:p w14:paraId="4789060E" w14:textId="77777777" w:rsidR="00CD75E6" w:rsidRPr="00882953" w:rsidRDefault="00CD75E6" w:rsidP="00CD75E6">
      <w:pPr>
        <w:spacing w:line="276" w:lineRule="auto"/>
        <w:jc w:val="both"/>
        <w:rPr>
          <w:rFonts w:ascii="Arial" w:hAnsi="Arial" w:cs="Arial"/>
        </w:rPr>
      </w:pPr>
    </w:p>
    <w:p w14:paraId="770C4491" w14:textId="2E8E4695" w:rsidR="00CD75E6" w:rsidRDefault="00EA668D" w:rsidP="00CD75E6">
      <w:pPr>
        <w:spacing w:line="276" w:lineRule="auto"/>
        <w:jc w:val="both"/>
        <w:rPr>
          <w:rFonts w:ascii="Arial" w:hAnsi="Arial" w:cs="Arial"/>
          <w:shd w:val="clear" w:color="auto" w:fill="FFFFFF"/>
        </w:rPr>
      </w:pPr>
      <w:r w:rsidRPr="00EA668D">
        <w:rPr>
          <w:rFonts w:ascii="Arial" w:hAnsi="Arial" w:cs="Arial"/>
          <w:shd w:val="clear" w:color="auto" w:fill="FFFFFF"/>
        </w:rPr>
        <w:t>Language is a crucial and influential aspect of communication. However, terminology can shape how information is perceived or understood, which can affect care experiences and overall well-being (Blanton, 2021). Language is often intentionally or unconsciously altered or modified to express different meanings, but this can sometimes lead to implicit biases, negative judgments, discrimination, or verbal abuse (</w:t>
      </w:r>
      <w:proofErr w:type="spellStart"/>
      <w:r w:rsidRPr="00EA668D">
        <w:rPr>
          <w:rFonts w:ascii="Arial" w:hAnsi="Arial" w:cs="Arial"/>
          <w:shd w:val="clear" w:color="auto" w:fill="FFFFFF"/>
        </w:rPr>
        <w:t>Warr</w:t>
      </w:r>
      <w:proofErr w:type="spellEnd"/>
      <w:r w:rsidRPr="00EA668D">
        <w:rPr>
          <w:rFonts w:ascii="Arial" w:hAnsi="Arial" w:cs="Arial"/>
          <w:shd w:val="clear" w:color="auto" w:fill="FFFFFF"/>
        </w:rPr>
        <w:t xml:space="preserve"> et al., 2024). Implicit bias refers to attitudes or thoughts that operate outside of conscious awareness and favour certain individuals or groups, often causing harm unknowingly (</w:t>
      </w:r>
      <w:proofErr w:type="spellStart"/>
      <w:r w:rsidRPr="00EA668D">
        <w:rPr>
          <w:rFonts w:ascii="Arial" w:hAnsi="Arial" w:cs="Arial"/>
          <w:shd w:val="clear" w:color="auto" w:fill="FFFFFF"/>
        </w:rPr>
        <w:t>Rogerson</w:t>
      </w:r>
      <w:proofErr w:type="spellEnd"/>
      <w:r w:rsidRPr="00EA668D">
        <w:rPr>
          <w:rFonts w:ascii="Arial" w:hAnsi="Arial" w:cs="Arial"/>
          <w:shd w:val="clear" w:color="auto" w:fill="FFFFFF"/>
        </w:rPr>
        <w:t xml:space="preserve"> et al., 2022). These biases can become ingrained over time, normalising in routine communication without feedback or reflection (</w:t>
      </w:r>
      <w:proofErr w:type="spellStart"/>
      <w:r w:rsidRPr="00EA668D">
        <w:rPr>
          <w:rFonts w:ascii="Arial" w:hAnsi="Arial" w:cs="Arial"/>
          <w:shd w:val="clear" w:color="auto" w:fill="FFFFFF"/>
        </w:rPr>
        <w:t>Alspach</w:t>
      </w:r>
      <w:proofErr w:type="spellEnd"/>
      <w:r w:rsidRPr="00EA668D">
        <w:rPr>
          <w:rFonts w:ascii="Arial" w:hAnsi="Arial" w:cs="Arial"/>
          <w:shd w:val="clear" w:color="auto" w:fill="FFFFFF"/>
        </w:rPr>
        <w:t>, 2018). The use of harmful or undermining language dates back to ancient times, with negative language employed in dehumanising or hateful ways as early as 1,000-3,000 BC (</w:t>
      </w:r>
      <w:proofErr w:type="spellStart"/>
      <w:r w:rsidRPr="00EA668D">
        <w:rPr>
          <w:rFonts w:ascii="Arial" w:hAnsi="Arial" w:cs="Arial"/>
          <w:shd w:val="clear" w:color="auto" w:fill="FFFFFF"/>
        </w:rPr>
        <w:t>Aguizy</w:t>
      </w:r>
      <w:proofErr w:type="spellEnd"/>
      <w:r w:rsidRPr="00EA668D">
        <w:rPr>
          <w:rFonts w:ascii="Arial" w:hAnsi="Arial" w:cs="Arial"/>
          <w:shd w:val="clear" w:color="auto" w:fill="FFFFFF"/>
        </w:rPr>
        <w:t xml:space="preserve"> &amp; </w:t>
      </w:r>
      <w:proofErr w:type="spellStart"/>
      <w:r w:rsidRPr="00EA668D">
        <w:rPr>
          <w:rFonts w:ascii="Arial" w:hAnsi="Arial" w:cs="Arial"/>
          <w:shd w:val="clear" w:color="auto" w:fill="FFFFFF"/>
        </w:rPr>
        <w:t>Haykal</w:t>
      </w:r>
      <w:proofErr w:type="spellEnd"/>
      <w:r w:rsidRPr="00EA668D">
        <w:rPr>
          <w:rFonts w:ascii="Arial" w:hAnsi="Arial" w:cs="Arial"/>
          <w:shd w:val="clear" w:color="auto" w:fill="FFFFFF"/>
        </w:rPr>
        <w:t>, 1996). Such language initially contributed to marginalising groups, highlighting the powerful role of words in shaping societal discourses (</w:t>
      </w:r>
      <w:proofErr w:type="spellStart"/>
      <w:r w:rsidRPr="00EA668D">
        <w:rPr>
          <w:rFonts w:ascii="Arial" w:hAnsi="Arial" w:cs="Arial"/>
          <w:shd w:val="clear" w:color="auto" w:fill="FFFFFF"/>
        </w:rPr>
        <w:t>Holinger</w:t>
      </w:r>
      <w:proofErr w:type="spellEnd"/>
      <w:r w:rsidRPr="00EA668D">
        <w:rPr>
          <w:rFonts w:ascii="Arial" w:hAnsi="Arial" w:cs="Arial"/>
          <w:shd w:val="clear" w:color="auto" w:fill="FFFFFF"/>
        </w:rPr>
        <w:t xml:space="preserve">, 2022; </w:t>
      </w:r>
      <w:proofErr w:type="spellStart"/>
      <w:proofErr w:type="gramStart"/>
      <w:r w:rsidRPr="00EA668D">
        <w:rPr>
          <w:rFonts w:ascii="Arial" w:hAnsi="Arial" w:cs="Arial"/>
          <w:shd w:val="clear" w:color="auto" w:fill="FFFFFF"/>
        </w:rPr>
        <w:t>Unicef</w:t>
      </w:r>
      <w:proofErr w:type="spellEnd"/>
      <w:proofErr w:type="gramEnd"/>
      <w:r w:rsidRPr="00EA668D">
        <w:rPr>
          <w:rFonts w:ascii="Arial" w:hAnsi="Arial" w:cs="Arial"/>
          <w:shd w:val="clear" w:color="auto" w:fill="FFFFFF"/>
        </w:rPr>
        <w:t xml:space="preserve">, 2022). An empirical study involving a large survey of physicians found that unconscious biases were conveyed towards patients from minority ethnic groups (van </w:t>
      </w:r>
      <w:proofErr w:type="spellStart"/>
      <w:r w:rsidRPr="00EA668D">
        <w:rPr>
          <w:rFonts w:ascii="Arial" w:hAnsi="Arial" w:cs="Arial"/>
          <w:shd w:val="clear" w:color="auto" w:fill="FFFFFF"/>
        </w:rPr>
        <w:t>Ryn</w:t>
      </w:r>
      <w:proofErr w:type="spellEnd"/>
      <w:r w:rsidRPr="00EA668D">
        <w:rPr>
          <w:rFonts w:ascii="Arial" w:hAnsi="Arial" w:cs="Arial"/>
          <w:shd w:val="clear" w:color="auto" w:fill="FFFFFF"/>
        </w:rPr>
        <w:t xml:space="preserve"> &amp; Burke, 2000). By the 2010s, a growing body of research emerged showing problematic language and implicit biases not only in healthcare but also in social care and other sectors (Chapman et al., 2013; Stokes &amp; Schmidt, 2011).</w:t>
      </w:r>
    </w:p>
    <w:p w14:paraId="233690CE" w14:textId="77777777" w:rsidR="00EA668D" w:rsidRPr="00882953" w:rsidRDefault="00EA668D" w:rsidP="00CD75E6">
      <w:pPr>
        <w:spacing w:line="276" w:lineRule="auto"/>
        <w:jc w:val="both"/>
        <w:rPr>
          <w:rFonts w:ascii="Arial" w:hAnsi="Arial" w:cs="Arial"/>
          <w:shd w:val="clear" w:color="auto" w:fill="FFFFFF"/>
        </w:rPr>
      </w:pPr>
    </w:p>
    <w:p w14:paraId="5F889324" w14:textId="06CE24BF" w:rsidR="00CD75E6" w:rsidRPr="00882953" w:rsidRDefault="00EA668D" w:rsidP="00CD75E6">
      <w:pPr>
        <w:spacing w:line="276" w:lineRule="auto"/>
        <w:jc w:val="both"/>
        <w:rPr>
          <w:rFonts w:ascii="Arial" w:hAnsi="Arial" w:cs="Arial"/>
        </w:rPr>
      </w:pPr>
      <w:r w:rsidRPr="00EA668D">
        <w:rPr>
          <w:rFonts w:ascii="Arial" w:hAnsi="Arial" w:cs="Arial"/>
        </w:rPr>
        <w:t xml:space="preserve">It is recognised that the terminology used to refer to ‘looked after children’ or youths in care can adversely influence their well-being, reaffirming wider research findings (NSPCC, 2023). Children in care, or ‘looked after children’ typically describes individuals who have been in local authority custody for more than 24 hours due to concerns such as safety risks, parental or guardian absence, respite arrangements, or involvement in criminal activity (NSPCC, 2024). In the United Kingdom (UK), more than 80,000 children are in such care at any given time, with an additional 30,000 entering annually. This underscores a substantial and troubling demand for social services and implies that many of these children are exposed to negative language, implicit biases, and the stigma that accompanies them (Department for Education, 2024). Approximately 50% of all ‘looked after children’ access mental health </w:t>
      </w:r>
      <w:r w:rsidRPr="00EA668D">
        <w:rPr>
          <w:rFonts w:ascii="Arial" w:hAnsi="Arial" w:cs="Arial"/>
        </w:rPr>
        <w:lastRenderedPageBreak/>
        <w:t>services, highlighting the complex challenges faced by this group, compounded by their vulnerable status and the likelihood of suffering negative effects from exposure to harmful language (Children’s Social Care, 2020; Department for Education, 2018).</w:t>
      </w:r>
    </w:p>
    <w:p w14:paraId="1581B907" w14:textId="77777777" w:rsidR="00CD75E6" w:rsidRPr="00882953" w:rsidRDefault="00CD75E6" w:rsidP="00CD75E6">
      <w:pPr>
        <w:spacing w:line="276" w:lineRule="auto"/>
        <w:jc w:val="both"/>
        <w:rPr>
          <w:rFonts w:ascii="Arial" w:hAnsi="Arial" w:cs="Arial"/>
        </w:rPr>
      </w:pPr>
    </w:p>
    <w:p w14:paraId="2CA3F911" w14:textId="77777777" w:rsidR="00CD75E6" w:rsidRPr="00882953" w:rsidRDefault="00CD75E6" w:rsidP="00CD75E6">
      <w:pPr>
        <w:spacing w:line="276" w:lineRule="auto"/>
        <w:jc w:val="both"/>
        <w:rPr>
          <w:rFonts w:ascii="Arial" w:hAnsi="Arial" w:cs="Arial"/>
          <w:u w:val="single"/>
        </w:rPr>
      </w:pPr>
      <w:r w:rsidRPr="00882953">
        <w:rPr>
          <w:rFonts w:ascii="Arial" w:hAnsi="Arial" w:cs="Arial"/>
          <w:u w:val="single"/>
        </w:rPr>
        <w:t>Aims and Objectives</w:t>
      </w:r>
    </w:p>
    <w:p w14:paraId="2996CB82" w14:textId="77777777" w:rsidR="00CD75E6" w:rsidRPr="00882953" w:rsidRDefault="00CD75E6" w:rsidP="00CD75E6">
      <w:pPr>
        <w:spacing w:line="276" w:lineRule="auto"/>
        <w:jc w:val="both"/>
        <w:rPr>
          <w:rFonts w:ascii="Arial" w:hAnsi="Arial" w:cs="Arial"/>
        </w:rPr>
      </w:pPr>
    </w:p>
    <w:p w14:paraId="1909F4E6" w14:textId="057D5EF8" w:rsidR="00CD75E6" w:rsidRPr="00882953" w:rsidRDefault="00CD75E6" w:rsidP="00CD75E6">
      <w:pPr>
        <w:spacing w:line="276" w:lineRule="auto"/>
        <w:jc w:val="both"/>
        <w:rPr>
          <w:rFonts w:ascii="Arial" w:hAnsi="Arial" w:cs="Arial"/>
        </w:rPr>
      </w:pPr>
      <w:r w:rsidRPr="00882953">
        <w:rPr>
          <w:rFonts w:ascii="Arial" w:hAnsi="Arial" w:cs="Arial"/>
        </w:rPr>
        <w:t xml:space="preserve">To address the evidence gap that emerges in the following literature review, the proposed research aims to explore how professionals in children’s health and social care perceive and interpret the language culture within their daily practice. The central research question will ask: </w:t>
      </w:r>
      <w:r w:rsidRPr="00882953">
        <w:rPr>
          <w:rFonts w:ascii="Arial" w:hAnsi="Arial" w:cs="Arial"/>
          <w:i/>
          <w:iCs/>
        </w:rPr>
        <w:t xml:space="preserve">how do these professionals use, view, and understand language and its cultural context in their everyday work when interacting with children and in relation to discussions about children with colleagues? </w:t>
      </w:r>
      <w:r w:rsidRPr="00882953">
        <w:rPr>
          <w:rFonts w:ascii="Arial" w:hAnsi="Arial" w:cs="Arial"/>
        </w:rPr>
        <w:t xml:space="preserve">This question was formed using the </w:t>
      </w:r>
      <w:proofErr w:type="gramStart"/>
      <w:r w:rsidRPr="00882953">
        <w:rPr>
          <w:rFonts w:ascii="Arial" w:hAnsi="Arial" w:cs="Arial"/>
        </w:rPr>
        <w:t>population,</w:t>
      </w:r>
      <w:proofErr w:type="gramEnd"/>
      <w:r w:rsidRPr="00882953">
        <w:rPr>
          <w:rFonts w:ascii="Arial" w:hAnsi="Arial" w:cs="Arial"/>
        </w:rPr>
        <w:t xml:space="preserve"> concept and context (PCC) framework, </w:t>
      </w:r>
      <w:r w:rsidR="00EA668D" w:rsidRPr="00EA668D">
        <w:rPr>
          <w:rFonts w:ascii="Arial" w:hAnsi="Arial" w:cs="Arial"/>
        </w:rPr>
        <w:t>which was feasible in view of the nature of the topic area and the proposed qualitative methodology, as described further in the methodology section (Chan et al., 2024). This is in contrast to the population, exposure and outcomes (PEO) and population, intervention, comparator and outcomes (PICO) frameworks, which are often used to guide research with different constructs (</w:t>
      </w:r>
      <w:proofErr w:type="spellStart"/>
      <w:r w:rsidR="00EA668D" w:rsidRPr="00EA668D">
        <w:rPr>
          <w:rFonts w:ascii="Arial" w:hAnsi="Arial" w:cs="Arial"/>
        </w:rPr>
        <w:t>Aveyard</w:t>
      </w:r>
      <w:proofErr w:type="spellEnd"/>
      <w:r w:rsidR="00EA668D" w:rsidRPr="00EA668D">
        <w:rPr>
          <w:rFonts w:ascii="Arial" w:hAnsi="Arial" w:cs="Arial"/>
        </w:rPr>
        <w:t>, 2023). PEO is suited to qualitative studies that aim to examine experiences regarding exposures or treatments on valued outcomes, while PICO is often conducive to comparative studies, such as randomised trials, which were not feasible for the proposed research herein (</w:t>
      </w:r>
      <w:proofErr w:type="spellStart"/>
      <w:r w:rsidR="00EA668D" w:rsidRPr="00EA668D">
        <w:rPr>
          <w:rFonts w:ascii="Arial" w:hAnsi="Arial" w:cs="Arial"/>
        </w:rPr>
        <w:t>Aveyard</w:t>
      </w:r>
      <w:proofErr w:type="spellEnd"/>
      <w:r w:rsidR="00EA668D" w:rsidRPr="00EA668D">
        <w:rPr>
          <w:rFonts w:ascii="Arial" w:hAnsi="Arial" w:cs="Arial"/>
        </w:rPr>
        <w:t>, 2023). In the proposed study, the population is health and social care workers, the concept is language use and the context is working with children. Finally, the objectives of the research are to gain an in-depth understanding of how health and social care professionals interpret and respond to the language used in children’s services, and how such language influences their perceptions, relationships, and professional identity.</w:t>
      </w:r>
    </w:p>
    <w:p w14:paraId="2E04D7A6" w14:textId="77777777" w:rsidR="00CD75E6" w:rsidRPr="00882953" w:rsidRDefault="00CD75E6" w:rsidP="00CD75E6">
      <w:pPr>
        <w:spacing w:line="276" w:lineRule="auto"/>
        <w:jc w:val="both"/>
        <w:rPr>
          <w:rFonts w:ascii="Arial" w:hAnsi="Arial" w:cs="Arial"/>
        </w:rPr>
      </w:pPr>
    </w:p>
    <w:p w14:paraId="0AD1C8B6" w14:textId="77777777" w:rsidR="00CD75E6" w:rsidRPr="00882953" w:rsidRDefault="00CD75E6" w:rsidP="00CD75E6">
      <w:pPr>
        <w:spacing w:line="276" w:lineRule="auto"/>
        <w:jc w:val="both"/>
        <w:rPr>
          <w:rFonts w:ascii="Arial" w:hAnsi="Arial" w:cs="Arial"/>
        </w:rPr>
      </w:pPr>
    </w:p>
    <w:p w14:paraId="2D0D9395" w14:textId="77777777" w:rsidR="00CD75E6" w:rsidRPr="00882953" w:rsidRDefault="00CD75E6" w:rsidP="00CD75E6">
      <w:pPr>
        <w:spacing w:line="276" w:lineRule="auto"/>
        <w:jc w:val="both"/>
        <w:rPr>
          <w:rFonts w:ascii="Arial" w:hAnsi="Arial" w:cs="Arial"/>
          <w:u w:val="single"/>
        </w:rPr>
      </w:pPr>
      <w:r w:rsidRPr="00882953">
        <w:rPr>
          <w:rFonts w:ascii="Arial" w:hAnsi="Arial" w:cs="Arial"/>
          <w:u w:val="single"/>
        </w:rPr>
        <w:t>Indicative Review of Literature</w:t>
      </w:r>
    </w:p>
    <w:p w14:paraId="7CE38E12" w14:textId="77777777" w:rsidR="00CD75E6" w:rsidRPr="00882953" w:rsidRDefault="00CD75E6" w:rsidP="00CD75E6">
      <w:pPr>
        <w:spacing w:line="276" w:lineRule="auto"/>
        <w:jc w:val="both"/>
        <w:rPr>
          <w:rFonts w:ascii="Arial" w:hAnsi="Arial" w:cs="Arial"/>
        </w:rPr>
      </w:pPr>
    </w:p>
    <w:p w14:paraId="45398DCD" w14:textId="7CB4FF78" w:rsidR="00CD75E6" w:rsidRDefault="00021184" w:rsidP="00CD75E6">
      <w:pPr>
        <w:spacing w:line="276" w:lineRule="auto"/>
        <w:jc w:val="both"/>
        <w:rPr>
          <w:rFonts w:ascii="Arial" w:hAnsi="Arial" w:cs="Arial"/>
          <w:shd w:val="clear" w:color="auto" w:fill="FFFFFF"/>
        </w:rPr>
      </w:pPr>
      <w:r w:rsidRPr="00021184">
        <w:rPr>
          <w:rFonts w:ascii="Arial" w:hAnsi="Arial" w:cs="Arial"/>
          <w:shd w:val="clear" w:color="auto" w:fill="FFFFFF"/>
        </w:rPr>
        <w:t>Numerous studies have examined problematic language use within health and social care, uncovering insights into how it affects users of children’s services in variable ways. Language has been employed to label individuals and categorise them into groups, often reflecting underlying biases and perceptions that view children in care as ‘different’ from those not in care. Interviews with ‘looked after’ or children and young people known to authorities in the UK showed that users experienced both direct and indirect forms of labelling, which fostered feelings of being different and even ‘anomalous' compared to their friends who were not known to authorities (</w:t>
      </w:r>
      <w:proofErr w:type="spellStart"/>
      <w:r w:rsidRPr="00021184">
        <w:rPr>
          <w:rFonts w:ascii="Arial" w:hAnsi="Arial" w:cs="Arial"/>
          <w:shd w:val="clear" w:color="auto" w:fill="FFFFFF"/>
        </w:rPr>
        <w:t>Mannay</w:t>
      </w:r>
      <w:proofErr w:type="spellEnd"/>
      <w:r w:rsidRPr="00021184">
        <w:rPr>
          <w:rFonts w:ascii="Arial" w:hAnsi="Arial" w:cs="Arial"/>
          <w:shd w:val="clear" w:color="auto" w:fill="FFFFFF"/>
        </w:rPr>
        <w:t xml:space="preserve"> et al., 2017). Similar findings have been reported in two other research studies, where children in care and their foster parents described the language used by social workers as labelling and as a consequence, this was perceived as harmful to mental health, as well as a factor perpetuating and reinforcing stigma (Carey, 2023; Cooper, 2011). Further exploration of the data showed that the language </w:t>
      </w:r>
      <w:r w:rsidRPr="00021184">
        <w:rPr>
          <w:rFonts w:ascii="Arial" w:hAnsi="Arial" w:cs="Arial"/>
          <w:shd w:val="clear" w:color="auto" w:fill="FFFFFF"/>
        </w:rPr>
        <w:lastRenderedPageBreak/>
        <w:t>conveyed in messages and information participants received or interpreted from workers implied that those in care were unwanted by society, suggesting they had flaws or issues requiring correction before being accepted by others. Consequently, this language depicted individuals in care as belonging to a separate, taboo group within society (Carey, 2023; Cooper, 2011).</w:t>
      </w:r>
    </w:p>
    <w:p w14:paraId="46B9A6D0" w14:textId="77777777" w:rsidR="00021184" w:rsidRPr="00882953" w:rsidRDefault="00021184" w:rsidP="00CD75E6">
      <w:pPr>
        <w:spacing w:line="276" w:lineRule="auto"/>
        <w:jc w:val="both"/>
        <w:rPr>
          <w:rFonts w:ascii="Arial" w:hAnsi="Arial" w:cs="Arial"/>
          <w:shd w:val="clear" w:color="auto" w:fill="FFFFFF"/>
        </w:rPr>
      </w:pPr>
    </w:p>
    <w:p w14:paraId="7CD022FF" w14:textId="46D2A312" w:rsidR="00CD75E6" w:rsidRDefault="00021184" w:rsidP="00CD75E6">
      <w:pPr>
        <w:spacing w:line="276" w:lineRule="auto"/>
        <w:jc w:val="both"/>
        <w:rPr>
          <w:rFonts w:ascii="Arial" w:hAnsi="Arial" w:cs="Arial"/>
        </w:rPr>
      </w:pPr>
      <w:r w:rsidRPr="00021184">
        <w:rPr>
          <w:rFonts w:ascii="Arial" w:hAnsi="Arial" w:cs="Arial"/>
        </w:rPr>
        <w:t xml:space="preserve">Carey (2023) cited examples of negative language used by social workers. In some cases, children were frequently labelled as ‘bad’ persons, highlighting misconceptions that they were in care due to being offenders or engaging in anti-social behaviour, overlooking varied other reasons for children coming into contact with authorities. Other dismissive and stigmatising language used by workers included ‘troubled’, ‘delinquent,’ and ‘untrustworthy’, which are labels that have been reported to describe children known to authorities by social workers in other research (Cooper, 2011; </w:t>
      </w:r>
      <w:proofErr w:type="spellStart"/>
      <w:r w:rsidRPr="00021184">
        <w:rPr>
          <w:rFonts w:ascii="Arial" w:hAnsi="Arial" w:cs="Arial"/>
        </w:rPr>
        <w:t>Mannay</w:t>
      </w:r>
      <w:proofErr w:type="spellEnd"/>
      <w:r w:rsidRPr="00021184">
        <w:rPr>
          <w:rFonts w:ascii="Arial" w:hAnsi="Arial" w:cs="Arial"/>
        </w:rPr>
        <w:t xml:space="preserve"> et al., 2017). Such language was viewed as incurring blame on children, and thereby suggesting they were responsible for being in care, beliefs that fuelled emotional distress with conveyed feelings including frustration and anger (Carey, 2023; Cooper, 2011; </w:t>
      </w:r>
      <w:proofErr w:type="spellStart"/>
      <w:r w:rsidRPr="00021184">
        <w:rPr>
          <w:rFonts w:ascii="Arial" w:hAnsi="Arial" w:cs="Arial"/>
        </w:rPr>
        <w:t>Mannay</w:t>
      </w:r>
      <w:proofErr w:type="spellEnd"/>
      <w:r w:rsidRPr="00021184">
        <w:rPr>
          <w:rFonts w:ascii="Arial" w:hAnsi="Arial" w:cs="Arial"/>
        </w:rPr>
        <w:t xml:space="preserve"> et al., 2017). However, it is important to note that this literature reflects the perspectives of children in care and their guardians or foster parents, and not specifically those of social workers. Therefore, a one-sided argument has been presented and relying on data from children in care may co-exist with subjectivity and bias, indicating the need to examine care providers’ views directly. This may help to validate and corroborate the findings, or in contrast, conflicting views may be identified, warranting a need for greater understanding of language utilisation in the field.</w:t>
      </w:r>
    </w:p>
    <w:p w14:paraId="19C6B8D1" w14:textId="77777777" w:rsidR="00021184" w:rsidRPr="00882953" w:rsidRDefault="00021184" w:rsidP="00CD75E6">
      <w:pPr>
        <w:spacing w:line="276" w:lineRule="auto"/>
        <w:jc w:val="both"/>
        <w:rPr>
          <w:rFonts w:ascii="Arial" w:hAnsi="Arial" w:cs="Arial"/>
        </w:rPr>
      </w:pPr>
    </w:p>
    <w:p w14:paraId="1DBAB4FF" w14:textId="7FB2F30B" w:rsidR="00CD75E6" w:rsidRDefault="00021184" w:rsidP="00CD75E6">
      <w:pPr>
        <w:spacing w:line="276" w:lineRule="auto"/>
        <w:jc w:val="both"/>
        <w:rPr>
          <w:rFonts w:ascii="Arial" w:hAnsi="Arial" w:cs="Arial"/>
          <w:shd w:val="clear" w:color="auto" w:fill="FFFFFF"/>
        </w:rPr>
      </w:pPr>
      <w:r w:rsidRPr="00021184">
        <w:rPr>
          <w:rFonts w:ascii="Arial" w:hAnsi="Arial" w:cs="Arial"/>
          <w:shd w:val="clear" w:color="auto" w:fill="FFFFFF"/>
        </w:rPr>
        <w:t>In alternative instances, young individuals in foster care were often viewed as ‘delinquents’ or assumed to have been involved in illegal activities, based on particular language reportedly used by caregivers, such as questions like ‘what did you do to be in care?’ and ‘who did you kill, your parents?’. Such phrasing is presumptive and implies that youths had prior contact with the criminal justice system early in their lives, which could reinforce cognitive biases regarding their perceived inferiority as members of society (Carey, 2023). Although assumptions about criminal involvement of children in care are somewhat supported by data, as official UK statistics indicate that 51% of children in care have a history of offending, which is a significantly higher percentage compared to peers who have not been in care: 11% (Children’s Commissioner, 2022).</w:t>
      </w:r>
    </w:p>
    <w:p w14:paraId="0F22F5D2" w14:textId="77777777" w:rsidR="00021184" w:rsidRPr="00882953" w:rsidRDefault="00021184" w:rsidP="00CD75E6">
      <w:pPr>
        <w:spacing w:line="276" w:lineRule="auto"/>
        <w:jc w:val="both"/>
        <w:rPr>
          <w:rFonts w:ascii="Arial" w:hAnsi="Arial" w:cs="Arial"/>
          <w:shd w:val="clear" w:color="auto" w:fill="FFFFFF"/>
        </w:rPr>
      </w:pPr>
    </w:p>
    <w:p w14:paraId="7CFB6030" w14:textId="52A5FD8F" w:rsidR="00021184" w:rsidRPr="00882953" w:rsidRDefault="00021184" w:rsidP="00CD75E6">
      <w:pPr>
        <w:spacing w:line="276" w:lineRule="auto"/>
        <w:jc w:val="both"/>
        <w:rPr>
          <w:rFonts w:ascii="Arial" w:hAnsi="Arial" w:cs="Arial"/>
        </w:rPr>
      </w:pPr>
      <w:r w:rsidRPr="00021184">
        <w:rPr>
          <w:rFonts w:ascii="Arial" w:hAnsi="Arial" w:cs="Arial"/>
        </w:rPr>
        <w:t>The labelling of children in care using assumptive and negative language has even been considered in a ‘</w:t>
      </w:r>
      <w:proofErr w:type="spellStart"/>
      <w:r w:rsidRPr="00021184">
        <w:rPr>
          <w:rFonts w:ascii="Arial" w:hAnsi="Arial" w:cs="Arial"/>
        </w:rPr>
        <w:t>medicalised</w:t>
      </w:r>
      <w:proofErr w:type="spellEnd"/>
      <w:r w:rsidRPr="00021184">
        <w:rPr>
          <w:rFonts w:ascii="Arial" w:hAnsi="Arial" w:cs="Arial"/>
        </w:rPr>
        <w:t xml:space="preserve">’ form, to the point where they such persons have been considered akin to having a disease (Carey, 2023). This perception stems from the belief that such children are inherently 'bad' or unwanted, a view that persists among health and social care workers despite evidence to contradict these views (Carey, 2023). Beyond assumptions related to criminal behaviour, social workers are often perceived to hold the view that children in care suffer from mental disorders, </w:t>
      </w:r>
      <w:r w:rsidRPr="00021184">
        <w:rPr>
          <w:rFonts w:ascii="Arial" w:hAnsi="Arial" w:cs="Arial"/>
        </w:rPr>
        <w:lastRenderedPageBreak/>
        <w:t>frequently using language that reinforces these beliefs even in cases where there is no clear evidence of mental illness or a formal diagnosis (Carey, 2023). Nonetheless, research indicates that a significant proportion of children in care do experience mental health issues, with the prevalence rate being as high as 75% (Cummings &amp; Shelton, 2024). Interviews with children in care and with diagnosed mental health conditions reveal that they often face stigmatising language, and this stigma appears to be more pronounced than among children without mental health problems (</w:t>
      </w:r>
      <w:proofErr w:type="spellStart"/>
      <w:r w:rsidRPr="00021184">
        <w:rPr>
          <w:rFonts w:ascii="Arial" w:hAnsi="Arial" w:cs="Arial"/>
        </w:rPr>
        <w:t>Jarlby</w:t>
      </w:r>
      <w:proofErr w:type="spellEnd"/>
      <w:r w:rsidRPr="00021184">
        <w:rPr>
          <w:rFonts w:ascii="Arial" w:hAnsi="Arial" w:cs="Arial"/>
        </w:rPr>
        <w:t xml:space="preserve"> et al., 2018; </w:t>
      </w:r>
      <w:proofErr w:type="spellStart"/>
      <w:r w:rsidRPr="00021184">
        <w:rPr>
          <w:rFonts w:ascii="Arial" w:hAnsi="Arial" w:cs="Arial"/>
        </w:rPr>
        <w:t>Majumder</w:t>
      </w:r>
      <w:proofErr w:type="spellEnd"/>
      <w:r w:rsidRPr="00021184">
        <w:rPr>
          <w:rFonts w:ascii="Arial" w:hAnsi="Arial" w:cs="Arial"/>
        </w:rPr>
        <w:t>, 2015). This pattern suggests that care providers’ language choices may be shaped by underlying or assumed explanations regarding the factors that result in children becoming known to formal care services. Notably, some of the most severe reports of stigmatising language come from children in care and of refugee status, with care workers sometimes describing these persons as ‘crazy’ or ‘dangerous’, which are deeply concerning reports (</w:t>
      </w:r>
      <w:proofErr w:type="spellStart"/>
      <w:r w:rsidRPr="00021184">
        <w:rPr>
          <w:rFonts w:ascii="Arial" w:hAnsi="Arial" w:cs="Arial"/>
        </w:rPr>
        <w:t>Jarlby</w:t>
      </w:r>
      <w:proofErr w:type="spellEnd"/>
      <w:r w:rsidRPr="00021184">
        <w:rPr>
          <w:rFonts w:ascii="Arial" w:hAnsi="Arial" w:cs="Arial"/>
        </w:rPr>
        <w:t xml:space="preserve"> et al., 2018; </w:t>
      </w:r>
      <w:proofErr w:type="spellStart"/>
      <w:r w:rsidRPr="00021184">
        <w:rPr>
          <w:rFonts w:ascii="Arial" w:hAnsi="Arial" w:cs="Arial"/>
        </w:rPr>
        <w:t>Majumder</w:t>
      </w:r>
      <w:proofErr w:type="spellEnd"/>
      <w:r w:rsidRPr="00021184">
        <w:rPr>
          <w:rFonts w:ascii="Arial" w:hAnsi="Arial" w:cs="Arial"/>
        </w:rPr>
        <w:t>, 2015). This is because one may reasonably assume that using such language also co-exists with discriminatory treatment and even professional neglect or abuse.</w:t>
      </w:r>
    </w:p>
    <w:p w14:paraId="05DB9F4E" w14:textId="77777777" w:rsidR="00CD75E6" w:rsidRPr="00882953" w:rsidRDefault="00CD75E6" w:rsidP="00CD75E6">
      <w:pPr>
        <w:spacing w:line="276" w:lineRule="auto"/>
        <w:jc w:val="both"/>
        <w:rPr>
          <w:rFonts w:ascii="Arial" w:hAnsi="Arial" w:cs="Arial"/>
        </w:rPr>
      </w:pPr>
    </w:p>
    <w:p w14:paraId="71E89B95" w14:textId="2E80F1E7" w:rsidR="00CD75E6" w:rsidRDefault="00021184" w:rsidP="00CD75E6">
      <w:pPr>
        <w:spacing w:line="276" w:lineRule="auto"/>
        <w:jc w:val="both"/>
        <w:rPr>
          <w:rFonts w:ascii="Arial" w:hAnsi="Arial" w:cs="Arial"/>
        </w:rPr>
      </w:pPr>
      <w:r w:rsidRPr="00021184">
        <w:rPr>
          <w:rFonts w:ascii="Arial" w:hAnsi="Arial" w:cs="Arial"/>
        </w:rPr>
        <w:t>Experts in social work have extensively studied the negative implications of labelling language used towards and when among children in care, highlighting its detrimental effects both immediately and over time. Such language often persists in the short-term memory of affected children, serving as a constant reminder and a trigger for distress during interactions with care professionals (</w:t>
      </w:r>
      <w:proofErr w:type="spellStart"/>
      <w:r w:rsidRPr="00021184">
        <w:rPr>
          <w:rFonts w:ascii="Arial" w:hAnsi="Arial" w:cs="Arial"/>
        </w:rPr>
        <w:t>Schoepflin</w:t>
      </w:r>
      <w:proofErr w:type="spellEnd"/>
      <w:r w:rsidRPr="00021184">
        <w:rPr>
          <w:rFonts w:ascii="Arial" w:hAnsi="Arial" w:cs="Arial"/>
        </w:rPr>
        <w:t>, 2009). The concept of a ‘degradation ceremony’ has been utilised to illustrate a significant issue whereby awareness of a child's placement in care results in the diminishment of their personal value and societal identity, especially when this information is disclosed to multiple individuals (</w:t>
      </w:r>
      <w:proofErr w:type="spellStart"/>
      <w:r w:rsidRPr="00021184">
        <w:rPr>
          <w:rFonts w:ascii="Arial" w:hAnsi="Arial" w:cs="Arial"/>
        </w:rPr>
        <w:t>Schoepflin</w:t>
      </w:r>
      <w:proofErr w:type="spellEnd"/>
      <w:r w:rsidRPr="00021184">
        <w:rPr>
          <w:rFonts w:ascii="Arial" w:hAnsi="Arial" w:cs="Arial"/>
        </w:rPr>
        <w:t xml:space="preserve">, 2009). Awareness of being in care among multiple parties appears deleterious as the emotional and psychological effects of stigma become amplified. This awareness and the dissemination of stigmatising labels extend to educational environments, where children frequently report being interrupted and summoned out of classrooms by social workers for meetings. Such actions foster rumours originating and spread by peers, including discussions not only about their care status but also their mental health, which is perceived as breaches of privacy and an undignified and disrespectful exposure of their personal struggles (Jones et al., 2020; </w:t>
      </w:r>
      <w:proofErr w:type="spellStart"/>
      <w:r w:rsidRPr="00021184">
        <w:rPr>
          <w:rFonts w:ascii="Arial" w:hAnsi="Arial" w:cs="Arial"/>
        </w:rPr>
        <w:t>Mannay</w:t>
      </w:r>
      <w:proofErr w:type="spellEnd"/>
      <w:r w:rsidRPr="00021184">
        <w:rPr>
          <w:rFonts w:ascii="Arial" w:hAnsi="Arial" w:cs="Arial"/>
        </w:rPr>
        <w:t xml:space="preserve"> et al., 2017). Likewise, interviews with children in care have revealed that support </w:t>
      </w:r>
      <w:proofErr w:type="gramStart"/>
      <w:r w:rsidRPr="00021184">
        <w:rPr>
          <w:rFonts w:ascii="Arial" w:hAnsi="Arial" w:cs="Arial"/>
        </w:rPr>
        <w:t>staff sometimes employ</w:t>
      </w:r>
      <w:proofErr w:type="gramEnd"/>
      <w:r w:rsidRPr="00021184">
        <w:rPr>
          <w:rFonts w:ascii="Arial" w:hAnsi="Arial" w:cs="Arial"/>
        </w:rPr>
        <w:t xml:space="preserve"> degrading terms like ‘supervised,’ knowledge of which tends to be shared among peers, leading to social avoidance, ridicule, and stigmatisation by classmates (Jones et al., 2020; </w:t>
      </w:r>
      <w:proofErr w:type="spellStart"/>
      <w:r w:rsidRPr="00021184">
        <w:rPr>
          <w:rFonts w:ascii="Arial" w:hAnsi="Arial" w:cs="Arial"/>
        </w:rPr>
        <w:t>Mannay</w:t>
      </w:r>
      <w:proofErr w:type="spellEnd"/>
      <w:r w:rsidRPr="00021184">
        <w:rPr>
          <w:rFonts w:ascii="Arial" w:hAnsi="Arial" w:cs="Arial"/>
        </w:rPr>
        <w:t xml:space="preserve"> et al., 2017).</w:t>
      </w:r>
    </w:p>
    <w:p w14:paraId="23CCF33A" w14:textId="77777777" w:rsidR="00021184" w:rsidRPr="00882953" w:rsidRDefault="00021184" w:rsidP="00CD75E6">
      <w:pPr>
        <w:spacing w:line="276" w:lineRule="auto"/>
        <w:jc w:val="both"/>
        <w:rPr>
          <w:rFonts w:ascii="Arial" w:hAnsi="Arial" w:cs="Arial"/>
        </w:rPr>
      </w:pPr>
    </w:p>
    <w:p w14:paraId="0469665A" w14:textId="3DA5B04B" w:rsidR="00CD75E6" w:rsidRDefault="00021184" w:rsidP="00CD75E6">
      <w:pPr>
        <w:spacing w:line="276" w:lineRule="auto"/>
        <w:jc w:val="both"/>
        <w:rPr>
          <w:rFonts w:ascii="Arial" w:hAnsi="Arial" w:cs="Arial"/>
        </w:rPr>
      </w:pPr>
      <w:r w:rsidRPr="00021184">
        <w:rPr>
          <w:rFonts w:ascii="Arial" w:hAnsi="Arial" w:cs="Arial"/>
        </w:rPr>
        <w:t xml:space="preserve">Evidence has indicated that educators and social workers sometimes employ language that diminishes the perceived academic potential and career aspirations of children in care, suggesting they face fewer opportunities compared to peers not known to authorities (Cooper, 2011; Jones et al., 2020; </w:t>
      </w:r>
      <w:proofErr w:type="spellStart"/>
      <w:r w:rsidRPr="00021184">
        <w:rPr>
          <w:rFonts w:ascii="Arial" w:hAnsi="Arial" w:cs="Arial"/>
        </w:rPr>
        <w:t>Mannay</w:t>
      </w:r>
      <w:proofErr w:type="spellEnd"/>
      <w:r w:rsidRPr="00021184">
        <w:rPr>
          <w:rFonts w:ascii="Arial" w:hAnsi="Arial" w:cs="Arial"/>
        </w:rPr>
        <w:t xml:space="preserve"> et al., 2017). This seemingly implicates language use as the primitive factor driving potential inequalities in education and employment among children in care. Children </w:t>
      </w:r>
      <w:r w:rsidRPr="00021184">
        <w:rPr>
          <w:rFonts w:ascii="Arial" w:hAnsi="Arial" w:cs="Arial"/>
        </w:rPr>
        <w:lastRenderedPageBreak/>
        <w:t xml:space="preserve">interviewed expressed that such language reflects assumptions and a lack of professionalism, with labels implying intellectual deficits without any substantive evidence (Jones et al., 2020; </w:t>
      </w:r>
      <w:proofErr w:type="spellStart"/>
      <w:r w:rsidRPr="00021184">
        <w:rPr>
          <w:rFonts w:ascii="Arial" w:hAnsi="Arial" w:cs="Arial"/>
        </w:rPr>
        <w:t>Mannay</w:t>
      </w:r>
      <w:proofErr w:type="spellEnd"/>
      <w:r w:rsidRPr="00021184">
        <w:rPr>
          <w:rFonts w:ascii="Arial" w:hAnsi="Arial" w:cs="Arial"/>
        </w:rPr>
        <w:t xml:space="preserve"> et al., 2017).</w:t>
      </w:r>
    </w:p>
    <w:p w14:paraId="1869001F" w14:textId="77777777" w:rsidR="00021184" w:rsidRPr="00882953" w:rsidRDefault="00021184" w:rsidP="00CD75E6">
      <w:pPr>
        <w:spacing w:line="276" w:lineRule="auto"/>
        <w:jc w:val="both"/>
        <w:rPr>
          <w:rFonts w:ascii="Arial" w:hAnsi="Arial" w:cs="Arial"/>
        </w:rPr>
      </w:pPr>
    </w:p>
    <w:p w14:paraId="37221707" w14:textId="0387EDFC" w:rsidR="00CD75E6" w:rsidRDefault="00021184" w:rsidP="00CD75E6">
      <w:pPr>
        <w:spacing w:line="276" w:lineRule="auto"/>
        <w:jc w:val="both"/>
        <w:rPr>
          <w:rFonts w:ascii="Arial" w:hAnsi="Arial" w:cs="Arial"/>
        </w:rPr>
      </w:pPr>
      <w:r w:rsidRPr="00021184">
        <w:rPr>
          <w:rFonts w:ascii="Arial" w:hAnsi="Arial" w:cs="Arial"/>
        </w:rPr>
        <w:t>Examples include terms like ‘stupid’, ‘thick’ and ‘defunct’, which stigmatise children and can lead to emotional and psychological harm (Carey, 2023). Another frequently reported phrase used by social workers and supporting those previously noted has been ‘not as intelligent or independent as I thought’ (Cooper, 2011). While some may consider language to be harmless words, research demonstrates that negative and stigmatising language can significantly affect individuals’ well-being, underscoring the importance of this previous evidence in understanding the current situation and nuances of communication among the professional children’s services (</w:t>
      </w:r>
      <w:proofErr w:type="spellStart"/>
      <w:r w:rsidRPr="00021184">
        <w:rPr>
          <w:rFonts w:ascii="Arial" w:hAnsi="Arial" w:cs="Arial"/>
        </w:rPr>
        <w:t>Savi-Karayol</w:t>
      </w:r>
      <w:proofErr w:type="spellEnd"/>
      <w:r w:rsidRPr="00021184">
        <w:rPr>
          <w:rFonts w:ascii="Arial" w:hAnsi="Arial" w:cs="Arial"/>
        </w:rPr>
        <w:t xml:space="preserve"> et al., 2025). Data shows that labelling children and exposing their care status to others can cause emotional distress, anxiety, and heightened social vigilance, often resulting in social withdrawal and adverse effects, such as loneliness, depression and anxiety (</w:t>
      </w:r>
      <w:proofErr w:type="spellStart"/>
      <w:r w:rsidRPr="00021184">
        <w:rPr>
          <w:rFonts w:ascii="Arial" w:hAnsi="Arial" w:cs="Arial"/>
        </w:rPr>
        <w:t>Savi-Karayol</w:t>
      </w:r>
      <w:proofErr w:type="spellEnd"/>
      <w:r w:rsidRPr="00021184">
        <w:rPr>
          <w:rFonts w:ascii="Arial" w:hAnsi="Arial" w:cs="Arial"/>
        </w:rPr>
        <w:t xml:space="preserve"> et al., 2025). Studies further reveal that when peers become aware of a child’s in-care status, bullying frequently emerges, creating persistent negative memories, fear of the future, and escalating psychological distress (</w:t>
      </w:r>
      <w:proofErr w:type="spellStart"/>
      <w:r w:rsidRPr="00021184">
        <w:rPr>
          <w:rFonts w:ascii="Arial" w:hAnsi="Arial" w:cs="Arial"/>
        </w:rPr>
        <w:t>Dansey</w:t>
      </w:r>
      <w:proofErr w:type="spellEnd"/>
      <w:r w:rsidRPr="00021184">
        <w:rPr>
          <w:rFonts w:ascii="Arial" w:hAnsi="Arial" w:cs="Arial"/>
        </w:rPr>
        <w:t xml:space="preserve"> et al., 2019; </w:t>
      </w:r>
      <w:proofErr w:type="spellStart"/>
      <w:r w:rsidRPr="00021184">
        <w:rPr>
          <w:rFonts w:ascii="Arial" w:hAnsi="Arial" w:cs="Arial"/>
        </w:rPr>
        <w:t>Jarlby</w:t>
      </w:r>
      <w:proofErr w:type="spellEnd"/>
      <w:r w:rsidRPr="00021184">
        <w:rPr>
          <w:rFonts w:ascii="Arial" w:hAnsi="Arial" w:cs="Arial"/>
        </w:rPr>
        <w:t xml:space="preserve"> et al., 2018; Jones et al., 2020). These types of experiences can lead to feelings of worthlessness and hopelessness, potentially leading to mental health issues like depression, and even promoting self-harm and/suicidal ideation (</w:t>
      </w:r>
      <w:proofErr w:type="spellStart"/>
      <w:r w:rsidRPr="00021184">
        <w:rPr>
          <w:rFonts w:ascii="Arial" w:hAnsi="Arial" w:cs="Arial"/>
        </w:rPr>
        <w:t>Dansey</w:t>
      </w:r>
      <w:proofErr w:type="spellEnd"/>
      <w:r w:rsidRPr="00021184">
        <w:rPr>
          <w:rFonts w:ascii="Arial" w:hAnsi="Arial" w:cs="Arial"/>
        </w:rPr>
        <w:t xml:space="preserve"> et al., 2019; Urquhart-Stewart &amp; Wylie, 2021).</w:t>
      </w:r>
    </w:p>
    <w:p w14:paraId="10C18BAE" w14:textId="77777777" w:rsidR="00021184" w:rsidRPr="00882953" w:rsidRDefault="00021184" w:rsidP="00CD75E6">
      <w:pPr>
        <w:spacing w:line="276" w:lineRule="auto"/>
        <w:jc w:val="both"/>
        <w:rPr>
          <w:rFonts w:ascii="Arial" w:hAnsi="Arial" w:cs="Arial"/>
        </w:rPr>
      </w:pPr>
    </w:p>
    <w:p w14:paraId="1DAEF6E7" w14:textId="65C84FA4" w:rsidR="00CD75E6" w:rsidRDefault="00021184" w:rsidP="00CD75E6">
      <w:pPr>
        <w:spacing w:line="276" w:lineRule="auto"/>
        <w:jc w:val="both"/>
        <w:rPr>
          <w:rFonts w:ascii="Arial" w:hAnsi="Arial" w:cs="Arial"/>
        </w:rPr>
      </w:pPr>
      <w:r w:rsidRPr="00021184">
        <w:rPr>
          <w:rFonts w:ascii="Arial" w:hAnsi="Arial" w:cs="Arial"/>
        </w:rPr>
        <w:t xml:space="preserve">Children in care often lack effective coping mechanisms and resilience, which hampers their ability to handle and overcome stress caused by language misuse by care professionals (Sattler &amp; Font, 2018). Even when children attempt to challenge or resist the use of certain terms by social workers, these efforts are frequently fleeting and fail to benefit them or others in care (Carey, 2023; </w:t>
      </w:r>
      <w:proofErr w:type="spellStart"/>
      <w:r w:rsidRPr="00021184">
        <w:rPr>
          <w:rFonts w:ascii="Arial" w:hAnsi="Arial" w:cs="Arial"/>
        </w:rPr>
        <w:t>Mannay</w:t>
      </w:r>
      <w:proofErr w:type="spellEnd"/>
      <w:r w:rsidRPr="00021184">
        <w:rPr>
          <w:rFonts w:ascii="Arial" w:hAnsi="Arial" w:cs="Arial"/>
        </w:rPr>
        <w:t xml:space="preserve"> et al., 2017). One coping strategy used by such children is avoidance, where children hide information about their care status through non-disclosure to assist them in escaping stigma and other sources of stress, such as bullying (Carey, 2023; </w:t>
      </w:r>
      <w:proofErr w:type="spellStart"/>
      <w:r w:rsidRPr="00021184">
        <w:rPr>
          <w:rFonts w:ascii="Arial" w:hAnsi="Arial" w:cs="Arial"/>
        </w:rPr>
        <w:t>Dansey</w:t>
      </w:r>
      <w:proofErr w:type="spellEnd"/>
      <w:r w:rsidRPr="00021184">
        <w:rPr>
          <w:rFonts w:ascii="Arial" w:hAnsi="Arial" w:cs="Arial"/>
        </w:rPr>
        <w:t xml:space="preserve"> et al., 2019; Jones et al., 2020). However, this does little to highlight and address the inappropriate language used by care professionals. The self-protective behaviours that children often use in response to said language have been identified in other interviews with children in care, though the inability to share their issues and offload everyday problems with peers further exacerbates feelings of rumination and negative thoughts, as adverse emotions become internalised (Cooper, 2011; Urquhart-Stewart &amp; Wylie, 2021). As a result, children often become more isolated, lonely, and depressed, yet they rarely take action to challenge the inappropriate language directly with those conveying undermining words and phrases (Jones et al., 2020). While existing research offers valuable insights into the impact of language use by care providers and support workers, it has limitations, particularly because much of it relies on children’s reports. These accounts can sometimes include untruthful or biased responses, raising questions about their validity and the </w:t>
      </w:r>
      <w:r w:rsidRPr="00021184">
        <w:rPr>
          <w:rFonts w:ascii="Arial" w:hAnsi="Arial" w:cs="Arial"/>
        </w:rPr>
        <w:lastRenderedPageBreak/>
        <w:t>usefulness of such evidence for informing practice changes (Sargent &amp; O'Brien, 2004). This underscores the need to explore language, culture, and practices from the perspective of the care providers and support workers in question.</w:t>
      </w:r>
    </w:p>
    <w:p w14:paraId="50A421C4" w14:textId="77777777" w:rsidR="00021184" w:rsidRPr="00882953" w:rsidRDefault="00021184" w:rsidP="00CD75E6">
      <w:pPr>
        <w:spacing w:line="276" w:lineRule="auto"/>
        <w:jc w:val="both"/>
        <w:rPr>
          <w:rFonts w:ascii="Arial" w:hAnsi="Arial" w:cs="Arial"/>
        </w:rPr>
      </w:pPr>
    </w:p>
    <w:p w14:paraId="0A48EE13" w14:textId="25E6CB65" w:rsidR="00CD75E6" w:rsidRPr="00882953" w:rsidRDefault="00021184" w:rsidP="00CD75E6">
      <w:pPr>
        <w:spacing w:line="276" w:lineRule="auto"/>
        <w:jc w:val="both"/>
        <w:rPr>
          <w:rFonts w:ascii="Arial" w:hAnsi="Arial" w:cs="Arial"/>
        </w:rPr>
      </w:pPr>
      <w:r w:rsidRPr="00021184">
        <w:rPr>
          <w:rFonts w:ascii="Arial" w:hAnsi="Arial" w:cs="Arial"/>
        </w:rPr>
        <w:t xml:space="preserve">Notably, an examination of factors linked to poor mental health among ‘looked after children’ found no evidence that problematic or undermining language was a primary risk factor, although such language has been shown elsewhere to negatively influence their psychological wellbeing (Children’s Social Care, 2020; Richards, 2014; </w:t>
      </w:r>
      <w:proofErr w:type="spellStart"/>
      <w:r w:rsidRPr="00021184">
        <w:rPr>
          <w:rFonts w:ascii="Arial" w:hAnsi="Arial" w:cs="Arial"/>
        </w:rPr>
        <w:t>Tanvir</w:t>
      </w:r>
      <w:proofErr w:type="spellEnd"/>
      <w:r w:rsidRPr="00021184">
        <w:rPr>
          <w:rFonts w:ascii="Arial" w:hAnsi="Arial" w:cs="Arial"/>
        </w:rPr>
        <w:t xml:space="preserve"> &amp; </w:t>
      </w:r>
      <w:proofErr w:type="spellStart"/>
      <w:r w:rsidRPr="00021184">
        <w:rPr>
          <w:rFonts w:ascii="Arial" w:hAnsi="Arial" w:cs="Arial"/>
        </w:rPr>
        <w:t>Mitu</w:t>
      </w:r>
      <w:proofErr w:type="spellEnd"/>
      <w:r w:rsidRPr="00021184">
        <w:rPr>
          <w:rFonts w:ascii="Arial" w:hAnsi="Arial" w:cs="Arial"/>
        </w:rPr>
        <w:t>, 2024). This suggests that there has been marked oversight of simple language use and its powerful effects on service users. As a consequence, the negative effects of language on vulnerable children appear to be chronic and this demands, up-to-date research to better understanding the extent and burden of the problem within the context of social work. The British Psychological Society (BPS) recently highlighted how language directed at children in care can adversely affect their experiences, with various demonstrated impacts on physical and mental health, emotional wellbeing, social functioning and life prospects (Jacob-Thomson, 2021). Language has the potential to stigmatise children in care, fostering harmful thoughts and internalisation of negative beliefs, which can lead to unpredictable, aggressive, and violent behaviours. Furthermore, exposure to derogatory language and stigma can shape attitudes towards others and life more broadly, especially over long periods and when communicated outside of supportive environments, such as through mass media. The phrase ‘looked after children’ has faced criticism for implying that these children lack a certain essential quality, suggesting a deficiency that differentiates them from others and may be damaging to societal perceptions (Jacob-Thomson, 2021). Overall, this background review highlights that much of the literature reporting on the nature and impacts of language used towards and around children in care is highly deleterious, but there is a paucity of research to corroborate the findings from the social worker perspective. This may, however, prove challenging in view of social workers, among other support workers, likely avoiding admissions of using aversive language. Despite this, a clear evidence gap exists and one that this proposal seeks to address through the following methods.</w:t>
      </w:r>
    </w:p>
    <w:p w14:paraId="2AE211BD" w14:textId="77777777" w:rsidR="00CD75E6" w:rsidRPr="00882953" w:rsidRDefault="00CD75E6" w:rsidP="00CD75E6">
      <w:pPr>
        <w:spacing w:line="276" w:lineRule="auto"/>
        <w:jc w:val="both"/>
        <w:rPr>
          <w:rFonts w:ascii="Arial" w:hAnsi="Arial" w:cs="Arial"/>
        </w:rPr>
      </w:pPr>
    </w:p>
    <w:p w14:paraId="3DCF5A66" w14:textId="77777777" w:rsidR="00CD75E6" w:rsidRPr="00882953" w:rsidRDefault="00CD75E6" w:rsidP="00CD75E6">
      <w:pPr>
        <w:spacing w:line="276" w:lineRule="auto"/>
        <w:jc w:val="both"/>
        <w:rPr>
          <w:rFonts w:ascii="Arial" w:hAnsi="Arial" w:cs="Arial"/>
          <w:u w:val="single"/>
        </w:rPr>
      </w:pPr>
      <w:r w:rsidRPr="00882953">
        <w:rPr>
          <w:rFonts w:ascii="Arial" w:hAnsi="Arial" w:cs="Arial"/>
          <w:u w:val="single"/>
        </w:rPr>
        <w:t>Proposed Methodology</w:t>
      </w:r>
    </w:p>
    <w:p w14:paraId="56CBD39E" w14:textId="77777777" w:rsidR="00CD75E6" w:rsidRPr="00882953" w:rsidRDefault="00CD75E6" w:rsidP="00CD75E6">
      <w:pPr>
        <w:spacing w:line="276" w:lineRule="auto"/>
        <w:jc w:val="both"/>
        <w:rPr>
          <w:rFonts w:ascii="Arial" w:hAnsi="Arial" w:cs="Arial"/>
        </w:rPr>
      </w:pPr>
    </w:p>
    <w:p w14:paraId="7539BD88" w14:textId="3CBEE799" w:rsidR="00CD75E6" w:rsidRDefault="00021184" w:rsidP="00CD75E6">
      <w:pPr>
        <w:spacing w:line="276" w:lineRule="auto"/>
        <w:jc w:val="both"/>
        <w:rPr>
          <w:rFonts w:ascii="Arial" w:hAnsi="Arial" w:cs="Arial"/>
        </w:rPr>
      </w:pPr>
      <w:r w:rsidRPr="00021184">
        <w:rPr>
          <w:rFonts w:ascii="Arial" w:hAnsi="Arial" w:cs="Arial"/>
        </w:rPr>
        <w:t xml:space="preserve">This study will use a qualitative research approach to explore the experiences and perspectives of a targeted sample of health and social care professionals (Denny &amp; </w:t>
      </w:r>
      <w:proofErr w:type="spellStart"/>
      <w:r w:rsidRPr="00021184">
        <w:rPr>
          <w:rFonts w:ascii="Arial" w:hAnsi="Arial" w:cs="Arial"/>
        </w:rPr>
        <w:t>Weckesser</w:t>
      </w:r>
      <w:proofErr w:type="spellEnd"/>
      <w:r w:rsidRPr="00021184">
        <w:rPr>
          <w:rFonts w:ascii="Arial" w:hAnsi="Arial" w:cs="Arial"/>
        </w:rPr>
        <w:t>, 2022). Qualitative methods allow for the capture of detailed, rich data through interviews, which helps in understanding complex phenomena that are otherwise difficult to quantify or qualify using other means (Watkins, 2012). Indeed, quantitative methods, such as cross-sectional surveys, are more vulnerable to biases with common issues being response bias, non-response bias, and leading questions, which often result in the collection and analysis of unfocused and superficial data (</w:t>
      </w:r>
      <w:proofErr w:type="spellStart"/>
      <w:r w:rsidRPr="00021184">
        <w:rPr>
          <w:rFonts w:ascii="Arial" w:hAnsi="Arial" w:cs="Arial"/>
        </w:rPr>
        <w:t>Ayorinde</w:t>
      </w:r>
      <w:proofErr w:type="spellEnd"/>
      <w:r w:rsidRPr="00021184">
        <w:rPr>
          <w:rFonts w:ascii="Arial" w:hAnsi="Arial" w:cs="Arial"/>
        </w:rPr>
        <w:t xml:space="preserve"> et al., 2020). Therefore, a qualitative design was essential </w:t>
      </w:r>
      <w:r w:rsidRPr="00021184">
        <w:rPr>
          <w:rFonts w:ascii="Arial" w:hAnsi="Arial" w:cs="Arial"/>
        </w:rPr>
        <w:lastRenderedPageBreak/>
        <w:t>to fill the research gap and generate insights for future studies and practices concerning language use (Flick, 2019).</w:t>
      </w:r>
    </w:p>
    <w:p w14:paraId="23580112" w14:textId="77777777" w:rsidR="00021184" w:rsidRPr="00882953" w:rsidRDefault="00021184" w:rsidP="00CD75E6">
      <w:pPr>
        <w:spacing w:line="276" w:lineRule="auto"/>
        <w:jc w:val="both"/>
        <w:rPr>
          <w:rFonts w:ascii="Arial" w:hAnsi="Arial" w:cs="Arial"/>
        </w:rPr>
      </w:pPr>
    </w:p>
    <w:p w14:paraId="15D6F376" w14:textId="497F3E82" w:rsidR="00CD75E6" w:rsidRDefault="00021184" w:rsidP="00CD75E6">
      <w:pPr>
        <w:spacing w:line="276" w:lineRule="auto"/>
        <w:jc w:val="both"/>
        <w:rPr>
          <w:rFonts w:ascii="Arial" w:hAnsi="Arial" w:cs="Arial"/>
        </w:rPr>
      </w:pPr>
      <w:r w:rsidRPr="00021184">
        <w:rPr>
          <w:rFonts w:ascii="Arial" w:hAnsi="Arial" w:cs="Arial"/>
        </w:rPr>
        <w:t>The study will be based on an interpretive and constructivist paradigm rooted in phenomenology, aiming to explore participants’ experiences deeply and meaningfully (</w:t>
      </w:r>
      <w:proofErr w:type="spellStart"/>
      <w:r w:rsidRPr="00021184">
        <w:rPr>
          <w:rFonts w:ascii="Arial" w:hAnsi="Arial" w:cs="Arial"/>
        </w:rPr>
        <w:t>Sundler</w:t>
      </w:r>
      <w:proofErr w:type="spellEnd"/>
      <w:r w:rsidRPr="00021184">
        <w:rPr>
          <w:rFonts w:ascii="Arial" w:hAnsi="Arial" w:cs="Arial"/>
        </w:rPr>
        <w:t xml:space="preserve"> et al., 2019). This approach will be suitable for examining how language is used in routine practice, as well as its origins, and perceived effects on service users and support/care delivery. Phenomenology promotes focus on lived experiences and their meanings, while </w:t>
      </w:r>
      <w:proofErr w:type="spellStart"/>
      <w:r w:rsidRPr="00021184">
        <w:rPr>
          <w:rFonts w:ascii="Arial" w:hAnsi="Arial" w:cs="Arial"/>
        </w:rPr>
        <w:t>interpretivist</w:t>
      </w:r>
      <w:proofErr w:type="spellEnd"/>
      <w:r w:rsidRPr="00021184">
        <w:rPr>
          <w:rFonts w:ascii="Arial" w:hAnsi="Arial" w:cs="Arial"/>
        </w:rPr>
        <w:t xml:space="preserve"> and constructivist principles recognise that experiences are subjective and socially constructed (Burns et al., 2022; </w:t>
      </w:r>
      <w:proofErr w:type="spellStart"/>
      <w:r w:rsidRPr="00021184">
        <w:rPr>
          <w:rFonts w:ascii="Arial" w:hAnsi="Arial" w:cs="Arial"/>
        </w:rPr>
        <w:t>Sundler</w:t>
      </w:r>
      <w:proofErr w:type="spellEnd"/>
      <w:r w:rsidRPr="00021184">
        <w:rPr>
          <w:rFonts w:ascii="Arial" w:hAnsi="Arial" w:cs="Arial"/>
        </w:rPr>
        <w:t xml:space="preserve"> et al., 2019). This framework will therefore enable the discovery of insights regarding language use within the context of society, helping to understand the broad impacts of language use and its consequences for children in care (Flick, 2019).</w:t>
      </w:r>
    </w:p>
    <w:p w14:paraId="318DD705" w14:textId="77777777" w:rsidR="00021184" w:rsidRPr="00882953" w:rsidRDefault="00021184" w:rsidP="00CD75E6">
      <w:pPr>
        <w:spacing w:line="276" w:lineRule="auto"/>
        <w:jc w:val="both"/>
        <w:rPr>
          <w:rFonts w:ascii="Arial" w:hAnsi="Arial" w:cs="Arial"/>
        </w:rPr>
      </w:pPr>
    </w:p>
    <w:p w14:paraId="1B9389E0" w14:textId="35AABEC4" w:rsidR="00CD75E6" w:rsidRDefault="00021184" w:rsidP="00CD75E6">
      <w:pPr>
        <w:spacing w:line="276" w:lineRule="auto"/>
        <w:jc w:val="both"/>
        <w:rPr>
          <w:rFonts w:ascii="Arial" w:hAnsi="Arial" w:cs="Arial"/>
        </w:rPr>
      </w:pPr>
      <w:r w:rsidRPr="00021184">
        <w:rPr>
          <w:rFonts w:ascii="Arial" w:hAnsi="Arial" w:cs="Arial"/>
        </w:rPr>
        <w:t>Other qualitative methods, such as ethnography and grounded theory, were considered but were deemed less appropriate for addressing the evidence gap. Ethnography focuses on observing behaviours and social interactions over long periods, which was not feasible in light of time constraints (Reeves et al., 2008). Grounded theory aims to develop new theories, while this study focused on understanding lived experiences without developing theory, rather aiming to describe the findings without pre-defined frameworks or biases (Chun Tie et al., 2019). Therefore, the chosen paradigm will keep the research focused on subjective experiences, while accounting for social phenomena and context.</w:t>
      </w:r>
    </w:p>
    <w:p w14:paraId="726541D0" w14:textId="77777777" w:rsidR="00021184" w:rsidRPr="00882953" w:rsidRDefault="00021184" w:rsidP="00CD75E6">
      <w:pPr>
        <w:spacing w:line="276" w:lineRule="auto"/>
        <w:jc w:val="both"/>
        <w:rPr>
          <w:rFonts w:ascii="Arial" w:hAnsi="Arial" w:cs="Arial"/>
        </w:rPr>
      </w:pPr>
    </w:p>
    <w:p w14:paraId="26F2551F" w14:textId="75D61F78" w:rsidR="00CD75E6" w:rsidRDefault="00021184" w:rsidP="00CD75E6">
      <w:pPr>
        <w:spacing w:line="276" w:lineRule="auto"/>
        <w:jc w:val="both"/>
        <w:rPr>
          <w:rFonts w:ascii="Arial" w:hAnsi="Arial" w:cs="Arial"/>
        </w:rPr>
      </w:pPr>
      <w:r w:rsidRPr="00021184">
        <w:rPr>
          <w:rFonts w:ascii="Arial" w:hAnsi="Arial" w:cs="Arial"/>
        </w:rPr>
        <w:t>Participants eligible for inclusion in the study will be registered health and social care professionals in England, UK. A purposive sampling method will be used to recruit individuals, seeking to selectively identify and invite those capable of providing rich data (Andrade, 2021). The participants are known to the researcher in a professional capacity, and these will be invited directly into the study but without coercion to avoid issues related to consent. This study will involve 8–12 participants, which is a suitable sample size for phenomenological studies (</w:t>
      </w:r>
      <w:proofErr w:type="spellStart"/>
      <w:r w:rsidRPr="00021184">
        <w:rPr>
          <w:rFonts w:ascii="Arial" w:hAnsi="Arial" w:cs="Arial"/>
        </w:rPr>
        <w:t>Vasileiou</w:t>
      </w:r>
      <w:proofErr w:type="spellEnd"/>
      <w:r w:rsidRPr="00021184">
        <w:rPr>
          <w:rFonts w:ascii="Arial" w:hAnsi="Arial" w:cs="Arial"/>
        </w:rPr>
        <w:t xml:space="preserve"> et al., 2018). The participants will all have sufficient experience and regular contact with children with mental health challenges. Data saturation is being targeted, so all of the themes or insights will need to be uncovered in the proposed study (Saunders et al., 2017).</w:t>
      </w:r>
    </w:p>
    <w:p w14:paraId="32823189" w14:textId="77777777" w:rsidR="00021184" w:rsidRPr="00882953" w:rsidRDefault="00021184" w:rsidP="00CD75E6">
      <w:pPr>
        <w:spacing w:line="276" w:lineRule="auto"/>
        <w:jc w:val="both"/>
        <w:rPr>
          <w:rFonts w:ascii="Arial" w:hAnsi="Arial" w:cs="Arial"/>
        </w:rPr>
      </w:pPr>
    </w:p>
    <w:p w14:paraId="70432303" w14:textId="48F56950" w:rsidR="00CD75E6" w:rsidRDefault="00021184" w:rsidP="00CD75E6">
      <w:pPr>
        <w:spacing w:line="276" w:lineRule="auto"/>
        <w:jc w:val="both"/>
        <w:rPr>
          <w:rFonts w:ascii="Arial" w:hAnsi="Arial" w:cs="Arial"/>
        </w:rPr>
      </w:pPr>
      <w:r w:rsidRPr="00021184">
        <w:rPr>
          <w:rFonts w:ascii="Arial" w:hAnsi="Arial" w:cs="Arial"/>
        </w:rPr>
        <w:t>Data will be gathered through a series of individual semi-structured interviews conducted remotely via Microsoft Teams. This method blends a guided framework with adaptable questions, allowing for the thorough exploration of topics while ensuring consistency across sessions (</w:t>
      </w:r>
      <w:proofErr w:type="spellStart"/>
      <w:r w:rsidRPr="00021184">
        <w:rPr>
          <w:rFonts w:ascii="Arial" w:hAnsi="Arial" w:cs="Arial"/>
        </w:rPr>
        <w:t>Gray</w:t>
      </w:r>
      <w:proofErr w:type="spellEnd"/>
      <w:r w:rsidRPr="00021184">
        <w:rPr>
          <w:rFonts w:ascii="Arial" w:hAnsi="Arial" w:cs="Arial"/>
        </w:rPr>
        <w:t xml:space="preserve">, 2017). A standardised topic guide will be developed to ensure comprehensive coverage of relevant areas. Both open-ended and closed questions will be employed to elicit detailed and meaningful responses. Each interview will be limited to approximately 45–60 minutes to balance depth of inquiry against participant convenience and time restrictions. All sessions </w:t>
      </w:r>
      <w:r w:rsidRPr="00021184">
        <w:rPr>
          <w:rFonts w:ascii="Arial" w:hAnsi="Arial" w:cs="Arial"/>
        </w:rPr>
        <w:lastRenderedPageBreak/>
        <w:t xml:space="preserve">will be audio-recorded and transcribed verbatim using transcription software to guarantee accuracy. The resulting transcripts will form the foundation for a thematic analysis within a phenomenological, </w:t>
      </w:r>
      <w:proofErr w:type="spellStart"/>
      <w:r w:rsidRPr="00021184">
        <w:rPr>
          <w:rFonts w:ascii="Arial" w:hAnsi="Arial" w:cs="Arial"/>
        </w:rPr>
        <w:t>interpretivist</w:t>
      </w:r>
      <w:proofErr w:type="spellEnd"/>
      <w:r w:rsidRPr="00021184">
        <w:rPr>
          <w:rFonts w:ascii="Arial" w:hAnsi="Arial" w:cs="Arial"/>
        </w:rPr>
        <w:t>, and constructivist context. This analytical approach will be used for its systematic yet flexible capacity to identify recurring patterns and themes (</w:t>
      </w:r>
      <w:proofErr w:type="spellStart"/>
      <w:r w:rsidRPr="00021184">
        <w:rPr>
          <w:rFonts w:ascii="Arial" w:hAnsi="Arial" w:cs="Arial"/>
        </w:rPr>
        <w:t>Nowell</w:t>
      </w:r>
      <w:proofErr w:type="spellEnd"/>
      <w:r w:rsidRPr="00021184">
        <w:rPr>
          <w:rFonts w:ascii="Arial" w:hAnsi="Arial" w:cs="Arial"/>
        </w:rPr>
        <w:t xml:space="preserve"> et al., 2017).</w:t>
      </w:r>
    </w:p>
    <w:p w14:paraId="09D5EE6B" w14:textId="77777777" w:rsidR="00021184" w:rsidRPr="00882953" w:rsidRDefault="00021184" w:rsidP="00CD75E6">
      <w:pPr>
        <w:spacing w:line="276" w:lineRule="auto"/>
        <w:jc w:val="both"/>
        <w:rPr>
          <w:rFonts w:ascii="Arial" w:hAnsi="Arial" w:cs="Arial"/>
        </w:rPr>
      </w:pPr>
    </w:p>
    <w:p w14:paraId="3FDC9987" w14:textId="742D32F1" w:rsidR="00CD75E6" w:rsidRPr="00882953" w:rsidRDefault="00021184" w:rsidP="00CD75E6">
      <w:pPr>
        <w:spacing w:line="276" w:lineRule="auto"/>
        <w:jc w:val="both"/>
        <w:rPr>
          <w:rFonts w:ascii="Arial" w:hAnsi="Arial" w:cs="Arial"/>
        </w:rPr>
      </w:pPr>
      <w:r w:rsidRPr="00021184">
        <w:rPr>
          <w:rFonts w:ascii="Arial" w:hAnsi="Arial" w:cs="Arial"/>
        </w:rPr>
        <w:t xml:space="preserve">The thematic analysis was conducted following Braun and Clarke (2013) six-phase approach, which will included becoming familiar with the data, generating initial codes, developing preliminary themes, reviewing and refining these themes, finalising them, and presenting the results with descriptive labels, detailed explanations, and participant quotations. </w:t>
      </w:r>
      <w:proofErr w:type="spellStart"/>
      <w:r w:rsidRPr="00021184">
        <w:rPr>
          <w:rFonts w:ascii="Arial" w:hAnsi="Arial" w:cs="Arial"/>
        </w:rPr>
        <w:t>NVivo</w:t>
      </w:r>
      <w:proofErr w:type="spellEnd"/>
      <w:r w:rsidRPr="00021184">
        <w:rPr>
          <w:rFonts w:ascii="Arial" w:hAnsi="Arial" w:cs="Arial"/>
        </w:rPr>
        <w:t xml:space="preserve"> software may be used to support data management and organisation, enhancing both efficiency and precision (</w:t>
      </w:r>
      <w:proofErr w:type="spellStart"/>
      <w:r w:rsidRPr="00021184">
        <w:rPr>
          <w:rFonts w:ascii="Arial" w:hAnsi="Arial" w:cs="Arial"/>
        </w:rPr>
        <w:t>Zamawe</w:t>
      </w:r>
      <w:proofErr w:type="spellEnd"/>
      <w:r w:rsidRPr="00021184">
        <w:rPr>
          <w:rFonts w:ascii="Arial" w:hAnsi="Arial" w:cs="Arial"/>
        </w:rPr>
        <w:t>, 2015). To bolster trustworthiness and counter common critiques of qualitative research, measures will be implemented to improve credibility, dependability, and confirmability (Ahmed, 2024). Since the study is exploratory in nature, transferability will not be prioritised. Credibility and dependability could be reinforced by engaging an external researcher to examine the coding and themes, thereby minimising potential bias (Noble &amp; Smith, 2015); however, this will not be undertaken in the proposed study as the analysis will be conducted solely by the author in line with academic requirements for independent work (University of Wales Trinity Saint David, 2023). Finally, reflexive practices will be applied via a reflective journal to identify and address researcher biases throughout the process (Dodgson, 2019).</w:t>
      </w:r>
    </w:p>
    <w:p w14:paraId="0CFAB3DA" w14:textId="77777777" w:rsidR="00CD75E6" w:rsidRPr="00882953" w:rsidRDefault="00CD75E6" w:rsidP="00CD75E6">
      <w:pPr>
        <w:spacing w:line="276" w:lineRule="auto"/>
        <w:jc w:val="both"/>
        <w:rPr>
          <w:rFonts w:ascii="Arial" w:hAnsi="Arial" w:cs="Arial"/>
        </w:rPr>
      </w:pPr>
    </w:p>
    <w:p w14:paraId="08D26394" w14:textId="77777777" w:rsidR="00CD75E6" w:rsidRPr="00882953" w:rsidRDefault="00CD75E6" w:rsidP="00CD75E6">
      <w:pPr>
        <w:spacing w:line="276" w:lineRule="auto"/>
        <w:jc w:val="both"/>
        <w:rPr>
          <w:rFonts w:ascii="Arial" w:hAnsi="Arial" w:cs="Arial"/>
          <w:u w:val="single"/>
        </w:rPr>
      </w:pPr>
      <w:r w:rsidRPr="00882953">
        <w:rPr>
          <w:rFonts w:ascii="Arial" w:hAnsi="Arial" w:cs="Arial"/>
          <w:u w:val="single"/>
        </w:rPr>
        <w:t>Ethical Considerations</w:t>
      </w:r>
    </w:p>
    <w:p w14:paraId="0A42CCC8" w14:textId="77777777" w:rsidR="00CD75E6" w:rsidRPr="00882953" w:rsidRDefault="00CD75E6" w:rsidP="00CD75E6">
      <w:pPr>
        <w:spacing w:line="276" w:lineRule="auto"/>
        <w:jc w:val="both"/>
        <w:rPr>
          <w:rFonts w:ascii="Arial" w:hAnsi="Arial" w:cs="Arial"/>
        </w:rPr>
      </w:pPr>
    </w:p>
    <w:p w14:paraId="3FB6C7FC" w14:textId="47B60264" w:rsidR="00CD75E6" w:rsidRPr="00882953" w:rsidRDefault="00CB17B7" w:rsidP="00CD75E6">
      <w:pPr>
        <w:spacing w:line="276" w:lineRule="auto"/>
        <w:jc w:val="both"/>
        <w:rPr>
          <w:rFonts w:ascii="Arial" w:hAnsi="Arial" w:cs="Arial"/>
        </w:rPr>
      </w:pPr>
      <w:r w:rsidRPr="00CB17B7">
        <w:rPr>
          <w:rFonts w:ascii="Arial" w:hAnsi="Arial" w:cs="Arial"/>
        </w:rPr>
        <w:t xml:space="preserve">As the research will involve interviews with human subjects, ethical approval will be requested and the study will not be able to commence until this has been formally approved. To support the approval process, this proposal document will be used to provide the ethics committee with the information needed to make a decision about approval. The investigator will follow the ethical principles set out in the Declaration of Helsinki (World Medical Association, 2018) and the standards of best research practice published by the Medical Research Council (UKRI, 2025). Following these codes will ensure the research study remains upholding of the rights and wellbeing of the participants and to ensure the processes comply with legislation. The pertinent ethical issues arising in qualitative research of the proposed approach include consent, confidentiality, supporting the rights and wellbeing of subjects, and data protection. To attain and achieve a valid consent process, the participants will be provided with information sheets and asked to read these in detail before signing and dating consent forms. The information sheets will contain information regarding the study background and purpose, the proposed methods and expectations of involvement for participants, and how data and information will be stored and handled securely and in confidence. Such information will support an informed consenting process, allowing participants the insight and time needed to make a </w:t>
      </w:r>
      <w:r w:rsidRPr="00CB17B7">
        <w:rPr>
          <w:rFonts w:ascii="Arial" w:hAnsi="Arial" w:cs="Arial"/>
        </w:rPr>
        <w:lastRenderedPageBreak/>
        <w:t>decision to participate or not. Only participants who sign the consent forms in full will be eligible to participate in the interviews. To maintain the validity of the consent for each subject, the investigator will make no attempts to pressure or coerce participation at any time point.</w:t>
      </w:r>
    </w:p>
    <w:p w14:paraId="6222D248" w14:textId="77777777" w:rsidR="00CD75E6" w:rsidRPr="00882953" w:rsidRDefault="00CD75E6" w:rsidP="00CD75E6">
      <w:pPr>
        <w:spacing w:line="276" w:lineRule="auto"/>
        <w:jc w:val="both"/>
        <w:rPr>
          <w:rFonts w:ascii="Arial" w:hAnsi="Arial" w:cs="Arial"/>
        </w:rPr>
      </w:pPr>
    </w:p>
    <w:p w14:paraId="39EB7E5D" w14:textId="77777777" w:rsidR="00BA3B9A" w:rsidRDefault="00CD75E6" w:rsidP="00CD75E6">
      <w:pPr>
        <w:spacing w:line="276" w:lineRule="auto"/>
        <w:jc w:val="both"/>
        <w:rPr>
          <w:rFonts w:ascii="Arial" w:hAnsi="Arial" w:cs="Arial"/>
        </w:rPr>
      </w:pPr>
      <w:r w:rsidRPr="00882953">
        <w:rPr>
          <w:rFonts w:ascii="Arial" w:hAnsi="Arial" w:cs="Arial"/>
        </w:rPr>
        <w:t xml:space="preserve">In regard to confidentiality, the identifiable details of participants, such as names and contact </w:t>
      </w:r>
      <w:proofErr w:type="gramStart"/>
      <w:r w:rsidRPr="00882953">
        <w:rPr>
          <w:rFonts w:ascii="Arial" w:hAnsi="Arial" w:cs="Arial"/>
        </w:rPr>
        <w:t>details,</w:t>
      </w:r>
      <w:proofErr w:type="gramEnd"/>
      <w:r w:rsidRPr="00882953">
        <w:rPr>
          <w:rFonts w:ascii="Arial" w:hAnsi="Arial" w:cs="Arial"/>
        </w:rPr>
        <w:t xml:space="preserve"> will not be collected or some elements will be retained securely for a transient period of time. The latter is required to permit member checking</w:t>
      </w:r>
      <w:r w:rsidR="005A0BEF" w:rsidRPr="00882953">
        <w:rPr>
          <w:rFonts w:ascii="Arial" w:hAnsi="Arial" w:cs="Arial"/>
        </w:rPr>
        <w:t xml:space="preserve"> (</w:t>
      </w:r>
      <w:proofErr w:type="spellStart"/>
      <w:r w:rsidR="005A0BEF" w:rsidRPr="00882953">
        <w:rPr>
          <w:rFonts w:ascii="Arial" w:hAnsi="Arial" w:cs="Arial"/>
        </w:rPr>
        <w:t>Birt</w:t>
      </w:r>
      <w:proofErr w:type="spellEnd"/>
      <w:r w:rsidR="005A0BEF" w:rsidRPr="00882953">
        <w:rPr>
          <w:rFonts w:ascii="Arial" w:hAnsi="Arial" w:cs="Arial"/>
        </w:rPr>
        <w:t xml:space="preserve"> et al., 2016)</w:t>
      </w:r>
      <w:r w:rsidRPr="00882953">
        <w:rPr>
          <w:rFonts w:ascii="Arial" w:hAnsi="Arial" w:cs="Arial"/>
        </w:rPr>
        <w:t xml:space="preserve">, but thereafter, its completion, the personal information will be destroyed. The participants will then be assigned numerical codes to permit tracing of responses to a transcript identification number. The rights and wellbeing of subjects will be upheld through conveying the rights to withdraw from the study at any time. In addition, participants will be offered interviews at their convenience, encouraging engagement and accurate and truthful responses. Moreover, as the discussions during interviews may elevate stress in some cases due to the nature of supporting children in care, the interviewer will offer direct support and convey empathy. In addition, they will be signposted to formal support services in the community such distress appear more alarming or significant. Finally, the research data will be stored using </w:t>
      </w:r>
      <w:r w:rsidR="00B91326" w:rsidRPr="00882953">
        <w:rPr>
          <w:rFonts w:ascii="Arial" w:hAnsi="Arial" w:cs="Arial"/>
        </w:rPr>
        <w:t xml:space="preserve">password protected </w:t>
      </w:r>
      <w:r w:rsidRPr="00882953">
        <w:rPr>
          <w:rFonts w:ascii="Arial" w:hAnsi="Arial" w:cs="Arial"/>
        </w:rPr>
        <w:t xml:space="preserve">encrypted devices and this will also enable data backup and retrieval in the unexpected instance of data loss or corruption. All data will be handled in accordance with General Data Protection </w:t>
      </w:r>
      <w:r w:rsidR="00CB17B7" w:rsidRPr="00CB17B7">
        <w:rPr>
          <w:rFonts w:ascii="Arial" w:hAnsi="Arial" w:cs="Arial"/>
        </w:rPr>
        <w:t>Regulations (GDPR, 2025).</w:t>
      </w:r>
    </w:p>
    <w:p w14:paraId="43BED486" w14:textId="77777777" w:rsidR="00BA3B9A" w:rsidRDefault="00BA3B9A" w:rsidP="00CD75E6">
      <w:pPr>
        <w:spacing w:line="276" w:lineRule="auto"/>
        <w:jc w:val="both"/>
        <w:rPr>
          <w:rFonts w:ascii="Arial" w:hAnsi="Arial" w:cs="Arial"/>
        </w:rPr>
      </w:pPr>
    </w:p>
    <w:p w14:paraId="2B491B16" w14:textId="77777777" w:rsidR="00BA3B9A" w:rsidRDefault="00BA3B9A" w:rsidP="00BA3B9A">
      <w:pPr>
        <w:pStyle w:val="EndNoteBibliographyTitle"/>
        <w:jc w:val="both"/>
        <w:rPr>
          <w:rFonts w:ascii="Arial" w:hAnsi="Arial" w:cs="Arial"/>
          <w:noProof/>
          <w:u w:val="single"/>
        </w:rPr>
      </w:pPr>
    </w:p>
    <w:p w14:paraId="2EA0E71F" w14:textId="77777777" w:rsidR="00BA3B9A" w:rsidRDefault="00BA3B9A" w:rsidP="00BA3B9A">
      <w:pPr>
        <w:pStyle w:val="EndNoteBibliographyTitle"/>
        <w:jc w:val="both"/>
        <w:rPr>
          <w:rFonts w:ascii="Arial" w:hAnsi="Arial" w:cs="Arial"/>
          <w:noProof/>
          <w:u w:val="single"/>
        </w:rPr>
      </w:pPr>
    </w:p>
    <w:p w14:paraId="6DCF58B7" w14:textId="77777777" w:rsidR="00BA3B9A" w:rsidRDefault="00BA3B9A" w:rsidP="00BA3B9A">
      <w:pPr>
        <w:pStyle w:val="EndNoteBibliographyTitle"/>
        <w:jc w:val="both"/>
        <w:rPr>
          <w:rFonts w:ascii="Arial" w:hAnsi="Arial" w:cs="Arial"/>
          <w:noProof/>
          <w:u w:val="single"/>
        </w:rPr>
      </w:pPr>
    </w:p>
    <w:p w14:paraId="468B571F" w14:textId="77777777" w:rsidR="00BA3B9A" w:rsidRDefault="00BA3B9A" w:rsidP="00BA3B9A">
      <w:pPr>
        <w:pStyle w:val="EndNoteBibliographyTitle"/>
        <w:jc w:val="both"/>
        <w:rPr>
          <w:rFonts w:ascii="Arial" w:hAnsi="Arial" w:cs="Arial"/>
          <w:noProof/>
          <w:u w:val="single"/>
        </w:rPr>
      </w:pPr>
    </w:p>
    <w:p w14:paraId="6A9A16CD" w14:textId="77777777" w:rsidR="00BA3B9A" w:rsidRDefault="00BA3B9A" w:rsidP="00BA3B9A">
      <w:pPr>
        <w:pStyle w:val="EndNoteBibliographyTitle"/>
        <w:jc w:val="both"/>
        <w:rPr>
          <w:rFonts w:ascii="Arial" w:hAnsi="Arial" w:cs="Arial"/>
          <w:noProof/>
          <w:u w:val="single"/>
        </w:rPr>
      </w:pPr>
    </w:p>
    <w:p w14:paraId="3469AECF" w14:textId="77777777" w:rsidR="00BA3B9A" w:rsidRDefault="00BA3B9A" w:rsidP="00BA3B9A">
      <w:pPr>
        <w:pStyle w:val="EndNoteBibliographyTitle"/>
        <w:jc w:val="both"/>
        <w:rPr>
          <w:rFonts w:ascii="Arial" w:hAnsi="Arial" w:cs="Arial"/>
          <w:noProof/>
          <w:u w:val="single"/>
        </w:rPr>
      </w:pPr>
    </w:p>
    <w:p w14:paraId="55640A19" w14:textId="77777777" w:rsidR="00BA3B9A" w:rsidRDefault="00BA3B9A" w:rsidP="00BA3B9A">
      <w:pPr>
        <w:pStyle w:val="EndNoteBibliographyTitle"/>
        <w:jc w:val="both"/>
        <w:rPr>
          <w:rFonts w:ascii="Arial" w:hAnsi="Arial" w:cs="Arial"/>
          <w:noProof/>
          <w:u w:val="single"/>
        </w:rPr>
      </w:pPr>
    </w:p>
    <w:p w14:paraId="79E4452F" w14:textId="77777777" w:rsidR="00BA3B9A" w:rsidRDefault="00BA3B9A" w:rsidP="00BA3B9A">
      <w:pPr>
        <w:pStyle w:val="EndNoteBibliographyTitle"/>
        <w:jc w:val="both"/>
        <w:rPr>
          <w:rFonts w:ascii="Arial" w:hAnsi="Arial" w:cs="Arial"/>
          <w:noProof/>
          <w:u w:val="single"/>
        </w:rPr>
      </w:pPr>
    </w:p>
    <w:p w14:paraId="453F0FB0" w14:textId="77777777" w:rsidR="00BA3B9A" w:rsidRDefault="00BA3B9A" w:rsidP="00BA3B9A">
      <w:pPr>
        <w:pStyle w:val="EndNoteBibliographyTitle"/>
        <w:jc w:val="both"/>
        <w:rPr>
          <w:rFonts w:ascii="Arial" w:hAnsi="Arial" w:cs="Arial"/>
          <w:noProof/>
          <w:u w:val="single"/>
        </w:rPr>
      </w:pPr>
    </w:p>
    <w:p w14:paraId="1F49B745" w14:textId="77777777" w:rsidR="00BA3B9A" w:rsidRDefault="00BA3B9A" w:rsidP="00BA3B9A">
      <w:pPr>
        <w:pStyle w:val="EndNoteBibliographyTitle"/>
        <w:jc w:val="both"/>
        <w:rPr>
          <w:rFonts w:ascii="Arial" w:hAnsi="Arial" w:cs="Arial"/>
          <w:noProof/>
          <w:u w:val="single"/>
        </w:rPr>
      </w:pPr>
    </w:p>
    <w:p w14:paraId="6A088DDB" w14:textId="77777777" w:rsidR="00BA3B9A" w:rsidRDefault="00BA3B9A" w:rsidP="00BA3B9A">
      <w:pPr>
        <w:pStyle w:val="EndNoteBibliographyTitle"/>
        <w:jc w:val="both"/>
        <w:rPr>
          <w:rFonts w:ascii="Arial" w:hAnsi="Arial" w:cs="Arial"/>
          <w:noProof/>
          <w:u w:val="single"/>
        </w:rPr>
      </w:pPr>
    </w:p>
    <w:p w14:paraId="653708D0" w14:textId="77777777" w:rsidR="00BA3B9A" w:rsidRDefault="00BA3B9A" w:rsidP="00BA3B9A">
      <w:pPr>
        <w:pStyle w:val="EndNoteBibliographyTitle"/>
        <w:jc w:val="both"/>
        <w:rPr>
          <w:rFonts w:ascii="Arial" w:hAnsi="Arial" w:cs="Arial"/>
          <w:noProof/>
          <w:u w:val="single"/>
        </w:rPr>
      </w:pPr>
    </w:p>
    <w:p w14:paraId="0B59EFE1" w14:textId="77777777" w:rsidR="00BA3B9A" w:rsidRDefault="00BA3B9A" w:rsidP="00BA3B9A">
      <w:pPr>
        <w:pStyle w:val="EndNoteBibliographyTitle"/>
        <w:jc w:val="both"/>
        <w:rPr>
          <w:rFonts w:ascii="Arial" w:hAnsi="Arial" w:cs="Arial"/>
          <w:noProof/>
          <w:u w:val="single"/>
        </w:rPr>
      </w:pPr>
    </w:p>
    <w:p w14:paraId="145435D3" w14:textId="77777777" w:rsidR="00BA3B9A" w:rsidRDefault="00BA3B9A" w:rsidP="00BA3B9A">
      <w:pPr>
        <w:pStyle w:val="EndNoteBibliographyTitle"/>
        <w:jc w:val="both"/>
        <w:rPr>
          <w:rFonts w:ascii="Arial" w:hAnsi="Arial" w:cs="Arial"/>
          <w:noProof/>
          <w:u w:val="single"/>
        </w:rPr>
      </w:pPr>
    </w:p>
    <w:p w14:paraId="7DA1A422" w14:textId="77777777" w:rsidR="00BA3B9A" w:rsidRDefault="00BA3B9A" w:rsidP="00BA3B9A">
      <w:pPr>
        <w:pStyle w:val="EndNoteBibliographyTitle"/>
        <w:jc w:val="both"/>
        <w:rPr>
          <w:rFonts w:ascii="Arial" w:hAnsi="Arial" w:cs="Arial"/>
          <w:noProof/>
          <w:u w:val="single"/>
        </w:rPr>
      </w:pPr>
    </w:p>
    <w:p w14:paraId="3D22AD4E" w14:textId="77777777" w:rsidR="00BA3B9A" w:rsidRDefault="00BA3B9A" w:rsidP="00BA3B9A">
      <w:pPr>
        <w:pStyle w:val="EndNoteBibliographyTitle"/>
        <w:jc w:val="both"/>
        <w:rPr>
          <w:rFonts w:ascii="Arial" w:hAnsi="Arial" w:cs="Arial"/>
          <w:noProof/>
          <w:u w:val="single"/>
        </w:rPr>
      </w:pPr>
    </w:p>
    <w:p w14:paraId="765F5409" w14:textId="77777777" w:rsidR="00BA3B9A" w:rsidRDefault="00BA3B9A" w:rsidP="00BA3B9A">
      <w:pPr>
        <w:pStyle w:val="EndNoteBibliographyTitle"/>
        <w:jc w:val="both"/>
        <w:rPr>
          <w:rFonts w:ascii="Arial" w:hAnsi="Arial" w:cs="Arial"/>
          <w:noProof/>
          <w:u w:val="single"/>
        </w:rPr>
      </w:pPr>
    </w:p>
    <w:p w14:paraId="4227E125" w14:textId="77777777" w:rsidR="00BA3B9A" w:rsidRDefault="00BA3B9A" w:rsidP="00BA3B9A">
      <w:pPr>
        <w:pStyle w:val="EndNoteBibliographyTitle"/>
        <w:jc w:val="both"/>
        <w:rPr>
          <w:rFonts w:ascii="Arial" w:hAnsi="Arial" w:cs="Arial"/>
          <w:noProof/>
          <w:u w:val="single"/>
        </w:rPr>
      </w:pPr>
    </w:p>
    <w:p w14:paraId="0EF5164C" w14:textId="77777777" w:rsidR="00BA3B9A" w:rsidRDefault="00BA3B9A" w:rsidP="00BA3B9A">
      <w:pPr>
        <w:pStyle w:val="EndNoteBibliographyTitle"/>
        <w:jc w:val="both"/>
        <w:rPr>
          <w:rFonts w:ascii="Arial" w:hAnsi="Arial" w:cs="Arial"/>
          <w:noProof/>
          <w:u w:val="single"/>
        </w:rPr>
      </w:pPr>
    </w:p>
    <w:p w14:paraId="6B650A85" w14:textId="77777777" w:rsidR="00BA3B9A" w:rsidRDefault="00BA3B9A" w:rsidP="00BA3B9A">
      <w:pPr>
        <w:pStyle w:val="EndNoteBibliographyTitle"/>
        <w:jc w:val="both"/>
        <w:rPr>
          <w:rFonts w:ascii="Arial" w:hAnsi="Arial" w:cs="Arial"/>
          <w:noProof/>
          <w:u w:val="single"/>
        </w:rPr>
      </w:pPr>
    </w:p>
    <w:p w14:paraId="1E5170E7" w14:textId="77777777" w:rsidR="00BA3B9A" w:rsidRDefault="00BA3B9A" w:rsidP="00BA3B9A">
      <w:pPr>
        <w:pStyle w:val="EndNoteBibliographyTitle"/>
        <w:jc w:val="both"/>
        <w:rPr>
          <w:rFonts w:ascii="Arial" w:hAnsi="Arial" w:cs="Arial"/>
          <w:noProof/>
          <w:u w:val="single"/>
        </w:rPr>
      </w:pPr>
    </w:p>
    <w:p w14:paraId="356506A4" w14:textId="77777777" w:rsidR="00BA3B9A" w:rsidRDefault="00BA3B9A" w:rsidP="00BA3B9A">
      <w:pPr>
        <w:pStyle w:val="EndNoteBibliographyTitle"/>
        <w:jc w:val="both"/>
        <w:rPr>
          <w:rFonts w:ascii="Arial" w:hAnsi="Arial" w:cs="Arial"/>
          <w:noProof/>
          <w:u w:val="single"/>
        </w:rPr>
      </w:pPr>
    </w:p>
    <w:p w14:paraId="7FBC884F" w14:textId="77777777" w:rsidR="00BA3B9A" w:rsidRDefault="00BA3B9A" w:rsidP="00BA3B9A">
      <w:pPr>
        <w:pStyle w:val="EndNoteBibliographyTitle"/>
        <w:jc w:val="both"/>
        <w:rPr>
          <w:rFonts w:ascii="Arial" w:hAnsi="Arial" w:cs="Arial"/>
          <w:noProof/>
          <w:u w:val="single"/>
        </w:rPr>
      </w:pPr>
    </w:p>
    <w:p w14:paraId="7EC62A84" w14:textId="77777777" w:rsidR="00BA3B9A" w:rsidRDefault="00BA3B9A" w:rsidP="00BA3B9A">
      <w:pPr>
        <w:pStyle w:val="EndNoteBibliographyTitle"/>
        <w:jc w:val="both"/>
        <w:rPr>
          <w:rFonts w:ascii="Arial" w:hAnsi="Arial" w:cs="Arial"/>
          <w:noProof/>
          <w:u w:val="single"/>
        </w:rPr>
      </w:pPr>
    </w:p>
    <w:p w14:paraId="0277D8EF" w14:textId="77777777" w:rsidR="00BA3B9A" w:rsidRDefault="00BA3B9A" w:rsidP="00BA3B9A">
      <w:pPr>
        <w:pStyle w:val="EndNoteBibliographyTitle"/>
        <w:jc w:val="both"/>
        <w:rPr>
          <w:rFonts w:ascii="Arial" w:hAnsi="Arial" w:cs="Arial"/>
          <w:noProof/>
          <w:u w:val="single"/>
        </w:rPr>
      </w:pPr>
    </w:p>
    <w:p w14:paraId="727BDA72" w14:textId="77777777" w:rsidR="00BA3B9A" w:rsidRPr="00882953" w:rsidRDefault="00BA3B9A" w:rsidP="00BA3B9A">
      <w:pPr>
        <w:pStyle w:val="EndNoteBibliographyTitle"/>
        <w:jc w:val="both"/>
        <w:rPr>
          <w:rFonts w:ascii="Arial" w:hAnsi="Arial" w:cs="Arial"/>
          <w:noProof/>
          <w:u w:val="single"/>
        </w:rPr>
      </w:pPr>
      <w:r w:rsidRPr="00882953">
        <w:rPr>
          <w:rFonts w:ascii="Arial" w:hAnsi="Arial" w:cs="Arial"/>
          <w:noProof/>
          <w:u w:val="single"/>
        </w:rPr>
        <w:lastRenderedPageBreak/>
        <w:t>References</w:t>
      </w:r>
    </w:p>
    <w:p w14:paraId="14784A04" w14:textId="77777777" w:rsidR="00BA3B9A" w:rsidRPr="00882953" w:rsidRDefault="00BA3B9A" w:rsidP="00BA3B9A">
      <w:pPr>
        <w:pStyle w:val="EndNoteBibliographyTitle"/>
        <w:jc w:val="both"/>
        <w:rPr>
          <w:rFonts w:ascii="Arial" w:hAnsi="Arial" w:cs="Arial"/>
          <w:noProof/>
          <w:u w:val="single"/>
        </w:rPr>
      </w:pPr>
    </w:p>
    <w:p w14:paraId="5AD91F5B" w14:textId="7113E8B0" w:rsidR="00BA3B9A" w:rsidRPr="00882953" w:rsidRDefault="00BA3B9A" w:rsidP="00172815">
      <w:pPr>
        <w:pStyle w:val="EndNoteBibliography"/>
        <w:ind w:left="720" w:hanging="720"/>
        <w:jc w:val="both"/>
        <w:rPr>
          <w:rFonts w:ascii="Arial" w:hAnsi="Arial" w:cs="Arial"/>
          <w:noProof/>
        </w:rPr>
      </w:pPr>
      <w:r w:rsidRPr="00882953">
        <w:rPr>
          <w:rFonts w:ascii="Arial" w:hAnsi="Arial" w:cs="Arial"/>
          <w:noProof/>
        </w:rPr>
        <w:t xml:space="preserve">Aguizy, O., &amp; Haykal, F. (1996). Changes in Ancient Egyptian Language. </w:t>
      </w:r>
      <w:r w:rsidRPr="00882953">
        <w:rPr>
          <w:rFonts w:ascii="Arial" w:hAnsi="Arial" w:cs="Arial"/>
          <w:i/>
          <w:noProof/>
        </w:rPr>
        <w:t>Open Edition Journals, 27</w:t>
      </w:r>
      <w:r w:rsidRPr="00882953">
        <w:rPr>
          <w:rFonts w:ascii="Arial" w:hAnsi="Arial" w:cs="Arial"/>
          <w:noProof/>
        </w:rPr>
        <w:t xml:space="preserve">(1), 25-34. </w:t>
      </w:r>
      <w:hyperlink r:id="rId9" w:history="1">
        <w:r w:rsidRPr="00882953">
          <w:rPr>
            <w:rStyle w:val="Hyperlink"/>
            <w:rFonts w:ascii="Arial" w:hAnsi="Arial" w:cs="Arial"/>
            <w:noProof/>
            <w:color w:val="auto"/>
          </w:rPr>
          <w:t>https://journals.openedition.org/ema/1025</w:t>
        </w:r>
      </w:hyperlink>
      <w:r w:rsidRPr="00882953">
        <w:rPr>
          <w:rFonts w:ascii="Arial" w:hAnsi="Arial" w:cs="Arial"/>
          <w:noProof/>
        </w:rPr>
        <w:t xml:space="preserve"> </w:t>
      </w:r>
    </w:p>
    <w:p w14:paraId="5694D5ED" w14:textId="77777777" w:rsidR="00BA3B9A" w:rsidRPr="00882953" w:rsidRDefault="00BA3B9A" w:rsidP="00BA3B9A">
      <w:pPr>
        <w:pStyle w:val="EndNoteBibliography"/>
        <w:jc w:val="both"/>
        <w:rPr>
          <w:rFonts w:ascii="Arial" w:hAnsi="Arial" w:cs="Arial"/>
          <w:noProof/>
        </w:rPr>
      </w:pPr>
    </w:p>
    <w:p w14:paraId="26DFC635"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Ahmed, S. K. (2024). The pillars of trustworthiness in qualitative research. </w:t>
      </w:r>
      <w:r w:rsidRPr="00882953">
        <w:rPr>
          <w:rFonts w:ascii="Arial" w:hAnsi="Arial" w:cs="Arial"/>
          <w:i/>
          <w:noProof/>
        </w:rPr>
        <w:t>Journal of Medicine, Surgery and Public Health, 2</w:t>
      </w:r>
      <w:r w:rsidRPr="00882953">
        <w:rPr>
          <w:rFonts w:ascii="Arial" w:hAnsi="Arial" w:cs="Arial"/>
          <w:noProof/>
        </w:rPr>
        <w:t xml:space="preserve">(1), 1-9. </w:t>
      </w:r>
      <w:hyperlink r:id="rId10" w:history="1">
        <w:r w:rsidRPr="00882953">
          <w:rPr>
            <w:rStyle w:val="Hyperlink"/>
            <w:rFonts w:ascii="Arial" w:hAnsi="Arial" w:cs="Arial"/>
            <w:noProof/>
            <w:color w:val="auto"/>
          </w:rPr>
          <w:t>https://doi.org/10.1016/j.glmedi.2024.100051</w:t>
        </w:r>
      </w:hyperlink>
      <w:r w:rsidRPr="00882953">
        <w:rPr>
          <w:rFonts w:ascii="Arial" w:hAnsi="Arial" w:cs="Arial"/>
          <w:noProof/>
        </w:rPr>
        <w:t xml:space="preserve"> </w:t>
      </w:r>
    </w:p>
    <w:p w14:paraId="71C3A250" w14:textId="77777777" w:rsidR="00BA3B9A" w:rsidRPr="00882953" w:rsidRDefault="00BA3B9A" w:rsidP="00BA3B9A">
      <w:pPr>
        <w:pStyle w:val="EndNoteBibliography"/>
        <w:jc w:val="both"/>
        <w:rPr>
          <w:rFonts w:ascii="Arial" w:hAnsi="Arial" w:cs="Arial"/>
          <w:noProof/>
        </w:rPr>
      </w:pPr>
    </w:p>
    <w:p w14:paraId="7936C6B4"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Alspach, J. G. (2018). Implicit Bias in Patient Care: An Endemic Blight on Quality Care. </w:t>
      </w:r>
      <w:r w:rsidRPr="00882953">
        <w:rPr>
          <w:rFonts w:ascii="Arial" w:hAnsi="Arial" w:cs="Arial"/>
          <w:i/>
          <w:noProof/>
        </w:rPr>
        <w:t>Critical Care Nurse, 38</w:t>
      </w:r>
      <w:r w:rsidRPr="00882953">
        <w:rPr>
          <w:rFonts w:ascii="Arial" w:hAnsi="Arial" w:cs="Arial"/>
          <w:noProof/>
        </w:rPr>
        <w:t xml:space="preserve">(4), 12-16. </w:t>
      </w:r>
      <w:hyperlink r:id="rId11" w:history="1">
        <w:r w:rsidRPr="00882953">
          <w:rPr>
            <w:rStyle w:val="Hyperlink"/>
            <w:rFonts w:ascii="Arial" w:hAnsi="Arial" w:cs="Arial"/>
            <w:noProof/>
            <w:color w:val="auto"/>
          </w:rPr>
          <w:t>https://doi.org/10.4037/ccn2018698</w:t>
        </w:r>
      </w:hyperlink>
      <w:r w:rsidRPr="00882953">
        <w:rPr>
          <w:rFonts w:ascii="Arial" w:hAnsi="Arial" w:cs="Arial"/>
          <w:noProof/>
        </w:rPr>
        <w:t xml:space="preserve"> </w:t>
      </w:r>
    </w:p>
    <w:p w14:paraId="4571DA1B" w14:textId="77777777" w:rsidR="00BA3B9A" w:rsidRPr="00882953" w:rsidRDefault="00BA3B9A" w:rsidP="00BA3B9A">
      <w:pPr>
        <w:pStyle w:val="EndNoteBibliography"/>
        <w:jc w:val="both"/>
        <w:rPr>
          <w:rFonts w:ascii="Arial" w:hAnsi="Arial" w:cs="Arial"/>
          <w:noProof/>
        </w:rPr>
      </w:pPr>
    </w:p>
    <w:p w14:paraId="3BC91B3F"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Andrade, C. (2021). The Inconvenient Truth About Convenience and Purposive Samples. </w:t>
      </w:r>
      <w:r w:rsidRPr="00882953">
        <w:rPr>
          <w:rFonts w:ascii="Arial" w:hAnsi="Arial" w:cs="Arial"/>
          <w:i/>
          <w:noProof/>
        </w:rPr>
        <w:t>Indian J Psychol Med, 43</w:t>
      </w:r>
      <w:r w:rsidRPr="00882953">
        <w:rPr>
          <w:rFonts w:ascii="Arial" w:hAnsi="Arial" w:cs="Arial"/>
          <w:noProof/>
        </w:rPr>
        <w:t xml:space="preserve">(1), 86-88. </w:t>
      </w:r>
      <w:hyperlink r:id="rId12" w:history="1">
        <w:r w:rsidRPr="00882953">
          <w:rPr>
            <w:rStyle w:val="Hyperlink"/>
            <w:rFonts w:ascii="Arial" w:hAnsi="Arial" w:cs="Arial"/>
            <w:noProof/>
            <w:color w:val="auto"/>
          </w:rPr>
          <w:t>https://doi.org/10.1177/0253717620977000</w:t>
        </w:r>
      </w:hyperlink>
      <w:r w:rsidRPr="00882953">
        <w:rPr>
          <w:rFonts w:ascii="Arial" w:hAnsi="Arial" w:cs="Arial"/>
          <w:noProof/>
        </w:rPr>
        <w:t xml:space="preserve"> </w:t>
      </w:r>
    </w:p>
    <w:p w14:paraId="2D2706C5" w14:textId="77777777" w:rsidR="00BA3B9A" w:rsidRPr="00882953" w:rsidRDefault="00BA3B9A" w:rsidP="00BA3B9A">
      <w:pPr>
        <w:pStyle w:val="EndNoteBibliography"/>
        <w:jc w:val="both"/>
        <w:rPr>
          <w:rFonts w:ascii="Arial" w:hAnsi="Arial" w:cs="Arial"/>
          <w:noProof/>
        </w:rPr>
      </w:pPr>
    </w:p>
    <w:p w14:paraId="4D3B86F6"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Aveyard, H. (2023). </w:t>
      </w:r>
      <w:r w:rsidRPr="00882953">
        <w:rPr>
          <w:rFonts w:ascii="Arial" w:hAnsi="Arial" w:cs="Arial"/>
          <w:i/>
          <w:noProof/>
        </w:rPr>
        <w:t>Doing a literature review in health and social care: a practical guide</w:t>
      </w:r>
      <w:r w:rsidRPr="00882953">
        <w:rPr>
          <w:rFonts w:ascii="Arial" w:hAnsi="Arial" w:cs="Arial"/>
          <w:noProof/>
        </w:rPr>
        <w:t xml:space="preserve"> (5th ed.). Open University Press. </w:t>
      </w:r>
    </w:p>
    <w:p w14:paraId="7FB56B92" w14:textId="77777777" w:rsidR="00BA3B9A" w:rsidRPr="00882953" w:rsidRDefault="00BA3B9A" w:rsidP="00BA3B9A">
      <w:pPr>
        <w:pStyle w:val="EndNoteBibliography"/>
        <w:jc w:val="both"/>
        <w:rPr>
          <w:rFonts w:ascii="Arial" w:hAnsi="Arial" w:cs="Arial"/>
          <w:noProof/>
        </w:rPr>
      </w:pPr>
    </w:p>
    <w:p w14:paraId="6DECC8EE"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Ayorinde, A. A., Williams, I., Mannion, R., Song, F., Skrybant, M., Lilford, R. J., &amp; Chen, Y. F. (2020). Publication and related biases in health services research: a systematic review of empirical evidence. </w:t>
      </w:r>
      <w:r w:rsidRPr="00882953">
        <w:rPr>
          <w:rFonts w:ascii="Arial" w:hAnsi="Arial" w:cs="Arial"/>
          <w:i/>
          <w:noProof/>
        </w:rPr>
        <w:t>BMC Med Res Methodol, 20</w:t>
      </w:r>
      <w:r w:rsidRPr="00882953">
        <w:rPr>
          <w:rFonts w:ascii="Arial" w:hAnsi="Arial" w:cs="Arial"/>
          <w:noProof/>
        </w:rPr>
        <w:t xml:space="preserve">(1), 137-157. </w:t>
      </w:r>
      <w:hyperlink r:id="rId13" w:history="1">
        <w:r w:rsidRPr="00882953">
          <w:rPr>
            <w:rStyle w:val="Hyperlink"/>
            <w:rFonts w:ascii="Arial" w:hAnsi="Arial" w:cs="Arial"/>
            <w:noProof/>
            <w:color w:val="auto"/>
          </w:rPr>
          <w:t>https://doi.org/10.1186/s12874-020-01010-1</w:t>
        </w:r>
      </w:hyperlink>
      <w:r w:rsidRPr="00882953">
        <w:rPr>
          <w:rFonts w:ascii="Arial" w:hAnsi="Arial" w:cs="Arial"/>
          <w:noProof/>
        </w:rPr>
        <w:t xml:space="preserve"> </w:t>
      </w:r>
    </w:p>
    <w:p w14:paraId="2FE54D45" w14:textId="77777777" w:rsidR="00BA3B9A" w:rsidRPr="00882953" w:rsidRDefault="00BA3B9A" w:rsidP="00BA3B9A">
      <w:pPr>
        <w:pStyle w:val="EndNoteBibliography"/>
        <w:jc w:val="both"/>
        <w:rPr>
          <w:rFonts w:ascii="Arial" w:hAnsi="Arial" w:cs="Arial"/>
          <w:noProof/>
        </w:rPr>
      </w:pPr>
    </w:p>
    <w:p w14:paraId="0AD21ED2"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Birt, L., Scott, S., Cavers, D., Campbell, C., &amp; Walter, F. (2016). Member Checking: A Tool to Enhance Trustworthiness or Merely a Nod to Validation? </w:t>
      </w:r>
      <w:r w:rsidRPr="00882953">
        <w:rPr>
          <w:rFonts w:ascii="Arial" w:hAnsi="Arial" w:cs="Arial"/>
          <w:i/>
          <w:noProof/>
        </w:rPr>
        <w:t>Qualitative Health Research, 26</w:t>
      </w:r>
      <w:r w:rsidRPr="00882953">
        <w:rPr>
          <w:rFonts w:ascii="Arial" w:hAnsi="Arial" w:cs="Arial"/>
          <w:noProof/>
        </w:rPr>
        <w:t xml:space="preserve">(13), 1802-1811. </w:t>
      </w:r>
      <w:hyperlink r:id="rId14" w:history="1">
        <w:r w:rsidRPr="00882953">
          <w:rPr>
            <w:rStyle w:val="Hyperlink"/>
            <w:rFonts w:ascii="Arial" w:hAnsi="Arial" w:cs="Arial"/>
            <w:noProof/>
            <w:color w:val="auto"/>
          </w:rPr>
          <w:t>https://doi.org/10.1177/1049732316654870</w:t>
        </w:r>
      </w:hyperlink>
      <w:r w:rsidRPr="00882953">
        <w:rPr>
          <w:rFonts w:ascii="Arial" w:hAnsi="Arial" w:cs="Arial"/>
          <w:noProof/>
        </w:rPr>
        <w:t xml:space="preserve"> </w:t>
      </w:r>
    </w:p>
    <w:p w14:paraId="39F50E18" w14:textId="77777777" w:rsidR="00BA3B9A" w:rsidRPr="00882953" w:rsidRDefault="00BA3B9A" w:rsidP="00BA3B9A">
      <w:pPr>
        <w:pStyle w:val="EndNoteBibliography"/>
        <w:jc w:val="both"/>
        <w:rPr>
          <w:rFonts w:ascii="Arial" w:hAnsi="Arial" w:cs="Arial"/>
          <w:noProof/>
        </w:rPr>
      </w:pPr>
    </w:p>
    <w:p w14:paraId="092A8437"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Blanton, S. (2021). Harnessing the Power of Language for Healing. </w:t>
      </w:r>
      <w:r w:rsidRPr="00882953">
        <w:rPr>
          <w:rFonts w:ascii="Arial" w:hAnsi="Arial" w:cs="Arial"/>
          <w:i/>
          <w:noProof/>
        </w:rPr>
        <w:t>Journal of Humanities in Rehabilitation, 30</w:t>
      </w:r>
      <w:r w:rsidRPr="00882953">
        <w:rPr>
          <w:rFonts w:ascii="Arial" w:hAnsi="Arial" w:cs="Arial"/>
          <w:noProof/>
        </w:rPr>
        <w:t xml:space="preserve">(4), 1-7. </w:t>
      </w:r>
      <w:hyperlink r:id="rId15" w:history="1">
        <w:r w:rsidRPr="00882953">
          <w:rPr>
            <w:rStyle w:val="Hyperlink"/>
            <w:rFonts w:ascii="Arial" w:hAnsi="Arial" w:cs="Arial"/>
            <w:noProof/>
            <w:color w:val="auto"/>
          </w:rPr>
          <w:t>https://www.jhrehab.org/wp-content/uploads/2021/04/Blanton_Editorial_Spring-2021-1.pdf</w:t>
        </w:r>
      </w:hyperlink>
      <w:r w:rsidRPr="00882953">
        <w:rPr>
          <w:rFonts w:ascii="Arial" w:hAnsi="Arial" w:cs="Arial"/>
          <w:noProof/>
        </w:rPr>
        <w:t xml:space="preserve"> </w:t>
      </w:r>
    </w:p>
    <w:p w14:paraId="3F1EEF1F" w14:textId="77777777" w:rsidR="00BA3B9A" w:rsidRPr="00882953" w:rsidRDefault="00BA3B9A" w:rsidP="00BA3B9A">
      <w:pPr>
        <w:pStyle w:val="EndNoteBibliography"/>
        <w:jc w:val="both"/>
        <w:rPr>
          <w:rFonts w:ascii="Arial" w:hAnsi="Arial" w:cs="Arial"/>
          <w:noProof/>
        </w:rPr>
      </w:pPr>
    </w:p>
    <w:p w14:paraId="20C85A7F"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Braun, V., &amp; Clarke, V. (2013). </w:t>
      </w:r>
      <w:r w:rsidRPr="00882953">
        <w:rPr>
          <w:rFonts w:ascii="Arial" w:hAnsi="Arial" w:cs="Arial"/>
          <w:i/>
          <w:noProof/>
        </w:rPr>
        <w:t>Successful Qualitative Research: A Practical Guide for Beginners</w:t>
      </w:r>
      <w:r w:rsidRPr="00882953">
        <w:rPr>
          <w:rFonts w:ascii="Arial" w:hAnsi="Arial" w:cs="Arial"/>
          <w:noProof/>
        </w:rPr>
        <w:t xml:space="preserve"> (1st ed.). SAGE. </w:t>
      </w:r>
    </w:p>
    <w:p w14:paraId="414472A2" w14:textId="77777777" w:rsidR="00BA3B9A" w:rsidRPr="00882953" w:rsidRDefault="00BA3B9A" w:rsidP="00BA3B9A">
      <w:pPr>
        <w:pStyle w:val="EndNoteBibliography"/>
        <w:jc w:val="both"/>
        <w:rPr>
          <w:rFonts w:ascii="Arial" w:hAnsi="Arial" w:cs="Arial"/>
          <w:noProof/>
        </w:rPr>
      </w:pPr>
    </w:p>
    <w:p w14:paraId="79EE890A"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Burns, M., Bally, J., Burles, M., Holtslander, L., &amp; Peacock, S. (2022). Constructivist Grounded Theory or Interpretive Phenomenology? Methodological Choices Within Specific Study Contexts. </w:t>
      </w:r>
      <w:r w:rsidRPr="00882953">
        <w:rPr>
          <w:rFonts w:ascii="Arial" w:hAnsi="Arial" w:cs="Arial"/>
          <w:i/>
          <w:noProof/>
        </w:rPr>
        <w:t>International Journal of Qualitative Methods, 21</w:t>
      </w:r>
      <w:r w:rsidRPr="00882953">
        <w:rPr>
          <w:rFonts w:ascii="Arial" w:hAnsi="Arial" w:cs="Arial"/>
          <w:noProof/>
        </w:rPr>
        <w:t xml:space="preserve">(1), 1-8. </w:t>
      </w:r>
      <w:hyperlink r:id="rId16" w:history="1">
        <w:r w:rsidRPr="00882953">
          <w:rPr>
            <w:rStyle w:val="Hyperlink"/>
            <w:rFonts w:ascii="Arial" w:hAnsi="Arial" w:cs="Arial"/>
            <w:noProof/>
            <w:color w:val="auto"/>
          </w:rPr>
          <w:t>https://doi.org/10.1177/16094069221077758</w:t>
        </w:r>
      </w:hyperlink>
      <w:r w:rsidRPr="00882953">
        <w:rPr>
          <w:rFonts w:ascii="Arial" w:hAnsi="Arial" w:cs="Arial"/>
          <w:noProof/>
        </w:rPr>
        <w:t xml:space="preserve"> </w:t>
      </w:r>
    </w:p>
    <w:p w14:paraId="4F0C3CD1" w14:textId="77777777" w:rsidR="00BA3B9A" w:rsidRPr="00882953" w:rsidRDefault="00BA3B9A" w:rsidP="00BA3B9A">
      <w:pPr>
        <w:pStyle w:val="EndNoteBibliography"/>
        <w:jc w:val="both"/>
        <w:rPr>
          <w:rFonts w:ascii="Arial" w:hAnsi="Arial" w:cs="Arial"/>
          <w:noProof/>
        </w:rPr>
      </w:pPr>
    </w:p>
    <w:p w14:paraId="23860541"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Carey, C. (2023). Coping with Stigma: Experiences and Responses of Former Youth in Care. </w:t>
      </w:r>
      <w:r w:rsidRPr="00882953">
        <w:rPr>
          <w:rFonts w:ascii="Arial" w:hAnsi="Arial" w:cs="Arial"/>
          <w:i/>
          <w:noProof/>
        </w:rPr>
        <w:t>Qualitative Sociology Review, 19</w:t>
      </w:r>
      <w:r w:rsidRPr="00882953">
        <w:rPr>
          <w:rFonts w:ascii="Arial" w:hAnsi="Arial" w:cs="Arial"/>
          <w:noProof/>
        </w:rPr>
        <w:t xml:space="preserve">(3), 26-51. </w:t>
      </w:r>
      <w:hyperlink r:id="rId17" w:history="1">
        <w:r w:rsidRPr="00882953">
          <w:rPr>
            <w:rStyle w:val="Hyperlink"/>
            <w:rFonts w:ascii="Arial" w:hAnsi="Arial" w:cs="Arial"/>
            <w:noProof/>
            <w:color w:val="auto"/>
          </w:rPr>
          <w:t>https://czasopisma.uni.lodz.pl/qualit/article/view/18792</w:t>
        </w:r>
      </w:hyperlink>
      <w:r w:rsidRPr="00882953">
        <w:rPr>
          <w:rFonts w:ascii="Arial" w:hAnsi="Arial" w:cs="Arial"/>
          <w:noProof/>
        </w:rPr>
        <w:t xml:space="preserve"> </w:t>
      </w:r>
    </w:p>
    <w:p w14:paraId="67845498" w14:textId="77777777" w:rsidR="00BA3B9A" w:rsidRPr="00882953" w:rsidRDefault="00BA3B9A" w:rsidP="00BA3B9A">
      <w:pPr>
        <w:pStyle w:val="EndNoteBibliography"/>
        <w:jc w:val="both"/>
        <w:rPr>
          <w:rFonts w:ascii="Arial" w:hAnsi="Arial" w:cs="Arial"/>
          <w:noProof/>
        </w:rPr>
      </w:pPr>
    </w:p>
    <w:p w14:paraId="5AAE3E15"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Chan, S. L., Ho, C. Z. H., Khaing, N. E. E., Ho, E., Pong, C., Guan, J. S., Chua, C., Li, Z., Lim, T., Lam, S. S. W., Low, L. L., &amp; How, C. H. (2024). Frameworks for measuring population health: A scoping review. </w:t>
      </w:r>
      <w:r w:rsidRPr="00882953">
        <w:rPr>
          <w:rFonts w:ascii="Arial" w:hAnsi="Arial" w:cs="Arial"/>
          <w:i/>
          <w:noProof/>
        </w:rPr>
        <w:t>PLoS One, 19</w:t>
      </w:r>
      <w:r w:rsidRPr="00882953">
        <w:rPr>
          <w:rFonts w:ascii="Arial" w:hAnsi="Arial" w:cs="Arial"/>
          <w:noProof/>
        </w:rPr>
        <w:t xml:space="preserve">(2), 1-12. </w:t>
      </w:r>
      <w:hyperlink r:id="rId18" w:history="1">
        <w:r w:rsidRPr="00882953">
          <w:rPr>
            <w:rStyle w:val="Hyperlink"/>
            <w:rFonts w:ascii="Arial" w:hAnsi="Arial" w:cs="Arial"/>
            <w:noProof/>
            <w:color w:val="auto"/>
          </w:rPr>
          <w:t>https://doi.org/10.1371/journal.pone.0278434</w:t>
        </w:r>
      </w:hyperlink>
      <w:r w:rsidRPr="00882953">
        <w:rPr>
          <w:rFonts w:ascii="Arial" w:hAnsi="Arial" w:cs="Arial"/>
          <w:noProof/>
        </w:rPr>
        <w:t xml:space="preserve"> </w:t>
      </w:r>
    </w:p>
    <w:p w14:paraId="699096ED" w14:textId="77777777" w:rsidR="00BA3B9A" w:rsidRPr="00882953" w:rsidRDefault="00BA3B9A" w:rsidP="00BA3B9A">
      <w:pPr>
        <w:pStyle w:val="EndNoteBibliography"/>
        <w:jc w:val="both"/>
        <w:rPr>
          <w:rFonts w:ascii="Arial" w:hAnsi="Arial" w:cs="Arial"/>
          <w:noProof/>
        </w:rPr>
      </w:pPr>
    </w:p>
    <w:p w14:paraId="6AFAE021"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lastRenderedPageBreak/>
        <w:t xml:space="preserve">Chapman, E. N., Kaatz, A., &amp; Carnes, M. (2013). Physicians and implicit bias: how doctors may unwittingly perpetuate health care disparities. </w:t>
      </w:r>
      <w:r w:rsidRPr="00882953">
        <w:rPr>
          <w:rFonts w:ascii="Arial" w:hAnsi="Arial" w:cs="Arial"/>
          <w:i/>
          <w:noProof/>
        </w:rPr>
        <w:t>J Gen Intern Med, 28</w:t>
      </w:r>
      <w:r w:rsidRPr="00882953">
        <w:rPr>
          <w:rFonts w:ascii="Arial" w:hAnsi="Arial" w:cs="Arial"/>
          <w:noProof/>
        </w:rPr>
        <w:t xml:space="preserve">(11), 1504-1510. </w:t>
      </w:r>
      <w:hyperlink r:id="rId19" w:history="1">
        <w:r w:rsidRPr="00882953">
          <w:rPr>
            <w:rStyle w:val="Hyperlink"/>
            <w:rFonts w:ascii="Arial" w:hAnsi="Arial" w:cs="Arial"/>
            <w:noProof/>
            <w:color w:val="auto"/>
          </w:rPr>
          <w:t>https://doi.org/10.1007/s11606-013-2441-1</w:t>
        </w:r>
      </w:hyperlink>
      <w:r w:rsidRPr="00882953">
        <w:rPr>
          <w:rFonts w:ascii="Arial" w:hAnsi="Arial" w:cs="Arial"/>
          <w:noProof/>
        </w:rPr>
        <w:t xml:space="preserve"> </w:t>
      </w:r>
    </w:p>
    <w:p w14:paraId="3575509E" w14:textId="77777777" w:rsidR="00BA3B9A" w:rsidRPr="00882953" w:rsidRDefault="00BA3B9A" w:rsidP="00BA3B9A">
      <w:pPr>
        <w:pStyle w:val="EndNoteBibliography"/>
        <w:jc w:val="both"/>
        <w:rPr>
          <w:rFonts w:ascii="Arial" w:hAnsi="Arial" w:cs="Arial"/>
          <w:noProof/>
        </w:rPr>
      </w:pPr>
    </w:p>
    <w:p w14:paraId="70A29656"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Children’s Commissioner. (2022). </w:t>
      </w:r>
      <w:r w:rsidRPr="00882953">
        <w:rPr>
          <w:rFonts w:ascii="Arial" w:hAnsi="Arial" w:cs="Arial"/>
          <w:i/>
          <w:noProof/>
        </w:rPr>
        <w:t>New findings on how children in care interact with the criminal justice system</w:t>
      </w:r>
      <w:r w:rsidRPr="00882953">
        <w:rPr>
          <w:rFonts w:ascii="Arial" w:hAnsi="Arial" w:cs="Arial"/>
          <w:noProof/>
        </w:rPr>
        <w:t xml:space="preserve">. Retrieved 10/03/2026 from </w:t>
      </w:r>
      <w:hyperlink r:id="rId20" w:history="1">
        <w:r w:rsidRPr="00882953">
          <w:rPr>
            <w:rStyle w:val="Hyperlink"/>
            <w:rFonts w:ascii="Arial" w:hAnsi="Arial" w:cs="Arial"/>
            <w:noProof/>
            <w:color w:val="auto"/>
          </w:rPr>
          <w:t>https://www.childrenscommissioner.gov.uk/blog/new-findings-on-how-children-in-care-interact-with-the-criminal-justice-system/</w:t>
        </w:r>
      </w:hyperlink>
    </w:p>
    <w:p w14:paraId="286E5263" w14:textId="77777777" w:rsidR="00BA3B9A" w:rsidRPr="00882953" w:rsidRDefault="00BA3B9A" w:rsidP="00BA3B9A">
      <w:pPr>
        <w:pStyle w:val="EndNoteBibliography"/>
        <w:jc w:val="both"/>
        <w:rPr>
          <w:rFonts w:ascii="Arial" w:hAnsi="Arial" w:cs="Arial"/>
          <w:noProof/>
        </w:rPr>
      </w:pPr>
    </w:p>
    <w:p w14:paraId="2B5B5E3B" w14:textId="4924EEB3"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Children’s Social Care. (2020). </w:t>
      </w:r>
      <w:r w:rsidRPr="00882953">
        <w:rPr>
          <w:rFonts w:ascii="Arial" w:hAnsi="Arial" w:cs="Arial"/>
          <w:i/>
          <w:noProof/>
        </w:rPr>
        <w:t>Mental Health of Children and Young People in care Evidence Summary</w:t>
      </w:r>
      <w:r w:rsidRPr="00882953">
        <w:rPr>
          <w:rFonts w:ascii="Arial" w:hAnsi="Arial" w:cs="Arial"/>
          <w:noProof/>
        </w:rPr>
        <w:t>. Retrieved 1</w:t>
      </w:r>
      <w:r w:rsidR="003D6F9A">
        <w:rPr>
          <w:rFonts w:ascii="Arial" w:hAnsi="Arial" w:cs="Arial"/>
          <w:noProof/>
        </w:rPr>
        <w:t>3</w:t>
      </w:r>
      <w:r w:rsidRPr="00882953">
        <w:rPr>
          <w:rFonts w:ascii="Arial" w:hAnsi="Arial" w:cs="Arial"/>
          <w:noProof/>
        </w:rPr>
        <w:t xml:space="preserve">/03/2026 from </w:t>
      </w:r>
      <w:hyperlink r:id="rId21" w:history="1">
        <w:r w:rsidRPr="00882953">
          <w:rPr>
            <w:rStyle w:val="Hyperlink"/>
            <w:rFonts w:ascii="Arial" w:hAnsi="Arial" w:cs="Arial"/>
            <w:noProof/>
            <w:color w:val="auto"/>
          </w:rPr>
          <w:t>https://whatworks-csc.org.uk/wp-content/uploads/6.-Mental-health-of-children-and-young-people-in-care-Evidence-Summary.pdf</w:t>
        </w:r>
      </w:hyperlink>
    </w:p>
    <w:p w14:paraId="6B3AD519" w14:textId="77777777" w:rsidR="00BA3B9A" w:rsidRPr="00882953" w:rsidRDefault="00BA3B9A" w:rsidP="00BA3B9A">
      <w:pPr>
        <w:pStyle w:val="EndNoteBibliography"/>
        <w:jc w:val="both"/>
        <w:rPr>
          <w:rFonts w:ascii="Arial" w:hAnsi="Arial" w:cs="Arial"/>
          <w:noProof/>
        </w:rPr>
      </w:pPr>
    </w:p>
    <w:p w14:paraId="4B0E0DDA"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Chun Tie, Y., Birks, M., &amp; Francis, K. (2019). Grounded theory research: A design framework for novice researchers. </w:t>
      </w:r>
      <w:r w:rsidRPr="00882953">
        <w:rPr>
          <w:rFonts w:ascii="Arial" w:hAnsi="Arial" w:cs="Arial"/>
          <w:i/>
          <w:noProof/>
        </w:rPr>
        <w:t>SAGE open medicine, 7</w:t>
      </w:r>
      <w:r w:rsidRPr="00882953">
        <w:rPr>
          <w:rFonts w:ascii="Arial" w:hAnsi="Arial" w:cs="Arial"/>
          <w:noProof/>
        </w:rPr>
        <w:t xml:space="preserve">(1), 1-8. </w:t>
      </w:r>
      <w:hyperlink r:id="rId22" w:history="1">
        <w:r w:rsidRPr="00882953">
          <w:rPr>
            <w:rStyle w:val="Hyperlink"/>
            <w:rFonts w:ascii="Arial" w:hAnsi="Arial" w:cs="Arial"/>
            <w:noProof/>
            <w:color w:val="auto"/>
          </w:rPr>
          <w:t>https://doi.org/10.1177/2050312118822927</w:t>
        </w:r>
      </w:hyperlink>
      <w:r w:rsidRPr="00882953">
        <w:rPr>
          <w:rFonts w:ascii="Arial" w:hAnsi="Arial" w:cs="Arial"/>
          <w:noProof/>
        </w:rPr>
        <w:t xml:space="preserve"> </w:t>
      </w:r>
    </w:p>
    <w:p w14:paraId="75364214" w14:textId="77777777" w:rsidR="00BA3B9A" w:rsidRPr="00882953" w:rsidRDefault="00BA3B9A" w:rsidP="00BA3B9A">
      <w:pPr>
        <w:pStyle w:val="EndNoteBibliography"/>
        <w:jc w:val="both"/>
        <w:rPr>
          <w:rFonts w:ascii="Arial" w:hAnsi="Arial" w:cs="Arial"/>
          <w:noProof/>
        </w:rPr>
      </w:pPr>
    </w:p>
    <w:p w14:paraId="3D91E9F5"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Cooper, E. (2011). </w:t>
      </w:r>
      <w:r w:rsidRPr="00882953">
        <w:rPr>
          <w:rFonts w:ascii="Arial" w:hAnsi="Arial" w:cs="Arial"/>
          <w:i/>
          <w:noProof/>
        </w:rPr>
        <w:t>Exploring the personal constructs of looked after children and their foster carers: a qualitative study</w:t>
      </w:r>
      <w:r w:rsidRPr="00882953">
        <w:rPr>
          <w:rFonts w:ascii="Arial" w:hAnsi="Arial" w:cs="Arial"/>
          <w:noProof/>
        </w:rPr>
        <w:t xml:space="preserve">. Retrieved 10/03/2026 from </w:t>
      </w:r>
      <w:hyperlink r:id="rId23" w:history="1">
        <w:r w:rsidRPr="00882953">
          <w:rPr>
            <w:rStyle w:val="Hyperlink"/>
            <w:rFonts w:ascii="Arial" w:hAnsi="Arial" w:cs="Arial"/>
            <w:noProof/>
            <w:color w:val="auto"/>
          </w:rPr>
          <w:t>https://uhra.herts.ac.uk/bitstream/handle/2299/8734/97005662%20Cooper%20Emily%20-%20final%20DClinPsy%20submission.pdf?sequence=1&amp;isAllowed=y</w:t>
        </w:r>
      </w:hyperlink>
    </w:p>
    <w:p w14:paraId="21C93D0A" w14:textId="77777777" w:rsidR="00BA3B9A" w:rsidRPr="00882953" w:rsidRDefault="00BA3B9A" w:rsidP="00BA3B9A">
      <w:pPr>
        <w:pStyle w:val="EndNoteBibliography"/>
        <w:jc w:val="both"/>
        <w:rPr>
          <w:rFonts w:ascii="Arial" w:hAnsi="Arial" w:cs="Arial"/>
          <w:noProof/>
        </w:rPr>
      </w:pPr>
    </w:p>
    <w:p w14:paraId="403764BA"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Cummings, A., &amp; Shelton, K. (2024). The prevalence of mental health disorders amongst care-experienced young people in the UK: A systematic review. </w:t>
      </w:r>
      <w:r w:rsidRPr="00882953">
        <w:rPr>
          <w:rFonts w:ascii="Arial" w:hAnsi="Arial" w:cs="Arial"/>
          <w:i/>
          <w:noProof/>
        </w:rPr>
        <w:t>Children and Youth Services Review, 156</w:t>
      </w:r>
      <w:r w:rsidRPr="00882953">
        <w:rPr>
          <w:rFonts w:ascii="Arial" w:hAnsi="Arial" w:cs="Arial"/>
          <w:noProof/>
        </w:rPr>
        <w:t xml:space="preserve">(1), 1-8. </w:t>
      </w:r>
      <w:hyperlink r:id="rId24" w:history="1">
        <w:r w:rsidRPr="00882953">
          <w:rPr>
            <w:rStyle w:val="Hyperlink"/>
            <w:rFonts w:ascii="Arial" w:hAnsi="Arial" w:cs="Arial"/>
            <w:noProof/>
            <w:color w:val="auto"/>
          </w:rPr>
          <w:t>https://doi.org/10.1016/j.childyouth.2023.107367</w:t>
        </w:r>
      </w:hyperlink>
      <w:r w:rsidRPr="00882953">
        <w:rPr>
          <w:rFonts w:ascii="Arial" w:hAnsi="Arial" w:cs="Arial"/>
          <w:noProof/>
        </w:rPr>
        <w:t xml:space="preserve"> </w:t>
      </w:r>
    </w:p>
    <w:p w14:paraId="282000F9" w14:textId="77777777" w:rsidR="00BA3B9A" w:rsidRPr="00882953" w:rsidRDefault="00BA3B9A" w:rsidP="00BA3B9A">
      <w:pPr>
        <w:pStyle w:val="EndNoteBibliography"/>
        <w:jc w:val="both"/>
        <w:rPr>
          <w:rFonts w:ascii="Arial" w:hAnsi="Arial" w:cs="Arial"/>
          <w:noProof/>
        </w:rPr>
      </w:pPr>
    </w:p>
    <w:p w14:paraId="6ED21C48"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Dansey, D., Shbero, D., &amp; John, M. (2019). Keeping secrets: how children in foster care manage stigma. </w:t>
      </w:r>
      <w:r w:rsidRPr="00882953">
        <w:rPr>
          <w:rFonts w:ascii="Arial" w:hAnsi="Arial" w:cs="Arial"/>
          <w:i/>
          <w:noProof/>
        </w:rPr>
        <w:t>Adoption and Fostering, 43</w:t>
      </w:r>
      <w:r w:rsidRPr="00882953">
        <w:rPr>
          <w:rFonts w:ascii="Arial" w:hAnsi="Arial" w:cs="Arial"/>
          <w:noProof/>
        </w:rPr>
        <w:t xml:space="preserve">(1), 35-45. </w:t>
      </w:r>
      <w:hyperlink r:id="rId25" w:history="1">
        <w:r w:rsidRPr="00882953">
          <w:rPr>
            <w:rStyle w:val="Hyperlink"/>
            <w:rFonts w:ascii="Arial" w:hAnsi="Arial" w:cs="Arial"/>
            <w:noProof/>
            <w:color w:val="auto"/>
          </w:rPr>
          <w:t>https://doi.org/10.1177/0308575918823436</w:t>
        </w:r>
      </w:hyperlink>
      <w:r w:rsidRPr="00882953">
        <w:rPr>
          <w:rFonts w:ascii="Arial" w:hAnsi="Arial" w:cs="Arial"/>
          <w:noProof/>
        </w:rPr>
        <w:t xml:space="preserve"> </w:t>
      </w:r>
    </w:p>
    <w:p w14:paraId="0D93EF78" w14:textId="77777777" w:rsidR="00BA3B9A" w:rsidRPr="00882953" w:rsidRDefault="00BA3B9A" w:rsidP="00BA3B9A">
      <w:pPr>
        <w:pStyle w:val="EndNoteBibliography"/>
        <w:jc w:val="both"/>
        <w:rPr>
          <w:rFonts w:ascii="Arial" w:hAnsi="Arial" w:cs="Arial"/>
          <w:noProof/>
        </w:rPr>
      </w:pPr>
    </w:p>
    <w:p w14:paraId="7F568510"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Denny, E., &amp; Weckesser, A. (2022). Quality not quantity: The value of qualitative research. </w:t>
      </w:r>
      <w:r w:rsidRPr="00882953">
        <w:rPr>
          <w:rFonts w:ascii="Arial" w:hAnsi="Arial" w:cs="Arial"/>
          <w:i/>
          <w:noProof/>
        </w:rPr>
        <w:t>BJOG, 129</w:t>
      </w:r>
      <w:r w:rsidRPr="00882953">
        <w:rPr>
          <w:rFonts w:ascii="Arial" w:hAnsi="Arial" w:cs="Arial"/>
          <w:noProof/>
        </w:rPr>
        <w:t xml:space="preserve">(10), 1799-1800. </w:t>
      </w:r>
      <w:hyperlink r:id="rId26" w:history="1">
        <w:r w:rsidRPr="00882953">
          <w:rPr>
            <w:rStyle w:val="Hyperlink"/>
            <w:rFonts w:ascii="Arial" w:hAnsi="Arial" w:cs="Arial"/>
            <w:noProof/>
            <w:color w:val="auto"/>
          </w:rPr>
          <w:t>https://doi.org/10.1111/1471-0528.17149</w:t>
        </w:r>
      </w:hyperlink>
      <w:r w:rsidRPr="00882953">
        <w:rPr>
          <w:rFonts w:ascii="Arial" w:hAnsi="Arial" w:cs="Arial"/>
          <w:noProof/>
        </w:rPr>
        <w:t xml:space="preserve"> </w:t>
      </w:r>
    </w:p>
    <w:p w14:paraId="353BB90A" w14:textId="77777777" w:rsidR="00BA3B9A" w:rsidRPr="00882953" w:rsidRDefault="00BA3B9A" w:rsidP="00BA3B9A">
      <w:pPr>
        <w:pStyle w:val="EndNoteBibliography"/>
        <w:jc w:val="both"/>
        <w:rPr>
          <w:rFonts w:ascii="Arial" w:hAnsi="Arial" w:cs="Arial"/>
          <w:noProof/>
        </w:rPr>
      </w:pPr>
    </w:p>
    <w:p w14:paraId="4F3682C8" w14:textId="209507A8"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Department for Education. (2018). </w:t>
      </w:r>
      <w:r w:rsidRPr="00882953">
        <w:rPr>
          <w:rFonts w:ascii="Arial" w:hAnsi="Arial" w:cs="Arial"/>
          <w:i/>
          <w:noProof/>
        </w:rPr>
        <w:t>Improved mental health support for children in care</w:t>
      </w:r>
      <w:r w:rsidRPr="00882953">
        <w:rPr>
          <w:rFonts w:ascii="Arial" w:hAnsi="Arial" w:cs="Arial"/>
          <w:noProof/>
        </w:rPr>
        <w:t>. Retrieved 10/0</w:t>
      </w:r>
      <w:r w:rsidR="003D6F9A">
        <w:rPr>
          <w:rFonts w:ascii="Arial" w:hAnsi="Arial" w:cs="Arial"/>
          <w:noProof/>
        </w:rPr>
        <w:t>4</w:t>
      </w:r>
      <w:r w:rsidRPr="00882953">
        <w:rPr>
          <w:rFonts w:ascii="Arial" w:hAnsi="Arial" w:cs="Arial"/>
          <w:noProof/>
        </w:rPr>
        <w:t xml:space="preserve">/2026 from </w:t>
      </w:r>
      <w:hyperlink r:id="rId27" w:history="1">
        <w:r w:rsidRPr="00882953">
          <w:rPr>
            <w:rStyle w:val="Hyperlink"/>
            <w:rFonts w:ascii="Arial" w:hAnsi="Arial" w:cs="Arial"/>
            <w:noProof/>
            <w:color w:val="auto"/>
          </w:rPr>
          <w:t>https://www.gov.uk/government/news/improved-mental-health-support-for-children-in-care</w:t>
        </w:r>
      </w:hyperlink>
    </w:p>
    <w:p w14:paraId="79441DCD" w14:textId="77777777" w:rsidR="00BA3B9A" w:rsidRPr="00882953" w:rsidRDefault="00BA3B9A" w:rsidP="00BA3B9A">
      <w:pPr>
        <w:pStyle w:val="EndNoteBibliography"/>
        <w:jc w:val="both"/>
        <w:rPr>
          <w:rFonts w:ascii="Arial" w:hAnsi="Arial" w:cs="Arial"/>
          <w:noProof/>
        </w:rPr>
      </w:pPr>
    </w:p>
    <w:p w14:paraId="453837EF" w14:textId="6FDC5785"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Department for Education. (2024). </w:t>
      </w:r>
      <w:r w:rsidRPr="00882953">
        <w:rPr>
          <w:rFonts w:ascii="Arial" w:hAnsi="Arial" w:cs="Arial"/>
          <w:i/>
          <w:noProof/>
        </w:rPr>
        <w:t>Children looked after in England including adoptions</w:t>
      </w:r>
      <w:r w:rsidRPr="00882953">
        <w:rPr>
          <w:rFonts w:ascii="Arial" w:hAnsi="Arial" w:cs="Arial"/>
          <w:noProof/>
        </w:rPr>
        <w:t>. Retrieved 1</w:t>
      </w:r>
      <w:r w:rsidR="003D6F9A">
        <w:rPr>
          <w:rFonts w:ascii="Arial" w:hAnsi="Arial" w:cs="Arial"/>
          <w:noProof/>
        </w:rPr>
        <w:t>6</w:t>
      </w:r>
      <w:r w:rsidRPr="00882953">
        <w:rPr>
          <w:rFonts w:ascii="Arial" w:hAnsi="Arial" w:cs="Arial"/>
          <w:noProof/>
        </w:rPr>
        <w:t xml:space="preserve">/03/2026 from </w:t>
      </w:r>
      <w:hyperlink r:id="rId28" w:history="1">
        <w:r w:rsidRPr="00882953">
          <w:rPr>
            <w:rStyle w:val="Hyperlink"/>
            <w:rFonts w:ascii="Arial" w:hAnsi="Arial" w:cs="Arial"/>
            <w:noProof/>
            <w:color w:val="auto"/>
          </w:rPr>
          <w:t>https://explore-education-statistics.service.gov.uk/find-statistics/children-looked-after-in-england-including-adoptions</w:t>
        </w:r>
      </w:hyperlink>
    </w:p>
    <w:p w14:paraId="18C6AC69" w14:textId="77777777" w:rsidR="00BA3B9A" w:rsidRPr="00882953" w:rsidRDefault="00BA3B9A" w:rsidP="00BA3B9A">
      <w:pPr>
        <w:pStyle w:val="EndNoteBibliography"/>
        <w:jc w:val="both"/>
        <w:rPr>
          <w:rFonts w:ascii="Arial" w:hAnsi="Arial" w:cs="Arial"/>
          <w:noProof/>
        </w:rPr>
      </w:pPr>
    </w:p>
    <w:p w14:paraId="18D0F0CB"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Dodgson, J. E. (2019). Reflexivity in Qualitative Research. </w:t>
      </w:r>
      <w:r w:rsidRPr="00882953">
        <w:rPr>
          <w:rFonts w:ascii="Arial" w:hAnsi="Arial" w:cs="Arial"/>
          <w:i/>
          <w:noProof/>
        </w:rPr>
        <w:t>Journal of Human Lactation, 35</w:t>
      </w:r>
      <w:r w:rsidRPr="00882953">
        <w:rPr>
          <w:rFonts w:ascii="Arial" w:hAnsi="Arial" w:cs="Arial"/>
          <w:noProof/>
        </w:rPr>
        <w:t xml:space="preserve">(2), 220-222. </w:t>
      </w:r>
      <w:hyperlink r:id="rId29" w:history="1">
        <w:r w:rsidRPr="00882953">
          <w:rPr>
            <w:rStyle w:val="Hyperlink"/>
            <w:rFonts w:ascii="Arial" w:hAnsi="Arial" w:cs="Arial"/>
            <w:noProof/>
            <w:color w:val="auto"/>
          </w:rPr>
          <w:t>https://doi.org/10.1177/0890334419830990</w:t>
        </w:r>
      </w:hyperlink>
      <w:r w:rsidRPr="00882953">
        <w:rPr>
          <w:rFonts w:ascii="Arial" w:hAnsi="Arial" w:cs="Arial"/>
          <w:noProof/>
        </w:rPr>
        <w:t xml:space="preserve"> </w:t>
      </w:r>
    </w:p>
    <w:p w14:paraId="22B25B83" w14:textId="77777777" w:rsidR="00BA3B9A" w:rsidRPr="00882953" w:rsidRDefault="00BA3B9A" w:rsidP="00BA3B9A">
      <w:pPr>
        <w:pStyle w:val="EndNoteBibliography"/>
        <w:jc w:val="both"/>
        <w:rPr>
          <w:rFonts w:ascii="Arial" w:hAnsi="Arial" w:cs="Arial"/>
          <w:noProof/>
        </w:rPr>
      </w:pPr>
    </w:p>
    <w:p w14:paraId="2F6D7A2C"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lastRenderedPageBreak/>
        <w:t xml:space="preserve">Flick, U. (2019). </w:t>
      </w:r>
      <w:r w:rsidRPr="00882953">
        <w:rPr>
          <w:rFonts w:ascii="Arial" w:hAnsi="Arial" w:cs="Arial"/>
          <w:i/>
          <w:noProof/>
        </w:rPr>
        <w:t>An Introduction to Qualitative Research</w:t>
      </w:r>
      <w:r w:rsidRPr="00882953">
        <w:rPr>
          <w:rFonts w:ascii="Arial" w:hAnsi="Arial" w:cs="Arial"/>
          <w:noProof/>
        </w:rPr>
        <w:t xml:space="preserve"> (6th ed.). SAGE. </w:t>
      </w:r>
    </w:p>
    <w:p w14:paraId="15F4ABB3" w14:textId="77777777" w:rsidR="00BA3B9A" w:rsidRPr="00882953" w:rsidRDefault="00BA3B9A" w:rsidP="00BA3B9A">
      <w:pPr>
        <w:pStyle w:val="EndNoteBibliography"/>
        <w:jc w:val="both"/>
        <w:rPr>
          <w:rFonts w:ascii="Arial" w:hAnsi="Arial" w:cs="Arial"/>
          <w:noProof/>
        </w:rPr>
      </w:pPr>
    </w:p>
    <w:p w14:paraId="666BB0F7" w14:textId="524FADDE"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GDPR. (2025). </w:t>
      </w:r>
      <w:r w:rsidRPr="00882953">
        <w:rPr>
          <w:rFonts w:ascii="Arial" w:hAnsi="Arial" w:cs="Arial"/>
          <w:i/>
          <w:noProof/>
        </w:rPr>
        <w:t>General Data Protection Regulation</w:t>
      </w:r>
      <w:r w:rsidRPr="00882953">
        <w:rPr>
          <w:rFonts w:ascii="Arial" w:hAnsi="Arial" w:cs="Arial"/>
          <w:noProof/>
        </w:rPr>
        <w:t xml:space="preserve">. Retrieved </w:t>
      </w:r>
      <w:r w:rsidR="003D6F9A">
        <w:rPr>
          <w:rFonts w:ascii="Arial" w:hAnsi="Arial" w:cs="Arial"/>
          <w:noProof/>
        </w:rPr>
        <w:t>22</w:t>
      </w:r>
      <w:r w:rsidRPr="00882953">
        <w:rPr>
          <w:rFonts w:ascii="Arial" w:hAnsi="Arial" w:cs="Arial"/>
          <w:noProof/>
        </w:rPr>
        <w:t>/0</w:t>
      </w:r>
      <w:r w:rsidR="003D6F9A">
        <w:rPr>
          <w:rFonts w:ascii="Arial" w:hAnsi="Arial" w:cs="Arial"/>
          <w:noProof/>
        </w:rPr>
        <w:t>4</w:t>
      </w:r>
      <w:r w:rsidRPr="00882953">
        <w:rPr>
          <w:rFonts w:ascii="Arial" w:hAnsi="Arial" w:cs="Arial"/>
          <w:noProof/>
        </w:rPr>
        <w:t xml:space="preserve">/2026 from </w:t>
      </w:r>
      <w:hyperlink r:id="rId30" w:history="1">
        <w:r w:rsidRPr="00882953">
          <w:rPr>
            <w:rStyle w:val="Hyperlink"/>
            <w:rFonts w:ascii="Arial" w:hAnsi="Arial" w:cs="Arial"/>
            <w:noProof/>
            <w:color w:val="auto"/>
          </w:rPr>
          <w:t>https://gdpr-info.eu/</w:t>
        </w:r>
      </w:hyperlink>
    </w:p>
    <w:p w14:paraId="4C70E3BF" w14:textId="77777777" w:rsidR="00BA3B9A" w:rsidRPr="00882953" w:rsidRDefault="00BA3B9A" w:rsidP="00BA3B9A">
      <w:pPr>
        <w:pStyle w:val="EndNoteBibliography"/>
        <w:jc w:val="both"/>
        <w:rPr>
          <w:rFonts w:ascii="Arial" w:hAnsi="Arial" w:cs="Arial"/>
          <w:noProof/>
        </w:rPr>
      </w:pPr>
    </w:p>
    <w:p w14:paraId="21DE056F"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Gray, D. E. (2017). </w:t>
      </w:r>
      <w:r w:rsidRPr="00882953">
        <w:rPr>
          <w:rFonts w:ascii="Arial" w:hAnsi="Arial" w:cs="Arial"/>
          <w:i/>
          <w:noProof/>
        </w:rPr>
        <w:t>Doing Research in the Real World</w:t>
      </w:r>
      <w:r w:rsidRPr="00882953">
        <w:rPr>
          <w:rFonts w:ascii="Arial" w:hAnsi="Arial" w:cs="Arial"/>
          <w:noProof/>
        </w:rPr>
        <w:t xml:space="preserve"> (4th ed.). SAGE. </w:t>
      </w:r>
    </w:p>
    <w:p w14:paraId="5D832E24" w14:textId="77777777" w:rsidR="00BA3B9A" w:rsidRPr="00882953" w:rsidRDefault="00BA3B9A" w:rsidP="00BA3B9A">
      <w:pPr>
        <w:pStyle w:val="EndNoteBibliography"/>
        <w:jc w:val="both"/>
        <w:rPr>
          <w:rFonts w:ascii="Arial" w:hAnsi="Arial" w:cs="Arial"/>
          <w:noProof/>
        </w:rPr>
      </w:pPr>
    </w:p>
    <w:p w14:paraId="0C8E0B79"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Holinger, P. (2022). </w:t>
      </w:r>
      <w:r w:rsidRPr="00882953">
        <w:rPr>
          <w:rFonts w:ascii="Arial" w:hAnsi="Arial" w:cs="Arial"/>
          <w:i/>
          <w:noProof/>
        </w:rPr>
        <w:t>The Role of Language in Bias, Prejudice, and Violence</w:t>
      </w:r>
      <w:r w:rsidRPr="00882953">
        <w:rPr>
          <w:rFonts w:ascii="Arial" w:hAnsi="Arial" w:cs="Arial"/>
          <w:noProof/>
        </w:rPr>
        <w:t xml:space="preserve">. Retrieved 10/03/2026 from </w:t>
      </w:r>
      <w:hyperlink r:id="rId31" w:history="1">
        <w:r w:rsidRPr="00882953">
          <w:rPr>
            <w:rStyle w:val="Hyperlink"/>
            <w:rFonts w:ascii="Arial" w:hAnsi="Arial" w:cs="Arial"/>
            <w:noProof/>
            <w:color w:val="auto"/>
          </w:rPr>
          <w:t>https://www.psychologytoday.com/gb/blog/great-kids-great-parents/202210/the-role-language-in-bias-prejudice-and-violence</w:t>
        </w:r>
      </w:hyperlink>
    </w:p>
    <w:p w14:paraId="405AE61E" w14:textId="77777777" w:rsidR="00BA3B9A" w:rsidRPr="00882953" w:rsidRDefault="00BA3B9A" w:rsidP="00BA3B9A">
      <w:pPr>
        <w:pStyle w:val="EndNoteBibliography"/>
        <w:jc w:val="both"/>
        <w:rPr>
          <w:rFonts w:ascii="Arial" w:hAnsi="Arial" w:cs="Arial"/>
          <w:noProof/>
        </w:rPr>
      </w:pPr>
    </w:p>
    <w:p w14:paraId="7A3AD979" w14:textId="5A0F42E8"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Jacob-Thomson, C. (2021). </w:t>
      </w:r>
      <w:r w:rsidRPr="00882953">
        <w:rPr>
          <w:rFonts w:ascii="Arial" w:hAnsi="Arial" w:cs="Arial"/>
          <w:i/>
          <w:noProof/>
        </w:rPr>
        <w:t>Changing the language of care</w:t>
      </w:r>
      <w:r w:rsidRPr="00882953">
        <w:rPr>
          <w:rFonts w:ascii="Arial" w:hAnsi="Arial" w:cs="Arial"/>
          <w:noProof/>
        </w:rPr>
        <w:t>. Retrieved 1</w:t>
      </w:r>
      <w:r w:rsidR="003D6F9A">
        <w:rPr>
          <w:rFonts w:ascii="Arial" w:hAnsi="Arial" w:cs="Arial"/>
          <w:noProof/>
        </w:rPr>
        <w:t>6</w:t>
      </w:r>
      <w:r w:rsidRPr="00882953">
        <w:rPr>
          <w:rFonts w:ascii="Arial" w:hAnsi="Arial" w:cs="Arial"/>
          <w:noProof/>
        </w:rPr>
        <w:t xml:space="preserve">/03/2026 from </w:t>
      </w:r>
      <w:hyperlink r:id="rId32" w:history="1">
        <w:r w:rsidRPr="00882953">
          <w:rPr>
            <w:rStyle w:val="Hyperlink"/>
            <w:rFonts w:ascii="Arial" w:hAnsi="Arial" w:cs="Arial"/>
            <w:noProof/>
            <w:color w:val="auto"/>
          </w:rPr>
          <w:t>https://www.bps.org.uk/psychologist/changing-language-care</w:t>
        </w:r>
      </w:hyperlink>
    </w:p>
    <w:p w14:paraId="3EB5E939" w14:textId="77777777" w:rsidR="00BA3B9A" w:rsidRPr="00882953" w:rsidRDefault="00BA3B9A" w:rsidP="00BA3B9A">
      <w:pPr>
        <w:pStyle w:val="EndNoteBibliography"/>
        <w:jc w:val="both"/>
        <w:rPr>
          <w:rFonts w:ascii="Arial" w:hAnsi="Arial" w:cs="Arial"/>
          <w:noProof/>
        </w:rPr>
      </w:pPr>
    </w:p>
    <w:p w14:paraId="63C109B2"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Jarlby, F., Goosen, S., Derluyn, I., Vitus, K., &amp; Jervelund, S. S. (2018). What can we learn from unaccompanied refugee adolescents' perspectives on mental health care in exile? </w:t>
      </w:r>
      <w:r w:rsidRPr="00882953">
        <w:rPr>
          <w:rFonts w:ascii="Arial" w:hAnsi="Arial" w:cs="Arial"/>
          <w:i/>
          <w:noProof/>
        </w:rPr>
        <w:t>Eur J Pediatr, 177</w:t>
      </w:r>
      <w:r w:rsidRPr="00882953">
        <w:rPr>
          <w:rFonts w:ascii="Arial" w:hAnsi="Arial" w:cs="Arial"/>
          <w:noProof/>
        </w:rPr>
        <w:t xml:space="preserve">(12), 1767-1774. </w:t>
      </w:r>
      <w:hyperlink r:id="rId33" w:history="1">
        <w:r w:rsidRPr="00882953">
          <w:rPr>
            <w:rStyle w:val="Hyperlink"/>
            <w:rFonts w:ascii="Arial" w:hAnsi="Arial" w:cs="Arial"/>
            <w:noProof/>
            <w:color w:val="auto"/>
          </w:rPr>
          <w:t>https://doi.org/10.1007/s00431-018-3249-0</w:t>
        </w:r>
      </w:hyperlink>
      <w:r w:rsidRPr="00882953">
        <w:rPr>
          <w:rFonts w:ascii="Arial" w:hAnsi="Arial" w:cs="Arial"/>
          <w:noProof/>
        </w:rPr>
        <w:t xml:space="preserve"> </w:t>
      </w:r>
    </w:p>
    <w:p w14:paraId="7F9DD145" w14:textId="77777777" w:rsidR="00BA3B9A" w:rsidRPr="00882953" w:rsidRDefault="00BA3B9A" w:rsidP="00BA3B9A">
      <w:pPr>
        <w:pStyle w:val="EndNoteBibliography"/>
        <w:jc w:val="both"/>
        <w:rPr>
          <w:rFonts w:ascii="Arial" w:hAnsi="Arial" w:cs="Arial"/>
          <w:noProof/>
        </w:rPr>
      </w:pPr>
    </w:p>
    <w:p w14:paraId="64723B93"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Jones, L., Dean, C., Dunhill, A., Hope, M. A., &amp; Shaw, P. A. (2020). ‘We are the same as everyone else just with a different and unique backstory’: Identity, belonging and ‘othering’ within education for young people who are ‘looked after’. </w:t>
      </w:r>
      <w:r w:rsidRPr="00882953">
        <w:rPr>
          <w:rFonts w:ascii="Arial" w:hAnsi="Arial" w:cs="Arial"/>
          <w:i/>
          <w:noProof/>
        </w:rPr>
        <w:t>Children &amp; Society, 34</w:t>
      </w:r>
      <w:r w:rsidRPr="00882953">
        <w:rPr>
          <w:rFonts w:ascii="Arial" w:hAnsi="Arial" w:cs="Arial"/>
          <w:noProof/>
        </w:rPr>
        <w:t xml:space="preserve">(6), 492-506. </w:t>
      </w:r>
      <w:hyperlink r:id="rId34" w:history="1">
        <w:r w:rsidRPr="00882953">
          <w:rPr>
            <w:rStyle w:val="Hyperlink"/>
            <w:rFonts w:ascii="Arial" w:hAnsi="Arial" w:cs="Arial"/>
            <w:noProof/>
            <w:color w:val="auto"/>
          </w:rPr>
          <w:t>https://doi.org/https://doi.org/10.1111/chso.12382</w:t>
        </w:r>
      </w:hyperlink>
      <w:r w:rsidRPr="00882953">
        <w:rPr>
          <w:rFonts w:ascii="Arial" w:hAnsi="Arial" w:cs="Arial"/>
          <w:noProof/>
        </w:rPr>
        <w:t xml:space="preserve"> </w:t>
      </w:r>
    </w:p>
    <w:p w14:paraId="0D646BD2" w14:textId="77777777" w:rsidR="00BA3B9A" w:rsidRPr="00882953" w:rsidRDefault="00BA3B9A" w:rsidP="00BA3B9A">
      <w:pPr>
        <w:pStyle w:val="EndNoteBibliography"/>
        <w:jc w:val="both"/>
        <w:rPr>
          <w:rFonts w:ascii="Arial" w:hAnsi="Arial" w:cs="Arial"/>
          <w:noProof/>
        </w:rPr>
      </w:pPr>
    </w:p>
    <w:p w14:paraId="6088FC9A" w14:textId="4880412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Majumder, P. (2015). </w:t>
      </w:r>
      <w:r w:rsidRPr="00882953">
        <w:rPr>
          <w:rFonts w:ascii="Arial" w:hAnsi="Arial" w:cs="Arial"/>
          <w:i/>
          <w:noProof/>
        </w:rPr>
        <w:t>Unaccompanied Refugee Minors’ Experiences of Mental Health Services</w:t>
      </w:r>
      <w:r w:rsidRPr="00882953">
        <w:rPr>
          <w:rFonts w:ascii="Arial" w:hAnsi="Arial" w:cs="Arial"/>
          <w:noProof/>
        </w:rPr>
        <w:t xml:space="preserve">. Retrieved </w:t>
      </w:r>
      <w:r w:rsidR="003D6F9A">
        <w:rPr>
          <w:rFonts w:ascii="Arial" w:hAnsi="Arial" w:cs="Arial"/>
          <w:noProof/>
        </w:rPr>
        <w:t>22</w:t>
      </w:r>
      <w:r w:rsidRPr="00882953">
        <w:rPr>
          <w:rFonts w:ascii="Arial" w:hAnsi="Arial" w:cs="Arial"/>
          <w:noProof/>
        </w:rPr>
        <w:t xml:space="preserve">/03/2026 from </w:t>
      </w:r>
      <w:hyperlink r:id="rId35" w:history="1">
        <w:r w:rsidRPr="00882953">
          <w:rPr>
            <w:rStyle w:val="Hyperlink"/>
            <w:rFonts w:ascii="Arial" w:hAnsi="Arial" w:cs="Arial"/>
            <w:noProof/>
            <w:color w:val="auto"/>
          </w:rPr>
          <w:t>https://figshare.le.ac.uk/articles/thesis/Unaccompanied_Refugee_Minors_Experiences_of_Mental_Health_Services/10166504?file=18322034</w:t>
        </w:r>
      </w:hyperlink>
    </w:p>
    <w:p w14:paraId="024F8B52" w14:textId="77777777" w:rsidR="00BA3B9A" w:rsidRPr="00882953" w:rsidRDefault="00BA3B9A" w:rsidP="00BA3B9A">
      <w:pPr>
        <w:pStyle w:val="EndNoteBibliography"/>
        <w:jc w:val="both"/>
        <w:rPr>
          <w:rFonts w:ascii="Arial" w:hAnsi="Arial" w:cs="Arial"/>
          <w:noProof/>
        </w:rPr>
      </w:pPr>
    </w:p>
    <w:p w14:paraId="40A0876E"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Mannay, D., Evans, R., Staples, E., Hallett, S., Roberts, L., Rees, A., &amp; Andrews, D. (2017). The consequences of being labelled ‘looked-after’: Exploring the educational experiences of looked-after children and young people in Wales. </w:t>
      </w:r>
      <w:r w:rsidRPr="00882953">
        <w:rPr>
          <w:rFonts w:ascii="Arial" w:hAnsi="Arial" w:cs="Arial"/>
          <w:i/>
          <w:noProof/>
        </w:rPr>
        <w:t>British Educational Research Journal, 43</w:t>
      </w:r>
      <w:r w:rsidRPr="00882953">
        <w:rPr>
          <w:rFonts w:ascii="Arial" w:hAnsi="Arial" w:cs="Arial"/>
          <w:noProof/>
        </w:rPr>
        <w:t xml:space="preserve">(4), 683-699. </w:t>
      </w:r>
      <w:hyperlink r:id="rId36" w:history="1">
        <w:r w:rsidRPr="00882953">
          <w:rPr>
            <w:rStyle w:val="Hyperlink"/>
            <w:rFonts w:ascii="Arial" w:hAnsi="Arial" w:cs="Arial"/>
            <w:noProof/>
            <w:color w:val="auto"/>
          </w:rPr>
          <w:t>https://doi.org/10.1002/berj.3283</w:t>
        </w:r>
      </w:hyperlink>
      <w:r w:rsidRPr="00882953">
        <w:rPr>
          <w:rFonts w:ascii="Arial" w:hAnsi="Arial" w:cs="Arial"/>
          <w:noProof/>
        </w:rPr>
        <w:t xml:space="preserve"> </w:t>
      </w:r>
    </w:p>
    <w:p w14:paraId="69785B1B" w14:textId="77777777" w:rsidR="00BA3B9A" w:rsidRPr="00882953" w:rsidRDefault="00BA3B9A" w:rsidP="00BA3B9A">
      <w:pPr>
        <w:pStyle w:val="EndNoteBibliography"/>
        <w:jc w:val="both"/>
        <w:rPr>
          <w:rFonts w:ascii="Arial" w:hAnsi="Arial" w:cs="Arial"/>
          <w:noProof/>
        </w:rPr>
      </w:pPr>
    </w:p>
    <w:p w14:paraId="494C0AFA"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Noble, H., &amp; Smith, J. (2015). Issues of validity and reliability in qualitative research. </w:t>
      </w:r>
      <w:r w:rsidRPr="00882953">
        <w:rPr>
          <w:rFonts w:ascii="Arial" w:hAnsi="Arial" w:cs="Arial"/>
          <w:i/>
          <w:noProof/>
        </w:rPr>
        <w:t>Evidence Based Nursing, 18</w:t>
      </w:r>
      <w:r w:rsidRPr="00882953">
        <w:rPr>
          <w:rFonts w:ascii="Arial" w:hAnsi="Arial" w:cs="Arial"/>
          <w:noProof/>
        </w:rPr>
        <w:t xml:space="preserve">(2), 34-35. </w:t>
      </w:r>
      <w:hyperlink r:id="rId37" w:history="1">
        <w:r w:rsidRPr="00882953">
          <w:rPr>
            <w:rStyle w:val="Hyperlink"/>
            <w:rFonts w:ascii="Arial" w:hAnsi="Arial" w:cs="Arial"/>
            <w:noProof/>
            <w:color w:val="auto"/>
          </w:rPr>
          <w:t>https://doi.org/10.1136/eb-2015-102054</w:t>
        </w:r>
      </w:hyperlink>
      <w:r w:rsidRPr="00882953">
        <w:rPr>
          <w:rFonts w:ascii="Arial" w:hAnsi="Arial" w:cs="Arial"/>
          <w:noProof/>
        </w:rPr>
        <w:t xml:space="preserve"> </w:t>
      </w:r>
    </w:p>
    <w:p w14:paraId="054DEF71" w14:textId="77777777" w:rsidR="00BA3B9A" w:rsidRPr="00882953" w:rsidRDefault="00BA3B9A" w:rsidP="00BA3B9A">
      <w:pPr>
        <w:pStyle w:val="EndNoteBibliography"/>
        <w:jc w:val="both"/>
        <w:rPr>
          <w:rFonts w:ascii="Arial" w:hAnsi="Arial" w:cs="Arial"/>
          <w:noProof/>
        </w:rPr>
      </w:pPr>
    </w:p>
    <w:p w14:paraId="19E774A1"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Nowell, L. S., Norris, J. M., White, D. E., &amp; Moules, N. J. (2017). Thematic Analysis: Striving to Meet the Trustworthiness Criteria. </w:t>
      </w:r>
      <w:r w:rsidRPr="00882953">
        <w:rPr>
          <w:rFonts w:ascii="Arial" w:hAnsi="Arial" w:cs="Arial"/>
          <w:i/>
          <w:noProof/>
        </w:rPr>
        <w:t>International Journal of Qualitative Methods, 16</w:t>
      </w:r>
      <w:r w:rsidRPr="00882953">
        <w:rPr>
          <w:rFonts w:ascii="Arial" w:hAnsi="Arial" w:cs="Arial"/>
          <w:noProof/>
        </w:rPr>
        <w:t xml:space="preserve">(1), 1-13. </w:t>
      </w:r>
      <w:hyperlink r:id="rId38" w:history="1">
        <w:r w:rsidRPr="00882953">
          <w:rPr>
            <w:rStyle w:val="Hyperlink"/>
            <w:rFonts w:ascii="Arial" w:hAnsi="Arial" w:cs="Arial"/>
            <w:noProof/>
            <w:color w:val="auto"/>
          </w:rPr>
          <w:t>https://doi.org/10.1177/1609406917733847</w:t>
        </w:r>
      </w:hyperlink>
      <w:r w:rsidRPr="00882953">
        <w:rPr>
          <w:rFonts w:ascii="Arial" w:hAnsi="Arial" w:cs="Arial"/>
          <w:noProof/>
        </w:rPr>
        <w:t xml:space="preserve"> </w:t>
      </w:r>
    </w:p>
    <w:p w14:paraId="5F720F44" w14:textId="77777777" w:rsidR="00BA3B9A" w:rsidRPr="00882953" w:rsidRDefault="00BA3B9A" w:rsidP="00BA3B9A">
      <w:pPr>
        <w:pStyle w:val="EndNoteBibliography"/>
        <w:jc w:val="both"/>
        <w:rPr>
          <w:rFonts w:ascii="Arial" w:hAnsi="Arial" w:cs="Arial"/>
          <w:noProof/>
        </w:rPr>
      </w:pPr>
    </w:p>
    <w:p w14:paraId="35C0882F" w14:textId="52BA53FC"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NSPCC. (2023). </w:t>
      </w:r>
      <w:r w:rsidRPr="00882953">
        <w:rPr>
          <w:rFonts w:ascii="Arial" w:hAnsi="Arial" w:cs="Arial"/>
          <w:i/>
          <w:noProof/>
        </w:rPr>
        <w:t>Why language matters: why you should avoid the acronym 'LAC' when talking about children in care</w:t>
      </w:r>
      <w:r w:rsidRPr="00882953">
        <w:rPr>
          <w:rFonts w:ascii="Arial" w:hAnsi="Arial" w:cs="Arial"/>
          <w:noProof/>
        </w:rPr>
        <w:t xml:space="preserve">. Retrieved </w:t>
      </w:r>
      <w:r w:rsidR="003D6F9A">
        <w:rPr>
          <w:rFonts w:ascii="Arial" w:hAnsi="Arial" w:cs="Arial"/>
          <w:noProof/>
        </w:rPr>
        <w:t>23</w:t>
      </w:r>
      <w:r w:rsidRPr="00882953">
        <w:rPr>
          <w:rFonts w:ascii="Arial" w:hAnsi="Arial" w:cs="Arial"/>
          <w:noProof/>
        </w:rPr>
        <w:t xml:space="preserve">/03/2026 from </w:t>
      </w:r>
      <w:hyperlink r:id="rId39" w:history="1">
        <w:r w:rsidRPr="00882953">
          <w:rPr>
            <w:rStyle w:val="Hyperlink"/>
            <w:rFonts w:ascii="Arial" w:hAnsi="Arial" w:cs="Arial"/>
            <w:noProof/>
            <w:color w:val="auto"/>
          </w:rPr>
          <w:t>https://learning.nspcc.org.uk/news/why-language-matters/looked-after-children</w:t>
        </w:r>
      </w:hyperlink>
    </w:p>
    <w:p w14:paraId="36353CCE" w14:textId="77777777" w:rsidR="00BA3B9A" w:rsidRPr="00882953" w:rsidRDefault="00BA3B9A" w:rsidP="00BA3B9A">
      <w:pPr>
        <w:pStyle w:val="EndNoteBibliography"/>
        <w:jc w:val="both"/>
        <w:rPr>
          <w:rFonts w:ascii="Arial" w:hAnsi="Arial" w:cs="Arial"/>
          <w:noProof/>
        </w:rPr>
      </w:pPr>
    </w:p>
    <w:p w14:paraId="336A7A7C" w14:textId="712DD253"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lastRenderedPageBreak/>
        <w:t xml:space="preserve">NSPCC. (2024). </w:t>
      </w:r>
      <w:r w:rsidRPr="00882953">
        <w:rPr>
          <w:rFonts w:ascii="Arial" w:hAnsi="Arial" w:cs="Arial"/>
          <w:i/>
          <w:noProof/>
        </w:rPr>
        <w:t>Children in care</w:t>
      </w:r>
      <w:r w:rsidRPr="00882953">
        <w:rPr>
          <w:rFonts w:ascii="Arial" w:hAnsi="Arial" w:cs="Arial"/>
          <w:noProof/>
        </w:rPr>
        <w:t>. Retrieved 1</w:t>
      </w:r>
      <w:r w:rsidR="003D6F9A">
        <w:rPr>
          <w:rFonts w:ascii="Arial" w:hAnsi="Arial" w:cs="Arial"/>
          <w:noProof/>
        </w:rPr>
        <w:t>4</w:t>
      </w:r>
      <w:r w:rsidRPr="00882953">
        <w:rPr>
          <w:rFonts w:ascii="Arial" w:hAnsi="Arial" w:cs="Arial"/>
          <w:noProof/>
        </w:rPr>
        <w:t xml:space="preserve">/03/2026 from </w:t>
      </w:r>
      <w:hyperlink r:id="rId40" w:history="1">
        <w:r w:rsidRPr="00882953">
          <w:rPr>
            <w:rStyle w:val="Hyperlink"/>
            <w:rFonts w:ascii="Arial" w:hAnsi="Arial" w:cs="Arial"/>
            <w:noProof/>
            <w:color w:val="auto"/>
          </w:rPr>
          <w:t>https://learning.nspcc.org.uk/children-and-families-at-risk/looked-after-children</w:t>
        </w:r>
      </w:hyperlink>
    </w:p>
    <w:p w14:paraId="16E9C41C" w14:textId="77777777" w:rsidR="00BA3B9A" w:rsidRPr="00882953" w:rsidRDefault="00BA3B9A" w:rsidP="00BA3B9A">
      <w:pPr>
        <w:pStyle w:val="EndNoteBibliography"/>
        <w:jc w:val="both"/>
        <w:rPr>
          <w:rFonts w:ascii="Arial" w:hAnsi="Arial" w:cs="Arial"/>
          <w:noProof/>
        </w:rPr>
      </w:pPr>
    </w:p>
    <w:p w14:paraId="21153094"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Reeves, S., Kuper, A., &amp; Hodges, B. D. (2008). Qualitative research methodologies: ethnography.</w:t>
      </w:r>
      <w:r w:rsidRPr="00882953">
        <w:rPr>
          <w:rFonts w:ascii="Arial" w:hAnsi="Arial" w:cs="Arial"/>
          <w:i/>
          <w:noProof/>
        </w:rPr>
        <w:t xml:space="preserve"> 337</w:t>
      </w:r>
      <w:r w:rsidRPr="00882953">
        <w:rPr>
          <w:rFonts w:ascii="Arial" w:hAnsi="Arial" w:cs="Arial"/>
          <w:noProof/>
        </w:rPr>
        <w:t xml:space="preserve">, 1020-1027. </w:t>
      </w:r>
      <w:hyperlink r:id="rId41" w:history="1">
        <w:r w:rsidRPr="00882953">
          <w:rPr>
            <w:rStyle w:val="Hyperlink"/>
            <w:rFonts w:ascii="Arial" w:hAnsi="Arial" w:cs="Arial"/>
            <w:noProof/>
            <w:color w:val="auto"/>
          </w:rPr>
          <w:t>https://doi.org/10.1136/bmj.a1020</w:t>
        </w:r>
      </w:hyperlink>
      <w:r w:rsidRPr="00882953">
        <w:rPr>
          <w:rFonts w:ascii="Arial" w:hAnsi="Arial" w:cs="Arial"/>
          <w:noProof/>
        </w:rPr>
        <w:t xml:space="preserve"> %J BMJ </w:t>
      </w:r>
    </w:p>
    <w:p w14:paraId="44F55F67" w14:textId="77777777" w:rsidR="00BA3B9A" w:rsidRPr="00882953" w:rsidRDefault="00BA3B9A" w:rsidP="00BA3B9A">
      <w:pPr>
        <w:pStyle w:val="EndNoteBibliography"/>
        <w:jc w:val="both"/>
        <w:rPr>
          <w:rFonts w:ascii="Arial" w:hAnsi="Arial" w:cs="Arial"/>
          <w:noProof/>
        </w:rPr>
      </w:pPr>
    </w:p>
    <w:p w14:paraId="1459D0C1"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Richards, R. (2014). </w:t>
      </w:r>
      <w:r w:rsidRPr="00882953">
        <w:rPr>
          <w:rFonts w:ascii="Arial" w:hAnsi="Arial" w:cs="Arial"/>
          <w:i/>
          <w:noProof/>
        </w:rPr>
        <w:t>Can 'clunky language' be good for mental health?</w:t>
      </w:r>
      <w:r w:rsidRPr="00882953">
        <w:rPr>
          <w:rFonts w:ascii="Arial" w:hAnsi="Arial" w:cs="Arial"/>
          <w:noProof/>
        </w:rPr>
        <w:t xml:space="preserve"> Retrieved 10/03/2026 from </w:t>
      </w:r>
      <w:hyperlink r:id="rId42" w:history="1">
        <w:r w:rsidRPr="00882953">
          <w:rPr>
            <w:rStyle w:val="Hyperlink"/>
            <w:rFonts w:ascii="Arial" w:hAnsi="Arial" w:cs="Arial"/>
            <w:noProof/>
            <w:color w:val="auto"/>
          </w:rPr>
          <w:t>https://www.mind.org.uk/information-support/your-stories/can-clunky-language-be-good-for-mental-health/</w:t>
        </w:r>
      </w:hyperlink>
    </w:p>
    <w:p w14:paraId="54AA49E3" w14:textId="77777777" w:rsidR="00BA3B9A" w:rsidRPr="00882953" w:rsidRDefault="00BA3B9A" w:rsidP="00BA3B9A">
      <w:pPr>
        <w:pStyle w:val="EndNoteBibliography"/>
        <w:jc w:val="both"/>
        <w:rPr>
          <w:rFonts w:ascii="Arial" w:hAnsi="Arial" w:cs="Arial"/>
          <w:noProof/>
        </w:rPr>
      </w:pPr>
    </w:p>
    <w:p w14:paraId="23E17823"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Rogerson, C. V., Prescott, D. E., &amp; Howard, H. G. (2022). Teaching social work students the influence of explicit and implicit bias: promoting ethical reflection in practice. </w:t>
      </w:r>
      <w:r w:rsidRPr="00882953">
        <w:rPr>
          <w:rFonts w:ascii="Arial" w:hAnsi="Arial" w:cs="Arial"/>
          <w:i/>
          <w:noProof/>
        </w:rPr>
        <w:t>Social Work Education, 41</w:t>
      </w:r>
      <w:r w:rsidRPr="00882953">
        <w:rPr>
          <w:rFonts w:ascii="Arial" w:hAnsi="Arial" w:cs="Arial"/>
          <w:noProof/>
        </w:rPr>
        <w:t xml:space="preserve">(5), 1035-1046. </w:t>
      </w:r>
      <w:hyperlink r:id="rId43" w:history="1">
        <w:r w:rsidRPr="00882953">
          <w:rPr>
            <w:rStyle w:val="Hyperlink"/>
            <w:rFonts w:ascii="Arial" w:hAnsi="Arial" w:cs="Arial"/>
            <w:noProof/>
            <w:color w:val="auto"/>
          </w:rPr>
          <w:t>https://doi.org/10.1080/02615479.2021.1910652</w:t>
        </w:r>
      </w:hyperlink>
      <w:r w:rsidRPr="00882953">
        <w:rPr>
          <w:rFonts w:ascii="Arial" w:hAnsi="Arial" w:cs="Arial"/>
          <w:noProof/>
        </w:rPr>
        <w:t xml:space="preserve"> </w:t>
      </w:r>
    </w:p>
    <w:p w14:paraId="1BCA950F" w14:textId="77777777" w:rsidR="00BA3B9A" w:rsidRPr="00882953" w:rsidRDefault="00BA3B9A" w:rsidP="00BA3B9A">
      <w:pPr>
        <w:pStyle w:val="EndNoteBibliography"/>
        <w:jc w:val="both"/>
        <w:rPr>
          <w:rFonts w:ascii="Arial" w:hAnsi="Arial" w:cs="Arial"/>
          <w:noProof/>
        </w:rPr>
      </w:pPr>
    </w:p>
    <w:p w14:paraId="45C518B8"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Sargent, K., &amp; O'Brien, K. (2004). The Emotional and Behavioural Difficulties of Looked after Children: Foster Carers' Perspectives and an Indirect Model of Placement Support. </w:t>
      </w:r>
      <w:r w:rsidRPr="00882953">
        <w:rPr>
          <w:rFonts w:ascii="Arial" w:hAnsi="Arial" w:cs="Arial"/>
          <w:i/>
          <w:noProof/>
        </w:rPr>
        <w:t>Adoption and Fostering Journal, 28</w:t>
      </w:r>
      <w:r w:rsidRPr="00882953">
        <w:rPr>
          <w:rFonts w:ascii="Arial" w:hAnsi="Arial" w:cs="Arial"/>
          <w:noProof/>
        </w:rPr>
        <w:t xml:space="preserve">(1), 31-37. </w:t>
      </w:r>
      <w:hyperlink r:id="rId44" w:history="1">
        <w:r w:rsidRPr="00882953">
          <w:rPr>
            <w:rStyle w:val="Hyperlink"/>
            <w:rFonts w:ascii="Arial" w:hAnsi="Arial" w:cs="Arial"/>
            <w:noProof/>
            <w:color w:val="auto"/>
          </w:rPr>
          <w:t>https://doi.org/10.1177/030857590402800205</w:t>
        </w:r>
      </w:hyperlink>
      <w:r w:rsidRPr="00882953">
        <w:rPr>
          <w:rFonts w:ascii="Arial" w:hAnsi="Arial" w:cs="Arial"/>
          <w:noProof/>
        </w:rPr>
        <w:t xml:space="preserve"> </w:t>
      </w:r>
    </w:p>
    <w:p w14:paraId="3552347E" w14:textId="77777777" w:rsidR="00BA3B9A" w:rsidRPr="00882953" w:rsidRDefault="00BA3B9A" w:rsidP="00BA3B9A">
      <w:pPr>
        <w:pStyle w:val="EndNoteBibliography"/>
        <w:jc w:val="both"/>
        <w:rPr>
          <w:rFonts w:ascii="Arial" w:hAnsi="Arial" w:cs="Arial"/>
          <w:noProof/>
        </w:rPr>
      </w:pPr>
    </w:p>
    <w:p w14:paraId="2DB4A3F6"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Sattler, K. M. P., &amp; Font, S. A. (2018). Resilience in young children involved with child protective services. </w:t>
      </w:r>
      <w:r w:rsidRPr="00882953">
        <w:rPr>
          <w:rFonts w:ascii="Arial" w:hAnsi="Arial" w:cs="Arial"/>
          <w:i/>
          <w:noProof/>
        </w:rPr>
        <w:t>Child Abuse Negl, 75</w:t>
      </w:r>
      <w:r w:rsidRPr="00882953">
        <w:rPr>
          <w:rFonts w:ascii="Arial" w:hAnsi="Arial" w:cs="Arial"/>
          <w:noProof/>
        </w:rPr>
        <w:t xml:space="preserve">(1), 104-114. </w:t>
      </w:r>
      <w:hyperlink r:id="rId45" w:history="1">
        <w:r w:rsidRPr="00882953">
          <w:rPr>
            <w:rStyle w:val="Hyperlink"/>
            <w:rFonts w:ascii="Arial" w:hAnsi="Arial" w:cs="Arial"/>
            <w:noProof/>
            <w:color w:val="auto"/>
          </w:rPr>
          <w:t>https://doi.org/10.1016/j.chiabu.2017.05.004</w:t>
        </w:r>
      </w:hyperlink>
      <w:r w:rsidRPr="00882953">
        <w:rPr>
          <w:rFonts w:ascii="Arial" w:hAnsi="Arial" w:cs="Arial"/>
          <w:noProof/>
        </w:rPr>
        <w:t xml:space="preserve"> </w:t>
      </w:r>
    </w:p>
    <w:p w14:paraId="0602D436" w14:textId="77777777" w:rsidR="00BA3B9A" w:rsidRPr="00882953" w:rsidRDefault="00BA3B9A" w:rsidP="00BA3B9A">
      <w:pPr>
        <w:pStyle w:val="EndNoteBibliography"/>
        <w:jc w:val="both"/>
        <w:rPr>
          <w:rFonts w:ascii="Arial" w:hAnsi="Arial" w:cs="Arial"/>
          <w:noProof/>
        </w:rPr>
      </w:pPr>
    </w:p>
    <w:p w14:paraId="3593C5CE"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Saunders, B., Sim, J., Kingstone, T., Baker, S., Waterfield, J., Bartlam, B., Burroughs, H., &amp; Jinks, C. (2017). Saturation in qualitative research: exploring its conceptualization and operationalization. </w:t>
      </w:r>
      <w:r w:rsidRPr="00882953">
        <w:rPr>
          <w:rFonts w:ascii="Arial" w:hAnsi="Arial" w:cs="Arial"/>
          <w:i/>
          <w:noProof/>
        </w:rPr>
        <w:t>Quality Quantity, 1</w:t>
      </w:r>
      <w:r w:rsidRPr="00882953">
        <w:rPr>
          <w:rFonts w:ascii="Arial" w:hAnsi="Arial" w:cs="Arial"/>
          <w:noProof/>
        </w:rPr>
        <w:t xml:space="preserve">(1), 1-15. </w:t>
      </w:r>
      <w:hyperlink r:id="rId46" w:history="1">
        <w:r w:rsidRPr="00882953">
          <w:rPr>
            <w:rStyle w:val="Hyperlink"/>
            <w:rFonts w:ascii="Arial" w:hAnsi="Arial" w:cs="Arial"/>
            <w:noProof/>
            <w:color w:val="auto"/>
          </w:rPr>
          <w:t>https://doi.org/10.1007/s11135-017-0574-8</w:t>
        </w:r>
      </w:hyperlink>
      <w:r w:rsidRPr="00882953">
        <w:rPr>
          <w:rFonts w:ascii="Arial" w:hAnsi="Arial" w:cs="Arial"/>
          <w:noProof/>
        </w:rPr>
        <w:t xml:space="preserve"> </w:t>
      </w:r>
    </w:p>
    <w:p w14:paraId="01182D6E" w14:textId="77777777" w:rsidR="00BA3B9A" w:rsidRPr="00882953" w:rsidRDefault="00BA3B9A" w:rsidP="00BA3B9A">
      <w:pPr>
        <w:pStyle w:val="EndNoteBibliography"/>
        <w:jc w:val="both"/>
        <w:rPr>
          <w:rFonts w:ascii="Arial" w:hAnsi="Arial" w:cs="Arial"/>
          <w:noProof/>
        </w:rPr>
      </w:pPr>
    </w:p>
    <w:p w14:paraId="17939447"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Savi-Karayol, S., Botting, N., Kladouchou, V., &amp; Morgan, G. (2025). Language difficulties in children and young people living in care: A systematic scoping review. </w:t>
      </w:r>
      <w:r w:rsidRPr="00882953">
        <w:rPr>
          <w:rFonts w:ascii="Arial" w:hAnsi="Arial" w:cs="Arial"/>
          <w:i/>
          <w:noProof/>
        </w:rPr>
        <w:t>Child Language Teaching and Therapy, 41</w:t>
      </w:r>
      <w:r w:rsidRPr="00882953">
        <w:rPr>
          <w:rFonts w:ascii="Arial" w:hAnsi="Arial" w:cs="Arial"/>
          <w:noProof/>
        </w:rPr>
        <w:t xml:space="preserve">(3), 264-285. </w:t>
      </w:r>
      <w:hyperlink r:id="rId47" w:history="1">
        <w:r w:rsidRPr="00882953">
          <w:rPr>
            <w:rStyle w:val="Hyperlink"/>
            <w:rFonts w:ascii="Arial" w:hAnsi="Arial" w:cs="Arial"/>
            <w:noProof/>
            <w:color w:val="auto"/>
          </w:rPr>
          <w:t>https://doi.org/10.1177/02656590251381510</w:t>
        </w:r>
      </w:hyperlink>
      <w:r w:rsidRPr="00882953">
        <w:rPr>
          <w:rFonts w:ascii="Arial" w:hAnsi="Arial" w:cs="Arial"/>
          <w:noProof/>
        </w:rPr>
        <w:t xml:space="preserve"> </w:t>
      </w:r>
    </w:p>
    <w:p w14:paraId="13AC2DEE" w14:textId="77777777" w:rsidR="00BA3B9A" w:rsidRPr="00882953" w:rsidRDefault="00BA3B9A" w:rsidP="00BA3B9A">
      <w:pPr>
        <w:pStyle w:val="EndNoteBibliography"/>
        <w:jc w:val="both"/>
        <w:rPr>
          <w:rFonts w:ascii="Arial" w:hAnsi="Arial" w:cs="Arial"/>
          <w:noProof/>
        </w:rPr>
      </w:pPr>
    </w:p>
    <w:p w14:paraId="4F6AC309"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Schoepflin, T. (2009). On Being Degraded in Public Space: An Autoethnography. </w:t>
      </w:r>
      <w:r w:rsidRPr="00882953">
        <w:rPr>
          <w:rFonts w:ascii="Arial" w:hAnsi="Arial" w:cs="Arial"/>
          <w:i/>
          <w:noProof/>
        </w:rPr>
        <w:t>The Qualitative Report, 14</w:t>
      </w:r>
      <w:r w:rsidRPr="00882953">
        <w:rPr>
          <w:rFonts w:ascii="Arial" w:hAnsi="Arial" w:cs="Arial"/>
          <w:noProof/>
        </w:rPr>
        <w:t xml:space="preserve">(2), 361-373. </w:t>
      </w:r>
      <w:hyperlink r:id="rId48" w:history="1">
        <w:r w:rsidRPr="00882953">
          <w:rPr>
            <w:rStyle w:val="Hyperlink"/>
            <w:rFonts w:ascii="Arial" w:hAnsi="Arial" w:cs="Arial"/>
            <w:noProof/>
            <w:color w:val="auto"/>
          </w:rPr>
          <w:t>https://nsuworks.nova.edu/tqr/vol14/iss2/9/</w:t>
        </w:r>
      </w:hyperlink>
      <w:r w:rsidRPr="00882953">
        <w:rPr>
          <w:rFonts w:ascii="Arial" w:hAnsi="Arial" w:cs="Arial"/>
          <w:noProof/>
        </w:rPr>
        <w:t xml:space="preserve"> </w:t>
      </w:r>
    </w:p>
    <w:p w14:paraId="4DC921F9" w14:textId="77777777" w:rsidR="00BA3B9A" w:rsidRPr="00882953" w:rsidRDefault="00BA3B9A" w:rsidP="00BA3B9A">
      <w:pPr>
        <w:pStyle w:val="EndNoteBibliography"/>
        <w:jc w:val="both"/>
        <w:rPr>
          <w:rFonts w:ascii="Arial" w:hAnsi="Arial" w:cs="Arial"/>
          <w:noProof/>
        </w:rPr>
      </w:pPr>
    </w:p>
    <w:p w14:paraId="38292C9E"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Stokes, J., &amp; Schmidt, G. (2011). Race, Poverty and Child Protection Decision Making. </w:t>
      </w:r>
      <w:r w:rsidRPr="00882953">
        <w:rPr>
          <w:rFonts w:ascii="Arial" w:hAnsi="Arial" w:cs="Arial"/>
          <w:i/>
          <w:noProof/>
        </w:rPr>
        <w:t>The British Journal of Social Work, 41</w:t>
      </w:r>
      <w:r w:rsidRPr="00882953">
        <w:rPr>
          <w:rFonts w:ascii="Arial" w:hAnsi="Arial" w:cs="Arial"/>
          <w:noProof/>
        </w:rPr>
        <w:t xml:space="preserve">(6), 1105-1121. </w:t>
      </w:r>
      <w:hyperlink r:id="rId49" w:history="1">
        <w:r w:rsidRPr="00882953">
          <w:rPr>
            <w:rStyle w:val="Hyperlink"/>
            <w:rFonts w:ascii="Arial" w:hAnsi="Arial" w:cs="Arial"/>
            <w:noProof/>
            <w:color w:val="auto"/>
          </w:rPr>
          <w:t>http://www.jstor.org/stable/43771496</w:t>
        </w:r>
      </w:hyperlink>
      <w:r w:rsidRPr="00882953">
        <w:rPr>
          <w:rFonts w:ascii="Arial" w:hAnsi="Arial" w:cs="Arial"/>
          <w:noProof/>
        </w:rPr>
        <w:t xml:space="preserve"> </w:t>
      </w:r>
    </w:p>
    <w:p w14:paraId="1EA1771A" w14:textId="77777777" w:rsidR="00BA3B9A" w:rsidRPr="00882953" w:rsidRDefault="00BA3B9A" w:rsidP="00BA3B9A">
      <w:pPr>
        <w:pStyle w:val="EndNoteBibliography"/>
        <w:jc w:val="both"/>
        <w:rPr>
          <w:rFonts w:ascii="Arial" w:hAnsi="Arial" w:cs="Arial"/>
          <w:noProof/>
        </w:rPr>
      </w:pPr>
    </w:p>
    <w:p w14:paraId="3362E1C9"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Sundler, A. J., Lindberg, E., Nilsson, C., &amp; Palmér, L. (2019). Qualitative thematic analysis based on descriptive phenomenology. </w:t>
      </w:r>
      <w:r w:rsidRPr="00882953">
        <w:rPr>
          <w:rFonts w:ascii="Arial" w:hAnsi="Arial" w:cs="Arial"/>
          <w:i/>
          <w:noProof/>
        </w:rPr>
        <w:t>Nursing Open, 6</w:t>
      </w:r>
      <w:r w:rsidRPr="00882953">
        <w:rPr>
          <w:rFonts w:ascii="Arial" w:hAnsi="Arial" w:cs="Arial"/>
          <w:noProof/>
        </w:rPr>
        <w:t xml:space="preserve">(3), 733-739. </w:t>
      </w:r>
      <w:hyperlink r:id="rId50" w:history="1">
        <w:r w:rsidRPr="00882953">
          <w:rPr>
            <w:rStyle w:val="Hyperlink"/>
            <w:rFonts w:ascii="Arial" w:hAnsi="Arial" w:cs="Arial"/>
            <w:noProof/>
            <w:color w:val="auto"/>
          </w:rPr>
          <w:t>https://doi.org/10.1002/nop2.275</w:t>
        </w:r>
      </w:hyperlink>
      <w:r w:rsidRPr="00882953">
        <w:rPr>
          <w:rFonts w:ascii="Arial" w:hAnsi="Arial" w:cs="Arial"/>
          <w:noProof/>
        </w:rPr>
        <w:t xml:space="preserve"> </w:t>
      </w:r>
    </w:p>
    <w:p w14:paraId="737C9E7A" w14:textId="77777777" w:rsidR="00BA3B9A" w:rsidRPr="00882953" w:rsidRDefault="00BA3B9A" w:rsidP="00BA3B9A">
      <w:pPr>
        <w:pStyle w:val="EndNoteBibliography"/>
        <w:jc w:val="both"/>
        <w:rPr>
          <w:rFonts w:ascii="Arial" w:hAnsi="Arial" w:cs="Arial"/>
          <w:noProof/>
        </w:rPr>
      </w:pPr>
    </w:p>
    <w:p w14:paraId="0ED8B2F2"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Tanvir, F., &amp; Mitu, M. (2024). Language and Mental Health: Investigating the Relationship between Linguistic Expression and Psychological Well-being. </w:t>
      </w:r>
      <w:r w:rsidRPr="00882953">
        <w:rPr>
          <w:rFonts w:ascii="Arial" w:hAnsi="Arial" w:cs="Arial"/>
          <w:i/>
          <w:noProof/>
        </w:rPr>
        <w:t>International Journal of Health Sciences, 7</w:t>
      </w:r>
      <w:r w:rsidRPr="00882953">
        <w:rPr>
          <w:rFonts w:ascii="Arial" w:hAnsi="Arial" w:cs="Arial"/>
          <w:noProof/>
        </w:rPr>
        <w:t xml:space="preserve">(1), 57-63. </w:t>
      </w:r>
      <w:hyperlink r:id="rId51" w:history="1">
        <w:r w:rsidRPr="00882953">
          <w:rPr>
            <w:rStyle w:val="Hyperlink"/>
            <w:rFonts w:ascii="Arial" w:hAnsi="Arial" w:cs="Arial"/>
            <w:noProof/>
            <w:color w:val="auto"/>
          </w:rPr>
          <w:t>https://doi.org/10.47941/ijhs.1922</w:t>
        </w:r>
      </w:hyperlink>
      <w:r w:rsidRPr="00882953">
        <w:rPr>
          <w:rFonts w:ascii="Arial" w:hAnsi="Arial" w:cs="Arial"/>
          <w:noProof/>
        </w:rPr>
        <w:t xml:space="preserve"> </w:t>
      </w:r>
    </w:p>
    <w:p w14:paraId="2A55B4DF" w14:textId="77777777" w:rsidR="00BA3B9A" w:rsidRPr="00882953" w:rsidRDefault="00BA3B9A" w:rsidP="00BA3B9A">
      <w:pPr>
        <w:pStyle w:val="EndNoteBibliography"/>
        <w:jc w:val="both"/>
        <w:rPr>
          <w:rFonts w:ascii="Arial" w:hAnsi="Arial" w:cs="Arial"/>
          <w:noProof/>
        </w:rPr>
      </w:pPr>
    </w:p>
    <w:p w14:paraId="3508A960"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UKRI. (2025). </w:t>
      </w:r>
      <w:r w:rsidRPr="00882953">
        <w:rPr>
          <w:rFonts w:ascii="Arial" w:hAnsi="Arial" w:cs="Arial"/>
          <w:i/>
          <w:noProof/>
        </w:rPr>
        <w:t>MRC ethics series: Good research practice: Principles and guidelines</w:t>
      </w:r>
      <w:r w:rsidRPr="00882953">
        <w:rPr>
          <w:rFonts w:ascii="Arial" w:hAnsi="Arial" w:cs="Arial"/>
          <w:noProof/>
        </w:rPr>
        <w:t xml:space="preserve">. Retrieved 18/03/2026 from </w:t>
      </w:r>
      <w:hyperlink r:id="rId52" w:history="1">
        <w:r w:rsidRPr="00882953">
          <w:rPr>
            <w:rStyle w:val="Hyperlink"/>
            <w:rFonts w:ascii="Arial" w:hAnsi="Arial" w:cs="Arial"/>
            <w:noProof/>
            <w:color w:val="auto"/>
          </w:rPr>
          <w:t>https://www.ukri.org/who-we-are/mrc/our-policies-and-standards/ethics/</w:t>
        </w:r>
      </w:hyperlink>
    </w:p>
    <w:p w14:paraId="2856A3F7" w14:textId="77777777" w:rsidR="00BA3B9A" w:rsidRPr="00882953" w:rsidRDefault="00BA3B9A" w:rsidP="00BA3B9A">
      <w:pPr>
        <w:pStyle w:val="EndNoteBibliography"/>
        <w:jc w:val="both"/>
        <w:rPr>
          <w:rFonts w:ascii="Arial" w:hAnsi="Arial" w:cs="Arial"/>
          <w:noProof/>
        </w:rPr>
      </w:pPr>
    </w:p>
    <w:p w14:paraId="1EDCF746" w14:textId="77777777" w:rsidR="00BA3B9A" w:rsidRPr="00882953" w:rsidRDefault="00BA3B9A" w:rsidP="00BA3B9A">
      <w:pPr>
        <w:pStyle w:val="EndNoteBibliography"/>
        <w:ind w:left="720" w:hanging="720"/>
        <w:jc w:val="both"/>
        <w:rPr>
          <w:rStyle w:val="Hyperlink"/>
          <w:rFonts w:ascii="Arial" w:hAnsi="Arial" w:cs="Arial"/>
          <w:noProof/>
          <w:color w:val="auto"/>
        </w:rPr>
      </w:pPr>
      <w:r w:rsidRPr="00882953">
        <w:rPr>
          <w:rFonts w:ascii="Arial" w:hAnsi="Arial" w:cs="Arial"/>
          <w:noProof/>
        </w:rPr>
        <w:t xml:space="preserve">Unicef. (2022). </w:t>
      </w:r>
      <w:r w:rsidRPr="00882953">
        <w:rPr>
          <w:rFonts w:ascii="Arial" w:hAnsi="Arial" w:cs="Arial"/>
          <w:i/>
          <w:noProof/>
        </w:rPr>
        <w:t>Rights denied: The impact of discrimination on children</w:t>
      </w:r>
      <w:r w:rsidRPr="00882953">
        <w:rPr>
          <w:rFonts w:ascii="Arial" w:hAnsi="Arial" w:cs="Arial"/>
          <w:noProof/>
        </w:rPr>
        <w:t xml:space="preserve">. Retrieved 10/03/2026 from </w:t>
      </w:r>
      <w:hyperlink r:id="rId53" w:history="1">
        <w:r w:rsidRPr="00882953">
          <w:rPr>
            <w:rStyle w:val="Hyperlink"/>
            <w:rFonts w:ascii="Arial" w:hAnsi="Arial" w:cs="Arial"/>
            <w:noProof/>
            <w:color w:val="auto"/>
          </w:rPr>
          <w:t>https://www.unicef.org/media/130801/file/rights-denied-discrimination-children-EN.pdf</w:t>
        </w:r>
      </w:hyperlink>
    </w:p>
    <w:p w14:paraId="1E070948" w14:textId="77777777" w:rsidR="00BA3B9A" w:rsidRPr="00882953" w:rsidRDefault="00BA3B9A" w:rsidP="00BA3B9A">
      <w:pPr>
        <w:pStyle w:val="EndNoteBibliography"/>
        <w:ind w:left="720" w:hanging="720"/>
        <w:jc w:val="both"/>
        <w:rPr>
          <w:rStyle w:val="Hyperlink"/>
          <w:rFonts w:ascii="Arial" w:hAnsi="Arial" w:cs="Arial"/>
          <w:noProof/>
          <w:color w:val="auto"/>
        </w:rPr>
      </w:pPr>
    </w:p>
    <w:p w14:paraId="0EFBC243"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University of Wales Trinity Saint David (UWTSD). (2023). </w:t>
      </w:r>
      <w:r w:rsidRPr="00882953">
        <w:rPr>
          <w:rFonts w:ascii="Arial" w:hAnsi="Arial" w:cs="Arial"/>
          <w:i/>
          <w:noProof/>
        </w:rPr>
        <w:t>Academic Quality Handbook 2023–24</w:t>
      </w:r>
      <w:r w:rsidRPr="00882953">
        <w:rPr>
          <w:rFonts w:ascii="Arial" w:hAnsi="Arial" w:cs="Arial"/>
          <w:noProof/>
        </w:rPr>
        <w:t>. Retrieved 2003/2026 from https://www.uwtsd.ac.uk/sites/default/files/2024-01/Academic-Quality-Handbook-2023-24---complete-document.pdf</w:t>
      </w:r>
    </w:p>
    <w:p w14:paraId="6B58332B" w14:textId="77777777" w:rsidR="00BA3B9A" w:rsidRPr="00882953" w:rsidRDefault="00BA3B9A" w:rsidP="00BA3B9A">
      <w:pPr>
        <w:pStyle w:val="EndNoteBibliography"/>
        <w:jc w:val="both"/>
        <w:rPr>
          <w:rFonts w:ascii="Arial" w:hAnsi="Arial" w:cs="Arial"/>
          <w:noProof/>
        </w:rPr>
      </w:pPr>
    </w:p>
    <w:p w14:paraId="31AFE69E"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Urquhart-Stewart, R., &amp; Wylie, N. (2021). ’It’s all about you’: The hopelessness of labels for young people and the workforce in secure and residential care. </w:t>
      </w:r>
      <w:r w:rsidRPr="00882953">
        <w:rPr>
          <w:rFonts w:ascii="Arial" w:hAnsi="Arial" w:cs="Arial"/>
          <w:i/>
          <w:noProof/>
        </w:rPr>
        <w:t>Scottish Journal of Residential Child Care, 20</w:t>
      </w:r>
      <w:r w:rsidRPr="00882953">
        <w:rPr>
          <w:rFonts w:ascii="Arial" w:hAnsi="Arial" w:cs="Arial"/>
          <w:noProof/>
        </w:rPr>
        <w:t xml:space="preserve">(1), 1-14. </w:t>
      </w:r>
      <w:hyperlink r:id="rId54" w:history="1">
        <w:r w:rsidRPr="00882953">
          <w:rPr>
            <w:rStyle w:val="Hyperlink"/>
            <w:rFonts w:ascii="Arial" w:hAnsi="Arial" w:cs="Arial"/>
            <w:noProof/>
            <w:color w:val="auto"/>
          </w:rPr>
          <w:t>https://strathprints.strath.ac.uk/84174/1/Urquhart_Stewart_Wylie_SJRCC_2021_Its_all_about_you_the_hopelessness_of_labels.pdf</w:t>
        </w:r>
      </w:hyperlink>
      <w:r w:rsidRPr="00882953">
        <w:rPr>
          <w:rFonts w:ascii="Arial" w:hAnsi="Arial" w:cs="Arial"/>
          <w:noProof/>
        </w:rPr>
        <w:t xml:space="preserve"> </w:t>
      </w:r>
    </w:p>
    <w:p w14:paraId="442F07C0" w14:textId="77777777" w:rsidR="00BA3B9A" w:rsidRPr="00882953" w:rsidRDefault="00BA3B9A" w:rsidP="00BA3B9A">
      <w:pPr>
        <w:pStyle w:val="EndNoteBibliography"/>
        <w:jc w:val="both"/>
        <w:rPr>
          <w:rFonts w:ascii="Arial" w:hAnsi="Arial" w:cs="Arial"/>
          <w:noProof/>
        </w:rPr>
      </w:pPr>
    </w:p>
    <w:p w14:paraId="5B492E1C"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van Ryn, M., &amp; Burke, J. (2000). The effect of patient race and socio-economic status on physicians' perceptions of patients. </w:t>
      </w:r>
      <w:r w:rsidRPr="00882953">
        <w:rPr>
          <w:rFonts w:ascii="Arial" w:hAnsi="Arial" w:cs="Arial"/>
          <w:i/>
          <w:noProof/>
        </w:rPr>
        <w:t>Soc Sci Med, 50</w:t>
      </w:r>
      <w:r w:rsidRPr="00882953">
        <w:rPr>
          <w:rFonts w:ascii="Arial" w:hAnsi="Arial" w:cs="Arial"/>
          <w:noProof/>
        </w:rPr>
        <w:t xml:space="preserve">(6), 813-828. </w:t>
      </w:r>
      <w:hyperlink r:id="rId55" w:history="1">
        <w:r w:rsidRPr="00882953">
          <w:rPr>
            <w:rStyle w:val="Hyperlink"/>
            <w:rFonts w:ascii="Arial" w:hAnsi="Arial" w:cs="Arial"/>
            <w:noProof/>
            <w:color w:val="auto"/>
          </w:rPr>
          <w:t>https://doi.org/10.1016/s0277-9536(99)00338-x</w:t>
        </w:r>
      </w:hyperlink>
      <w:r w:rsidRPr="00882953">
        <w:rPr>
          <w:rFonts w:ascii="Arial" w:hAnsi="Arial" w:cs="Arial"/>
          <w:noProof/>
        </w:rPr>
        <w:t xml:space="preserve"> </w:t>
      </w:r>
    </w:p>
    <w:p w14:paraId="217ACE74" w14:textId="77777777" w:rsidR="00BA3B9A" w:rsidRPr="00882953" w:rsidRDefault="00BA3B9A" w:rsidP="00BA3B9A">
      <w:pPr>
        <w:pStyle w:val="EndNoteBibliography"/>
        <w:jc w:val="both"/>
        <w:rPr>
          <w:rFonts w:ascii="Arial" w:hAnsi="Arial" w:cs="Arial"/>
          <w:noProof/>
        </w:rPr>
      </w:pPr>
    </w:p>
    <w:p w14:paraId="7F4EE94A"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Vasileiou, K., Barnett, J., Thorpe, S., &amp; Young, T. (2018). Characterising and justifying sample size sufficiency in interview-based studies: systematic analysis of qualitative health research over a 15-year period. </w:t>
      </w:r>
      <w:r w:rsidRPr="00882953">
        <w:rPr>
          <w:rFonts w:ascii="Arial" w:hAnsi="Arial" w:cs="Arial"/>
          <w:i/>
          <w:noProof/>
        </w:rPr>
        <w:t>BMC Medical Research Methodology, 18</w:t>
      </w:r>
      <w:r w:rsidRPr="00882953">
        <w:rPr>
          <w:rFonts w:ascii="Arial" w:hAnsi="Arial" w:cs="Arial"/>
          <w:noProof/>
        </w:rPr>
        <w:t xml:space="preserve">(1), 148-156. </w:t>
      </w:r>
      <w:hyperlink r:id="rId56" w:history="1">
        <w:r w:rsidRPr="00882953">
          <w:rPr>
            <w:rStyle w:val="Hyperlink"/>
            <w:rFonts w:ascii="Arial" w:hAnsi="Arial" w:cs="Arial"/>
            <w:noProof/>
            <w:color w:val="auto"/>
          </w:rPr>
          <w:t>https://doi.org/10.1186/s12874-018-0594-7</w:t>
        </w:r>
      </w:hyperlink>
      <w:r w:rsidRPr="00882953">
        <w:rPr>
          <w:rFonts w:ascii="Arial" w:hAnsi="Arial" w:cs="Arial"/>
          <w:noProof/>
        </w:rPr>
        <w:t xml:space="preserve"> </w:t>
      </w:r>
    </w:p>
    <w:p w14:paraId="1158C215" w14:textId="77777777" w:rsidR="00BA3B9A" w:rsidRPr="00882953" w:rsidRDefault="00BA3B9A" w:rsidP="00BA3B9A">
      <w:pPr>
        <w:pStyle w:val="EndNoteBibliography"/>
        <w:jc w:val="both"/>
        <w:rPr>
          <w:rFonts w:ascii="Arial" w:hAnsi="Arial" w:cs="Arial"/>
          <w:noProof/>
        </w:rPr>
      </w:pPr>
    </w:p>
    <w:p w14:paraId="151A5F65"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Warr, M., Oster, N. J., &amp; Isaac, R. (2024). Implicit bias in large language models: Experimental proof and implications for education. </w:t>
      </w:r>
      <w:r w:rsidRPr="00882953">
        <w:rPr>
          <w:rFonts w:ascii="Arial" w:hAnsi="Arial" w:cs="Arial"/>
          <w:i/>
          <w:noProof/>
        </w:rPr>
        <w:t>Journal of Research on Technology in Education, 19</w:t>
      </w:r>
      <w:r w:rsidRPr="00882953">
        <w:rPr>
          <w:rFonts w:ascii="Arial" w:hAnsi="Arial" w:cs="Arial"/>
          <w:noProof/>
        </w:rPr>
        <w:t xml:space="preserve">(8), 1-24. </w:t>
      </w:r>
      <w:hyperlink r:id="rId57" w:history="1">
        <w:r w:rsidRPr="00882953">
          <w:rPr>
            <w:rStyle w:val="Hyperlink"/>
            <w:rFonts w:ascii="Arial" w:hAnsi="Arial" w:cs="Arial"/>
            <w:noProof/>
            <w:color w:val="auto"/>
          </w:rPr>
          <w:t>https://doi.org/10.1080/15391523.2024.2395295</w:t>
        </w:r>
      </w:hyperlink>
      <w:r w:rsidRPr="00882953">
        <w:rPr>
          <w:rFonts w:ascii="Arial" w:hAnsi="Arial" w:cs="Arial"/>
          <w:noProof/>
        </w:rPr>
        <w:t xml:space="preserve"> </w:t>
      </w:r>
    </w:p>
    <w:p w14:paraId="2FCA6F46" w14:textId="77777777" w:rsidR="00BA3B9A" w:rsidRPr="00882953" w:rsidRDefault="00BA3B9A" w:rsidP="00BA3B9A">
      <w:pPr>
        <w:pStyle w:val="EndNoteBibliography"/>
        <w:jc w:val="both"/>
        <w:rPr>
          <w:rFonts w:ascii="Arial" w:hAnsi="Arial" w:cs="Arial"/>
          <w:noProof/>
        </w:rPr>
      </w:pPr>
    </w:p>
    <w:p w14:paraId="041B9225"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Watkins, D. C. (2012). Qualitative Research: The Importance of Conducting Research That Doesn’t “Count”. </w:t>
      </w:r>
      <w:r w:rsidRPr="00882953">
        <w:rPr>
          <w:rFonts w:ascii="Arial" w:hAnsi="Arial" w:cs="Arial"/>
          <w:i/>
          <w:noProof/>
        </w:rPr>
        <w:t>Health Promotion Practice, 13</w:t>
      </w:r>
      <w:r w:rsidRPr="00882953">
        <w:rPr>
          <w:rFonts w:ascii="Arial" w:hAnsi="Arial" w:cs="Arial"/>
          <w:noProof/>
        </w:rPr>
        <w:t xml:space="preserve">(2), 153-158. </w:t>
      </w:r>
      <w:hyperlink r:id="rId58" w:history="1">
        <w:r w:rsidRPr="00882953">
          <w:rPr>
            <w:rStyle w:val="Hyperlink"/>
            <w:rFonts w:ascii="Arial" w:hAnsi="Arial" w:cs="Arial"/>
            <w:noProof/>
            <w:color w:val="auto"/>
          </w:rPr>
          <w:t>https://doi.org/10.1177/1524839912437370</w:t>
        </w:r>
      </w:hyperlink>
      <w:r w:rsidRPr="00882953">
        <w:rPr>
          <w:rFonts w:ascii="Arial" w:hAnsi="Arial" w:cs="Arial"/>
          <w:noProof/>
        </w:rPr>
        <w:t xml:space="preserve"> </w:t>
      </w:r>
    </w:p>
    <w:p w14:paraId="30C25462" w14:textId="77777777" w:rsidR="00BA3B9A" w:rsidRPr="00882953" w:rsidRDefault="00BA3B9A" w:rsidP="00BA3B9A">
      <w:pPr>
        <w:pStyle w:val="EndNoteBibliography"/>
        <w:jc w:val="both"/>
        <w:rPr>
          <w:rFonts w:ascii="Arial" w:hAnsi="Arial" w:cs="Arial"/>
          <w:noProof/>
        </w:rPr>
      </w:pPr>
    </w:p>
    <w:p w14:paraId="2A2BFD42" w14:textId="77777777" w:rsidR="00BA3B9A" w:rsidRPr="00882953" w:rsidRDefault="00BA3B9A" w:rsidP="00BA3B9A">
      <w:pPr>
        <w:pStyle w:val="EndNoteBibliography"/>
        <w:ind w:left="720" w:hanging="720"/>
        <w:jc w:val="both"/>
        <w:rPr>
          <w:rFonts w:ascii="Arial" w:hAnsi="Arial" w:cs="Arial"/>
          <w:noProof/>
        </w:rPr>
      </w:pPr>
      <w:r w:rsidRPr="00882953">
        <w:rPr>
          <w:rFonts w:ascii="Arial" w:hAnsi="Arial" w:cs="Arial"/>
          <w:noProof/>
        </w:rPr>
        <w:t xml:space="preserve">World Medical Association. (2018). </w:t>
      </w:r>
      <w:r w:rsidRPr="00882953">
        <w:rPr>
          <w:rFonts w:ascii="Arial" w:hAnsi="Arial" w:cs="Arial"/>
          <w:i/>
          <w:noProof/>
        </w:rPr>
        <w:t>Wma Declaration Of Helsinki – Ethical Principles For Medical Research Involving Human Subjects</w:t>
      </w:r>
      <w:r w:rsidRPr="00882953">
        <w:rPr>
          <w:rFonts w:ascii="Arial" w:hAnsi="Arial" w:cs="Arial"/>
          <w:noProof/>
        </w:rPr>
        <w:t xml:space="preserve">. Retrieved 20/09/2025 from </w:t>
      </w:r>
      <w:hyperlink r:id="rId59" w:history="1">
        <w:r w:rsidRPr="00882953">
          <w:rPr>
            <w:rStyle w:val="Hyperlink"/>
            <w:rFonts w:ascii="Arial" w:hAnsi="Arial" w:cs="Arial"/>
            <w:noProof/>
            <w:color w:val="auto"/>
          </w:rPr>
          <w:t>https://www.wma.net/policies-post/wma-declaration-of-helsinki-ethical-principles-for-medical-research-involving-human-subjects/</w:t>
        </w:r>
      </w:hyperlink>
    </w:p>
    <w:p w14:paraId="749F95A7" w14:textId="77777777" w:rsidR="00BA3B9A" w:rsidRPr="00882953" w:rsidRDefault="00BA3B9A" w:rsidP="00BA3B9A">
      <w:pPr>
        <w:pStyle w:val="EndNoteBibliography"/>
        <w:jc w:val="both"/>
        <w:rPr>
          <w:rFonts w:ascii="Arial" w:hAnsi="Arial" w:cs="Arial"/>
          <w:noProof/>
        </w:rPr>
      </w:pPr>
    </w:p>
    <w:p w14:paraId="02D68A4E" w14:textId="293D2F37" w:rsidR="00BA3B9A" w:rsidRDefault="00BA3B9A" w:rsidP="00BA3B9A">
      <w:pPr>
        <w:spacing w:line="276" w:lineRule="auto"/>
        <w:jc w:val="both"/>
        <w:rPr>
          <w:rFonts w:ascii="Arial" w:hAnsi="Arial" w:cs="Arial"/>
        </w:rPr>
      </w:pPr>
      <w:r w:rsidRPr="00882953">
        <w:rPr>
          <w:rFonts w:ascii="Arial" w:hAnsi="Arial" w:cs="Arial"/>
          <w:noProof/>
        </w:rPr>
        <w:t xml:space="preserve">Zamawe, F. C. (2015). The Implication of Using NVivo Software in Qualitative Data Analysis: Evidence-Based Reflections. </w:t>
      </w:r>
      <w:r w:rsidRPr="00882953">
        <w:rPr>
          <w:rFonts w:ascii="Arial" w:hAnsi="Arial" w:cs="Arial"/>
          <w:i/>
          <w:noProof/>
        </w:rPr>
        <w:t>Malawi Med J, 27</w:t>
      </w:r>
      <w:r w:rsidRPr="00882953">
        <w:rPr>
          <w:rFonts w:ascii="Arial" w:hAnsi="Arial" w:cs="Arial"/>
          <w:noProof/>
        </w:rPr>
        <w:t xml:space="preserve">(1), 13-15. </w:t>
      </w:r>
      <w:hyperlink r:id="rId60" w:history="1">
        <w:r w:rsidRPr="00882953">
          <w:rPr>
            <w:rStyle w:val="Hyperlink"/>
            <w:rFonts w:ascii="Arial" w:hAnsi="Arial" w:cs="Arial"/>
            <w:noProof/>
            <w:color w:val="auto"/>
          </w:rPr>
          <w:t>https://www.ncbi.nlm.nih.gov/pmc/articles/PMC4478399/</w:t>
        </w:r>
      </w:hyperlink>
    </w:p>
    <w:p w14:paraId="2C6E8318" w14:textId="6B44A5F4" w:rsidR="00CD75E6" w:rsidRPr="00882953" w:rsidRDefault="00CD75E6" w:rsidP="00CD75E6">
      <w:pPr>
        <w:spacing w:line="276" w:lineRule="auto"/>
        <w:jc w:val="both"/>
        <w:rPr>
          <w:rFonts w:ascii="Baskerville" w:hAnsi="Baskerville"/>
        </w:rPr>
      </w:pPr>
    </w:p>
    <w:p w14:paraId="180C7F77" w14:textId="502E6166" w:rsidR="008C1FC8" w:rsidRPr="00882953" w:rsidRDefault="008C1FC8" w:rsidP="00B56B8E">
      <w:pPr>
        <w:spacing w:line="276" w:lineRule="auto"/>
        <w:jc w:val="both"/>
        <w:rPr>
          <w:rFonts w:ascii="Arial" w:hAnsi="Arial" w:cs="Arial"/>
        </w:rPr>
      </w:pPr>
    </w:p>
    <w:sectPr w:rsidR="008C1FC8" w:rsidRPr="00882953" w:rsidSect="002B5D96">
      <w:footerReference w:type="default" r:id="rId6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7E3925" w14:textId="77777777" w:rsidR="0054581D" w:rsidRDefault="0054581D" w:rsidP="00C9490E">
      <w:r>
        <w:separator/>
      </w:r>
    </w:p>
  </w:endnote>
  <w:endnote w:type="continuationSeparator" w:id="0">
    <w:p w14:paraId="63A1341B" w14:textId="77777777" w:rsidR="0054581D" w:rsidRDefault="0054581D" w:rsidP="00C94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skerville">
    <w:altName w:val="Baskerville Old Face"/>
    <w:charset w:val="00"/>
    <w:family w:val="roman"/>
    <w:pitch w:val="variable"/>
    <w:sig w:usb0="80000067" w:usb1="02000000" w:usb2="00000000" w:usb3="00000000" w:csb0="0000019F" w:csb1="00000000"/>
  </w:font>
  <w:font w:name="Heebo">
    <w:charset w:val="B1"/>
    <w:family w:val="auto"/>
    <w:pitch w:val="variable"/>
    <w:sig w:usb0="A00008E7" w:usb1="40000043" w:usb2="00000000" w:usb3="00000000" w:csb0="0000002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0265400"/>
      <w:docPartObj>
        <w:docPartGallery w:val="Page Numbers (Bottom of Page)"/>
        <w:docPartUnique/>
      </w:docPartObj>
    </w:sdtPr>
    <w:sdtEndPr>
      <w:rPr>
        <w:noProof/>
      </w:rPr>
    </w:sdtEndPr>
    <w:sdtContent>
      <w:p w14:paraId="052C7BCD" w14:textId="17750F60" w:rsidR="00E629E5" w:rsidRDefault="00E629E5">
        <w:pPr>
          <w:pStyle w:val="Footer"/>
          <w:jc w:val="right"/>
        </w:pPr>
        <w:r>
          <w:fldChar w:fldCharType="begin"/>
        </w:r>
        <w:r>
          <w:instrText xml:space="preserve"> PAGE   \* MERGEFORMAT </w:instrText>
        </w:r>
        <w:r>
          <w:fldChar w:fldCharType="separate"/>
        </w:r>
        <w:r w:rsidR="00D37625">
          <w:rPr>
            <w:noProof/>
          </w:rPr>
          <w:t>1</w:t>
        </w:r>
        <w:r>
          <w:rPr>
            <w:noProof/>
          </w:rPr>
          <w:fldChar w:fldCharType="end"/>
        </w:r>
      </w:p>
    </w:sdtContent>
  </w:sdt>
  <w:p w14:paraId="22FD26CE" w14:textId="77777777" w:rsidR="00E629E5" w:rsidRDefault="00E629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D1B9B8" w14:textId="77777777" w:rsidR="0054581D" w:rsidRDefault="0054581D" w:rsidP="00C9490E">
      <w:r>
        <w:separator/>
      </w:r>
    </w:p>
  </w:footnote>
  <w:footnote w:type="continuationSeparator" w:id="0">
    <w:p w14:paraId="192F1E7E" w14:textId="77777777" w:rsidR="0054581D" w:rsidRDefault="0054581D" w:rsidP="00C949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22B26"/>
    <w:multiLevelType w:val="hybridMultilevel"/>
    <w:tmpl w:val="037AB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DF62BA"/>
    <w:multiLevelType w:val="hybridMultilevel"/>
    <w:tmpl w:val="81D2E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1AF7D46"/>
    <w:multiLevelType w:val="hybridMultilevel"/>
    <w:tmpl w:val="7242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9D37ED2"/>
    <w:multiLevelType w:val="hybridMultilevel"/>
    <w:tmpl w:val="1A48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6DF12C2"/>
    <w:multiLevelType w:val="hybridMultilevel"/>
    <w:tmpl w:val="871492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0&lt;/ScanUnformatted&gt;&lt;ScanChanges&gt;1&lt;/ScanChanges&gt;&lt;Suspended&gt;0&lt;/Suspended&gt;&lt;/ENInstantFormat&gt;"/>
    <w:docVar w:name="EN.Layout" w:val="&lt;ENLayout&gt;&lt;Style&gt;APA 7th Updated&lt;/Style&gt;&lt;LeftDelim&gt;{&lt;/LeftDelim&gt;&lt;RightDelim&gt;}&lt;/RightDelim&gt;&lt;FontName&gt;Times New Roman&lt;/FontName&gt;&lt;FontSize&gt;12&lt;/FontSize&gt;&lt;ReflistTitle&gt;&lt;style face=&quot;underline&quot;&gt;References&lt;/style&gt;&lt;/ReflistTitle&gt;&lt;StartingRefnum&gt;1&lt;/StartingRefnum&gt;&lt;FirstLineIndent&gt;0&lt;/FirstLineIndent&gt;&lt;HangingIndent&gt;0&lt;/HangingIndent&gt;&lt;LineSpacing&gt;0&lt;/LineSpacing&gt;&lt;SpaceAfter&gt;1&lt;/SpaceAfter&gt;&lt;HyperlinksEnabled&gt;0&lt;/HyperlinksEnabled&gt;&lt;HyperlinksVisible&gt;0&lt;/HyperlinksVisible&gt;&lt;EnableBibliographyCategories&gt;0&lt;/EnableBibliographyCategories&gt;&lt;/ENLayout&gt;"/>
    <w:docVar w:name="EN.Libraries" w:val="&lt;Libraries&gt;&lt;item db-id=&quot;zddxevxwlaz2eqe9s9txvpsofdz55v9v55a2&quot;&gt;REF2023&lt;record-ids&gt;&lt;item&gt;43&lt;/item&gt;&lt;item&gt;78&lt;/item&gt;&lt;item&gt;84&lt;/item&gt;&lt;item&gt;3264&lt;/item&gt;&lt;item&gt;3376&lt;/item&gt;&lt;item&gt;5738&lt;/item&gt;&lt;item&gt;5798&lt;/item&gt;&lt;item&gt;5894&lt;/item&gt;&lt;item&gt;6465&lt;/item&gt;&lt;item&gt;6466&lt;/item&gt;&lt;item&gt;12378&lt;/item&gt;&lt;item&gt;13998&lt;/item&gt;&lt;item&gt;16239&lt;/item&gt;&lt;item&gt;20633&lt;/item&gt;&lt;item&gt;28068&lt;/item&gt;&lt;item&gt;31459&lt;/item&gt;&lt;item&gt;31618&lt;/item&gt;&lt;item&gt;31625&lt;/item&gt;&lt;item&gt;31626&lt;/item&gt;&lt;item&gt;31627&lt;/item&gt;&lt;item&gt;31628&lt;/item&gt;&lt;item&gt;31629&lt;/item&gt;&lt;item&gt;31630&lt;/item&gt;&lt;item&gt;31631&lt;/item&gt;&lt;item&gt;31632&lt;/item&gt;&lt;item&gt;31633&lt;/item&gt;&lt;item&gt;31634&lt;/item&gt;&lt;item&gt;31635&lt;/item&gt;&lt;item&gt;31636&lt;/item&gt;&lt;item&gt;31637&lt;/item&gt;&lt;item&gt;31641&lt;/item&gt;&lt;item&gt;31642&lt;/item&gt;&lt;item&gt;31643&lt;/item&gt;&lt;item&gt;31644&lt;/item&gt;&lt;item&gt;31645&lt;/item&gt;&lt;item&gt;31646&lt;/item&gt;&lt;item&gt;31647&lt;/item&gt;&lt;item&gt;31648&lt;/item&gt;&lt;item&gt;31649&lt;/item&gt;&lt;item&gt;31650&lt;/item&gt;&lt;item&gt;31658&lt;/item&gt;&lt;item&gt;33198&lt;/item&gt;&lt;item&gt;38872&lt;/item&gt;&lt;item&gt;38874&lt;/item&gt;&lt;item&gt;38875&lt;/item&gt;&lt;item&gt;38876&lt;/item&gt;&lt;item&gt;38877&lt;/item&gt;&lt;item&gt;38878&lt;/item&gt;&lt;item&gt;38879&lt;/item&gt;&lt;item&gt;38880&lt;/item&gt;&lt;/record-ids&gt;&lt;/item&gt;&lt;/Libraries&gt;"/>
  </w:docVars>
  <w:rsids>
    <w:rsidRoot w:val="00390051"/>
    <w:rsid w:val="000020A7"/>
    <w:rsid w:val="000030BC"/>
    <w:rsid w:val="00003D86"/>
    <w:rsid w:val="00004199"/>
    <w:rsid w:val="00005A5D"/>
    <w:rsid w:val="00007AB6"/>
    <w:rsid w:val="00007B09"/>
    <w:rsid w:val="00011140"/>
    <w:rsid w:val="00012E73"/>
    <w:rsid w:val="000139E2"/>
    <w:rsid w:val="00015A15"/>
    <w:rsid w:val="00021184"/>
    <w:rsid w:val="000247C5"/>
    <w:rsid w:val="000272EC"/>
    <w:rsid w:val="00030E59"/>
    <w:rsid w:val="000330A6"/>
    <w:rsid w:val="00034899"/>
    <w:rsid w:val="00035AA4"/>
    <w:rsid w:val="00036776"/>
    <w:rsid w:val="00037B4A"/>
    <w:rsid w:val="0004057D"/>
    <w:rsid w:val="0004288A"/>
    <w:rsid w:val="0004504B"/>
    <w:rsid w:val="00045CD2"/>
    <w:rsid w:val="00055C24"/>
    <w:rsid w:val="000561A8"/>
    <w:rsid w:val="0005692E"/>
    <w:rsid w:val="00067894"/>
    <w:rsid w:val="00070E78"/>
    <w:rsid w:val="00071792"/>
    <w:rsid w:val="00072913"/>
    <w:rsid w:val="0007398E"/>
    <w:rsid w:val="000753EA"/>
    <w:rsid w:val="0007649A"/>
    <w:rsid w:val="000772B6"/>
    <w:rsid w:val="00077D4D"/>
    <w:rsid w:val="00077D83"/>
    <w:rsid w:val="000807C4"/>
    <w:rsid w:val="0008097D"/>
    <w:rsid w:val="00080E3B"/>
    <w:rsid w:val="0008351C"/>
    <w:rsid w:val="000848A1"/>
    <w:rsid w:val="00085A72"/>
    <w:rsid w:val="00090E1E"/>
    <w:rsid w:val="00093197"/>
    <w:rsid w:val="0009565D"/>
    <w:rsid w:val="00097D8E"/>
    <w:rsid w:val="00097E86"/>
    <w:rsid w:val="000A2A06"/>
    <w:rsid w:val="000A3A41"/>
    <w:rsid w:val="000A4B21"/>
    <w:rsid w:val="000A50B9"/>
    <w:rsid w:val="000A5B9D"/>
    <w:rsid w:val="000A5E1E"/>
    <w:rsid w:val="000B455C"/>
    <w:rsid w:val="000C643A"/>
    <w:rsid w:val="000C7E30"/>
    <w:rsid w:val="000D0A68"/>
    <w:rsid w:val="000D3D82"/>
    <w:rsid w:val="000D63E7"/>
    <w:rsid w:val="000D689E"/>
    <w:rsid w:val="000E18D5"/>
    <w:rsid w:val="000E3458"/>
    <w:rsid w:val="000E3811"/>
    <w:rsid w:val="000E4837"/>
    <w:rsid w:val="000F0371"/>
    <w:rsid w:val="000F0B97"/>
    <w:rsid w:val="000F2233"/>
    <w:rsid w:val="000F5958"/>
    <w:rsid w:val="000F78F6"/>
    <w:rsid w:val="00105307"/>
    <w:rsid w:val="0010543A"/>
    <w:rsid w:val="00105585"/>
    <w:rsid w:val="00105A7F"/>
    <w:rsid w:val="00106EEA"/>
    <w:rsid w:val="0011666E"/>
    <w:rsid w:val="00116D47"/>
    <w:rsid w:val="00120A37"/>
    <w:rsid w:val="00120B5C"/>
    <w:rsid w:val="001217DA"/>
    <w:rsid w:val="00124EDE"/>
    <w:rsid w:val="00134617"/>
    <w:rsid w:val="00135D4C"/>
    <w:rsid w:val="001368F6"/>
    <w:rsid w:val="001377FB"/>
    <w:rsid w:val="00137DE2"/>
    <w:rsid w:val="00141E1C"/>
    <w:rsid w:val="001423FB"/>
    <w:rsid w:val="00142897"/>
    <w:rsid w:val="00144077"/>
    <w:rsid w:val="00146653"/>
    <w:rsid w:val="00147389"/>
    <w:rsid w:val="00147853"/>
    <w:rsid w:val="0015036A"/>
    <w:rsid w:val="001525D2"/>
    <w:rsid w:val="00152D88"/>
    <w:rsid w:val="00157972"/>
    <w:rsid w:val="001624E3"/>
    <w:rsid w:val="00165892"/>
    <w:rsid w:val="00165D4C"/>
    <w:rsid w:val="00172815"/>
    <w:rsid w:val="001728CC"/>
    <w:rsid w:val="00177B7A"/>
    <w:rsid w:val="001821CD"/>
    <w:rsid w:val="001849D2"/>
    <w:rsid w:val="0019019B"/>
    <w:rsid w:val="0019218A"/>
    <w:rsid w:val="00195AAB"/>
    <w:rsid w:val="00195B83"/>
    <w:rsid w:val="001A1B33"/>
    <w:rsid w:val="001A3540"/>
    <w:rsid w:val="001A5880"/>
    <w:rsid w:val="001B6A9C"/>
    <w:rsid w:val="001B7B67"/>
    <w:rsid w:val="001C26E2"/>
    <w:rsid w:val="001C32F0"/>
    <w:rsid w:val="001C351E"/>
    <w:rsid w:val="001C637B"/>
    <w:rsid w:val="001C6F06"/>
    <w:rsid w:val="001D0DEF"/>
    <w:rsid w:val="001D6187"/>
    <w:rsid w:val="001D6DB9"/>
    <w:rsid w:val="001E1030"/>
    <w:rsid w:val="001E16AF"/>
    <w:rsid w:val="001E2953"/>
    <w:rsid w:val="001E32EA"/>
    <w:rsid w:val="001E6B6F"/>
    <w:rsid w:val="001E78BB"/>
    <w:rsid w:val="001F37D1"/>
    <w:rsid w:val="00212C96"/>
    <w:rsid w:val="00214C1D"/>
    <w:rsid w:val="0021588B"/>
    <w:rsid w:val="0022013A"/>
    <w:rsid w:val="00222C14"/>
    <w:rsid w:val="00224431"/>
    <w:rsid w:val="00225FD4"/>
    <w:rsid w:val="00236144"/>
    <w:rsid w:val="00240A35"/>
    <w:rsid w:val="00241C76"/>
    <w:rsid w:val="00243C11"/>
    <w:rsid w:val="00244D92"/>
    <w:rsid w:val="00246581"/>
    <w:rsid w:val="00246DFF"/>
    <w:rsid w:val="002502D4"/>
    <w:rsid w:val="00253624"/>
    <w:rsid w:val="00253CE2"/>
    <w:rsid w:val="00254118"/>
    <w:rsid w:val="00257CC8"/>
    <w:rsid w:val="00263EE9"/>
    <w:rsid w:val="00264601"/>
    <w:rsid w:val="0026476D"/>
    <w:rsid w:val="00270306"/>
    <w:rsid w:val="00272219"/>
    <w:rsid w:val="00274369"/>
    <w:rsid w:val="00276374"/>
    <w:rsid w:val="002772A9"/>
    <w:rsid w:val="00277D35"/>
    <w:rsid w:val="00280A55"/>
    <w:rsid w:val="00280ED3"/>
    <w:rsid w:val="0028159A"/>
    <w:rsid w:val="00282140"/>
    <w:rsid w:val="00285E54"/>
    <w:rsid w:val="00286645"/>
    <w:rsid w:val="00296B7E"/>
    <w:rsid w:val="00297043"/>
    <w:rsid w:val="002A0993"/>
    <w:rsid w:val="002A1EBD"/>
    <w:rsid w:val="002A202B"/>
    <w:rsid w:val="002A48E4"/>
    <w:rsid w:val="002A4A20"/>
    <w:rsid w:val="002B003A"/>
    <w:rsid w:val="002B3943"/>
    <w:rsid w:val="002B5D96"/>
    <w:rsid w:val="002B6D14"/>
    <w:rsid w:val="002C1397"/>
    <w:rsid w:val="002C2ACC"/>
    <w:rsid w:val="002C5917"/>
    <w:rsid w:val="002C7112"/>
    <w:rsid w:val="002D4BC6"/>
    <w:rsid w:val="002E099C"/>
    <w:rsid w:val="002E0C4B"/>
    <w:rsid w:val="002E19C7"/>
    <w:rsid w:val="002E1B73"/>
    <w:rsid w:val="002E7419"/>
    <w:rsid w:val="002F353A"/>
    <w:rsid w:val="00300329"/>
    <w:rsid w:val="003018CF"/>
    <w:rsid w:val="00312478"/>
    <w:rsid w:val="00312E95"/>
    <w:rsid w:val="003144C9"/>
    <w:rsid w:val="00321C12"/>
    <w:rsid w:val="003239AA"/>
    <w:rsid w:val="00331A57"/>
    <w:rsid w:val="00336453"/>
    <w:rsid w:val="00340622"/>
    <w:rsid w:val="00340C56"/>
    <w:rsid w:val="00342118"/>
    <w:rsid w:val="003426DE"/>
    <w:rsid w:val="0034270A"/>
    <w:rsid w:val="00344147"/>
    <w:rsid w:val="0034602F"/>
    <w:rsid w:val="00347BA2"/>
    <w:rsid w:val="0035040B"/>
    <w:rsid w:val="00351789"/>
    <w:rsid w:val="00353076"/>
    <w:rsid w:val="00355610"/>
    <w:rsid w:val="00355E61"/>
    <w:rsid w:val="0035754B"/>
    <w:rsid w:val="00361704"/>
    <w:rsid w:val="003631F5"/>
    <w:rsid w:val="00363764"/>
    <w:rsid w:val="0036638A"/>
    <w:rsid w:val="00367129"/>
    <w:rsid w:val="0037014E"/>
    <w:rsid w:val="00374D77"/>
    <w:rsid w:val="0038361D"/>
    <w:rsid w:val="00385AC7"/>
    <w:rsid w:val="00385EAC"/>
    <w:rsid w:val="00390051"/>
    <w:rsid w:val="0039462E"/>
    <w:rsid w:val="00395FF5"/>
    <w:rsid w:val="00396806"/>
    <w:rsid w:val="00396AAD"/>
    <w:rsid w:val="00396D99"/>
    <w:rsid w:val="00396E8C"/>
    <w:rsid w:val="0039752C"/>
    <w:rsid w:val="003A0BBD"/>
    <w:rsid w:val="003A766C"/>
    <w:rsid w:val="003A7ED6"/>
    <w:rsid w:val="003B103B"/>
    <w:rsid w:val="003B2DCA"/>
    <w:rsid w:val="003B2EB6"/>
    <w:rsid w:val="003B6EB8"/>
    <w:rsid w:val="003B7B8B"/>
    <w:rsid w:val="003C15E1"/>
    <w:rsid w:val="003C5D1D"/>
    <w:rsid w:val="003C7F7F"/>
    <w:rsid w:val="003D000B"/>
    <w:rsid w:val="003D15D7"/>
    <w:rsid w:val="003D1D45"/>
    <w:rsid w:val="003D2BA4"/>
    <w:rsid w:val="003D2CB6"/>
    <w:rsid w:val="003D3B71"/>
    <w:rsid w:val="003D4480"/>
    <w:rsid w:val="003D6F9A"/>
    <w:rsid w:val="003E75EE"/>
    <w:rsid w:val="003F29FC"/>
    <w:rsid w:val="003F3CCA"/>
    <w:rsid w:val="003F60C5"/>
    <w:rsid w:val="0040656C"/>
    <w:rsid w:val="00411080"/>
    <w:rsid w:val="004147D9"/>
    <w:rsid w:val="00415258"/>
    <w:rsid w:val="00416A86"/>
    <w:rsid w:val="00416E67"/>
    <w:rsid w:val="00421CE8"/>
    <w:rsid w:val="00422500"/>
    <w:rsid w:val="004337F2"/>
    <w:rsid w:val="00443FEE"/>
    <w:rsid w:val="0044668E"/>
    <w:rsid w:val="00446DAE"/>
    <w:rsid w:val="00447132"/>
    <w:rsid w:val="00451ACA"/>
    <w:rsid w:val="00454F27"/>
    <w:rsid w:val="0046361F"/>
    <w:rsid w:val="00464942"/>
    <w:rsid w:val="004711CB"/>
    <w:rsid w:val="00473F5E"/>
    <w:rsid w:val="0047496D"/>
    <w:rsid w:val="00474EE1"/>
    <w:rsid w:val="004825B0"/>
    <w:rsid w:val="004840A9"/>
    <w:rsid w:val="00492DD2"/>
    <w:rsid w:val="004A01BE"/>
    <w:rsid w:val="004A1C28"/>
    <w:rsid w:val="004A3042"/>
    <w:rsid w:val="004A72C8"/>
    <w:rsid w:val="004B0713"/>
    <w:rsid w:val="004B1FC9"/>
    <w:rsid w:val="004B389D"/>
    <w:rsid w:val="004B4ADE"/>
    <w:rsid w:val="004B4E89"/>
    <w:rsid w:val="004C0ABE"/>
    <w:rsid w:val="004C0DD8"/>
    <w:rsid w:val="004D04C1"/>
    <w:rsid w:val="004D1348"/>
    <w:rsid w:val="004D520D"/>
    <w:rsid w:val="004D53DE"/>
    <w:rsid w:val="004D75F1"/>
    <w:rsid w:val="004E0280"/>
    <w:rsid w:val="004E13B6"/>
    <w:rsid w:val="004E4ABD"/>
    <w:rsid w:val="004E67A6"/>
    <w:rsid w:val="004E7524"/>
    <w:rsid w:val="004E7FEE"/>
    <w:rsid w:val="005002A5"/>
    <w:rsid w:val="005011BE"/>
    <w:rsid w:val="00502561"/>
    <w:rsid w:val="00502962"/>
    <w:rsid w:val="005073F7"/>
    <w:rsid w:val="00511894"/>
    <w:rsid w:val="005130C2"/>
    <w:rsid w:val="00513AF7"/>
    <w:rsid w:val="00514A8C"/>
    <w:rsid w:val="005178DB"/>
    <w:rsid w:val="005202BC"/>
    <w:rsid w:val="00520A2C"/>
    <w:rsid w:val="005235C0"/>
    <w:rsid w:val="00523643"/>
    <w:rsid w:val="00523843"/>
    <w:rsid w:val="00523D32"/>
    <w:rsid w:val="005303CC"/>
    <w:rsid w:val="0053101F"/>
    <w:rsid w:val="00532CAC"/>
    <w:rsid w:val="00541D73"/>
    <w:rsid w:val="0054581D"/>
    <w:rsid w:val="0054767A"/>
    <w:rsid w:val="00547AFC"/>
    <w:rsid w:val="00551050"/>
    <w:rsid w:val="00563EF4"/>
    <w:rsid w:val="005659AE"/>
    <w:rsid w:val="00566C79"/>
    <w:rsid w:val="0057423F"/>
    <w:rsid w:val="00575407"/>
    <w:rsid w:val="00577E51"/>
    <w:rsid w:val="00580DA6"/>
    <w:rsid w:val="005842C2"/>
    <w:rsid w:val="00585090"/>
    <w:rsid w:val="00585F7B"/>
    <w:rsid w:val="00587DE6"/>
    <w:rsid w:val="00593A36"/>
    <w:rsid w:val="00595A37"/>
    <w:rsid w:val="005A0BEF"/>
    <w:rsid w:val="005A54C7"/>
    <w:rsid w:val="005B0A1C"/>
    <w:rsid w:val="005B143F"/>
    <w:rsid w:val="005B211C"/>
    <w:rsid w:val="005B3E39"/>
    <w:rsid w:val="005B5B07"/>
    <w:rsid w:val="005C1528"/>
    <w:rsid w:val="005C1F1D"/>
    <w:rsid w:val="005C2162"/>
    <w:rsid w:val="005C2441"/>
    <w:rsid w:val="005C31DE"/>
    <w:rsid w:val="005C366B"/>
    <w:rsid w:val="005C51C6"/>
    <w:rsid w:val="005C5C6C"/>
    <w:rsid w:val="005D534A"/>
    <w:rsid w:val="005D6771"/>
    <w:rsid w:val="005E0A32"/>
    <w:rsid w:val="005E0B3C"/>
    <w:rsid w:val="005E0F5D"/>
    <w:rsid w:val="005E3F33"/>
    <w:rsid w:val="005F02C4"/>
    <w:rsid w:val="005F68CF"/>
    <w:rsid w:val="00604AF0"/>
    <w:rsid w:val="006061D0"/>
    <w:rsid w:val="006100B9"/>
    <w:rsid w:val="006119BE"/>
    <w:rsid w:val="00612D8E"/>
    <w:rsid w:val="006137B0"/>
    <w:rsid w:val="00614866"/>
    <w:rsid w:val="00616D94"/>
    <w:rsid w:val="00621BE4"/>
    <w:rsid w:val="00624F40"/>
    <w:rsid w:val="006261DE"/>
    <w:rsid w:val="00626780"/>
    <w:rsid w:val="006270D3"/>
    <w:rsid w:val="00627B64"/>
    <w:rsid w:val="00631F07"/>
    <w:rsid w:val="00636164"/>
    <w:rsid w:val="0064049B"/>
    <w:rsid w:val="00641EB8"/>
    <w:rsid w:val="00643F8B"/>
    <w:rsid w:val="006460D7"/>
    <w:rsid w:val="006504C3"/>
    <w:rsid w:val="00653359"/>
    <w:rsid w:val="00654EDA"/>
    <w:rsid w:val="00660B30"/>
    <w:rsid w:val="00670A27"/>
    <w:rsid w:val="006726B8"/>
    <w:rsid w:val="00673EB9"/>
    <w:rsid w:val="00675523"/>
    <w:rsid w:val="006765A5"/>
    <w:rsid w:val="00680420"/>
    <w:rsid w:val="00681227"/>
    <w:rsid w:val="006841FA"/>
    <w:rsid w:val="00694844"/>
    <w:rsid w:val="00697C0B"/>
    <w:rsid w:val="006A05B7"/>
    <w:rsid w:val="006A1944"/>
    <w:rsid w:val="006A353C"/>
    <w:rsid w:val="006A6418"/>
    <w:rsid w:val="006B042B"/>
    <w:rsid w:val="006B0FD3"/>
    <w:rsid w:val="006B4A5B"/>
    <w:rsid w:val="006B568C"/>
    <w:rsid w:val="006B6FD8"/>
    <w:rsid w:val="006C080B"/>
    <w:rsid w:val="006C0D66"/>
    <w:rsid w:val="006C3D44"/>
    <w:rsid w:val="006C4FD2"/>
    <w:rsid w:val="006C66DD"/>
    <w:rsid w:val="006D158C"/>
    <w:rsid w:val="006D1C31"/>
    <w:rsid w:val="006D2537"/>
    <w:rsid w:val="006D2A94"/>
    <w:rsid w:val="006D32D6"/>
    <w:rsid w:val="006D6476"/>
    <w:rsid w:val="006E0618"/>
    <w:rsid w:val="006E70D5"/>
    <w:rsid w:val="006F170A"/>
    <w:rsid w:val="006F1ECB"/>
    <w:rsid w:val="006F26F0"/>
    <w:rsid w:val="006F4DA9"/>
    <w:rsid w:val="006F5E79"/>
    <w:rsid w:val="00700A12"/>
    <w:rsid w:val="00702C96"/>
    <w:rsid w:val="0070463F"/>
    <w:rsid w:val="0070472D"/>
    <w:rsid w:val="00704F3F"/>
    <w:rsid w:val="00710A1F"/>
    <w:rsid w:val="00711798"/>
    <w:rsid w:val="00712567"/>
    <w:rsid w:val="00713D3F"/>
    <w:rsid w:val="00722168"/>
    <w:rsid w:val="007231AA"/>
    <w:rsid w:val="00725789"/>
    <w:rsid w:val="0072591F"/>
    <w:rsid w:val="00726F64"/>
    <w:rsid w:val="007306DD"/>
    <w:rsid w:val="00733410"/>
    <w:rsid w:val="00733773"/>
    <w:rsid w:val="00734384"/>
    <w:rsid w:val="00735476"/>
    <w:rsid w:val="007363F7"/>
    <w:rsid w:val="00737E99"/>
    <w:rsid w:val="007467FB"/>
    <w:rsid w:val="0075392A"/>
    <w:rsid w:val="00756B5D"/>
    <w:rsid w:val="00761862"/>
    <w:rsid w:val="0076685E"/>
    <w:rsid w:val="00770ABC"/>
    <w:rsid w:val="00771546"/>
    <w:rsid w:val="00773D13"/>
    <w:rsid w:val="00775828"/>
    <w:rsid w:val="007762ED"/>
    <w:rsid w:val="00776F2F"/>
    <w:rsid w:val="007807AC"/>
    <w:rsid w:val="0078284D"/>
    <w:rsid w:val="007828B8"/>
    <w:rsid w:val="007844DE"/>
    <w:rsid w:val="0078750D"/>
    <w:rsid w:val="00787E99"/>
    <w:rsid w:val="007904DF"/>
    <w:rsid w:val="00790755"/>
    <w:rsid w:val="00790976"/>
    <w:rsid w:val="00790BB8"/>
    <w:rsid w:val="007960B4"/>
    <w:rsid w:val="007A03FF"/>
    <w:rsid w:val="007A05E0"/>
    <w:rsid w:val="007A16CD"/>
    <w:rsid w:val="007A5710"/>
    <w:rsid w:val="007B1801"/>
    <w:rsid w:val="007B4A93"/>
    <w:rsid w:val="007B5AC0"/>
    <w:rsid w:val="007C065A"/>
    <w:rsid w:val="007C0A2C"/>
    <w:rsid w:val="007C0CBF"/>
    <w:rsid w:val="007C1C05"/>
    <w:rsid w:val="007C43EB"/>
    <w:rsid w:val="007C4E96"/>
    <w:rsid w:val="007C5F08"/>
    <w:rsid w:val="007D1FE5"/>
    <w:rsid w:val="007D50C5"/>
    <w:rsid w:val="007E0D57"/>
    <w:rsid w:val="007E0D89"/>
    <w:rsid w:val="007E3A3B"/>
    <w:rsid w:val="007E50A8"/>
    <w:rsid w:val="007F0718"/>
    <w:rsid w:val="007F2571"/>
    <w:rsid w:val="007F3DE1"/>
    <w:rsid w:val="00800E0F"/>
    <w:rsid w:val="008059A0"/>
    <w:rsid w:val="008123FA"/>
    <w:rsid w:val="008130B1"/>
    <w:rsid w:val="00816CB4"/>
    <w:rsid w:val="00820BDD"/>
    <w:rsid w:val="00823536"/>
    <w:rsid w:val="008238AF"/>
    <w:rsid w:val="0082670D"/>
    <w:rsid w:val="00826CDA"/>
    <w:rsid w:val="008270E4"/>
    <w:rsid w:val="00831CE7"/>
    <w:rsid w:val="00833671"/>
    <w:rsid w:val="008343E6"/>
    <w:rsid w:val="00835CC0"/>
    <w:rsid w:val="00836F72"/>
    <w:rsid w:val="00837351"/>
    <w:rsid w:val="00837906"/>
    <w:rsid w:val="00840570"/>
    <w:rsid w:val="00842B54"/>
    <w:rsid w:val="00845F5D"/>
    <w:rsid w:val="008472AF"/>
    <w:rsid w:val="008502CD"/>
    <w:rsid w:val="00850CCD"/>
    <w:rsid w:val="0085420C"/>
    <w:rsid w:val="00854308"/>
    <w:rsid w:val="008560C0"/>
    <w:rsid w:val="008561B3"/>
    <w:rsid w:val="00861D65"/>
    <w:rsid w:val="0087154B"/>
    <w:rsid w:val="00872C01"/>
    <w:rsid w:val="008751F0"/>
    <w:rsid w:val="00877096"/>
    <w:rsid w:val="00877EF2"/>
    <w:rsid w:val="00881F5A"/>
    <w:rsid w:val="00882953"/>
    <w:rsid w:val="00883032"/>
    <w:rsid w:val="00883A8D"/>
    <w:rsid w:val="00884EC1"/>
    <w:rsid w:val="00892602"/>
    <w:rsid w:val="00894FE5"/>
    <w:rsid w:val="008A1B4C"/>
    <w:rsid w:val="008A204B"/>
    <w:rsid w:val="008A2ECB"/>
    <w:rsid w:val="008B1675"/>
    <w:rsid w:val="008B6982"/>
    <w:rsid w:val="008B793D"/>
    <w:rsid w:val="008C0D96"/>
    <w:rsid w:val="008C1FC8"/>
    <w:rsid w:val="008C25C8"/>
    <w:rsid w:val="008C29B8"/>
    <w:rsid w:val="008C3FA6"/>
    <w:rsid w:val="008C7DBA"/>
    <w:rsid w:val="008D1BDB"/>
    <w:rsid w:val="008D3AA5"/>
    <w:rsid w:val="008D3BE2"/>
    <w:rsid w:val="008D429F"/>
    <w:rsid w:val="008E345E"/>
    <w:rsid w:val="008E3AC9"/>
    <w:rsid w:val="008E531B"/>
    <w:rsid w:val="008E646C"/>
    <w:rsid w:val="008F3CA1"/>
    <w:rsid w:val="008F6ABF"/>
    <w:rsid w:val="00904E6F"/>
    <w:rsid w:val="009054F8"/>
    <w:rsid w:val="00906756"/>
    <w:rsid w:val="009141E8"/>
    <w:rsid w:val="00914D25"/>
    <w:rsid w:val="00916691"/>
    <w:rsid w:val="00917A9A"/>
    <w:rsid w:val="00920B56"/>
    <w:rsid w:val="00923FDA"/>
    <w:rsid w:val="0092634D"/>
    <w:rsid w:val="00931AAF"/>
    <w:rsid w:val="00931D2E"/>
    <w:rsid w:val="009352D3"/>
    <w:rsid w:val="00936060"/>
    <w:rsid w:val="00937E88"/>
    <w:rsid w:val="00940B68"/>
    <w:rsid w:val="00940DB6"/>
    <w:rsid w:val="00942E6E"/>
    <w:rsid w:val="009456D3"/>
    <w:rsid w:val="009457C8"/>
    <w:rsid w:val="00952791"/>
    <w:rsid w:val="009529E1"/>
    <w:rsid w:val="009535A0"/>
    <w:rsid w:val="009543C7"/>
    <w:rsid w:val="00960CF6"/>
    <w:rsid w:val="0096317F"/>
    <w:rsid w:val="00963BA0"/>
    <w:rsid w:val="00965CA8"/>
    <w:rsid w:val="009661A1"/>
    <w:rsid w:val="00967FC9"/>
    <w:rsid w:val="00970B3C"/>
    <w:rsid w:val="009713CC"/>
    <w:rsid w:val="0097320F"/>
    <w:rsid w:val="00974AAC"/>
    <w:rsid w:val="009774D0"/>
    <w:rsid w:val="00982C49"/>
    <w:rsid w:val="00984B89"/>
    <w:rsid w:val="00986298"/>
    <w:rsid w:val="009862BA"/>
    <w:rsid w:val="0098738C"/>
    <w:rsid w:val="00987A42"/>
    <w:rsid w:val="00991F40"/>
    <w:rsid w:val="00993A43"/>
    <w:rsid w:val="00996412"/>
    <w:rsid w:val="009965CF"/>
    <w:rsid w:val="00997BC9"/>
    <w:rsid w:val="009A1F17"/>
    <w:rsid w:val="009A76D1"/>
    <w:rsid w:val="009B01EA"/>
    <w:rsid w:val="009B12B0"/>
    <w:rsid w:val="009B2845"/>
    <w:rsid w:val="009B3C94"/>
    <w:rsid w:val="009B508C"/>
    <w:rsid w:val="009B7362"/>
    <w:rsid w:val="009C1560"/>
    <w:rsid w:val="009D1098"/>
    <w:rsid w:val="009D2DA3"/>
    <w:rsid w:val="009D3A7C"/>
    <w:rsid w:val="009D588A"/>
    <w:rsid w:val="009D6281"/>
    <w:rsid w:val="009D6F47"/>
    <w:rsid w:val="009E7E26"/>
    <w:rsid w:val="009F07B1"/>
    <w:rsid w:val="009F1335"/>
    <w:rsid w:val="009F2811"/>
    <w:rsid w:val="009F32D1"/>
    <w:rsid w:val="00A0425B"/>
    <w:rsid w:val="00A05770"/>
    <w:rsid w:val="00A07438"/>
    <w:rsid w:val="00A112EB"/>
    <w:rsid w:val="00A13C96"/>
    <w:rsid w:val="00A163CD"/>
    <w:rsid w:val="00A24360"/>
    <w:rsid w:val="00A26256"/>
    <w:rsid w:val="00A268D4"/>
    <w:rsid w:val="00A27350"/>
    <w:rsid w:val="00A303D3"/>
    <w:rsid w:val="00A3703A"/>
    <w:rsid w:val="00A43511"/>
    <w:rsid w:val="00A450C8"/>
    <w:rsid w:val="00A47C61"/>
    <w:rsid w:val="00A52BD6"/>
    <w:rsid w:val="00A57661"/>
    <w:rsid w:val="00A605A6"/>
    <w:rsid w:val="00A60ACE"/>
    <w:rsid w:val="00A6322A"/>
    <w:rsid w:val="00A63890"/>
    <w:rsid w:val="00A65CD6"/>
    <w:rsid w:val="00A66E2A"/>
    <w:rsid w:val="00A70AC7"/>
    <w:rsid w:val="00A743FB"/>
    <w:rsid w:val="00A7513B"/>
    <w:rsid w:val="00A770CB"/>
    <w:rsid w:val="00A77A25"/>
    <w:rsid w:val="00A80957"/>
    <w:rsid w:val="00A8504A"/>
    <w:rsid w:val="00A86469"/>
    <w:rsid w:val="00A871B8"/>
    <w:rsid w:val="00A87926"/>
    <w:rsid w:val="00A90962"/>
    <w:rsid w:val="00A90EE5"/>
    <w:rsid w:val="00A94C30"/>
    <w:rsid w:val="00AA2012"/>
    <w:rsid w:val="00AA2EB9"/>
    <w:rsid w:val="00AA7AE3"/>
    <w:rsid w:val="00AB02A5"/>
    <w:rsid w:val="00AB5528"/>
    <w:rsid w:val="00AB768F"/>
    <w:rsid w:val="00AC0CD1"/>
    <w:rsid w:val="00AC268B"/>
    <w:rsid w:val="00AC354E"/>
    <w:rsid w:val="00AC4621"/>
    <w:rsid w:val="00AC51B2"/>
    <w:rsid w:val="00AC5DA5"/>
    <w:rsid w:val="00AD4653"/>
    <w:rsid w:val="00AE027E"/>
    <w:rsid w:val="00AE1D53"/>
    <w:rsid w:val="00AE27C1"/>
    <w:rsid w:val="00AE4D39"/>
    <w:rsid w:val="00AE5520"/>
    <w:rsid w:val="00AE7875"/>
    <w:rsid w:val="00AF2AEF"/>
    <w:rsid w:val="00AF6E7F"/>
    <w:rsid w:val="00B0093F"/>
    <w:rsid w:val="00B0315B"/>
    <w:rsid w:val="00B032AD"/>
    <w:rsid w:val="00B04B47"/>
    <w:rsid w:val="00B10A63"/>
    <w:rsid w:val="00B11ED3"/>
    <w:rsid w:val="00B154D5"/>
    <w:rsid w:val="00B17119"/>
    <w:rsid w:val="00B177BD"/>
    <w:rsid w:val="00B178B4"/>
    <w:rsid w:val="00B22DF8"/>
    <w:rsid w:val="00B35239"/>
    <w:rsid w:val="00B37ACC"/>
    <w:rsid w:val="00B424D1"/>
    <w:rsid w:val="00B435F5"/>
    <w:rsid w:val="00B43C4C"/>
    <w:rsid w:val="00B45BFB"/>
    <w:rsid w:val="00B5043C"/>
    <w:rsid w:val="00B55F7B"/>
    <w:rsid w:val="00B56B8E"/>
    <w:rsid w:val="00B606FE"/>
    <w:rsid w:val="00B60786"/>
    <w:rsid w:val="00B61E81"/>
    <w:rsid w:val="00B64A8A"/>
    <w:rsid w:val="00B748CF"/>
    <w:rsid w:val="00B75C01"/>
    <w:rsid w:val="00B80A49"/>
    <w:rsid w:val="00B82B6C"/>
    <w:rsid w:val="00B91326"/>
    <w:rsid w:val="00B915FC"/>
    <w:rsid w:val="00B9450D"/>
    <w:rsid w:val="00BA14CA"/>
    <w:rsid w:val="00BA1869"/>
    <w:rsid w:val="00BA3B9A"/>
    <w:rsid w:val="00BB3C66"/>
    <w:rsid w:val="00BB4C22"/>
    <w:rsid w:val="00BB609E"/>
    <w:rsid w:val="00BB6691"/>
    <w:rsid w:val="00BB79C6"/>
    <w:rsid w:val="00BC038B"/>
    <w:rsid w:val="00BC08E3"/>
    <w:rsid w:val="00BC1DC0"/>
    <w:rsid w:val="00BC3929"/>
    <w:rsid w:val="00BC3F11"/>
    <w:rsid w:val="00BD380D"/>
    <w:rsid w:val="00BD4158"/>
    <w:rsid w:val="00BD5BFF"/>
    <w:rsid w:val="00BD5C4A"/>
    <w:rsid w:val="00BD7B17"/>
    <w:rsid w:val="00BE4B32"/>
    <w:rsid w:val="00BE6AA5"/>
    <w:rsid w:val="00BF1B35"/>
    <w:rsid w:val="00BF3884"/>
    <w:rsid w:val="00BF4960"/>
    <w:rsid w:val="00BF6B2C"/>
    <w:rsid w:val="00C01E46"/>
    <w:rsid w:val="00C0288F"/>
    <w:rsid w:val="00C05391"/>
    <w:rsid w:val="00C11BEC"/>
    <w:rsid w:val="00C1582B"/>
    <w:rsid w:val="00C223E4"/>
    <w:rsid w:val="00C27DB6"/>
    <w:rsid w:val="00C303F8"/>
    <w:rsid w:val="00C325D0"/>
    <w:rsid w:val="00C33BCD"/>
    <w:rsid w:val="00C34989"/>
    <w:rsid w:val="00C3655A"/>
    <w:rsid w:val="00C41550"/>
    <w:rsid w:val="00C5139C"/>
    <w:rsid w:val="00C5631D"/>
    <w:rsid w:val="00C5713F"/>
    <w:rsid w:val="00C610C6"/>
    <w:rsid w:val="00C615FD"/>
    <w:rsid w:val="00C66B24"/>
    <w:rsid w:val="00C66D6E"/>
    <w:rsid w:val="00C75528"/>
    <w:rsid w:val="00C825ED"/>
    <w:rsid w:val="00C90A78"/>
    <w:rsid w:val="00C91967"/>
    <w:rsid w:val="00C9490E"/>
    <w:rsid w:val="00CA1476"/>
    <w:rsid w:val="00CA1875"/>
    <w:rsid w:val="00CA1BF2"/>
    <w:rsid w:val="00CA200D"/>
    <w:rsid w:val="00CA2CDD"/>
    <w:rsid w:val="00CA3F28"/>
    <w:rsid w:val="00CA43FD"/>
    <w:rsid w:val="00CA5B86"/>
    <w:rsid w:val="00CA6484"/>
    <w:rsid w:val="00CB17B7"/>
    <w:rsid w:val="00CB24DF"/>
    <w:rsid w:val="00CB667D"/>
    <w:rsid w:val="00CC0FEB"/>
    <w:rsid w:val="00CC67FB"/>
    <w:rsid w:val="00CC72DE"/>
    <w:rsid w:val="00CC7B92"/>
    <w:rsid w:val="00CD2C29"/>
    <w:rsid w:val="00CD3AFA"/>
    <w:rsid w:val="00CD45FC"/>
    <w:rsid w:val="00CD75E6"/>
    <w:rsid w:val="00CE043B"/>
    <w:rsid w:val="00CE22C7"/>
    <w:rsid w:val="00CE2CE9"/>
    <w:rsid w:val="00CE2F71"/>
    <w:rsid w:val="00CE3C07"/>
    <w:rsid w:val="00CE6B3A"/>
    <w:rsid w:val="00CF1508"/>
    <w:rsid w:val="00D00B96"/>
    <w:rsid w:val="00D02B6F"/>
    <w:rsid w:val="00D04D83"/>
    <w:rsid w:val="00D05D1B"/>
    <w:rsid w:val="00D0672B"/>
    <w:rsid w:val="00D1342B"/>
    <w:rsid w:val="00D138D6"/>
    <w:rsid w:val="00D150B6"/>
    <w:rsid w:val="00D162D2"/>
    <w:rsid w:val="00D23022"/>
    <w:rsid w:val="00D24221"/>
    <w:rsid w:val="00D25D9B"/>
    <w:rsid w:val="00D329B3"/>
    <w:rsid w:val="00D332AB"/>
    <w:rsid w:val="00D34639"/>
    <w:rsid w:val="00D3677F"/>
    <w:rsid w:val="00D37625"/>
    <w:rsid w:val="00D37A83"/>
    <w:rsid w:val="00D41850"/>
    <w:rsid w:val="00D44E31"/>
    <w:rsid w:val="00D46748"/>
    <w:rsid w:val="00D47226"/>
    <w:rsid w:val="00D4768C"/>
    <w:rsid w:val="00D60A99"/>
    <w:rsid w:val="00D636DC"/>
    <w:rsid w:val="00D71A7E"/>
    <w:rsid w:val="00D7482D"/>
    <w:rsid w:val="00D758D6"/>
    <w:rsid w:val="00D860F8"/>
    <w:rsid w:val="00D906AF"/>
    <w:rsid w:val="00D914B7"/>
    <w:rsid w:val="00D93283"/>
    <w:rsid w:val="00D93627"/>
    <w:rsid w:val="00D946B2"/>
    <w:rsid w:val="00D94D48"/>
    <w:rsid w:val="00D95F88"/>
    <w:rsid w:val="00D97471"/>
    <w:rsid w:val="00D97592"/>
    <w:rsid w:val="00DA0085"/>
    <w:rsid w:val="00DA045C"/>
    <w:rsid w:val="00DA1175"/>
    <w:rsid w:val="00DA36E5"/>
    <w:rsid w:val="00DA4008"/>
    <w:rsid w:val="00DA59EF"/>
    <w:rsid w:val="00DA6C28"/>
    <w:rsid w:val="00DA733C"/>
    <w:rsid w:val="00DB067F"/>
    <w:rsid w:val="00DB3C17"/>
    <w:rsid w:val="00DB65BD"/>
    <w:rsid w:val="00DC1CCB"/>
    <w:rsid w:val="00DC2366"/>
    <w:rsid w:val="00DC775C"/>
    <w:rsid w:val="00DC7A61"/>
    <w:rsid w:val="00DD0A63"/>
    <w:rsid w:val="00DD259C"/>
    <w:rsid w:val="00DD7484"/>
    <w:rsid w:val="00DD7B82"/>
    <w:rsid w:val="00DE0C75"/>
    <w:rsid w:val="00DE6638"/>
    <w:rsid w:val="00DE7701"/>
    <w:rsid w:val="00DF17F6"/>
    <w:rsid w:val="00DF2C2E"/>
    <w:rsid w:val="00DF4D21"/>
    <w:rsid w:val="00E01B27"/>
    <w:rsid w:val="00E025E3"/>
    <w:rsid w:val="00E02DC1"/>
    <w:rsid w:val="00E03301"/>
    <w:rsid w:val="00E043CF"/>
    <w:rsid w:val="00E0474D"/>
    <w:rsid w:val="00E168EE"/>
    <w:rsid w:val="00E24763"/>
    <w:rsid w:val="00E24C8B"/>
    <w:rsid w:val="00E25C47"/>
    <w:rsid w:val="00E25F9F"/>
    <w:rsid w:val="00E30886"/>
    <w:rsid w:val="00E30CDF"/>
    <w:rsid w:val="00E34F4E"/>
    <w:rsid w:val="00E406A3"/>
    <w:rsid w:val="00E4289C"/>
    <w:rsid w:val="00E437AE"/>
    <w:rsid w:val="00E43E5F"/>
    <w:rsid w:val="00E478C8"/>
    <w:rsid w:val="00E53B72"/>
    <w:rsid w:val="00E55AB6"/>
    <w:rsid w:val="00E55FDD"/>
    <w:rsid w:val="00E567FB"/>
    <w:rsid w:val="00E6222B"/>
    <w:rsid w:val="00E629E5"/>
    <w:rsid w:val="00E63013"/>
    <w:rsid w:val="00E6323F"/>
    <w:rsid w:val="00E63576"/>
    <w:rsid w:val="00E6568F"/>
    <w:rsid w:val="00E67FC7"/>
    <w:rsid w:val="00E72372"/>
    <w:rsid w:val="00E7557D"/>
    <w:rsid w:val="00E755B1"/>
    <w:rsid w:val="00E80212"/>
    <w:rsid w:val="00E80405"/>
    <w:rsid w:val="00E806FB"/>
    <w:rsid w:val="00E81A8C"/>
    <w:rsid w:val="00E81EAB"/>
    <w:rsid w:val="00E842A4"/>
    <w:rsid w:val="00E8762D"/>
    <w:rsid w:val="00E90FFE"/>
    <w:rsid w:val="00E97236"/>
    <w:rsid w:val="00E97326"/>
    <w:rsid w:val="00E973AB"/>
    <w:rsid w:val="00E97D88"/>
    <w:rsid w:val="00EA2360"/>
    <w:rsid w:val="00EA49F0"/>
    <w:rsid w:val="00EA5A6A"/>
    <w:rsid w:val="00EA668D"/>
    <w:rsid w:val="00EB229A"/>
    <w:rsid w:val="00EB3B20"/>
    <w:rsid w:val="00EB4676"/>
    <w:rsid w:val="00EB5C88"/>
    <w:rsid w:val="00EC23DF"/>
    <w:rsid w:val="00EC2F0E"/>
    <w:rsid w:val="00EC59BC"/>
    <w:rsid w:val="00EC70D3"/>
    <w:rsid w:val="00ED3339"/>
    <w:rsid w:val="00ED4E56"/>
    <w:rsid w:val="00ED78D1"/>
    <w:rsid w:val="00EE1122"/>
    <w:rsid w:val="00EE2F2A"/>
    <w:rsid w:val="00EE370F"/>
    <w:rsid w:val="00EE657E"/>
    <w:rsid w:val="00EE7E11"/>
    <w:rsid w:val="00EF22C1"/>
    <w:rsid w:val="00EF32E9"/>
    <w:rsid w:val="00EF3935"/>
    <w:rsid w:val="00EF7E63"/>
    <w:rsid w:val="00F016E1"/>
    <w:rsid w:val="00F03667"/>
    <w:rsid w:val="00F0767D"/>
    <w:rsid w:val="00F07A3D"/>
    <w:rsid w:val="00F10CB8"/>
    <w:rsid w:val="00F11332"/>
    <w:rsid w:val="00F12C02"/>
    <w:rsid w:val="00F158C4"/>
    <w:rsid w:val="00F15EA9"/>
    <w:rsid w:val="00F24B97"/>
    <w:rsid w:val="00F24CC0"/>
    <w:rsid w:val="00F24DAD"/>
    <w:rsid w:val="00F269D4"/>
    <w:rsid w:val="00F32366"/>
    <w:rsid w:val="00F33E95"/>
    <w:rsid w:val="00F3537B"/>
    <w:rsid w:val="00F35A8D"/>
    <w:rsid w:val="00F36A34"/>
    <w:rsid w:val="00F423D8"/>
    <w:rsid w:val="00F45CE8"/>
    <w:rsid w:val="00F47B46"/>
    <w:rsid w:val="00F51E2D"/>
    <w:rsid w:val="00F55E63"/>
    <w:rsid w:val="00F5676F"/>
    <w:rsid w:val="00F57128"/>
    <w:rsid w:val="00F60F95"/>
    <w:rsid w:val="00F61D34"/>
    <w:rsid w:val="00F658C9"/>
    <w:rsid w:val="00F6720B"/>
    <w:rsid w:val="00F6731F"/>
    <w:rsid w:val="00F72CEA"/>
    <w:rsid w:val="00F73AA4"/>
    <w:rsid w:val="00F76411"/>
    <w:rsid w:val="00F800F1"/>
    <w:rsid w:val="00F87250"/>
    <w:rsid w:val="00F91B6D"/>
    <w:rsid w:val="00FA0D49"/>
    <w:rsid w:val="00FA3A4C"/>
    <w:rsid w:val="00FB0E59"/>
    <w:rsid w:val="00FB2A4A"/>
    <w:rsid w:val="00FB3592"/>
    <w:rsid w:val="00FB558B"/>
    <w:rsid w:val="00FB5817"/>
    <w:rsid w:val="00FC0CA0"/>
    <w:rsid w:val="00FC1148"/>
    <w:rsid w:val="00FC2169"/>
    <w:rsid w:val="00FD0954"/>
    <w:rsid w:val="00FD19F3"/>
    <w:rsid w:val="00FD432B"/>
    <w:rsid w:val="00FD45FC"/>
    <w:rsid w:val="00FE1167"/>
    <w:rsid w:val="00FE229B"/>
    <w:rsid w:val="00FE4B1E"/>
    <w:rsid w:val="00FE617E"/>
    <w:rsid w:val="00FE76D3"/>
    <w:rsid w:val="00FE7A1B"/>
    <w:rsid w:val="00FE7D59"/>
    <w:rsid w:val="00FF1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E42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FD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C1F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1F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56D3"/>
    <w:rPr>
      <w:sz w:val="18"/>
      <w:szCs w:val="18"/>
    </w:rPr>
  </w:style>
  <w:style w:type="character" w:customStyle="1" w:styleId="BalloonTextChar">
    <w:name w:val="Balloon Text Char"/>
    <w:basedOn w:val="DefaultParagraphFont"/>
    <w:link w:val="BalloonText"/>
    <w:uiPriority w:val="99"/>
    <w:semiHidden/>
    <w:rsid w:val="009456D3"/>
    <w:rPr>
      <w:rFonts w:ascii="Times New Roman" w:hAnsi="Times New Roman" w:cs="Times New Roman"/>
      <w:sz w:val="18"/>
      <w:szCs w:val="18"/>
    </w:rPr>
  </w:style>
  <w:style w:type="character" w:styleId="Emphasis">
    <w:name w:val="Emphasis"/>
    <w:basedOn w:val="DefaultParagraphFont"/>
    <w:uiPriority w:val="20"/>
    <w:qFormat/>
    <w:rsid w:val="000F0B97"/>
    <w:rPr>
      <w:i/>
      <w:iCs/>
    </w:rPr>
  </w:style>
  <w:style w:type="paragraph" w:styleId="NormalWeb">
    <w:name w:val="Normal (Web)"/>
    <w:basedOn w:val="Normal"/>
    <w:uiPriority w:val="99"/>
    <w:unhideWhenUsed/>
    <w:rsid w:val="00A7513B"/>
    <w:pPr>
      <w:spacing w:before="100" w:beforeAutospacing="1" w:after="100" w:afterAutospacing="1"/>
    </w:pPr>
  </w:style>
  <w:style w:type="paragraph" w:customStyle="1" w:styleId="EndNoteBibliographyTitle">
    <w:name w:val="EndNote Bibliography Title"/>
    <w:basedOn w:val="Normal"/>
    <w:link w:val="EndNoteBibliographyTitleChar"/>
    <w:rsid w:val="004D53DE"/>
    <w:pPr>
      <w:jc w:val="center"/>
    </w:pPr>
  </w:style>
  <w:style w:type="character" w:customStyle="1" w:styleId="EndNoteBibliographyTitleChar">
    <w:name w:val="EndNote Bibliography Title Char"/>
    <w:basedOn w:val="DefaultParagraphFont"/>
    <w:link w:val="EndNoteBibliographyTitle"/>
    <w:rsid w:val="004D53DE"/>
    <w:rPr>
      <w:rFonts w:ascii="Times New Roman" w:eastAsia="Times New Roman" w:hAnsi="Times New Roman" w:cs="Times New Roman"/>
      <w:lang w:eastAsia="en-GB"/>
    </w:rPr>
  </w:style>
  <w:style w:type="paragraph" w:customStyle="1" w:styleId="EndNoteBibliography">
    <w:name w:val="EndNote Bibliography"/>
    <w:basedOn w:val="Normal"/>
    <w:link w:val="EndNoteBibliographyChar"/>
    <w:rsid w:val="004D53DE"/>
  </w:style>
  <w:style w:type="character" w:customStyle="1" w:styleId="EndNoteBibliographyChar">
    <w:name w:val="EndNote Bibliography Char"/>
    <w:basedOn w:val="DefaultParagraphFont"/>
    <w:link w:val="EndNoteBibliography"/>
    <w:rsid w:val="004D53DE"/>
    <w:rPr>
      <w:rFonts w:ascii="Times New Roman" w:eastAsia="Times New Roman" w:hAnsi="Times New Roman" w:cs="Times New Roman"/>
      <w:lang w:eastAsia="en-GB"/>
    </w:rPr>
  </w:style>
  <w:style w:type="character" w:styleId="Hyperlink">
    <w:name w:val="Hyperlink"/>
    <w:basedOn w:val="DefaultParagraphFont"/>
    <w:uiPriority w:val="99"/>
    <w:unhideWhenUsed/>
    <w:rsid w:val="004D53DE"/>
    <w:rPr>
      <w:color w:val="0563C1" w:themeColor="hyperlink"/>
      <w:u w:val="single"/>
    </w:rPr>
  </w:style>
  <w:style w:type="character" w:customStyle="1" w:styleId="UnresolvedMention">
    <w:name w:val="Unresolved Mention"/>
    <w:basedOn w:val="DefaultParagraphFont"/>
    <w:uiPriority w:val="99"/>
    <w:semiHidden/>
    <w:unhideWhenUsed/>
    <w:rsid w:val="004D53DE"/>
    <w:rPr>
      <w:color w:val="605E5C"/>
      <w:shd w:val="clear" w:color="auto" w:fill="E1DFDD"/>
    </w:rPr>
  </w:style>
  <w:style w:type="paragraph" w:styleId="ListParagraph">
    <w:name w:val="List Paragraph"/>
    <w:basedOn w:val="Normal"/>
    <w:uiPriority w:val="34"/>
    <w:qFormat/>
    <w:rsid w:val="001C26E2"/>
    <w:pPr>
      <w:ind w:left="720"/>
      <w:contextualSpacing/>
    </w:pPr>
  </w:style>
  <w:style w:type="character" w:customStyle="1" w:styleId="Heading1Char">
    <w:name w:val="Heading 1 Char"/>
    <w:basedOn w:val="DefaultParagraphFont"/>
    <w:link w:val="Heading1"/>
    <w:uiPriority w:val="9"/>
    <w:rsid w:val="008C1FC8"/>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8C1FC8"/>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8C1FC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C1FC8"/>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8C1FC8"/>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C1FC8"/>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C1FC8"/>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C1FC8"/>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C1FC8"/>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C1FC8"/>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C1FC8"/>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C1FC8"/>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C9490E"/>
    <w:pPr>
      <w:tabs>
        <w:tab w:val="center" w:pos="4513"/>
        <w:tab w:val="right" w:pos="9026"/>
      </w:tabs>
    </w:pPr>
  </w:style>
  <w:style w:type="character" w:customStyle="1" w:styleId="HeaderChar">
    <w:name w:val="Header Char"/>
    <w:basedOn w:val="DefaultParagraphFont"/>
    <w:link w:val="Header"/>
    <w:uiPriority w:val="99"/>
    <w:rsid w:val="00C9490E"/>
    <w:rPr>
      <w:rFonts w:ascii="Times New Roman" w:eastAsia="Times New Roman" w:hAnsi="Times New Roman" w:cs="Times New Roman"/>
      <w:lang w:eastAsia="en-GB"/>
    </w:rPr>
  </w:style>
  <w:style w:type="paragraph" w:styleId="Footer">
    <w:name w:val="footer"/>
    <w:basedOn w:val="Normal"/>
    <w:link w:val="FooterChar"/>
    <w:uiPriority w:val="99"/>
    <w:unhideWhenUsed/>
    <w:rsid w:val="00C9490E"/>
    <w:pPr>
      <w:tabs>
        <w:tab w:val="center" w:pos="4513"/>
        <w:tab w:val="right" w:pos="9026"/>
      </w:tabs>
    </w:pPr>
  </w:style>
  <w:style w:type="character" w:customStyle="1" w:styleId="FooterChar">
    <w:name w:val="Footer Char"/>
    <w:basedOn w:val="DefaultParagraphFont"/>
    <w:link w:val="Footer"/>
    <w:uiPriority w:val="99"/>
    <w:rsid w:val="00C9490E"/>
    <w:rPr>
      <w:rFonts w:ascii="Times New Roman" w:eastAsia="Times New Roman" w:hAnsi="Times New Roman" w:cs="Times New Roman"/>
      <w:lang w:eastAsia="en-GB"/>
    </w:rPr>
  </w:style>
  <w:style w:type="paragraph" w:styleId="NoSpacing">
    <w:name w:val="No Spacing"/>
    <w:link w:val="NoSpacingChar"/>
    <w:uiPriority w:val="1"/>
    <w:qFormat/>
    <w:rsid w:val="002B5D96"/>
    <w:rPr>
      <w:rFonts w:eastAsiaTheme="minorEastAsia"/>
      <w:sz w:val="22"/>
      <w:szCs w:val="22"/>
      <w:lang w:val="en-US" w:eastAsia="ja-JP"/>
    </w:rPr>
  </w:style>
  <w:style w:type="character" w:customStyle="1" w:styleId="NoSpacingChar">
    <w:name w:val="No Spacing Char"/>
    <w:basedOn w:val="DefaultParagraphFont"/>
    <w:link w:val="NoSpacing"/>
    <w:uiPriority w:val="1"/>
    <w:rsid w:val="002B5D96"/>
    <w:rPr>
      <w:rFonts w:eastAsiaTheme="minorEastAsia"/>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FD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C1F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1F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56D3"/>
    <w:rPr>
      <w:sz w:val="18"/>
      <w:szCs w:val="18"/>
    </w:rPr>
  </w:style>
  <w:style w:type="character" w:customStyle="1" w:styleId="BalloonTextChar">
    <w:name w:val="Balloon Text Char"/>
    <w:basedOn w:val="DefaultParagraphFont"/>
    <w:link w:val="BalloonText"/>
    <w:uiPriority w:val="99"/>
    <w:semiHidden/>
    <w:rsid w:val="009456D3"/>
    <w:rPr>
      <w:rFonts w:ascii="Times New Roman" w:hAnsi="Times New Roman" w:cs="Times New Roman"/>
      <w:sz w:val="18"/>
      <w:szCs w:val="18"/>
    </w:rPr>
  </w:style>
  <w:style w:type="character" w:styleId="Emphasis">
    <w:name w:val="Emphasis"/>
    <w:basedOn w:val="DefaultParagraphFont"/>
    <w:uiPriority w:val="20"/>
    <w:qFormat/>
    <w:rsid w:val="000F0B97"/>
    <w:rPr>
      <w:i/>
      <w:iCs/>
    </w:rPr>
  </w:style>
  <w:style w:type="paragraph" w:styleId="NormalWeb">
    <w:name w:val="Normal (Web)"/>
    <w:basedOn w:val="Normal"/>
    <w:uiPriority w:val="99"/>
    <w:unhideWhenUsed/>
    <w:rsid w:val="00A7513B"/>
    <w:pPr>
      <w:spacing w:before="100" w:beforeAutospacing="1" w:after="100" w:afterAutospacing="1"/>
    </w:pPr>
  </w:style>
  <w:style w:type="paragraph" w:customStyle="1" w:styleId="EndNoteBibliographyTitle">
    <w:name w:val="EndNote Bibliography Title"/>
    <w:basedOn w:val="Normal"/>
    <w:link w:val="EndNoteBibliographyTitleChar"/>
    <w:rsid w:val="004D53DE"/>
    <w:pPr>
      <w:jc w:val="center"/>
    </w:pPr>
  </w:style>
  <w:style w:type="character" w:customStyle="1" w:styleId="EndNoteBibliographyTitleChar">
    <w:name w:val="EndNote Bibliography Title Char"/>
    <w:basedOn w:val="DefaultParagraphFont"/>
    <w:link w:val="EndNoteBibliographyTitle"/>
    <w:rsid w:val="004D53DE"/>
    <w:rPr>
      <w:rFonts w:ascii="Times New Roman" w:eastAsia="Times New Roman" w:hAnsi="Times New Roman" w:cs="Times New Roman"/>
      <w:lang w:eastAsia="en-GB"/>
    </w:rPr>
  </w:style>
  <w:style w:type="paragraph" w:customStyle="1" w:styleId="EndNoteBibliography">
    <w:name w:val="EndNote Bibliography"/>
    <w:basedOn w:val="Normal"/>
    <w:link w:val="EndNoteBibliographyChar"/>
    <w:rsid w:val="004D53DE"/>
  </w:style>
  <w:style w:type="character" w:customStyle="1" w:styleId="EndNoteBibliographyChar">
    <w:name w:val="EndNote Bibliography Char"/>
    <w:basedOn w:val="DefaultParagraphFont"/>
    <w:link w:val="EndNoteBibliography"/>
    <w:rsid w:val="004D53DE"/>
    <w:rPr>
      <w:rFonts w:ascii="Times New Roman" w:eastAsia="Times New Roman" w:hAnsi="Times New Roman" w:cs="Times New Roman"/>
      <w:lang w:eastAsia="en-GB"/>
    </w:rPr>
  </w:style>
  <w:style w:type="character" w:styleId="Hyperlink">
    <w:name w:val="Hyperlink"/>
    <w:basedOn w:val="DefaultParagraphFont"/>
    <w:uiPriority w:val="99"/>
    <w:unhideWhenUsed/>
    <w:rsid w:val="004D53DE"/>
    <w:rPr>
      <w:color w:val="0563C1" w:themeColor="hyperlink"/>
      <w:u w:val="single"/>
    </w:rPr>
  </w:style>
  <w:style w:type="character" w:customStyle="1" w:styleId="UnresolvedMention">
    <w:name w:val="Unresolved Mention"/>
    <w:basedOn w:val="DefaultParagraphFont"/>
    <w:uiPriority w:val="99"/>
    <w:semiHidden/>
    <w:unhideWhenUsed/>
    <w:rsid w:val="004D53DE"/>
    <w:rPr>
      <w:color w:val="605E5C"/>
      <w:shd w:val="clear" w:color="auto" w:fill="E1DFDD"/>
    </w:rPr>
  </w:style>
  <w:style w:type="paragraph" w:styleId="ListParagraph">
    <w:name w:val="List Paragraph"/>
    <w:basedOn w:val="Normal"/>
    <w:uiPriority w:val="34"/>
    <w:qFormat/>
    <w:rsid w:val="001C26E2"/>
    <w:pPr>
      <w:ind w:left="720"/>
      <w:contextualSpacing/>
    </w:pPr>
  </w:style>
  <w:style w:type="character" w:customStyle="1" w:styleId="Heading1Char">
    <w:name w:val="Heading 1 Char"/>
    <w:basedOn w:val="DefaultParagraphFont"/>
    <w:link w:val="Heading1"/>
    <w:uiPriority w:val="9"/>
    <w:rsid w:val="008C1FC8"/>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8C1FC8"/>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8C1FC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C1FC8"/>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8C1FC8"/>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C1FC8"/>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C1FC8"/>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C1FC8"/>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C1FC8"/>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C1FC8"/>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C1FC8"/>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C1FC8"/>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C9490E"/>
    <w:pPr>
      <w:tabs>
        <w:tab w:val="center" w:pos="4513"/>
        <w:tab w:val="right" w:pos="9026"/>
      </w:tabs>
    </w:pPr>
  </w:style>
  <w:style w:type="character" w:customStyle="1" w:styleId="HeaderChar">
    <w:name w:val="Header Char"/>
    <w:basedOn w:val="DefaultParagraphFont"/>
    <w:link w:val="Header"/>
    <w:uiPriority w:val="99"/>
    <w:rsid w:val="00C9490E"/>
    <w:rPr>
      <w:rFonts w:ascii="Times New Roman" w:eastAsia="Times New Roman" w:hAnsi="Times New Roman" w:cs="Times New Roman"/>
      <w:lang w:eastAsia="en-GB"/>
    </w:rPr>
  </w:style>
  <w:style w:type="paragraph" w:styleId="Footer">
    <w:name w:val="footer"/>
    <w:basedOn w:val="Normal"/>
    <w:link w:val="FooterChar"/>
    <w:uiPriority w:val="99"/>
    <w:unhideWhenUsed/>
    <w:rsid w:val="00C9490E"/>
    <w:pPr>
      <w:tabs>
        <w:tab w:val="center" w:pos="4513"/>
        <w:tab w:val="right" w:pos="9026"/>
      </w:tabs>
    </w:pPr>
  </w:style>
  <w:style w:type="character" w:customStyle="1" w:styleId="FooterChar">
    <w:name w:val="Footer Char"/>
    <w:basedOn w:val="DefaultParagraphFont"/>
    <w:link w:val="Footer"/>
    <w:uiPriority w:val="99"/>
    <w:rsid w:val="00C9490E"/>
    <w:rPr>
      <w:rFonts w:ascii="Times New Roman" w:eastAsia="Times New Roman" w:hAnsi="Times New Roman" w:cs="Times New Roman"/>
      <w:lang w:eastAsia="en-GB"/>
    </w:rPr>
  </w:style>
  <w:style w:type="paragraph" w:styleId="NoSpacing">
    <w:name w:val="No Spacing"/>
    <w:link w:val="NoSpacingChar"/>
    <w:uiPriority w:val="1"/>
    <w:qFormat/>
    <w:rsid w:val="002B5D96"/>
    <w:rPr>
      <w:rFonts w:eastAsiaTheme="minorEastAsia"/>
      <w:sz w:val="22"/>
      <w:szCs w:val="22"/>
      <w:lang w:val="en-US" w:eastAsia="ja-JP"/>
    </w:rPr>
  </w:style>
  <w:style w:type="character" w:customStyle="1" w:styleId="NoSpacingChar">
    <w:name w:val="No Spacing Char"/>
    <w:basedOn w:val="DefaultParagraphFont"/>
    <w:link w:val="NoSpacing"/>
    <w:uiPriority w:val="1"/>
    <w:rsid w:val="002B5D96"/>
    <w:rPr>
      <w:rFonts w:eastAsiaTheme="minorEastAsia"/>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2785">
      <w:bodyDiv w:val="1"/>
      <w:marLeft w:val="0"/>
      <w:marRight w:val="0"/>
      <w:marTop w:val="0"/>
      <w:marBottom w:val="0"/>
      <w:divBdr>
        <w:top w:val="none" w:sz="0" w:space="0" w:color="auto"/>
        <w:left w:val="none" w:sz="0" w:space="0" w:color="auto"/>
        <w:bottom w:val="none" w:sz="0" w:space="0" w:color="auto"/>
        <w:right w:val="none" w:sz="0" w:space="0" w:color="auto"/>
      </w:divBdr>
    </w:div>
    <w:div w:id="87314222">
      <w:bodyDiv w:val="1"/>
      <w:marLeft w:val="0"/>
      <w:marRight w:val="0"/>
      <w:marTop w:val="0"/>
      <w:marBottom w:val="0"/>
      <w:divBdr>
        <w:top w:val="none" w:sz="0" w:space="0" w:color="auto"/>
        <w:left w:val="none" w:sz="0" w:space="0" w:color="auto"/>
        <w:bottom w:val="none" w:sz="0" w:space="0" w:color="auto"/>
        <w:right w:val="none" w:sz="0" w:space="0" w:color="auto"/>
      </w:divBdr>
    </w:div>
    <w:div w:id="134563372">
      <w:bodyDiv w:val="1"/>
      <w:marLeft w:val="0"/>
      <w:marRight w:val="0"/>
      <w:marTop w:val="0"/>
      <w:marBottom w:val="0"/>
      <w:divBdr>
        <w:top w:val="none" w:sz="0" w:space="0" w:color="auto"/>
        <w:left w:val="none" w:sz="0" w:space="0" w:color="auto"/>
        <w:bottom w:val="none" w:sz="0" w:space="0" w:color="auto"/>
        <w:right w:val="none" w:sz="0" w:space="0" w:color="auto"/>
      </w:divBdr>
    </w:div>
    <w:div w:id="199589554">
      <w:bodyDiv w:val="1"/>
      <w:marLeft w:val="0"/>
      <w:marRight w:val="0"/>
      <w:marTop w:val="0"/>
      <w:marBottom w:val="0"/>
      <w:divBdr>
        <w:top w:val="none" w:sz="0" w:space="0" w:color="auto"/>
        <w:left w:val="none" w:sz="0" w:space="0" w:color="auto"/>
        <w:bottom w:val="none" w:sz="0" w:space="0" w:color="auto"/>
        <w:right w:val="none" w:sz="0" w:space="0" w:color="auto"/>
      </w:divBdr>
    </w:div>
    <w:div w:id="252053341">
      <w:bodyDiv w:val="1"/>
      <w:marLeft w:val="0"/>
      <w:marRight w:val="0"/>
      <w:marTop w:val="0"/>
      <w:marBottom w:val="0"/>
      <w:divBdr>
        <w:top w:val="none" w:sz="0" w:space="0" w:color="auto"/>
        <w:left w:val="none" w:sz="0" w:space="0" w:color="auto"/>
        <w:bottom w:val="none" w:sz="0" w:space="0" w:color="auto"/>
        <w:right w:val="none" w:sz="0" w:space="0" w:color="auto"/>
      </w:divBdr>
    </w:div>
    <w:div w:id="272398128">
      <w:bodyDiv w:val="1"/>
      <w:marLeft w:val="0"/>
      <w:marRight w:val="0"/>
      <w:marTop w:val="0"/>
      <w:marBottom w:val="0"/>
      <w:divBdr>
        <w:top w:val="none" w:sz="0" w:space="0" w:color="auto"/>
        <w:left w:val="none" w:sz="0" w:space="0" w:color="auto"/>
        <w:bottom w:val="none" w:sz="0" w:space="0" w:color="auto"/>
        <w:right w:val="none" w:sz="0" w:space="0" w:color="auto"/>
      </w:divBdr>
    </w:div>
    <w:div w:id="310837348">
      <w:bodyDiv w:val="1"/>
      <w:marLeft w:val="0"/>
      <w:marRight w:val="0"/>
      <w:marTop w:val="0"/>
      <w:marBottom w:val="0"/>
      <w:divBdr>
        <w:top w:val="none" w:sz="0" w:space="0" w:color="auto"/>
        <w:left w:val="none" w:sz="0" w:space="0" w:color="auto"/>
        <w:bottom w:val="none" w:sz="0" w:space="0" w:color="auto"/>
        <w:right w:val="none" w:sz="0" w:space="0" w:color="auto"/>
      </w:divBdr>
    </w:div>
    <w:div w:id="413433657">
      <w:bodyDiv w:val="1"/>
      <w:marLeft w:val="0"/>
      <w:marRight w:val="0"/>
      <w:marTop w:val="0"/>
      <w:marBottom w:val="0"/>
      <w:divBdr>
        <w:top w:val="none" w:sz="0" w:space="0" w:color="auto"/>
        <w:left w:val="none" w:sz="0" w:space="0" w:color="auto"/>
        <w:bottom w:val="none" w:sz="0" w:space="0" w:color="auto"/>
        <w:right w:val="none" w:sz="0" w:space="0" w:color="auto"/>
      </w:divBdr>
    </w:div>
    <w:div w:id="446779289">
      <w:bodyDiv w:val="1"/>
      <w:marLeft w:val="0"/>
      <w:marRight w:val="0"/>
      <w:marTop w:val="0"/>
      <w:marBottom w:val="0"/>
      <w:divBdr>
        <w:top w:val="none" w:sz="0" w:space="0" w:color="auto"/>
        <w:left w:val="none" w:sz="0" w:space="0" w:color="auto"/>
        <w:bottom w:val="none" w:sz="0" w:space="0" w:color="auto"/>
        <w:right w:val="none" w:sz="0" w:space="0" w:color="auto"/>
      </w:divBdr>
    </w:div>
    <w:div w:id="528907428">
      <w:bodyDiv w:val="1"/>
      <w:marLeft w:val="0"/>
      <w:marRight w:val="0"/>
      <w:marTop w:val="0"/>
      <w:marBottom w:val="0"/>
      <w:divBdr>
        <w:top w:val="none" w:sz="0" w:space="0" w:color="auto"/>
        <w:left w:val="none" w:sz="0" w:space="0" w:color="auto"/>
        <w:bottom w:val="none" w:sz="0" w:space="0" w:color="auto"/>
        <w:right w:val="none" w:sz="0" w:space="0" w:color="auto"/>
      </w:divBdr>
    </w:div>
    <w:div w:id="562183868">
      <w:bodyDiv w:val="1"/>
      <w:marLeft w:val="0"/>
      <w:marRight w:val="0"/>
      <w:marTop w:val="0"/>
      <w:marBottom w:val="0"/>
      <w:divBdr>
        <w:top w:val="none" w:sz="0" w:space="0" w:color="auto"/>
        <w:left w:val="none" w:sz="0" w:space="0" w:color="auto"/>
        <w:bottom w:val="none" w:sz="0" w:space="0" w:color="auto"/>
        <w:right w:val="none" w:sz="0" w:space="0" w:color="auto"/>
      </w:divBdr>
    </w:div>
    <w:div w:id="626549356">
      <w:bodyDiv w:val="1"/>
      <w:marLeft w:val="0"/>
      <w:marRight w:val="0"/>
      <w:marTop w:val="0"/>
      <w:marBottom w:val="0"/>
      <w:divBdr>
        <w:top w:val="none" w:sz="0" w:space="0" w:color="auto"/>
        <w:left w:val="none" w:sz="0" w:space="0" w:color="auto"/>
        <w:bottom w:val="none" w:sz="0" w:space="0" w:color="auto"/>
        <w:right w:val="none" w:sz="0" w:space="0" w:color="auto"/>
      </w:divBdr>
    </w:div>
    <w:div w:id="636112544">
      <w:bodyDiv w:val="1"/>
      <w:marLeft w:val="0"/>
      <w:marRight w:val="0"/>
      <w:marTop w:val="0"/>
      <w:marBottom w:val="0"/>
      <w:divBdr>
        <w:top w:val="none" w:sz="0" w:space="0" w:color="auto"/>
        <w:left w:val="none" w:sz="0" w:space="0" w:color="auto"/>
        <w:bottom w:val="none" w:sz="0" w:space="0" w:color="auto"/>
        <w:right w:val="none" w:sz="0" w:space="0" w:color="auto"/>
      </w:divBdr>
    </w:div>
    <w:div w:id="751196411">
      <w:bodyDiv w:val="1"/>
      <w:marLeft w:val="0"/>
      <w:marRight w:val="0"/>
      <w:marTop w:val="0"/>
      <w:marBottom w:val="0"/>
      <w:divBdr>
        <w:top w:val="none" w:sz="0" w:space="0" w:color="auto"/>
        <w:left w:val="none" w:sz="0" w:space="0" w:color="auto"/>
        <w:bottom w:val="none" w:sz="0" w:space="0" w:color="auto"/>
        <w:right w:val="none" w:sz="0" w:space="0" w:color="auto"/>
      </w:divBdr>
    </w:div>
    <w:div w:id="798374685">
      <w:bodyDiv w:val="1"/>
      <w:marLeft w:val="0"/>
      <w:marRight w:val="0"/>
      <w:marTop w:val="0"/>
      <w:marBottom w:val="0"/>
      <w:divBdr>
        <w:top w:val="none" w:sz="0" w:space="0" w:color="auto"/>
        <w:left w:val="none" w:sz="0" w:space="0" w:color="auto"/>
        <w:bottom w:val="none" w:sz="0" w:space="0" w:color="auto"/>
        <w:right w:val="none" w:sz="0" w:space="0" w:color="auto"/>
      </w:divBdr>
    </w:div>
    <w:div w:id="872307931">
      <w:bodyDiv w:val="1"/>
      <w:marLeft w:val="0"/>
      <w:marRight w:val="0"/>
      <w:marTop w:val="0"/>
      <w:marBottom w:val="0"/>
      <w:divBdr>
        <w:top w:val="none" w:sz="0" w:space="0" w:color="auto"/>
        <w:left w:val="none" w:sz="0" w:space="0" w:color="auto"/>
        <w:bottom w:val="none" w:sz="0" w:space="0" w:color="auto"/>
        <w:right w:val="none" w:sz="0" w:space="0" w:color="auto"/>
      </w:divBdr>
    </w:div>
    <w:div w:id="902328495">
      <w:bodyDiv w:val="1"/>
      <w:marLeft w:val="0"/>
      <w:marRight w:val="0"/>
      <w:marTop w:val="0"/>
      <w:marBottom w:val="0"/>
      <w:divBdr>
        <w:top w:val="none" w:sz="0" w:space="0" w:color="auto"/>
        <w:left w:val="none" w:sz="0" w:space="0" w:color="auto"/>
        <w:bottom w:val="none" w:sz="0" w:space="0" w:color="auto"/>
        <w:right w:val="none" w:sz="0" w:space="0" w:color="auto"/>
      </w:divBdr>
    </w:div>
    <w:div w:id="923106562">
      <w:bodyDiv w:val="1"/>
      <w:marLeft w:val="0"/>
      <w:marRight w:val="0"/>
      <w:marTop w:val="0"/>
      <w:marBottom w:val="0"/>
      <w:divBdr>
        <w:top w:val="none" w:sz="0" w:space="0" w:color="auto"/>
        <w:left w:val="none" w:sz="0" w:space="0" w:color="auto"/>
        <w:bottom w:val="none" w:sz="0" w:space="0" w:color="auto"/>
        <w:right w:val="none" w:sz="0" w:space="0" w:color="auto"/>
      </w:divBdr>
    </w:div>
    <w:div w:id="997927371">
      <w:bodyDiv w:val="1"/>
      <w:marLeft w:val="0"/>
      <w:marRight w:val="0"/>
      <w:marTop w:val="0"/>
      <w:marBottom w:val="0"/>
      <w:divBdr>
        <w:top w:val="none" w:sz="0" w:space="0" w:color="auto"/>
        <w:left w:val="none" w:sz="0" w:space="0" w:color="auto"/>
        <w:bottom w:val="none" w:sz="0" w:space="0" w:color="auto"/>
        <w:right w:val="none" w:sz="0" w:space="0" w:color="auto"/>
      </w:divBdr>
    </w:div>
    <w:div w:id="1000041905">
      <w:bodyDiv w:val="1"/>
      <w:marLeft w:val="0"/>
      <w:marRight w:val="0"/>
      <w:marTop w:val="0"/>
      <w:marBottom w:val="0"/>
      <w:divBdr>
        <w:top w:val="none" w:sz="0" w:space="0" w:color="auto"/>
        <w:left w:val="none" w:sz="0" w:space="0" w:color="auto"/>
        <w:bottom w:val="none" w:sz="0" w:space="0" w:color="auto"/>
        <w:right w:val="none" w:sz="0" w:space="0" w:color="auto"/>
      </w:divBdr>
    </w:div>
    <w:div w:id="1108768509">
      <w:bodyDiv w:val="1"/>
      <w:marLeft w:val="0"/>
      <w:marRight w:val="0"/>
      <w:marTop w:val="0"/>
      <w:marBottom w:val="0"/>
      <w:divBdr>
        <w:top w:val="none" w:sz="0" w:space="0" w:color="auto"/>
        <w:left w:val="none" w:sz="0" w:space="0" w:color="auto"/>
        <w:bottom w:val="none" w:sz="0" w:space="0" w:color="auto"/>
        <w:right w:val="none" w:sz="0" w:space="0" w:color="auto"/>
      </w:divBdr>
    </w:div>
    <w:div w:id="1113204770">
      <w:bodyDiv w:val="1"/>
      <w:marLeft w:val="0"/>
      <w:marRight w:val="0"/>
      <w:marTop w:val="0"/>
      <w:marBottom w:val="0"/>
      <w:divBdr>
        <w:top w:val="none" w:sz="0" w:space="0" w:color="auto"/>
        <w:left w:val="none" w:sz="0" w:space="0" w:color="auto"/>
        <w:bottom w:val="none" w:sz="0" w:space="0" w:color="auto"/>
        <w:right w:val="none" w:sz="0" w:space="0" w:color="auto"/>
      </w:divBdr>
    </w:div>
    <w:div w:id="1155757682">
      <w:bodyDiv w:val="1"/>
      <w:marLeft w:val="0"/>
      <w:marRight w:val="0"/>
      <w:marTop w:val="0"/>
      <w:marBottom w:val="0"/>
      <w:divBdr>
        <w:top w:val="none" w:sz="0" w:space="0" w:color="auto"/>
        <w:left w:val="none" w:sz="0" w:space="0" w:color="auto"/>
        <w:bottom w:val="none" w:sz="0" w:space="0" w:color="auto"/>
        <w:right w:val="none" w:sz="0" w:space="0" w:color="auto"/>
      </w:divBdr>
    </w:div>
    <w:div w:id="1179810562">
      <w:bodyDiv w:val="1"/>
      <w:marLeft w:val="0"/>
      <w:marRight w:val="0"/>
      <w:marTop w:val="0"/>
      <w:marBottom w:val="0"/>
      <w:divBdr>
        <w:top w:val="none" w:sz="0" w:space="0" w:color="auto"/>
        <w:left w:val="none" w:sz="0" w:space="0" w:color="auto"/>
        <w:bottom w:val="none" w:sz="0" w:space="0" w:color="auto"/>
        <w:right w:val="none" w:sz="0" w:space="0" w:color="auto"/>
      </w:divBdr>
    </w:div>
    <w:div w:id="1187328179">
      <w:bodyDiv w:val="1"/>
      <w:marLeft w:val="0"/>
      <w:marRight w:val="0"/>
      <w:marTop w:val="0"/>
      <w:marBottom w:val="0"/>
      <w:divBdr>
        <w:top w:val="none" w:sz="0" w:space="0" w:color="auto"/>
        <w:left w:val="none" w:sz="0" w:space="0" w:color="auto"/>
        <w:bottom w:val="none" w:sz="0" w:space="0" w:color="auto"/>
        <w:right w:val="none" w:sz="0" w:space="0" w:color="auto"/>
      </w:divBdr>
    </w:div>
    <w:div w:id="1253004151">
      <w:bodyDiv w:val="1"/>
      <w:marLeft w:val="0"/>
      <w:marRight w:val="0"/>
      <w:marTop w:val="0"/>
      <w:marBottom w:val="0"/>
      <w:divBdr>
        <w:top w:val="none" w:sz="0" w:space="0" w:color="auto"/>
        <w:left w:val="none" w:sz="0" w:space="0" w:color="auto"/>
        <w:bottom w:val="none" w:sz="0" w:space="0" w:color="auto"/>
        <w:right w:val="none" w:sz="0" w:space="0" w:color="auto"/>
      </w:divBdr>
    </w:div>
    <w:div w:id="1356495404">
      <w:bodyDiv w:val="1"/>
      <w:marLeft w:val="0"/>
      <w:marRight w:val="0"/>
      <w:marTop w:val="0"/>
      <w:marBottom w:val="0"/>
      <w:divBdr>
        <w:top w:val="none" w:sz="0" w:space="0" w:color="auto"/>
        <w:left w:val="none" w:sz="0" w:space="0" w:color="auto"/>
        <w:bottom w:val="none" w:sz="0" w:space="0" w:color="auto"/>
        <w:right w:val="none" w:sz="0" w:space="0" w:color="auto"/>
      </w:divBdr>
    </w:div>
    <w:div w:id="1415128073">
      <w:bodyDiv w:val="1"/>
      <w:marLeft w:val="0"/>
      <w:marRight w:val="0"/>
      <w:marTop w:val="0"/>
      <w:marBottom w:val="0"/>
      <w:divBdr>
        <w:top w:val="none" w:sz="0" w:space="0" w:color="auto"/>
        <w:left w:val="none" w:sz="0" w:space="0" w:color="auto"/>
        <w:bottom w:val="none" w:sz="0" w:space="0" w:color="auto"/>
        <w:right w:val="none" w:sz="0" w:space="0" w:color="auto"/>
      </w:divBdr>
    </w:div>
    <w:div w:id="1435054998">
      <w:bodyDiv w:val="1"/>
      <w:marLeft w:val="0"/>
      <w:marRight w:val="0"/>
      <w:marTop w:val="0"/>
      <w:marBottom w:val="0"/>
      <w:divBdr>
        <w:top w:val="none" w:sz="0" w:space="0" w:color="auto"/>
        <w:left w:val="none" w:sz="0" w:space="0" w:color="auto"/>
        <w:bottom w:val="none" w:sz="0" w:space="0" w:color="auto"/>
        <w:right w:val="none" w:sz="0" w:space="0" w:color="auto"/>
      </w:divBdr>
    </w:div>
    <w:div w:id="1503352216">
      <w:bodyDiv w:val="1"/>
      <w:marLeft w:val="0"/>
      <w:marRight w:val="0"/>
      <w:marTop w:val="0"/>
      <w:marBottom w:val="0"/>
      <w:divBdr>
        <w:top w:val="none" w:sz="0" w:space="0" w:color="auto"/>
        <w:left w:val="none" w:sz="0" w:space="0" w:color="auto"/>
        <w:bottom w:val="none" w:sz="0" w:space="0" w:color="auto"/>
        <w:right w:val="none" w:sz="0" w:space="0" w:color="auto"/>
      </w:divBdr>
    </w:div>
    <w:div w:id="1569999524">
      <w:bodyDiv w:val="1"/>
      <w:marLeft w:val="0"/>
      <w:marRight w:val="0"/>
      <w:marTop w:val="0"/>
      <w:marBottom w:val="0"/>
      <w:divBdr>
        <w:top w:val="none" w:sz="0" w:space="0" w:color="auto"/>
        <w:left w:val="none" w:sz="0" w:space="0" w:color="auto"/>
        <w:bottom w:val="none" w:sz="0" w:space="0" w:color="auto"/>
        <w:right w:val="none" w:sz="0" w:space="0" w:color="auto"/>
      </w:divBdr>
    </w:div>
    <w:div w:id="1571771741">
      <w:bodyDiv w:val="1"/>
      <w:marLeft w:val="0"/>
      <w:marRight w:val="0"/>
      <w:marTop w:val="0"/>
      <w:marBottom w:val="0"/>
      <w:divBdr>
        <w:top w:val="none" w:sz="0" w:space="0" w:color="auto"/>
        <w:left w:val="none" w:sz="0" w:space="0" w:color="auto"/>
        <w:bottom w:val="none" w:sz="0" w:space="0" w:color="auto"/>
        <w:right w:val="none" w:sz="0" w:space="0" w:color="auto"/>
      </w:divBdr>
    </w:div>
    <w:div w:id="1588687250">
      <w:bodyDiv w:val="1"/>
      <w:marLeft w:val="0"/>
      <w:marRight w:val="0"/>
      <w:marTop w:val="0"/>
      <w:marBottom w:val="0"/>
      <w:divBdr>
        <w:top w:val="none" w:sz="0" w:space="0" w:color="auto"/>
        <w:left w:val="none" w:sz="0" w:space="0" w:color="auto"/>
        <w:bottom w:val="none" w:sz="0" w:space="0" w:color="auto"/>
        <w:right w:val="none" w:sz="0" w:space="0" w:color="auto"/>
      </w:divBdr>
    </w:div>
    <w:div w:id="1636521865">
      <w:bodyDiv w:val="1"/>
      <w:marLeft w:val="0"/>
      <w:marRight w:val="0"/>
      <w:marTop w:val="0"/>
      <w:marBottom w:val="0"/>
      <w:divBdr>
        <w:top w:val="none" w:sz="0" w:space="0" w:color="auto"/>
        <w:left w:val="none" w:sz="0" w:space="0" w:color="auto"/>
        <w:bottom w:val="none" w:sz="0" w:space="0" w:color="auto"/>
        <w:right w:val="none" w:sz="0" w:space="0" w:color="auto"/>
      </w:divBdr>
    </w:div>
    <w:div w:id="1704401905">
      <w:bodyDiv w:val="1"/>
      <w:marLeft w:val="0"/>
      <w:marRight w:val="0"/>
      <w:marTop w:val="0"/>
      <w:marBottom w:val="0"/>
      <w:divBdr>
        <w:top w:val="none" w:sz="0" w:space="0" w:color="auto"/>
        <w:left w:val="none" w:sz="0" w:space="0" w:color="auto"/>
        <w:bottom w:val="none" w:sz="0" w:space="0" w:color="auto"/>
        <w:right w:val="none" w:sz="0" w:space="0" w:color="auto"/>
      </w:divBdr>
    </w:div>
    <w:div w:id="1714496533">
      <w:bodyDiv w:val="1"/>
      <w:marLeft w:val="0"/>
      <w:marRight w:val="0"/>
      <w:marTop w:val="0"/>
      <w:marBottom w:val="0"/>
      <w:divBdr>
        <w:top w:val="none" w:sz="0" w:space="0" w:color="auto"/>
        <w:left w:val="none" w:sz="0" w:space="0" w:color="auto"/>
        <w:bottom w:val="none" w:sz="0" w:space="0" w:color="auto"/>
        <w:right w:val="none" w:sz="0" w:space="0" w:color="auto"/>
      </w:divBdr>
    </w:div>
    <w:div w:id="1834711851">
      <w:bodyDiv w:val="1"/>
      <w:marLeft w:val="0"/>
      <w:marRight w:val="0"/>
      <w:marTop w:val="0"/>
      <w:marBottom w:val="0"/>
      <w:divBdr>
        <w:top w:val="none" w:sz="0" w:space="0" w:color="auto"/>
        <w:left w:val="none" w:sz="0" w:space="0" w:color="auto"/>
        <w:bottom w:val="none" w:sz="0" w:space="0" w:color="auto"/>
        <w:right w:val="none" w:sz="0" w:space="0" w:color="auto"/>
      </w:divBdr>
    </w:div>
    <w:div w:id="1851213335">
      <w:bodyDiv w:val="1"/>
      <w:marLeft w:val="0"/>
      <w:marRight w:val="0"/>
      <w:marTop w:val="0"/>
      <w:marBottom w:val="0"/>
      <w:divBdr>
        <w:top w:val="none" w:sz="0" w:space="0" w:color="auto"/>
        <w:left w:val="none" w:sz="0" w:space="0" w:color="auto"/>
        <w:bottom w:val="none" w:sz="0" w:space="0" w:color="auto"/>
        <w:right w:val="none" w:sz="0" w:space="0" w:color="auto"/>
      </w:divBdr>
    </w:div>
    <w:div w:id="1853687141">
      <w:bodyDiv w:val="1"/>
      <w:marLeft w:val="0"/>
      <w:marRight w:val="0"/>
      <w:marTop w:val="0"/>
      <w:marBottom w:val="0"/>
      <w:divBdr>
        <w:top w:val="none" w:sz="0" w:space="0" w:color="auto"/>
        <w:left w:val="none" w:sz="0" w:space="0" w:color="auto"/>
        <w:bottom w:val="none" w:sz="0" w:space="0" w:color="auto"/>
        <w:right w:val="none" w:sz="0" w:space="0" w:color="auto"/>
      </w:divBdr>
    </w:div>
    <w:div w:id="1863130612">
      <w:bodyDiv w:val="1"/>
      <w:marLeft w:val="0"/>
      <w:marRight w:val="0"/>
      <w:marTop w:val="0"/>
      <w:marBottom w:val="0"/>
      <w:divBdr>
        <w:top w:val="none" w:sz="0" w:space="0" w:color="auto"/>
        <w:left w:val="none" w:sz="0" w:space="0" w:color="auto"/>
        <w:bottom w:val="none" w:sz="0" w:space="0" w:color="auto"/>
        <w:right w:val="none" w:sz="0" w:space="0" w:color="auto"/>
      </w:divBdr>
    </w:div>
    <w:div w:id="1874267652">
      <w:bodyDiv w:val="1"/>
      <w:marLeft w:val="0"/>
      <w:marRight w:val="0"/>
      <w:marTop w:val="0"/>
      <w:marBottom w:val="0"/>
      <w:divBdr>
        <w:top w:val="none" w:sz="0" w:space="0" w:color="auto"/>
        <w:left w:val="none" w:sz="0" w:space="0" w:color="auto"/>
        <w:bottom w:val="none" w:sz="0" w:space="0" w:color="auto"/>
        <w:right w:val="none" w:sz="0" w:space="0" w:color="auto"/>
      </w:divBdr>
    </w:div>
    <w:div w:id="1889410805">
      <w:bodyDiv w:val="1"/>
      <w:marLeft w:val="0"/>
      <w:marRight w:val="0"/>
      <w:marTop w:val="0"/>
      <w:marBottom w:val="0"/>
      <w:divBdr>
        <w:top w:val="none" w:sz="0" w:space="0" w:color="auto"/>
        <w:left w:val="none" w:sz="0" w:space="0" w:color="auto"/>
        <w:bottom w:val="none" w:sz="0" w:space="0" w:color="auto"/>
        <w:right w:val="none" w:sz="0" w:space="0" w:color="auto"/>
      </w:divBdr>
    </w:div>
    <w:div w:id="1899130104">
      <w:bodyDiv w:val="1"/>
      <w:marLeft w:val="0"/>
      <w:marRight w:val="0"/>
      <w:marTop w:val="0"/>
      <w:marBottom w:val="0"/>
      <w:divBdr>
        <w:top w:val="none" w:sz="0" w:space="0" w:color="auto"/>
        <w:left w:val="none" w:sz="0" w:space="0" w:color="auto"/>
        <w:bottom w:val="none" w:sz="0" w:space="0" w:color="auto"/>
        <w:right w:val="none" w:sz="0" w:space="0" w:color="auto"/>
      </w:divBdr>
    </w:div>
    <w:div w:id="1938250719">
      <w:bodyDiv w:val="1"/>
      <w:marLeft w:val="0"/>
      <w:marRight w:val="0"/>
      <w:marTop w:val="0"/>
      <w:marBottom w:val="0"/>
      <w:divBdr>
        <w:top w:val="none" w:sz="0" w:space="0" w:color="auto"/>
        <w:left w:val="none" w:sz="0" w:space="0" w:color="auto"/>
        <w:bottom w:val="none" w:sz="0" w:space="0" w:color="auto"/>
        <w:right w:val="none" w:sz="0" w:space="0" w:color="auto"/>
      </w:divBdr>
    </w:div>
    <w:div w:id="1982423413">
      <w:bodyDiv w:val="1"/>
      <w:marLeft w:val="0"/>
      <w:marRight w:val="0"/>
      <w:marTop w:val="0"/>
      <w:marBottom w:val="0"/>
      <w:divBdr>
        <w:top w:val="none" w:sz="0" w:space="0" w:color="auto"/>
        <w:left w:val="none" w:sz="0" w:space="0" w:color="auto"/>
        <w:bottom w:val="none" w:sz="0" w:space="0" w:color="auto"/>
        <w:right w:val="none" w:sz="0" w:space="0" w:color="auto"/>
      </w:divBdr>
    </w:div>
    <w:div w:id="2072465370">
      <w:bodyDiv w:val="1"/>
      <w:marLeft w:val="0"/>
      <w:marRight w:val="0"/>
      <w:marTop w:val="0"/>
      <w:marBottom w:val="0"/>
      <w:divBdr>
        <w:top w:val="none" w:sz="0" w:space="0" w:color="auto"/>
        <w:left w:val="none" w:sz="0" w:space="0" w:color="auto"/>
        <w:bottom w:val="none" w:sz="0" w:space="0" w:color="auto"/>
        <w:right w:val="none" w:sz="0" w:space="0" w:color="auto"/>
      </w:divBdr>
    </w:div>
    <w:div w:id="211905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874-020-01010-1" TargetMode="External"/><Relationship Id="rId18" Type="http://schemas.openxmlformats.org/officeDocument/2006/relationships/hyperlink" Target="https://doi.org/10.1371/journal.pone.0278434" TargetMode="External"/><Relationship Id="rId26" Type="http://schemas.openxmlformats.org/officeDocument/2006/relationships/hyperlink" Target="https://doi.org/10.1111/1471-0528.17149" TargetMode="External"/><Relationship Id="rId39" Type="http://schemas.openxmlformats.org/officeDocument/2006/relationships/hyperlink" Target="https://learning.nspcc.org.uk/news/why-language-matters/looked-after-children" TargetMode="External"/><Relationship Id="rId21" Type="http://schemas.openxmlformats.org/officeDocument/2006/relationships/hyperlink" Target="https://whatworks-csc.org.uk/wp-content/uploads/6.-Mental-health-of-children-and-young-people-in-care-Evidence-Summary.pdf" TargetMode="External"/><Relationship Id="rId34" Type="http://schemas.openxmlformats.org/officeDocument/2006/relationships/hyperlink" Target="https://doi.org/https://doi.org/10.1111/chso.12382" TargetMode="External"/><Relationship Id="rId42" Type="http://schemas.openxmlformats.org/officeDocument/2006/relationships/hyperlink" Target="https://www.mind.org.uk/information-support/your-stories/can-clunky-language-be-good-for-mental-health/" TargetMode="External"/><Relationship Id="rId47" Type="http://schemas.openxmlformats.org/officeDocument/2006/relationships/hyperlink" Target="https://doi.org/10.1177/02656590251381510" TargetMode="External"/><Relationship Id="rId50" Type="http://schemas.openxmlformats.org/officeDocument/2006/relationships/hyperlink" Target="https://doi.org/10.1002/nop2.275" TargetMode="External"/><Relationship Id="rId55" Type="http://schemas.openxmlformats.org/officeDocument/2006/relationships/hyperlink" Target="https://doi.org/10.1016/s0277-9536(99)00338-x"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doi.org/10.1177/16094069221077758" TargetMode="External"/><Relationship Id="rId20" Type="http://schemas.openxmlformats.org/officeDocument/2006/relationships/hyperlink" Target="https://www.childrenscommissioner.gov.uk/blog/new-findings-on-how-children-in-care-interact-with-the-criminal-justice-system/" TargetMode="External"/><Relationship Id="rId29" Type="http://schemas.openxmlformats.org/officeDocument/2006/relationships/hyperlink" Target="https://doi.org/10.1177/0890334419830990" TargetMode="External"/><Relationship Id="rId41" Type="http://schemas.openxmlformats.org/officeDocument/2006/relationships/hyperlink" Target="https://doi.org/10.1136/bmj.a1020" TargetMode="External"/><Relationship Id="rId54" Type="http://schemas.openxmlformats.org/officeDocument/2006/relationships/hyperlink" Target="https://strathprints.strath.ac.uk/84174/1/Urquhart_Stewart_Wylie_SJRCC_2021_Its_all_about_you_the_hopelessness_of_labels.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4037/ccn2018698" TargetMode="External"/><Relationship Id="rId24" Type="http://schemas.openxmlformats.org/officeDocument/2006/relationships/hyperlink" Target="https://doi.org/10.1016/j.childyouth.2023.107367" TargetMode="External"/><Relationship Id="rId32" Type="http://schemas.openxmlformats.org/officeDocument/2006/relationships/hyperlink" Target="https://www.bps.org.uk/psychologist/changing-language-care" TargetMode="External"/><Relationship Id="rId37" Type="http://schemas.openxmlformats.org/officeDocument/2006/relationships/hyperlink" Target="https://doi.org/10.1136/eb-2015-102054" TargetMode="External"/><Relationship Id="rId40" Type="http://schemas.openxmlformats.org/officeDocument/2006/relationships/hyperlink" Target="https://learning.nspcc.org.uk/children-and-families-at-risk/looked-after-children" TargetMode="External"/><Relationship Id="rId45" Type="http://schemas.openxmlformats.org/officeDocument/2006/relationships/hyperlink" Target="https://doi.org/10.1016/j.chiabu.2017.05.004" TargetMode="External"/><Relationship Id="rId53" Type="http://schemas.openxmlformats.org/officeDocument/2006/relationships/hyperlink" Target="https://www.unicef.org/media/130801/file/rights-denied-discrimination-children-EN.pdf" TargetMode="External"/><Relationship Id="rId58" Type="http://schemas.openxmlformats.org/officeDocument/2006/relationships/hyperlink" Target="https://doi.org/10.1177/1524839912437370" TargetMode="External"/><Relationship Id="rId5" Type="http://schemas.openxmlformats.org/officeDocument/2006/relationships/settings" Target="settings.xml"/><Relationship Id="rId15" Type="http://schemas.openxmlformats.org/officeDocument/2006/relationships/hyperlink" Target="https://www.jhrehab.org/wp-content/uploads/2021/04/Blanton_Editorial_Spring-2021-1.pdf" TargetMode="External"/><Relationship Id="rId23" Type="http://schemas.openxmlformats.org/officeDocument/2006/relationships/hyperlink" Target="https://uhra.herts.ac.uk/bitstream/handle/2299/8734/97005662%20Cooper%20Emily%20-%20final%20DClinPsy%20submission.pdf?sequence=1&amp;isAllowed=y" TargetMode="External"/><Relationship Id="rId28" Type="http://schemas.openxmlformats.org/officeDocument/2006/relationships/hyperlink" Target="https://explore-education-statistics.service.gov.uk/find-statistics/children-looked-after-in-england-including-adoptions" TargetMode="External"/><Relationship Id="rId36" Type="http://schemas.openxmlformats.org/officeDocument/2006/relationships/hyperlink" Target="https://doi.org/10.1002/berj.3283" TargetMode="External"/><Relationship Id="rId49" Type="http://schemas.openxmlformats.org/officeDocument/2006/relationships/hyperlink" Target="http://www.jstor.org/stable/43771496" TargetMode="External"/><Relationship Id="rId57" Type="http://schemas.openxmlformats.org/officeDocument/2006/relationships/hyperlink" Target="https://doi.org/10.1080/15391523.2024.2395295" TargetMode="External"/><Relationship Id="rId61" Type="http://schemas.openxmlformats.org/officeDocument/2006/relationships/footer" Target="footer1.xml"/><Relationship Id="rId10" Type="http://schemas.openxmlformats.org/officeDocument/2006/relationships/hyperlink" Target="https://doi.org/10.1016/j.glmedi.2024.100051" TargetMode="External"/><Relationship Id="rId19" Type="http://schemas.openxmlformats.org/officeDocument/2006/relationships/hyperlink" Target="https://doi.org/10.1007/s11606-013-2441-1" TargetMode="External"/><Relationship Id="rId31" Type="http://schemas.openxmlformats.org/officeDocument/2006/relationships/hyperlink" Target="https://www.psychologytoday.com/gb/blog/great-kids-great-parents/202210/the-role-language-in-bias-prejudice-and-violence" TargetMode="External"/><Relationship Id="rId44" Type="http://schemas.openxmlformats.org/officeDocument/2006/relationships/hyperlink" Target="https://doi.org/10.1177/030857590402800205" TargetMode="External"/><Relationship Id="rId52" Type="http://schemas.openxmlformats.org/officeDocument/2006/relationships/hyperlink" Target="https://www.ukri.org/who-we-are/mrc/our-policies-and-standards/ethics/" TargetMode="External"/><Relationship Id="rId60" Type="http://schemas.openxmlformats.org/officeDocument/2006/relationships/hyperlink" Target="https://www.ncbi.nlm.nih.gov/pmc/articles/PMC4478399/" TargetMode="External"/><Relationship Id="rId4" Type="http://schemas.microsoft.com/office/2007/relationships/stylesWithEffects" Target="stylesWithEffects.xml"/><Relationship Id="rId9" Type="http://schemas.openxmlformats.org/officeDocument/2006/relationships/hyperlink" Target="https://journals.openedition.org/ema/1025" TargetMode="External"/><Relationship Id="rId14" Type="http://schemas.openxmlformats.org/officeDocument/2006/relationships/hyperlink" Target="https://doi.org/10.1177/1049732316654870" TargetMode="External"/><Relationship Id="rId22" Type="http://schemas.openxmlformats.org/officeDocument/2006/relationships/hyperlink" Target="https://doi.org/10.1177/2050312118822927" TargetMode="External"/><Relationship Id="rId27" Type="http://schemas.openxmlformats.org/officeDocument/2006/relationships/hyperlink" Target="https://www.gov.uk/government/news/improved-mental-health-support-for-children-in-care" TargetMode="External"/><Relationship Id="rId30" Type="http://schemas.openxmlformats.org/officeDocument/2006/relationships/hyperlink" Target="https://gdpr-info.eu/" TargetMode="External"/><Relationship Id="rId35" Type="http://schemas.openxmlformats.org/officeDocument/2006/relationships/hyperlink" Target="https://figshare.le.ac.uk/articles/thesis/Unaccompanied_Refugee_Minors_Experiences_of_Mental_Health_Services/10166504?file=18322034" TargetMode="External"/><Relationship Id="rId43" Type="http://schemas.openxmlformats.org/officeDocument/2006/relationships/hyperlink" Target="https://doi.org/10.1080/02615479.2021.1910652" TargetMode="External"/><Relationship Id="rId48" Type="http://schemas.openxmlformats.org/officeDocument/2006/relationships/hyperlink" Target="https://nsuworks.nova.edu/tqr/vol14/iss2/9/" TargetMode="External"/><Relationship Id="rId56" Type="http://schemas.openxmlformats.org/officeDocument/2006/relationships/hyperlink" Target="https://doi.org/10.1186/s12874-018-0594-7" TargetMode="External"/><Relationship Id="rId8" Type="http://schemas.openxmlformats.org/officeDocument/2006/relationships/endnotes" Target="endnotes.xml"/><Relationship Id="rId51" Type="http://schemas.openxmlformats.org/officeDocument/2006/relationships/hyperlink" Target="https://doi.org/10.47941/ijhs.1922" TargetMode="External"/><Relationship Id="rId3" Type="http://schemas.openxmlformats.org/officeDocument/2006/relationships/styles" Target="styles.xml"/><Relationship Id="rId12" Type="http://schemas.openxmlformats.org/officeDocument/2006/relationships/hyperlink" Target="https://doi.org/10.1177/0253717620977000" TargetMode="External"/><Relationship Id="rId17" Type="http://schemas.openxmlformats.org/officeDocument/2006/relationships/hyperlink" Target="https://czasopisma.uni.lodz.pl/qualit/article/view/18792" TargetMode="External"/><Relationship Id="rId25" Type="http://schemas.openxmlformats.org/officeDocument/2006/relationships/hyperlink" Target="https://doi.org/10.1177/0308575918823436" TargetMode="External"/><Relationship Id="rId33" Type="http://schemas.openxmlformats.org/officeDocument/2006/relationships/hyperlink" Target="https://doi.org/10.1007/s00431-018-3249-0" TargetMode="External"/><Relationship Id="rId38" Type="http://schemas.openxmlformats.org/officeDocument/2006/relationships/hyperlink" Target="https://doi.org/10.1177/1609406917733847" TargetMode="External"/><Relationship Id="rId46" Type="http://schemas.openxmlformats.org/officeDocument/2006/relationships/hyperlink" Target="https://doi.org/10.1007/s11135-017-0574-8" TargetMode="External"/><Relationship Id="rId59" Type="http://schemas.openxmlformats.org/officeDocument/2006/relationships/hyperlink" Target="https://www.wma.net/policies-post/wma-declaration-of-helsinki-ethical-principles-for-medical-research-involving-human-sub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CAFB0-8354-472B-A09F-677656179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6520</Words>
  <Characters>37170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2025-12-17T13:13:00Z</dcterms:created>
  <dcterms:modified xsi:type="dcterms:W3CDTF">2026-05-14T21:13:00Z</dcterms:modified>
</cp:coreProperties>
</file>