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584674" w14:textId="5894BB7C" w:rsidR="00AD18BD" w:rsidRPr="00521D6B" w:rsidRDefault="00481935">
      <w:pPr>
        <w:rPr>
          <w:rFonts w:ascii="Times New Roman" w:hAnsi="Times New Roman" w:cs="Times New Roman"/>
          <w:b/>
          <w:bCs/>
          <w:shd w:val="clear" w:color="auto" w:fill="FFFFFF"/>
        </w:rPr>
      </w:pPr>
      <w:r w:rsidRPr="00521D6B">
        <w:rPr>
          <w:rFonts w:ascii="Times New Roman" w:hAnsi="Times New Roman" w:cs="Times New Roman"/>
          <w:b/>
          <w:bCs/>
          <w:shd w:val="clear" w:color="auto" w:fill="FFFFFF"/>
        </w:rPr>
        <w:t>An Examination of the 2020–2021 Teachers’ Union Demonstrations in St. Vincent and the Grenadines: An Analysis of Labor Resistance and Leadership Amidst the COVID-19 Pandemic.</w:t>
      </w:r>
    </w:p>
    <w:p w14:paraId="0247822C" w14:textId="77777777" w:rsidR="00481935" w:rsidRPr="00521D6B" w:rsidRDefault="00481935">
      <w:pPr>
        <w:rPr>
          <w:rFonts w:ascii="Times New Roman" w:hAnsi="Times New Roman" w:cs="Times New Roman"/>
          <w:b/>
          <w:bCs/>
          <w:shd w:val="clear" w:color="auto" w:fill="FFFFFF"/>
        </w:rPr>
      </w:pPr>
    </w:p>
    <w:p w14:paraId="60F49674" w14:textId="77777777" w:rsidR="00481935" w:rsidRPr="00521D6B" w:rsidRDefault="00481935">
      <w:pPr>
        <w:rPr>
          <w:rFonts w:ascii="Times New Roman" w:hAnsi="Times New Roman" w:cs="Times New Roman"/>
          <w:b/>
          <w:bCs/>
          <w:shd w:val="clear" w:color="auto" w:fill="FFFFFF"/>
        </w:rPr>
      </w:pPr>
    </w:p>
    <w:p w14:paraId="19954128" w14:textId="77777777" w:rsidR="00481935" w:rsidRPr="00521D6B" w:rsidRDefault="00481935">
      <w:pPr>
        <w:rPr>
          <w:rFonts w:ascii="Times New Roman" w:hAnsi="Times New Roman" w:cs="Times New Roman"/>
          <w:b/>
          <w:bCs/>
          <w:shd w:val="clear" w:color="auto" w:fill="FFFFFF"/>
        </w:rPr>
      </w:pPr>
      <w:r w:rsidRPr="00521D6B">
        <w:rPr>
          <w:rFonts w:ascii="Times New Roman" w:hAnsi="Times New Roman" w:cs="Times New Roman"/>
          <w:b/>
          <w:bCs/>
          <w:shd w:val="clear" w:color="auto" w:fill="FFFFFF"/>
        </w:rPr>
        <w:t xml:space="preserve">Introduction </w:t>
      </w:r>
    </w:p>
    <w:p w14:paraId="01FA1D28" w14:textId="77777777" w:rsidR="00481935" w:rsidRPr="00521D6B" w:rsidRDefault="00481935">
      <w:pPr>
        <w:rPr>
          <w:rFonts w:ascii="Times New Roman" w:hAnsi="Times New Roman" w:cs="Times New Roman"/>
          <w:shd w:val="clear" w:color="auto" w:fill="FFFFFF"/>
        </w:rPr>
      </w:pPr>
    </w:p>
    <w:p w14:paraId="75FA8039" w14:textId="3BF64411" w:rsidR="00481935" w:rsidRPr="00521D6B" w:rsidRDefault="00481935">
      <w:pPr>
        <w:rPr>
          <w:rFonts w:ascii="Times New Roman" w:hAnsi="Times New Roman" w:cs="Times New Roman"/>
          <w:shd w:val="clear" w:color="auto" w:fill="FFFFFF"/>
        </w:rPr>
      </w:pPr>
      <w:r w:rsidRPr="00521D6B">
        <w:rPr>
          <w:rFonts w:ascii="Times New Roman" w:hAnsi="Times New Roman" w:cs="Times New Roman"/>
          <w:shd w:val="clear" w:color="auto" w:fill="FFFFFF"/>
        </w:rPr>
        <w:t>This research will explore the protests and strikes orchestrated by the St. Vincent and the Grenadines Teachers’ Union (SVGTU) from 2020 to 2021, highlighting the role of Oswald Robinson and the union's opposition to government mandates concerning COVID-19 policies. This era was characterized by conflicts over the compulsory vaccination of educators, broader health concerns within the public sector, and the economic challenges posed by the pandemic. The study will frame the protests within the global surge of labor activism during this period, while examining the local political, social, and economic factors that stimulated the movement.</w:t>
      </w:r>
    </w:p>
    <w:p w14:paraId="563CA0F2" w14:textId="77777777" w:rsidR="00521D6B" w:rsidRPr="00521D6B" w:rsidRDefault="00521D6B">
      <w:pPr>
        <w:rPr>
          <w:rFonts w:ascii="Times New Roman" w:hAnsi="Times New Roman" w:cs="Times New Roman"/>
          <w:shd w:val="clear" w:color="auto" w:fill="FFFFFF"/>
        </w:rPr>
      </w:pPr>
    </w:p>
    <w:p w14:paraId="6AC87226" w14:textId="6EF75A60" w:rsidR="00481935" w:rsidRPr="00521D6B" w:rsidRDefault="00481935">
      <w:pPr>
        <w:rPr>
          <w:rFonts w:ascii="Times New Roman" w:hAnsi="Times New Roman" w:cs="Times New Roman"/>
          <w:b/>
          <w:bCs/>
          <w:shd w:val="clear" w:color="auto" w:fill="FFFFFF"/>
        </w:rPr>
      </w:pPr>
      <w:r w:rsidRPr="00521D6B">
        <w:rPr>
          <w:rFonts w:ascii="Times New Roman" w:hAnsi="Times New Roman" w:cs="Times New Roman"/>
          <w:b/>
          <w:bCs/>
          <w:shd w:val="clear" w:color="auto" w:fill="FFFFFF"/>
        </w:rPr>
        <w:t>Aim</w:t>
      </w:r>
    </w:p>
    <w:p w14:paraId="24228980" w14:textId="2252F563" w:rsidR="001C674D" w:rsidRPr="00521D6B" w:rsidRDefault="00481935">
      <w:pPr>
        <w:rPr>
          <w:rFonts w:ascii="Times New Roman" w:hAnsi="Times New Roman" w:cs="Times New Roman"/>
          <w:shd w:val="clear" w:color="auto" w:fill="FFFFFF"/>
        </w:rPr>
      </w:pPr>
      <w:r w:rsidRPr="00521D6B">
        <w:rPr>
          <w:rFonts w:ascii="Times New Roman" w:hAnsi="Times New Roman" w:cs="Times New Roman"/>
          <w:shd w:val="clear" w:color="auto" w:fill="FFFFFF"/>
        </w:rPr>
        <w:t xml:space="preserve">This research seeks to examine the reasons </w:t>
      </w:r>
      <w:r w:rsidR="00521D6B" w:rsidRPr="00521D6B">
        <w:rPr>
          <w:rFonts w:ascii="Times New Roman" w:hAnsi="Times New Roman" w:cs="Times New Roman"/>
          <w:shd w:val="clear" w:color="auto" w:fill="FFFFFF"/>
        </w:rPr>
        <w:t>behind,</w:t>
      </w:r>
      <w:r w:rsidRPr="00521D6B">
        <w:rPr>
          <w:rFonts w:ascii="Times New Roman" w:hAnsi="Times New Roman" w:cs="Times New Roman"/>
          <w:shd w:val="clear" w:color="auto" w:fill="FFFFFF"/>
        </w:rPr>
        <w:t xml:space="preserve"> and effects of the Teachers’ Union protests that occurred in 2020–2021, assess the leadership approach and tactics of Oswald Robinson, and consider the larger consequences for labor rights and political activism in SVG.</w:t>
      </w:r>
    </w:p>
    <w:p w14:paraId="0732E5D5" w14:textId="77777777" w:rsidR="00521D6B" w:rsidRPr="00521D6B" w:rsidRDefault="00521D6B">
      <w:pPr>
        <w:rPr>
          <w:rFonts w:ascii="Times New Roman" w:hAnsi="Times New Roman" w:cs="Times New Roman"/>
          <w:shd w:val="clear" w:color="auto" w:fill="FFFFFF"/>
        </w:rPr>
      </w:pPr>
    </w:p>
    <w:p w14:paraId="07D81978" w14:textId="46A7BF38"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Research Questions:</w:t>
      </w:r>
    </w:p>
    <w:p w14:paraId="0855B96F"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1. What were the main reasons for the Teachers’ Union demonstrations in SVG amid the pandemic?</w:t>
      </w:r>
    </w:p>
    <w:p w14:paraId="5BB78A93" w14:textId="77777777" w:rsidR="001C674D" w:rsidRPr="00521D6B" w:rsidRDefault="001C674D" w:rsidP="001C674D">
      <w:pPr>
        <w:rPr>
          <w:rFonts w:ascii="Times New Roman" w:hAnsi="Times New Roman" w:cs="Times New Roman"/>
        </w:rPr>
      </w:pPr>
    </w:p>
    <w:p w14:paraId="2B4C0C89"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2. In what ways did Oswald Robinson’s leadership influence the direction of the protests and strikes?</w:t>
      </w:r>
    </w:p>
    <w:p w14:paraId="1F89A329" w14:textId="77777777" w:rsidR="001C674D" w:rsidRPr="00521D6B" w:rsidRDefault="001C674D" w:rsidP="001C674D">
      <w:pPr>
        <w:rPr>
          <w:rFonts w:ascii="Times New Roman" w:hAnsi="Times New Roman" w:cs="Times New Roman"/>
        </w:rPr>
      </w:pPr>
    </w:p>
    <w:p w14:paraId="5E24CC74" w14:textId="2C5FB2F1" w:rsidR="001C674D" w:rsidRPr="00521D6B" w:rsidRDefault="001C674D" w:rsidP="001C674D">
      <w:pPr>
        <w:rPr>
          <w:rFonts w:ascii="Times New Roman" w:hAnsi="Times New Roman" w:cs="Times New Roman"/>
        </w:rPr>
      </w:pPr>
      <w:r w:rsidRPr="00521D6B">
        <w:rPr>
          <w:rFonts w:ascii="Times New Roman" w:hAnsi="Times New Roman" w:cs="Times New Roman"/>
        </w:rPr>
        <w:t>3. What were the outcomes of the protests on labor relations, government policies, and public health in SVG?</w:t>
      </w:r>
    </w:p>
    <w:p w14:paraId="0B2AD5DE" w14:textId="77777777" w:rsidR="00521D6B" w:rsidRPr="00521D6B" w:rsidRDefault="00521D6B" w:rsidP="001C674D">
      <w:pPr>
        <w:rPr>
          <w:rFonts w:ascii="Times New Roman" w:hAnsi="Times New Roman" w:cs="Times New Roman"/>
        </w:rPr>
      </w:pPr>
    </w:p>
    <w:p w14:paraId="66E4F57A" w14:textId="055B59BA"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Historical Context of Labor Activism in St. Vincent and the Grenadines</w:t>
      </w:r>
    </w:p>
    <w:p w14:paraId="78AA2C39"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lastRenderedPageBreak/>
        <w:t>The demonstrations spearheaded by the SVGTU during 2020 and 2021 took place against a backdrop of a long-standing tradition of labor activism in St. Vincent and the Grenadines. This section aims to present a summary of the labor movement's history in the nation, highlighting the role of trade unions in championing workers’ rights and the political environment that preceded the protests.</w:t>
      </w:r>
    </w:p>
    <w:p w14:paraId="336F7DEB" w14:textId="77777777" w:rsidR="001C674D" w:rsidRPr="00521D6B" w:rsidRDefault="001C674D" w:rsidP="001C674D">
      <w:pPr>
        <w:rPr>
          <w:rFonts w:ascii="Times New Roman" w:hAnsi="Times New Roman" w:cs="Times New Roman"/>
        </w:rPr>
      </w:pPr>
    </w:p>
    <w:p w14:paraId="573E79E9"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 xml:space="preserve">Background of Labor Movements:  </w:t>
      </w:r>
    </w:p>
    <w:p w14:paraId="12D7BBCF" w14:textId="4225641D" w:rsidR="001C674D" w:rsidRPr="00521D6B" w:rsidRDefault="001C674D" w:rsidP="001C674D">
      <w:pPr>
        <w:rPr>
          <w:rFonts w:ascii="Times New Roman" w:hAnsi="Times New Roman" w:cs="Times New Roman"/>
        </w:rPr>
      </w:pPr>
      <w:r w:rsidRPr="00521D6B">
        <w:rPr>
          <w:rFonts w:ascii="Times New Roman" w:hAnsi="Times New Roman" w:cs="Times New Roman"/>
        </w:rPr>
        <w:t>St. Vincent and the Grenadines boasts a profound history of labor activism that dates to the 20th century, characterized by efforts to secure improved wages and working conditions within the agricultural industry. The establishment of trade unions, including the SVG Teachers’ Union, has played a crucial role in advocating for labor rights.</w:t>
      </w:r>
    </w:p>
    <w:p w14:paraId="794CB7B5" w14:textId="77777777" w:rsidR="001C674D" w:rsidRPr="00521D6B" w:rsidRDefault="001C674D" w:rsidP="001C674D">
      <w:pPr>
        <w:rPr>
          <w:rFonts w:ascii="Times New Roman" w:hAnsi="Times New Roman" w:cs="Times New Roman"/>
        </w:rPr>
      </w:pPr>
    </w:p>
    <w:p w14:paraId="0F308DD9"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 xml:space="preserve">Economic Challenges and the Influence of Trade Unions:  </w:t>
      </w:r>
    </w:p>
    <w:p w14:paraId="008748F7" w14:textId="3E0ADF4D" w:rsidR="001C674D" w:rsidRPr="00521D6B" w:rsidRDefault="001C674D" w:rsidP="001C674D">
      <w:pPr>
        <w:rPr>
          <w:rFonts w:ascii="Times New Roman" w:hAnsi="Times New Roman" w:cs="Times New Roman"/>
        </w:rPr>
      </w:pPr>
      <w:r w:rsidRPr="00521D6B">
        <w:rPr>
          <w:rFonts w:ascii="Times New Roman" w:hAnsi="Times New Roman" w:cs="Times New Roman"/>
        </w:rPr>
        <w:t>In recent years, unions have been instrumental in negotiating public sector wages, reforms in education, and healthcare benefits with the government. Economic difficulties, such as austerity measures and scarce resources, have frequently created tension in the relations between labor and government.</w:t>
      </w:r>
    </w:p>
    <w:p w14:paraId="49CF478A" w14:textId="77777777" w:rsidR="00521D6B" w:rsidRPr="00521D6B" w:rsidRDefault="00521D6B" w:rsidP="001C674D">
      <w:pPr>
        <w:rPr>
          <w:rFonts w:ascii="Times New Roman" w:hAnsi="Times New Roman" w:cs="Times New Roman"/>
        </w:rPr>
      </w:pPr>
    </w:p>
    <w:p w14:paraId="1BC2DB7F" w14:textId="5ABEAFBF"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The 2020–2021 Teachers' Union Protests: Main Influences</w:t>
      </w:r>
    </w:p>
    <w:p w14:paraId="1D6B6716"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The protests led by the SVGTU were motivated by a complicated blend of social, economic, and political factors, worsened by the COVID-19 pandemic. This section will highlight the specific triggers of the protests, particularly the government's decision to require mandatory COVID-19 vaccinations for teachers and other public sector employees.</w:t>
      </w:r>
    </w:p>
    <w:p w14:paraId="3C5E8990" w14:textId="77777777" w:rsidR="001C674D" w:rsidRPr="00521D6B" w:rsidRDefault="001C674D" w:rsidP="001C674D">
      <w:pPr>
        <w:rPr>
          <w:rFonts w:ascii="Times New Roman" w:hAnsi="Times New Roman" w:cs="Times New Roman"/>
        </w:rPr>
      </w:pPr>
    </w:p>
    <w:p w14:paraId="11D03999"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COVID-19 and Vaccination Mandates:</w:t>
      </w:r>
    </w:p>
    <w:p w14:paraId="7C3E65B7" w14:textId="07A7A8C5" w:rsidR="001C674D" w:rsidRPr="00521D6B" w:rsidRDefault="001C674D" w:rsidP="001C674D">
      <w:pPr>
        <w:rPr>
          <w:rFonts w:ascii="Times New Roman" w:hAnsi="Times New Roman" w:cs="Times New Roman"/>
        </w:rPr>
      </w:pPr>
      <w:r w:rsidRPr="00521D6B">
        <w:rPr>
          <w:rFonts w:ascii="Times New Roman" w:hAnsi="Times New Roman" w:cs="Times New Roman"/>
        </w:rPr>
        <w:t>The pandemic had a significant impact on the education sector in SVG, leading to school closures, challenges with online learning, and public health concerns. The government's 2021 policy that mandated COVID-19 vaccinations for teachers to resume in-person teaching became a pivotal issue of dispute. The union vehemently opposed this mandate, claiming that it violated the rights and bodily autonomy of workers</w:t>
      </w:r>
      <w:r w:rsidR="00383F9E">
        <w:rPr>
          <w:rFonts w:ascii="Times New Roman" w:hAnsi="Times New Roman" w:cs="Times New Roman"/>
        </w:rPr>
        <w:t>.</w:t>
      </w:r>
    </w:p>
    <w:p w14:paraId="00D11419" w14:textId="77777777" w:rsidR="001C674D" w:rsidRPr="00521D6B" w:rsidRDefault="001C674D" w:rsidP="001C674D">
      <w:pPr>
        <w:rPr>
          <w:rFonts w:ascii="Times New Roman" w:hAnsi="Times New Roman" w:cs="Times New Roman"/>
        </w:rPr>
      </w:pPr>
    </w:p>
    <w:p w14:paraId="6FFCA4DF"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Economic Struggles and Employment Fears:</w:t>
      </w:r>
    </w:p>
    <w:p w14:paraId="4A4DFC25" w14:textId="5D7DCC13" w:rsidR="001C674D" w:rsidRPr="00521D6B" w:rsidRDefault="001C674D" w:rsidP="001C674D">
      <w:pPr>
        <w:rPr>
          <w:rFonts w:ascii="Times New Roman" w:hAnsi="Times New Roman" w:cs="Times New Roman"/>
        </w:rPr>
      </w:pPr>
      <w:r w:rsidRPr="00521D6B">
        <w:rPr>
          <w:rFonts w:ascii="Times New Roman" w:hAnsi="Times New Roman" w:cs="Times New Roman"/>
        </w:rPr>
        <w:t>Numerous teachers experienced job insecurity during the pandemic, with apprehensions about potential salary reductions and layoffs intensifying the stress surrounding the vaccination requirement. The SVGTU protests were further fueled by worries regarding the wider economic ramifications of the pandemic on the education sector</w:t>
      </w:r>
      <w:r w:rsidR="00383F9E">
        <w:rPr>
          <w:rFonts w:ascii="Times New Roman" w:hAnsi="Times New Roman" w:cs="Times New Roman"/>
        </w:rPr>
        <w:t>.</w:t>
      </w:r>
    </w:p>
    <w:p w14:paraId="2CCEE37F" w14:textId="77777777" w:rsidR="001C674D" w:rsidRPr="00521D6B" w:rsidRDefault="001C674D" w:rsidP="001C674D">
      <w:pPr>
        <w:rPr>
          <w:rFonts w:ascii="Times New Roman" w:hAnsi="Times New Roman" w:cs="Times New Roman"/>
        </w:rPr>
      </w:pPr>
    </w:p>
    <w:p w14:paraId="17FA40A0"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Political Friction:</w:t>
      </w:r>
    </w:p>
    <w:p w14:paraId="7390FBDB" w14:textId="1948D8A1" w:rsidR="001C674D" w:rsidRPr="00521D6B" w:rsidRDefault="001C674D" w:rsidP="001C674D">
      <w:pPr>
        <w:rPr>
          <w:rFonts w:ascii="Times New Roman" w:hAnsi="Times New Roman" w:cs="Times New Roman"/>
        </w:rPr>
      </w:pPr>
      <w:r w:rsidRPr="00521D6B">
        <w:rPr>
          <w:rFonts w:ascii="Times New Roman" w:hAnsi="Times New Roman" w:cs="Times New Roman"/>
        </w:rPr>
        <w:t xml:space="preserve">The protests occurred in a politically charged atmosphere, as the administration of Prime Minister Ralph Gonsalves faced backlash concerning its pandemic response and assorted social issues. The SVGTU became a prominent critic of what it perceived to be authoritarian policies, uniting not just teachers but other public sector employees as </w:t>
      </w:r>
      <w:r w:rsidR="009C147B" w:rsidRPr="00521D6B">
        <w:rPr>
          <w:rFonts w:ascii="Times New Roman" w:hAnsi="Times New Roman" w:cs="Times New Roman"/>
        </w:rPr>
        <w:t>well.</w:t>
      </w:r>
      <w:r w:rsidRPr="00521D6B">
        <w:rPr>
          <w:rFonts w:ascii="Times New Roman" w:hAnsi="Times New Roman" w:cs="Times New Roman"/>
        </w:rPr>
        <w:t xml:space="preserve"> </w:t>
      </w:r>
    </w:p>
    <w:p w14:paraId="5E597AD9" w14:textId="77777777" w:rsidR="00521D6B" w:rsidRPr="00521D6B" w:rsidRDefault="00521D6B" w:rsidP="001C674D">
      <w:pPr>
        <w:rPr>
          <w:rFonts w:ascii="Times New Roman" w:hAnsi="Times New Roman" w:cs="Times New Roman"/>
        </w:rPr>
      </w:pPr>
    </w:p>
    <w:p w14:paraId="0300758B" w14:textId="29CAACC7"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The Importance of Oswald Robinson</w:t>
      </w:r>
    </w:p>
    <w:p w14:paraId="43AA0DD8"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 xml:space="preserve">Oswald Robinson, who serves as the President of the SVGTU, became a pivotal figure in the protests, spearheading negotiations with the government and coordinating strikes and demonstrations. This section will delve into Robinson’s leadership, his tactics for rallying the union, and his overall impact on the labor movement in SVG. </w:t>
      </w:r>
    </w:p>
    <w:p w14:paraId="6DE1E1B9" w14:textId="77777777" w:rsidR="001C674D" w:rsidRPr="00521D6B" w:rsidRDefault="001C674D" w:rsidP="001C674D">
      <w:pPr>
        <w:rPr>
          <w:rFonts w:ascii="Times New Roman" w:hAnsi="Times New Roman" w:cs="Times New Roman"/>
        </w:rPr>
      </w:pPr>
    </w:p>
    <w:p w14:paraId="0D9D6747"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Background and Leadership Approach:</w:t>
      </w:r>
    </w:p>
    <w:p w14:paraId="6A8FC603" w14:textId="775A2D6A" w:rsidR="001C674D" w:rsidRPr="00521D6B" w:rsidRDefault="00521D6B" w:rsidP="001C674D">
      <w:pPr>
        <w:rPr>
          <w:rFonts w:ascii="Times New Roman" w:hAnsi="Times New Roman" w:cs="Times New Roman"/>
        </w:rPr>
      </w:pPr>
      <w:r w:rsidRPr="00521D6B">
        <w:rPr>
          <w:rFonts w:ascii="Times New Roman" w:hAnsi="Times New Roman" w:cs="Times New Roman"/>
        </w:rPr>
        <w:t>Robinson, an experienced educator, and union leader</w:t>
      </w:r>
      <w:r w:rsidR="001C674D" w:rsidRPr="00521D6B">
        <w:rPr>
          <w:rFonts w:ascii="Times New Roman" w:hAnsi="Times New Roman" w:cs="Times New Roman"/>
        </w:rPr>
        <w:t xml:space="preserve"> has been actively involved in labor activism in SVG for numerous years. His leadership during the pandemic demonstrated a dedication to protecting workers' rights, focusing on collective action and public advocacy</w:t>
      </w:r>
      <w:r w:rsidR="00383F9E">
        <w:rPr>
          <w:rFonts w:ascii="Times New Roman" w:hAnsi="Times New Roman" w:cs="Times New Roman"/>
        </w:rPr>
        <w:t>.</w:t>
      </w:r>
    </w:p>
    <w:p w14:paraId="28AC5C46" w14:textId="77777777" w:rsidR="001C674D" w:rsidRPr="00521D6B" w:rsidRDefault="001C674D" w:rsidP="001C674D">
      <w:pPr>
        <w:rPr>
          <w:rFonts w:ascii="Times New Roman" w:hAnsi="Times New Roman" w:cs="Times New Roman"/>
        </w:rPr>
      </w:pPr>
    </w:p>
    <w:p w14:paraId="775CB494"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Methods for Engagement:</w:t>
      </w:r>
    </w:p>
    <w:p w14:paraId="3A889916" w14:textId="28C487B1" w:rsidR="001C674D" w:rsidRPr="00521D6B" w:rsidRDefault="001C674D" w:rsidP="001C674D">
      <w:pPr>
        <w:rPr>
          <w:rFonts w:ascii="Times New Roman" w:hAnsi="Times New Roman" w:cs="Times New Roman"/>
        </w:rPr>
      </w:pPr>
      <w:r w:rsidRPr="00521D6B">
        <w:rPr>
          <w:rFonts w:ascii="Times New Roman" w:hAnsi="Times New Roman" w:cs="Times New Roman"/>
        </w:rPr>
        <w:t>Robinson’s method of protest involved orchestrating national strikes, conducting press conferences, and leveraging social media to gain public backing. His skill in unifying the teaching community and forming partnerships with other labor organizations was crucial in maintaining the momentum of the protests</w:t>
      </w:r>
      <w:r w:rsidR="00383F9E">
        <w:rPr>
          <w:rFonts w:ascii="Times New Roman" w:hAnsi="Times New Roman" w:cs="Times New Roman"/>
        </w:rPr>
        <w:t>.</w:t>
      </w:r>
    </w:p>
    <w:p w14:paraId="2565BCA2" w14:textId="77777777" w:rsidR="001C674D" w:rsidRPr="00521D6B" w:rsidRDefault="001C674D" w:rsidP="001C674D">
      <w:pPr>
        <w:rPr>
          <w:rFonts w:ascii="Times New Roman" w:hAnsi="Times New Roman" w:cs="Times New Roman"/>
        </w:rPr>
      </w:pPr>
    </w:p>
    <w:p w14:paraId="4B024BF2"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Obstacles and Criticism:</w:t>
      </w:r>
    </w:p>
    <w:p w14:paraId="512A5AE7" w14:textId="1FB68280" w:rsidR="001C674D" w:rsidRPr="00521D6B" w:rsidRDefault="00521D6B" w:rsidP="001C674D">
      <w:pPr>
        <w:rPr>
          <w:rFonts w:ascii="Times New Roman" w:hAnsi="Times New Roman" w:cs="Times New Roman"/>
        </w:rPr>
      </w:pPr>
      <w:r w:rsidRPr="00521D6B">
        <w:rPr>
          <w:rFonts w:ascii="Times New Roman" w:hAnsi="Times New Roman" w:cs="Times New Roman"/>
        </w:rPr>
        <w:t>Despite</w:t>
      </w:r>
      <w:r w:rsidR="001C674D" w:rsidRPr="00521D6B">
        <w:rPr>
          <w:rFonts w:ascii="Times New Roman" w:hAnsi="Times New Roman" w:cs="Times New Roman"/>
        </w:rPr>
        <w:t xml:space="preserve"> his leadership, Robinson encountered criticism from various sources, including government officials and segments of the public who supported the vaccination mandate. This section will investigate the frictions between the union’s position and public health issues, as well as the difficulties Robinson faced in reconciling these opposing interests</w:t>
      </w:r>
      <w:r w:rsidR="00383F9E">
        <w:rPr>
          <w:rFonts w:ascii="Times New Roman" w:hAnsi="Times New Roman" w:cs="Times New Roman"/>
        </w:rPr>
        <w:t>.</w:t>
      </w:r>
    </w:p>
    <w:p w14:paraId="036CC46B" w14:textId="77777777" w:rsidR="00521D6B" w:rsidRPr="00521D6B" w:rsidRDefault="00521D6B" w:rsidP="001C674D">
      <w:pPr>
        <w:rPr>
          <w:rFonts w:ascii="Times New Roman" w:hAnsi="Times New Roman" w:cs="Times New Roman"/>
        </w:rPr>
      </w:pPr>
    </w:p>
    <w:p w14:paraId="3D10FF14" w14:textId="7EB7FFEE"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The Protest Movement and Its Immediate Impacts</w:t>
      </w:r>
    </w:p>
    <w:p w14:paraId="5016786F"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The strikes and demonstrations spearheaded by the SVGTU had considerable short-term effects on labor relations, public health policy, and the political atmosphere in SVG. This section will analyze the immediate results of the protests and the government's reactions.</w:t>
      </w:r>
    </w:p>
    <w:p w14:paraId="09170FD2" w14:textId="77777777" w:rsidR="001C674D" w:rsidRPr="00521D6B" w:rsidRDefault="001C674D" w:rsidP="001C674D">
      <w:pPr>
        <w:rPr>
          <w:rFonts w:ascii="Times New Roman" w:hAnsi="Times New Roman" w:cs="Times New Roman"/>
        </w:rPr>
      </w:pPr>
    </w:p>
    <w:p w14:paraId="54C6A86E"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Strikes and Work Stoppages:</w:t>
      </w:r>
    </w:p>
    <w:p w14:paraId="64386631" w14:textId="13B7D0F3" w:rsidR="001C674D" w:rsidRPr="00383F9E" w:rsidRDefault="001C674D" w:rsidP="001C674D">
      <w:pPr>
        <w:rPr>
          <w:rFonts w:ascii="Times New Roman" w:eastAsia="Times New Roman" w:hAnsi="Times New Roman" w:cs="Times New Roman"/>
          <w:kern w:val="0"/>
          <w:lang w:eastAsia="en-GB"/>
          <w14:ligatures w14:val="none"/>
        </w:rPr>
      </w:pPr>
      <w:r w:rsidRPr="00521D6B">
        <w:rPr>
          <w:rFonts w:ascii="Times New Roman" w:hAnsi="Times New Roman" w:cs="Times New Roman"/>
        </w:rPr>
        <w:t xml:space="preserve">In 2021, the SVGTU orchestrated multiple strikes, leading to school closures and interruptions in the education system. These work stoppages compelled the government to reevaluate its stance on mandatory vaccinations while also exposing the significant divisions within the nation regarding pandemic measures </w:t>
      </w:r>
      <w:r w:rsidR="00383F9E" w:rsidRPr="00383F9E">
        <w:rPr>
          <w:rFonts w:ascii="Times New Roman" w:eastAsia="Times New Roman" w:hAnsi="Times New Roman" w:cs="Times New Roman"/>
          <w:kern w:val="0"/>
          <w:lang w:eastAsia="en-GB"/>
          <w14:ligatures w14:val="none"/>
        </w:rPr>
        <w:t>(Un-dco.org, 2024)</w:t>
      </w:r>
    </w:p>
    <w:p w14:paraId="62B544A9" w14:textId="77777777" w:rsidR="001C674D" w:rsidRPr="00521D6B" w:rsidRDefault="001C674D" w:rsidP="001C674D">
      <w:pPr>
        <w:rPr>
          <w:rFonts w:ascii="Times New Roman" w:hAnsi="Times New Roman" w:cs="Times New Roman"/>
        </w:rPr>
      </w:pPr>
    </w:p>
    <w:p w14:paraId="5F17DF95"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Government Response:</w:t>
      </w:r>
    </w:p>
    <w:p w14:paraId="31E94F51" w14:textId="62F7C076" w:rsidR="001C674D" w:rsidRPr="00CB4B59" w:rsidRDefault="001C674D" w:rsidP="001C674D">
      <w:pPr>
        <w:rPr>
          <w:rFonts w:ascii="Times New Roman" w:eastAsia="Times New Roman" w:hAnsi="Times New Roman" w:cs="Times New Roman"/>
          <w:kern w:val="0"/>
          <w:lang w:eastAsia="en-GB"/>
          <w14:ligatures w14:val="none"/>
        </w:rPr>
      </w:pPr>
      <w:r w:rsidRPr="00521D6B">
        <w:rPr>
          <w:rFonts w:ascii="Times New Roman" w:hAnsi="Times New Roman" w:cs="Times New Roman"/>
        </w:rPr>
        <w:t xml:space="preserve">The Gonsalves administration reacted by combining negotiations with threats of legal action, attempting to uphold its public health mandate while addressing some of the union’s grievances. The government’s approach to the protests was influenced by the necessity to reconcile public health concerns with labor rights </w:t>
      </w:r>
      <w:r w:rsidR="00CB4B59" w:rsidRPr="00CB4B59">
        <w:rPr>
          <w:rFonts w:ascii="Times New Roman" w:eastAsia="Times New Roman" w:hAnsi="Times New Roman" w:cs="Times New Roman"/>
          <w:kern w:val="0"/>
          <w:lang w:eastAsia="en-GB"/>
          <w14:ligatures w14:val="none"/>
        </w:rPr>
        <w:t>(Paho.org, 2018)</w:t>
      </w:r>
      <w:r w:rsidR="00CB4B59">
        <w:rPr>
          <w:rFonts w:ascii="Times New Roman" w:eastAsia="Times New Roman" w:hAnsi="Times New Roman" w:cs="Times New Roman"/>
          <w:kern w:val="0"/>
          <w:lang w:eastAsia="en-GB"/>
          <w14:ligatures w14:val="none"/>
        </w:rPr>
        <w:t>.</w:t>
      </w:r>
    </w:p>
    <w:p w14:paraId="5E949763" w14:textId="77777777" w:rsidR="001C674D" w:rsidRPr="00521D6B" w:rsidRDefault="001C674D" w:rsidP="001C674D">
      <w:pPr>
        <w:rPr>
          <w:rFonts w:ascii="Times New Roman" w:hAnsi="Times New Roman" w:cs="Times New Roman"/>
        </w:rPr>
      </w:pPr>
    </w:p>
    <w:p w14:paraId="05809D51"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Public Health Outcomes:</w:t>
      </w:r>
    </w:p>
    <w:p w14:paraId="2CF85B50" w14:textId="5D624169" w:rsidR="001C674D" w:rsidRPr="00383F9E" w:rsidRDefault="001C674D" w:rsidP="001C674D">
      <w:pPr>
        <w:rPr>
          <w:rFonts w:ascii="Times New Roman" w:eastAsia="Times New Roman" w:hAnsi="Times New Roman" w:cs="Times New Roman"/>
          <w:kern w:val="0"/>
          <w:lang w:eastAsia="en-GB"/>
          <w14:ligatures w14:val="none"/>
        </w:rPr>
      </w:pPr>
      <w:r w:rsidRPr="00521D6B">
        <w:rPr>
          <w:rFonts w:ascii="Times New Roman" w:hAnsi="Times New Roman" w:cs="Times New Roman"/>
        </w:rPr>
        <w:t xml:space="preserve">Moreover, the protests affected public health, as discussions surrounding vaccine </w:t>
      </w:r>
      <w:r w:rsidR="00521D6B" w:rsidRPr="00521D6B">
        <w:rPr>
          <w:rFonts w:ascii="Times New Roman" w:hAnsi="Times New Roman" w:cs="Times New Roman"/>
        </w:rPr>
        <w:t>acceptance,</w:t>
      </w:r>
      <w:r w:rsidRPr="00521D6B">
        <w:rPr>
          <w:rFonts w:ascii="Times New Roman" w:hAnsi="Times New Roman" w:cs="Times New Roman"/>
        </w:rPr>
        <w:t xml:space="preserve"> and the safety of reopening schools became key topics. This section will explore how the protests impacted the country's response to the pandemic </w:t>
      </w:r>
      <w:r w:rsidR="00383F9E" w:rsidRPr="00383F9E">
        <w:rPr>
          <w:rFonts w:ascii="Times New Roman" w:eastAsia="Times New Roman" w:hAnsi="Times New Roman" w:cs="Times New Roman"/>
          <w:kern w:val="0"/>
          <w:lang w:eastAsia="en-GB"/>
          <w14:ligatures w14:val="none"/>
        </w:rPr>
        <w:t>(Who.int, 2020)</w:t>
      </w:r>
      <w:r w:rsidR="00383F9E">
        <w:rPr>
          <w:rFonts w:ascii="Times New Roman" w:eastAsia="Times New Roman" w:hAnsi="Times New Roman" w:cs="Times New Roman"/>
          <w:kern w:val="0"/>
          <w:lang w:eastAsia="en-GB"/>
          <w14:ligatures w14:val="none"/>
        </w:rPr>
        <w:t>.</w:t>
      </w:r>
    </w:p>
    <w:p w14:paraId="5BFA4B9B" w14:textId="77777777" w:rsidR="001C674D" w:rsidRPr="00521D6B" w:rsidRDefault="001C674D" w:rsidP="001C674D">
      <w:pPr>
        <w:rPr>
          <w:rFonts w:ascii="Times New Roman" w:hAnsi="Times New Roman" w:cs="Times New Roman"/>
        </w:rPr>
      </w:pPr>
    </w:p>
    <w:p w14:paraId="7D3D9F84" w14:textId="73E23D1A" w:rsidR="001C674D" w:rsidRPr="00521D6B" w:rsidRDefault="001C674D" w:rsidP="001C674D">
      <w:pPr>
        <w:rPr>
          <w:rFonts w:ascii="Times New Roman" w:hAnsi="Times New Roman" w:cs="Times New Roman"/>
          <w:b/>
          <w:bCs/>
        </w:rPr>
      </w:pPr>
      <w:r w:rsidRPr="00521D6B">
        <w:rPr>
          <w:rFonts w:ascii="Times New Roman" w:hAnsi="Times New Roman" w:cs="Times New Roman"/>
          <w:b/>
          <w:bCs/>
        </w:rPr>
        <w:t>Long-Term Outcomes of the Protests</w:t>
      </w:r>
    </w:p>
    <w:p w14:paraId="401D9366"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This section will examine the long-term outcomes of the 2020–2021 protests on labor relations and public sector policies in SVG. Key areas of emphasis will include:</w:t>
      </w:r>
    </w:p>
    <w:p w14:paraId="49AC810D" w14:textId="77777777" w:rsidR="001C674D" w:rsidRPr="00521D6B" w:rsidRDefault="001C674D" w:rsidP="001C674D">
      <w:pPr>
        <w:rPr>
          <w:rFonts w:ascii="Times New Roman" w:hAnsi="Times New Roman" w:cs="Times New Roman"/>
        </w:rPr>
      </w:pPr>
    </w:p>
    <w:p w14:paraId="79DFB71F"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Labor Relations and Upcoming Union Activism:</w:t>
      </w:r>
    </w:p>
    <w:p w14:paraId="16811394" w14:textId="411869D6" w:rsidR="001C674D" w:rsidRPr="00383F9E" w:rsidRDefault="001C674D" w:rsidP="001C674D">
      <w:pPr>
        <w:rPr>
          <w:rFonts w:ascii="Times New Roman" w:eastAsia="Times New Roman" w:hAnsi="Times New Roman" w:cs="Times New Roman"/>
          <w:kern w:val="0"/>
          <w:lang w:eastAsia="en-GB"/>
          <w14:ligatures w14:val="none"/>
        </w:rPr>
      </w:pPr>
      <w:r w:rsidRPr="00521D6B">
        <w:rPr>
          <w:rFonts w:ascii="Times New Roman" w:hAnsi="Times New Roman" w:cs="Times New Roman"/>
        </w:rPr>
        <w:t xml:space="preserve">The protests solidified the SVGTU’s position as a prominent player in SVG’s labor movement. This section will analyze how the protests affected future labor negotiations and the influence of unions on public policy </w:t>
      </w:r>
      <w:r w:rsidR="00383F9E" w:rsidRPr="00383F9E">
        <w:rPr>
          <w:rFonts w:ascii="Times New Roman" w:eastAsia="Times New Roman" w:hAnsi="Times New Roman" w:cs="Times New Roman"/>
          <w:kern w:val="0"/>
          <w:lang w:eastAsia="en-GB"/>
          <w14:ligatures w14:val="none"/>
        </w:rPr>
        <w:t>(Country Reports on Human Rights Practices for 2021 Department of State • Bureau of Democracy, Human Rights and Labor SAINT VINCENT AND THE GRENADINES 2021 HUMAN RIGHTS REPORT EXECUTIVE SUMMARY, n.d.)</w:t>
      </w:r>
      <w:r w:rsidR="00383F9E">
        <w:rPr>
          <w:rFonts w:ascii="Times New Roman" w:eastAsia="Times New Roman" w:hAnsi="Times New Roman" w:cs="Times New Roman"/>
          <w:kern w:val="0"/>
          <w:lang w:eastAsia="en-GB"/>
          <w14:ligatures w14:val="none"/>
        </w:rPr>
        <w:t>.</w:t>
      </w:r>
    </w:p>
    <w:p w14:paraId="70D8DD38" w14:textId="77777777" w:rsidR="001C674D" w:rsidRPr="00521D6B" w:rsidRDefault="001C674D" w:rsidP="001C674D">
      <w:pPr>
        <w:rPr>
          <w:rFonts w:ascii="Times New Roman" w:hAnsi="Times New Roman" w:cs="Times New Roman"/>
        </w:rPr>
      </w:pPr>
    </w:p>
    <w:p w14:paraId="4AAB9FFC" w14:textId="77777777" w:rsidR="001C674D" w:rsidRPr="00521D6B" w:rsidRDefault="001C674D" w:rsidP="001C674D">
      <w:pPr>
        <w:rPr>
          <w:rFonts w:ascii="Times New Roman" w:hAnsi="Times New Roman" w:cs="Times New Roman"/>
        </w:rPr>
      </w:pPr>
      <w:r w:rsidRPr="00521D6B">
        <w:rPr>
          <w:rFonts w:ascii="Times New Roman" w:hAnsi="Times New Roman" w:cs="Times New Roman"/>
        </w:rPr>
        <w:t>Government Policy and Public Health:</w:t>
      </w:r>
    </w:p>
    <w:p w14:paraId="6FDDB028" w14:textId="3BF16333" w:rsidR="001C674D" w:rsidRPr="00383F9E" w:rsidRDefault="001C674D" w:rsidP="001C674D">
      <w:pPr>
        <w:rPr>
          <w:rFonts w:ascii="Times New Roman" w:eastAsia="Times New Roman" w:hAnsi="Times New Roman" w:cs="Times New Roman"/>
          <w:kern w:val="0"/>
          <w:lang w:eastAsia="en-GB"/>
          <w14:ligatures w14:val="none"/>
        </w:rPr>
      </w:pPr>
      <w:r w:rsidRPr="00521D6B">
        <w:rPr>
          <w:rFonts w:ascii="Times New Roman" w:hAnsi="Times New Roman" w:cs="Times New Roman"/>
        </w:rPr>
        <w:t xml:space="preserve">The administration’s response to the protests and the vaccination mandate has enduring effects on public health policy, especially regarding future pandemics. This section will assess how the protests influenced SVG’s strategy on labor rights during health crises </w:t>
      </w:r>
      <w:r w:rsidR="00383F9E" w:rsidRPr="00383F9E">
        <w:rPr>
          <w:rFonts w:ascii="Times New Roman" w:eastAsia="Times New Roman" w:hAnsi="Times New Roman" w:cs="Times New Roman"/>
          <w:kern w:val="0"/>
          <w:lang w:eastAsia="en-GB"/>
          <w14:ligatures w14:val="none"/>
        </w:rPr>
        <w:t xml:space="preserve">(SUPPORTING RECOVERY AND RESILIENCE IN ST. VINCENT AND THE </w:t>
      </w:r>
      <w:r w:rsidR="00383F9E" w:rsidRPr="00383F9E">
        <w:rPr>
          <w:rFonts w:ascii="Times New Roman" w:eastAsia="Times New Roman" w:hAnsi="Times New Roman" w:cs="Times New Roman"/>
          <w:kern w:val="0"/>
          <w:lang w:eastAsia="en-GB"/>
          <w14:ligatures w14:val="none"/>
        </w:rPr>
        <w:lastRenderedPageBreak/>
        <w:t>GRENADINES Addressing compound hazards through strengthened resilient recovery and emergency preparedness and response activities, n.d.)</w:t>
      </w:r>
    </w:p>
    <w:p w14:paraId="651206C2" w14:textId="77777777" w:rsidR="00521D6B" w:rsidRPr="00521D6B" w:rsidRDefault="00521D6B" w:rsidP="001C674D">
      <w:pPr>
        <w:rPr>
          <w:rFonts w:ascii="Times New Roman" w:hAnsi="Times New Roman" w:cs="Times New Roman"/>
        </w:rPr>
      </w:pPr>
    </w:p>
    <w:p w14:paraId="49D6F219" w14:textId="7F9A3A62" w:rsidR="001C674D" w:rsidRPr="00521D6B" w:rsidRDefault="001C674D" w:rsidP="001C674D">
      <w:pPr>
        <w:rPr>
          <w:rFonts w:ascii="Times New Roman" w:hAnsi="Times New Roman" w:cs="Times New Roman"/>
        </w:rPr>
      </w:pPr>
      <w:r w:rsidRPr="00521D6B">
        <w:rPr>
          <w:rFonts w:ascii="Times New Roman" w:hAnsi="Times New Roman" w:cs="Times New Roman"/>
          <w:b/>
          <w:bCs/>
        </w:rPr>
        <w:t>Conclusion</w:t>
      </w:r>
    </w:p>
    <w:p w14:paraId="1D669E3B" w14:textId="38D6374E" w:rsidR="001C674D" w:rsidRPr="00521D6B" w:rsidRDefault="001C674D" w:rsidP="001C674D">
      <w:pPr>
        <w:rPr>
          <w:rFonts w:ascii="Times New Roman" w:hAnsi="Times New Roman" w:cs="Times New Roman"/>
        </w:rPr>
      </w:pPr>
      <w:r w:rsidRPr="00521D6B">
        <w:rPr>
          <w:rFonts w:ascii="Times New Roman" w:hAnsi="Times New Roman" w:cs="Times New Roman"/>
          <w:shd w:val="clear" w:color="auto" w:fill="FFFFFF"/>
        </w:rPr>
        <w:t>The research will contend that the Teachers’ Union protests that took place in SVG during 2020–2021 were a pivotal event in the nation’s labor history, influenced by the convergence of public health concerns, labor rights issues, and political activism. Oswald Robinson’s leadership was instrumental in guiding the movement and addressing the intricate challenges posed by the pandemic. The protests underscore the continuing significance of labor unions in championing workers’ rights during periods of crisis.</w:t>
      </w:r>
    </w:p>
    <w:p w14:paraId="6057B990" w14:textId="77777777" w:rsidR="001C674D" w:rsidRDefault="001C674D" w:rsidP="001C674D"/>
    <w:p w14:paraId="411E786F" w14:textId="77777777" w:rsidR="005774EC" w:rsidRDefault="005774EC" w:rsidP="001C674D"/>
    <w:p w14:paraId="7D0B9D0C" w14:textId="77777777" w:rsidR="005774EC" w:rsidRDefault="005774EC" w:rsidP="001C674D"/>
    <w:p w14:paraId="0478D695" w14:textId="77777777" w:rsidR="005774EC" w:rsidRDefault="005774EC" w:rsidP="001C674D"/>
    <w:p w14:paraId="0D1EB8FA" w14:textId="77777777" w:rsidR="005774EC" w:rsidRDefault="005774EC" w:rsidP="001C674D"/>
    <w:p w14:paraId="2F8CE5EA" w14:textId="77777777" w:rsidR="005774EC" w:rsidRDefault="005774EC" w:rsidP="001C674D"/>
    <w:p w14:paraId="4CCBB378" w14:textId="77777777" w:rsidR="005774EC" w:rsidRDefault="005774EC" w:rsidP="001C674D"/>
    <w:p w14:paraId="486978F1" w14:textId="77777777" w:rsidR="005774EC" w:rsidRDefault="005774EC" w:rsidP="001C674D"/>
    <w:p w14:paraId="7E5BDF00" w14:textId="77777777" w:rsidR="005774EC" w:rsidRDefault="005774EC" w:rsidP="001C674D"/>
    <w:p w14:paraId="470E7996" w14:textId="77777777" w:rsidR="005774EC" w:rsidRDefault="005774EC" w:rsidP="001C674D"/>
    <w:p w14:paraId="76BCEC2D" w14:textId="77777777" w:rsidR="005774EC" w:rsidRDefault="005774EC" w:rsidP="001C674D"/>
    <w:p w14:paraId="274CEDF8" w14:textId="77777777" w:rsidR="005774EC" w:rsidRDefault="005774EC" w:rsidP="001C674D"/>
    <w:p w14:paraId="60D0FE25" w14:textId="77777777" w:rsidR="005774EC" w:rsidRDefault="005774EC" w:rsidP="001C674D"/>
    <w:p w14:paraId="7D4D9BBB" w14:textId="77777777" w:rsidR="005774EC" w:rsidRDefault="005774EC" w:rsidP="001C674D"/>
    <w:p w14:paraId="60BCA2BC" w14:textId="77777777" w:rsidR="005774EC" w:rsidRDefault="005774EC" w:rsidP="001C674D"/>
    <w:p w14:paraId="293E6619" w14:textId="77777777" w:rsidR="005774EC" w:rsidRDefault="005774EC" w:rsidP="001C674D"/>
    <w:p w14:paraId="73476696" w14:textId="77777777" w:rsidR="005774EC" w:rsidRDefault="005774EC" w:rsidP="001C674D"/>
    <w:p w14:paraId="0C4D9FF7" w14:textId="77777777" w:rsidR="005774EC" w:rsidRDefault="005774EC" w:rsidP="001C674D"/>
    <w:p w14:paraId="789712E9" w14:textId="77777777" w:rsidR="005774EC" w:rsidRDefault="005774EC" w:rsidP="001C674D"/>
    <w:p w14:paraId="3BB46BF7" w14:textId="77777777" w:rsidR="005774EC" w:rsidRDefault="005774EC" w:rsidP="001C674D"/>
    <w:p w14:paraId="2B176172" w14:textId="77777777" w:rsidR="005774EC" w:rsidRPr="005774EC" w:rsidRDefault="005774EC" w:rsidP="005774EC">
      <w:pPr>
        <w:spacing w:after="240" w:line="360" w:lineRule="auto"/>
        <w:outlineLvl w:val="0"/>
        <w:rPr>
          <w:rFonts w:ascii="Times New Roman" w:eastAsia="Times New Roman" w:hAnsi="Times New Roman" w:cs="Times New Roman"/>
          <w:b/>
          <w:bCs/>
          <w:kern w:val="36"/>
          <w:sz w:val="36"/>
          <w:szCs w:val="36"/>
          <w:lang w:eastAsia="en-GB"/>
          <w14:ligatures w14:val="none"/>
        </w:rPr>
      </w:pPr>
      <w:r w:rsidRPr="005774EC">
        <w:rPr>
          <w:rFonts w:ascii="Times New Roman" w:eastAsia="Times New Roman" w:hAnsi="Times New Roman" w:cs="Times New Roman"/>
          <w:b/>
          <w:bCs/>
          <w:kern w:val="36"/>
          <w:sz w:val="36"/>
          <w:szCs w:val="36"/>
          <w:lang w:eastAsia="en-GB"/>
          <w14:ligatures w14:val="none"/>
        </w:rPr>
        <w:lastRenderedPageBreak/>
        <w:t>Reference list</w:t>
      </w:r>
    </w:p>
    <w:p w14:paraId="3B020D4F" w14:textId="77777777" w:rsidR="005774EC" w:rsidRPr="005774EC" w:rsidRDefault="005774EC" w:rsidP="005774EC">
      <w:pPr>
        <w:spacing w:after="240" w:line="360" w:lineRule="auto"/>
        <w:rPr>
          <w:rFonts w:ascii="Times New Roman" w:eastAsia="Times New Roman" w:hAnsi="Times New Roman" w:cs="Times New Roman"/>
          <w:kern w:val="0"/>
          <w:lang w:eastAsia="en-GB"/>
          <w14:ligatures w14:val="none"/>
        </w:rPr>
      </w:pPr>
      <w:r w:rsidRPr="005774EC">
        <w:rPr>
          <w:rFonts w:ascii="Times New Roman" w:eastAsia="Times New Roman" w:hAnsi="Times New Roman" w:cs="Times New Roman"/>
          <w:kern w:val="0"/>
          <w:lang w:eastAsia="en-GB"/>
          <w14:ligatures w14:val="none"/>
        </w:rPr>
        <w:t>Country Reports on Human Rights Practices for 2021 Department of State • Bureau of Democracy, Human Rights and Labor SAINT VINCENT AND THE GRENADINES 2021 HUMAN RIGHTS REPORT EXECUTIVE SUMMARY. (n.d.). Available at: https://www.state.gov/wp-content/uploads/2022/02/313615_SAINT-VINCENT-AND-THE-GRENADINES-2021-HUMAN-RIGHTS-REPORT.pdf.</w:t>
      </w:r>
    </w:p>
    <w:p w14:paraId="58C560B2" w14:textId="77777777" w:rsidR="005774EC" w:rsidRPr="005774EC" w:rsidRDefault="005774EC" w:rsidP="005774EC">
      <w:pPr>
        <w:spacing w:after="240" w:line="360" w:lineRule="auto"/>
        <w:rPr>
          <w:rFonts w:ascii="Times New Roman" w:eastAsia="Times New Roman" w:hAnsi="Times New Roman" w:cs="Times New Roman"/>
          <w:kern w:val="0"/>
          <w:lang w:eastAsia="en-GB"/>
          <w14:ligatures w14:val="none"/>
        </w:rPr>
      </w:pPr>
      <w:r w:rsidRPr="005774EC">
        <w:rPr>
          <w:rFonts w:ascii="Times New Roman" w:eastAsia="Times New Roman" w:hAnsi="Times New Roman" w:cs="Times New Roman"/>
          <w:kern w:val="0"/>
          <w:lang w:eastAsia="en-GB"/>
          <w14:ligatures w14:val="none"/>
        </w:rPr>
        <w:t xml:space="preserve">Paho.org. (2018). </w:t>
      </w:r>
      <w:r w:rsidRPr="005774EC">
        <w:rPr>
          <w:rFonts w:ascii="Times New Roman" w:eastAsia="Times New Roman" w:hAnsi="Times New Roman" w:cs="Times New Roman"/>
          <w:i/>
          <w:iCs/>
          <w:kern w:val="0"/>
          <w:lang w:eastAsia="en-GB"/>
          <w14:ligatures w14:val="none"/>
        </w:rPr>
        <w:t>St Vincent and the Grenadines - The Combined response to the COVID-19 pandemic and the La Soufriere eruption</w:t>
      </w:r>
      <w:r w:rsidRPr="005774EC">
        <w:rPr>
          <w:rFonts w:ascii="Times New Roman" w:eastAsia="Times New Roman" w:hAnsi="Times New Roman" w:cs="Times New Roman"/>
          <w:kern w:val="0"/>
          <w:lang w:eastAsia="en-GB"/>
          <w14:ligatures w14:val="none"/>
        </w:rPr>
        <w:t>. [online] Available at: https://www.paho.org/en/stories/st-vincent-and-grenadines-combined-response-covid-19-pandemic-and-soufriere-eruption [Accessed 1 Nov. 2024].</w:t>
      </w:r>
    </w:p>
    <w:p w14:paraId="271B7411" w14:textId="77777777" w:rsidR="005774EC" w:rsidRPr="005774EC" w:rsidRDefault="005774EC" w:rsidP="005774EC">
      <w:pPr>
        <w:spacing w:after="240" w:line="360" w:lineRule="auto"/>
        <w:rPr>
          <w:rFonts w:ascii="Times New Roman" w:eastAsia="Times New Roman" w:hAnsi="Times New Roman" w:cs="Times New Roman"/>
          <w:kern w:val="0"/>
          <w:lang w:eastAsia="en-GB"/>
          <w14:ligatures w14:val="none"/>
        </w:rPr>
      </w:pPr>
      <w:r w:rsidRPr="005774EC">
        <w:rPr>
          <w:rFonts w:ascii="Times New Roman" w:eastAsia="Times New Roman" w:hAnsi="Times New Roman" w:cs="Times New Roman"/>
          <w:kern w:val="0"/>
          <w:lang w:eastAsia="en-GB"/>
          <w14:ligatures w14:val="none"/>
        </w:rPr>
        <w:t>SUPPORTING RECOVERY AND RESILIENCE IN ST. VINCENT AND THE GRENADINES Addressing compound hazards through strengthened resilient recovery and emergency preparedness and response activities. (n.d.). Available at: https://documents1.worldbank.org/curated/en/099556506222289059/pdf/IDU0c35ca1ec0a648040f70be8706e57e64656d9.pdf [Accessed 1 Nov. 2024].</w:t>
      </w:r>
    </w:p>
    <w:p w14:paraId="63407D20" w14:textId="77777777" w:rsidR="005774EC" w:rsidRPr="005774EC" w:rsidRDefault="005774EC" w:rsidP="005774EC">
      <w:pPr>
        <w:spacing w:after="240" w:line="360" w:lineRule="auto"/>
        <w:rPr>
          <w:rFonts w:ascii="Times New Roman" w:eastAsia="Times New Roman" w:hAnsi="Times New Roman" w:cs="Times New Roman"/>
          <w:kern w:val="0"/>
          <w:lang w:eastAsia="en-GB"/>
          <w14:ligatures w14:val="none"/>
        </w:rPr>
      </w:pPr>
      <w:r w:rsidRPr="005774EC">
        <w:rPr>
          <w:rFonts w:ascii="Times New Roman" w:eastAsia="Times New Roman" w:hAnsi="Times New Roman" w:cs="Times New Roman"/>
          <w:kern w:val="0"/>
          <w:lang w:eastAsia="en-GB"/>
          <w14:ligatures w14:val="none"/>
        </w:rPr>
        <w:t xml:space="preserve">Un-dco.org. (2024). </w:t>
      </w:r>
      <w:r w:rsidRPr="005774EC">
        <w:rPr>
          <w:rFonts w:ascii="Times New Roman" w:eastAsia="Times New Roman" w:hAnsi="Times New Roman" w:cs="Times New Roman"/>
          <w:i/>
          <w:iCs/>
          <w:kern w:val="0"/>
          <w:lang w:eastAsia="en-GB"/>
          <w14:ligatures w14:val="none"/>
        </w:rPr>
        <w:t>UN Chief Commends Resilience of St. Vincent and the Grenadines During Post-Eruption Visit</w:t>
      </w:r>
      <w:r w:rsidRPr="005774EC">
        <w:rPr>
          <w:rFonts w:ascii="Times New Roman" w:eastAsia="Times New Roman" w:hAnsi="Times New Roman" w:cs="Times New Roman"/>
          <w:kern w:val="0"/>
          <w:lang w:eastAsia="en-GB"/>
          <w14:ligatures w14:val="none"/>
        </w:rPr>
        <w:t>. [online] Available at: https://un-dco.org/stories/un-chief-commends-resilience-st-vincent-and-grenadines-during-post-eruption-visit [Accessed 1 Nov. 2024].</w:t>
      </w:r>
    </w:p>
    <w:p w14:paraId="3C0D235F" w14:textId="77777777" w:rsidR="005774EC" w:rsidRPr="005774EC" w:rsidRDefault="005774EC" w:rsidP="005774EC">
      <w:pPr>
        <w:spacing w:after="240" w:line="360" w:lineRule="auto"/>
        <w:rPr>
          <w:rFonts w:ascii="Times New Roman" w:eastAsia="Times New Roman" w:hAnsi="Times New Roman" w:cs="Times New Roman"/>
          <w:kern w:val="0"/>
          <w:lang w:eastAsia="en-GB"/>
          <w14:ligatures w14:val="none"/>
        </w:rPr>
      </w:pPr>
      <w:r w:rsidRPr="005774EC">
        <w:rPr>
          <w:rFonts w:ascii="Times New Roman" w:eastAsia="Times New Roman" w:hAnsi="Times New Roman" w:cs="Times New Roman"/>
          <w:kern w:val="0"/>
          <w:lang w:eastAsia="en-GB"/>
          <w14:ligatures w14:val="none"/>
        </w:rPr>
        <w:t xml:space="preserve">Who.int. (2020). </w:t>
      </w:r>
      <w:r w:rsidRPr="005774EC">
        <w:rPr>
          <w:rFonts w:ascii="Times New Roman" w:eastAsia="Times New Roman" w:hAnsi="Times New Roman" w:cs="Times New Roman"/>
          <w:i/>
          <w:iCs/>
          <w:kern w:val="0"/>
          <w:lang w:eastAsia="en-GB"/>
          <w14:ligatures w14:val="none"/>
        </w:rPr>
        <w:t>Rapid and comprehensive volcano eruption response amid a pandemic</w:t>
      </w:r>
      <w:r w:rsidRPr="005774EC">
        <w:rPr>
          <w:rFonts w:ascii="Times New Roman" w:eastAsia="Times New Roman" w:hAnsi="Times New Roman" w:cs="Times New Roman"/>
          <w:kern w:val="0"/>
          <w:lang w:eastAsia="en-GB"/>
          <w14:ligatures w14:val="none"/>
        </w:rPr>
        <w:t>. [online] Available at: https://www.who.int/about/accountability/results/who-results-report-2020-mtr/country-story/2021/saint-vincent-and-the-renadines.</w:t>
      </w:r>
    </w:p>
    <w:p w14:paraId="48C6C077" w14:textId="77777777" w:rsidR="005774EC" w:rsidRPr="001C674D" w:rsidRDefault="005774EC" w:rsidP="001C674D"/>
    <w:sectPr w:rsidR="005774EC" w:rsidRPr="001C6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35"/>
    <w:rsid w:val="001C674D"/>
    <w:rsid w:val="00383F9E"/>
    <w:rsid w:val="003F6409"/>
    <w:rsid w:val="00481935"/>
    <w:rsid w:val="00521D6B"/>
    <w:rsid w:val="005774EC"/>
    <w:rsid w:val="009C147B"/>
    <w:rsid w:val="00AD18BD"/>
    <w:rsid w:val="00CB4B59"/>
    <w:rsid w:val="00D50FB3"/>
    <w:rsid w:val="00DD1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2BB1"/>
  <w15:chartTrackingRefBased/>
  <w15:docId w15:val="{E5AFE6AD-0C0F-4E77-9D6D-00807A526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1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1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1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1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935"/>
    <w:rPr>
      <w:rFonts w:eastAsiaTheme="majorEastAsia" w:cstheme="majorBidi"/>
      <w:color w:val="272727" w:themeColor="text1" w:themeTint="D8"/>
    </w:rPr>
  </w:style>
  <w:style w:type="paragraph" w:styleId="Title">
    <w:name w:val="Title"/>
    <w:basedOn w:val="Normal"/>
    <w:next w:val="Normal"/>
    <w:link w:val="TitleChar"/>
    <w:uiPriority w:val="10"/>
    <w:qFormat/>
    <w:rsid w:val="00481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935"/>
    <w:pPr>
      <w:spacing w:before="160"/>
      <w:jc w:val="center"/>
    </w:pPr>
    <w:rPr>
      <w:i/>
      <w:iCs/>
      <w:color w:val="404040" w:themeColor="text1" w:themeTint="BF"/>
    </w:rPr>
  </w:style>
  <w:style w:type="character" w:customStyle="1" w:styleId="QuoteChar">
    <w:name w:val="Quote Char"/>
    <w:basedOn w:val="DefaultParagraphFont"/>
    <w:link w:val="Quote"/>
    <w:uiPriority w:val="29"/>
    <w:rsid w:val="00481935"/>
    <w:rPr>
      <w:i/>
      <w:iCs/>
      <w:color w:val="404040" w:themeColor="text1" w:themeTint="BF"/>
    </w:rPr>
  </w:style>
  <w:style w:type="paragraph" w:styleId="ListParagraph">
    <w:name w:val="List Paragraph"/>
    <w:basedOn w:val="Normal"/>
    <w:uiPriority w:val="34"/>
    <w:qFormat/>
    <w:rsid w:val="00481935"/>
    <w:pPr>
      <w:ind w:left="720"/>
      <w:contextualSpacing/>
    </w:pPr>
  </w:style>
  <w:style w:type="character" w:styleId="IntenseEmphasis">
    <w:name w:val="Intense Emphasis"/>
    <w:basedOn w:val="DefaultParagraphFont"/>
    <w:uiPriority w:val="21"/>
    <w:qFormat/>
    <w:rsid w:val="00481935"/>
    <w:rPr>
      <w:i/>
      <w:iCs/>
      <w:color w:val="0F4761" w:themeColor="accent1" w:themeShade="BF"/>
    </w:rPr>
  </w:style>
  <w:style w:type="paragraph" w:styleId="IntenseQuote">
    <w:name w:val="Intense Quote"/>
    <w:basedOn w:val="Normal"/>
    <w:next w:val="Normal"/>
    <w:link w:val="IntenseQuoteChar"/>
    <w:uiPriority w:val="30"/>
    <w:qFormat/>
    <w:rsid w:val="00481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935"/>
    <w:rPr>
      <w:i/>
      <w:iCs/>
      <w:color w:val="0F4761" w:themeColor="accent1" w:themeShade="BF"/>
    </w:rPr>
  </w:style>
  <w:style w:type="character" w:styleId="IntenseReference">
    <w:name w:val="Intense Reference"/>
    <w:basedOn w:val="DefaultParagraphFont"/>
    <w:uiPriority w:val="32"/>
    <w:qFormat/>
    <w:rsid w:val="004819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826633">
      <w:bodyDiv w:val="1"/>
      <w:marLeft w:val="0"/>
      <w:marRight w:val="0"/>
      <w:marTop w:val="0"/>
      <w:marBottom w:val="0"/>
      <w:divBdr>
        <w:top w:val="none" w:sz="0" w:space="0" w:color="auto"/>
        <w:left w:val="none" w:sz="0" w:space="0" w:color="auto"/>
        <w:bottom w:val="none" w:sz="0" w:space="0" w:color="auto"/>
        <w:right w:val="none" w:sz="0" w:space="0" w:color="auto"/>
      </w:divBdr>
    </w:div>
    <w:div w:id="1016426987">
      <w:bodyDiv w:val="1"/>
      <w:marLeft w:val="0"/>
      <w:marRight w:val="0"/>
      <w:marTop w:val="0"/>
      <w:marBottom w:val="0"/>
      <w:divBdr>
        <w:top w:val="none" w:sz="0" w:space="0" w:color="auto"/>
        <w:left w:val="none" w:sz="0" w:space="0" w:color="auto"/>
        <w:bottom w:val="none" w:sz="0" w:space="0" w:color="auto"/>
        <w:right w:val="none" w:sz="0" w:space="0" w:color="auto"/>
      </w:divBdr>
      <w:divsChild>
        <w:div w:id="417748569">
          <w:marLeft w:val="0"/>
          <w:marRight w:val="0"/>
          <w:marTop w:val="0"/>
          <w:marBottom w:val="0"/>
          <w:divBdr>
            <w:top w:val="none" w:sz="0" w:space="0" w:color="auto"/>
            <w:left w:val="none" w:sz="0" w:space="0" w:color="auto"/>
            <w:bottom w:val="none" w:sz="0" w:space="0" w:color="auto"/>
            <w:right w:val="none" w:sz="0" w:space="0" w:color="auto"/>
          </w:divBdr>
        </w:div>
      </w:divsChild>
    </w:div>
    <w:div w:id="1050229457">
      <w:bodyDiv w:val="1"/>
      <w:marLeft w:val="0"/>
      <w:marRight w:val="0"/>
      <w:marTop w:val="0"/>
      <w:marBottom w:val="0"/>
      <w:divBdr>
        <w:top w:val="none" w:sz="0" w:space="0" w:color="auto"/>
        <w:left w:val="none" w:sz="0" w:space="0" w:color="auto"/>
        <w:bottom w:val="none" w:sz="0" w:space="0" w:color="auto"/>
        <w:right w:val="none" w:sz="0" w:space="0" w:color="auto"/>
      </w:divBdr>
    </w:div>
    <w:div w:id="1231116329">
      <w:bodyDiv w:val="1"/>
      <w:marLeft w:val="0"/>
      <w:marRight w:val="0"/>
      <w:marTop w:val="0"/>
      <w:marBottom w:val="0"/>
      <w:divBdr>
        <w:top w:val="none" w:sz="0" w:space="0" w:color="auto"/>
        <w:left w:val="none" w:sz="0" w:space="0" w:color="auto"/>
        <w:bottom w:val="none" w:sz="0" w:space="0" w:color="auto"/>
        <w:right w:val="none" w:sz="0" w:space="0" w:color="auto"/>
      </w:divBdr>
    </w:div>
    <w:div w:id="1596329396">
      <w:bodyDiv w:val="1"/>
      <w:marLeft w:val="0"/>
      <w:marRight w:val="0"/>
      <w:marTop w:val="0"/>
      <w:marBottom w:val="0"/>
      <w:divBdr>
        <w:top w:val="none" w:sz="0" w:space="0" w:color="auto"/>
        <w:left w:val="none" w:sz="0" w:space="0" w:color="auto"/>
        <w:bottom w:val="none" w:sz="0" w:space="0" w:color="auto"/>
        <w:right w:val="none" w:sz="0" w:space="0" w:color="auto"/>
      </w:divBdr>
    </w:div>
    <w:div w:id="1980070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drusutherland7@gmail.com</dc:creator>
  <cp:keywords/>
  <dc:description/>
  <cp:lastModifiedBy>drusutherland7@gmail.com</cp:lastModifiedBy>
  <cp:revision>2</cp:revision>
  <dcterms:created xsi:type="dcterms:W3CDTF">2024-11-01T15:47:00Z</dcterms:created>
  <dcterms:modified xsi:type="dcterms:W3CDTF">2024-11-01T15:47:00Z</dcterms:modified>
</cp:coreProperties>
</file>