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2D968F" w14:textId="28E386CD" w:rsidR="005831AE" w:rsidRDefault="005831AE" w:rsidP="005831AE">
      <w:pPr>
        <w:spacing w:after="160" w:line="360" w:lineRule="auto"/>
        <w:jc w:val="center"/>
        <w:rPr>
          <w:rFonts w:ascii="Arial" w:eastAsia="Arial" w:hAnsi="Arial" w:cs="Arial"/>
          <w:b/>
          <w:bCs/>
          <w:sz w:val="48"/>
          <w:szCs w:val="48"/>
        </w:rPr>
      </w:pPr>
    </w:p>
    <w:p w14:paraId="13726AE7" w14:textId="3BB72F14" w:rsidR="005831AE" w:rsidRDefault="005831AE" w:rsidP="005831AE">
      <w:pPr>
        <w:spacing w:after="160" w:line="360" w:lineRule="auto"/>
        <w:jc w:val="center"/>
        <w:rPr>
          <w:rFonts w:ascii="Arial" w:eastAsia="Arial" w:hAnsi="Arial" w:cs="Arial"/>
          <w:b/>
          <w:bCs/>
          <w:sz w:val="48"/>
          <w:szCs w:val="48"/>
        </w:rPr>
      </w:pPr>
      <w:r>
        <w:rPr>
          <w:rFonts w:ascii="Arial" w:eastAsia="Arial" w:hAnsi="Arial" w:cs="Arial"/>
          <w:noProof/>
        </w:rPr>
        <w:drawing>
          <wp:anchor distT="57150" distB="57150" distL="57150" distR="57150" simplePos="0" relativeHeight="251659264" behindDoc="0" locked="0" layoutInCell="1" allowOverlap="1" wp14:anchorId="48F9D5D5" wp14:editId="20A0A58A">
            <wp:simplePos x="0" y="0"/>
            <wp:positionH relativeFrom="column">
              <wp:posOffset>2066925</wp:posOffset>
            </wp:positionH>
            <wp:positionV relativeFrom="line">
              <wp:posOffset>208915</wp:posOffset>
            </wp:positionV>
            <wp:extent cx="1809750" cy="723900"/>
            <wp:effectExtent l="0" t="0" r="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7"/>
                    <a:stretch>
                      <a:fillRect/>
                    </a:stretch>
                  </pic:blipFill>
                  <pic:spPr>
                    <a:xfrm>
                      <a:off x="0" y="0"/>
                      <a:ext cx="1809750" cy="723900"/>
                    </a:xfrm>
                    <a:prstGeom prst="rect">
                      <a:avLst/>
                    </a:prstGeom>
                    <a:ln w="12700" cap="flat">
                      <a:noFill/>
                      <a:miter lim="400000"/>
                    </a:ln>
                    <a:effectLst/>
                  </pic:spPr>
                </pic:pic>
              </a:graphicData>
            </a:graphic>
          </wp:anchor>
        </w:drawing>
      </w:r>
    </w:p>
    <w:p w14:paraId="566F0415" w14:textId="4DFB5CCC" w:rsidR="005831AE" w:rsidRDefault="005831AE" w:rsidP="005831AE">
      <w:pPr>
        <w:spacing w:after="160" w:line="360" w:lineRule="auto"/>
        <w:jc w:val="center"/>
        <w:rPr>
          <w:rFonts w:ascii="Arial" w:eastAsia="Arial" w:hAnsi="Arial" w:cs="Arial"/>
          <w:b/>
          <w:bCs/>
          <w:sz w:val="48"/>
          <w:szCs w:val="48"/>
        </w:rPr>
      </w:pPr>
    </w:p>
    <w:p w14:paraId="3F23EAC1" w14:textId="785FF5BE" w:rsidR="005831AE" w:rsidRDefault="005831AE" w:rsidP="005831AE">
      <w:pPr>
        <w:spacing w:after="160" w:line="360" w:lineRule="auto"/>
        <w:jc w:val="center"/>
        <w:rPr>
          <w:rFonts w:ascii="Arial" w:eastAsia="Arial" w:hAnsi="Arial" w:cs="Arial"/>
          <w:sz w:val="32"/>
          <w:szCs w:val="32"/>
        </w:rPr>
      </w:pPr>
    </w:p>
    <w:p w14:paraId="58F58C89" w14:textId="7A81C51F" w:rsidR="005831AE" w:rsidRPr="005831AE" w:rsidRDefault="005831AE" w:rsidP="005831AE">
      <w:pPr>
        <w:spacing w:after="160" w:line="360" w:lineRule="auto"/>
        <w:jc w:val="center"/>
        <w:rPr>
          <w:rFonts w:ascii="Arial" w:eastAsia="Arial" w:hAnsi="Arial" w:cs="Arial"/>
          <w:sz w:val="32"/>
          <w:szCs w:val="32"/>
        </w:rPr>
      </w:pPr>
      <w:r w:rsidRPr="005831AE">
        <w:rPr>
          <w:rFonts w:ascii="Arial" w:eastAsia="Arial" w:hAnsi="Arial" w:cs="Arial"/>
          <w:sz w:val="32"/>
          <w:szCs w:val="32"/>
        </w:rPr>
        <w:t>Module:</w:t>
      </w:r>
      <w:r>
        <w:rPr>
          <w:rFonts w:ascii="Arial" w:eastAsia="Arial" w:hAnsi="Arial" w:cs="Arial"/>
          <w:sz w:val="32"/>
          <w:szCs w:val="32"/>
        </w:rPr>
        <w:t xml:space="preserve"> </w:t>
      </w:r>
      <w:bookmarkStart w:id="0" w:name="_GoBack"/>
      <w:r w:rsidRPr="005831AE">
        <w:rPr>
          <w:rFonts w:ascii="Arial" w:eastAsia="Arial" w:hAnsi="Arial" w:cs="Arial"/>
          <w:sz w:val="32"/>
          <w:szCs w:val="32"/>
        </w:rPr>
        <w:t>Global Business Challenges</w:t>
      </w:r>
      <w:bookmarkEnd w:id="0"/>
    </w:p>
    <w:p w14:paraId="5F1D3FA1" w14:textId="77777777" w:rsidR="005831AE" w:rsidRPr="005831AE" w:rsidRDefault="005831AE" w:rsidP="005831AE">
      <w:pPr>
        <w:spacing w:after="160" w:line="360" w:lineRule="auto"/>
        <w:jc w:val="center"/>
        <w:rPr>
          <w:rFonts w:ascii="Arial" w:eastAsia="Arial" w:hAnsi="Arial" w:cs="Arial"/>
          <w:sz w:val="32"/>
          <w:szCs w:val="32"/>
        </w:rPr>
      </w:pPr>
      <w:r w:rsidRPr="005831AE">
        <w:rPr>
          <w:rFonts w:ascii="Arial" w:eastAsia="Arial" w:hAnsi="Arial" w:cs="Arial"/>
          <w:sz w:val="32"/>
          <w:szCs w:val="32"/>
        </w:rPr>
        <w:t>Module code: BMMB7006</w:t>
      </w:r>
    </w:p>
    <w:p w14:paraId="14636D0B" w14:textId="001EF7DB" w:rsidR="005831AE" w:rsidRPr="005831AE" w:rsidRDefault="005831AE" w:rsidP="005831AE">
      <w:pPr>
        <w:spacing w:after="160" w:line="360" w:lineRule="auto"/>
        <w:jc w:val="center"/>
        <w:rPr>
          <w:rFonts w:ascii="Arial" w:eastAsia="Arial" w:hAnsi="Arial" w:cs="Arial"/>
          <w:sz w:val="32"/>
          <w:szCs w:val="32"/>
        </w:rPr>
      </w:pPr>
      <w:r w:rsidRPr="005831AE">
        <w:rPr>
          <w:rFonts w:ascii="Arial" w:eastAsia="Arial" w:hAnsi="Arial" w:cs="Arial"/>
          <w:sz w:val="32"/>
          <w:szCs w:val="32"/>
        </w:rPr>
        <w:t>Lecturer: Rebecca Francis-Davies</w:t>
      </w:r>
    </w:p>
    <w:p w14:paraId="5BBE5439" w14:textId="5F742468" w:rsidR="005831AE" w:rsidRDefault="005831AE" w:rsidP="005831AE">
      <w:pPr>
        <w:spacing w:after="160" w:line="360" w:lineRule="auto"/>
        <w:jc w:val="center"/>
        <w:rPr>
          <w:rFonts w:ascii="Arial" w:eastAsia="Arial" w:hAnsi="Arial" w:cs="Arial"/>
          <w:sz w:val="32"/>
          <w:szCs w:val="32"/>
        </w:rPr>
      </w:pPr>
    </w:p>
    <w:p w14:paraId="031F71D6" w14:textId="2605431E" w:rsidR="005831AE" w:rsidRDefault="005831AE" w:rsidP="005831AE">
      <w:pPr>
        <w:spacing w:after="160" w:line="360" w:lineRule="auto"/>
        <w:jc w:val="center"/>
        <w:rPr>
          <w:rFonts w:ascii="Arial" w:eastAsia="Arial" w:hAnsi="Arial" w:cs="Arial"/>
          <w:sz w:val="32"/>
          <w:szCs w:val="32"/>
        </w:rPr>
      </w:pPr>
      <w:r>
        <w:rPr>
          <w:rFonts w:ascii="Arial" w:eastAsia="Arial" w:hAnsi="Arial" w:cs="Arial"/>
          <w:sz w:val="32"/>
          <w:szCs w:val="32"/>
        </w:rPr>
        <w:t xml:space="preserve">Student Name: </w:t>
      </w:r>
      <w:r w:rsidRPr="005831AE">
        <w:rPr>
          <w:rFonts w:ascii="Arial" w:eastAsia="Arial" w:hAnsi="Arial" w:cs="Arial"/>
          <w:sz w:val="32"/>
          <w:szCs w:val="32"/>
        </w:rPr>
        <w:t xml:space="preserve">Rahat Hossain </w:t>
      </w:r>
    </w:p>
    <w:p w14:paraId="05A58439" w14:textId="4D64A6D9" w:rsidR="005831AE" w:rsidRDefault="005831AE" w:rsidP="005831AE">
      <w:pPr>
        <w:spacing w:after="160" w:line="360" w:lineRule="auto"/>
        <w:jc w:val="center"/>
        <w:rPr>
          <w:rFonts w:ascii="Arial" w:eastAsia="Arial" w:hAnsi="Arial" w:cs="Arial"/>
          <w:sz w:val="32"/>
          <w:szCs w:val="32"/>
        </w:rPr>
      </w:pPr>
      <w:r>
        <w:rPr>
          <w:rFonts w:ascii="Arial" w:eastAsia="Arial" w:hAnsi="Arial" w:cs="Arial"/>
          <w:sz w:val="32"/>
          <w:szCs w:val="32"/>
        </w:rPr>
        <w:t xml:space="preserve">Student </w:t>
      </w:r>
      <w:r w:rsidRPr="005831AE">
        <w:rPr>
          <w:rFonts w:ascii="Arial" w:eastAsia="Arial" w:hAnsi="Arial" w:cs="Arial"/>
          <w:sz w:val="32"/>
          <w:szCs w:val="32"/>
        </w:rPr>
        <w:t>ID: 2506481</w:t>
      </w:r>
    </w:p>
    <w:p w14:paraId="37C996D7" w14:textId="77777777" w:rsidR="005831AE" w:rsidRPr="005831AE" w:rsidRDefault="005831AE" w:rsidP="005831AE">
      <w:pPr>
        <w:spacing w:after="160" w:line="360" w:lineRule="auto"/>
        <w:jc w:val="center"/>
        <w:rPr>
          <w:rFonts w:ascii="Arial" w:eastAsia="Arial" w:hAnsi="Arial" w:cs="Arial"/>
          <w:sz w:val="32"/>
          <w:szCs w:val="32"/>
        </w:rPr>
      </w:pPr>
    </w:p>
    <w:p w14:paraId="393B6E96" w14:textId="74F5C423" w:rsidR="00046C2E" w:rsidRPr="005831AE" w:rsidRDefault="000412EC" w:rsidP="005831AE">
      <w:pPr>
        <w:spacing w:after="160" w:line="360" w:lineRule="auto"/>
        <w:jc w:val="center"/>
        <w:rPr>
          <w:sz w:val="32"/>
          <w:szCs w:val="32"/>
        </w:rPr>
      </w:pPr>
      <w:r w:rsidRPr="005831AE">
        <w:rPr>
          <w:rFonts w:ascii="Arial" w:eastAsia="Arial" w:hAnsi="Arial" w:cs="Arial"/>
          <w:b/>
          <w:bCs/>
          <w:sz w:val="32"/>
          <w:szCs w:val="32"/>
        </w:rPr>
        <w:t>GLOBAL CHALLENGES</w:t>
      </w:r>
    </w:p>
    <w:p w14:paraId="18886212" w14:textId="5AB9EB75" w:rsidR="00046C2E" w:rsidRPr="005831AE" w:rsidRDefault="000412EC" w:rsidP="005831AE">
      <w:pPr>
        <w:spacing w:after="160" w:line="360" w:lineRule="auto"/>
        <w:jc w:val="center"/>
        <w:rPr>
          <w:rFonts w:ascii="Arial" w:eastAsia="Arial" w:hAnsi="Arial" w:cs="Arial"/>
          <w:sz w:val="32"/>
          <w:szCs w:val="32"/>
        </w:rPr>
      </w:pPr>
      <w:r w:rsidRPr="005831AE">
        <w:rPr>
          <w:rFonts w:ascii="Arial" w:eastAsia="Arial" w:hAnsi="Arial" w:cs="Arial"/>
          <w:sz w:val="32"/>
          <w:szCs w:val="32"/>
        </w:rPr>
        <w:t>When Machines Run the Factory: Artificial Intelligence, Industrial Risk</w:t>
      </w:r>
      <w:r w:rsidR="005831AE" w:rsidRPr="005831AE">
        <w:rPr>
          <w:rFonts w:ascii="Arial" w:eastAsia="Arial" w:hAnsi="Arial" w:cs="Arial"/>
          <w:sz w:val="32"/>
          <w:szCs w:val="32"/>
        </w:rPr>
        <w:t xml:space="preserve"> </w:t>
      </w:r>
      <w:r w:rsidRPr="005831AE">
        <w:rPr>
          <w:rFonts w:ascii="Arial" w:eastAsia="Arial" w:hAnsi="Arial" w:cs="Arial"/>
          <w:sz w:val="32"/>
          <w:szCs w:val="32"/>
        </w:rPr>
        <w:t>and the Governance Imperative at Siemens AG</w:t>
      </w:r>
    </w:p>
    <w:p w14:paraId="3347A600" w14:textId="5EB82A4F" w:rsidR="005831AE" w:rsidRPr="005831AE" w:rsidRDefault="005831AE" w:rsidP="005831AE">
      <w:pPr>
        <w:spacing w:after="160" w:line="360" w:lineRule="auto"/>
        <w:jc w:val="center"/>
        <w:rPr>
          <w:rFonts w:ascii="Arial" w:eastAsia="Arial" w:hAnsi="Arial" w:cs="Arial"/>
          <w:b/>
          <w:bCs/>
          <w:sz w:val="28"/>
          <w:szCs w:val="28"/>
        </w:rPr>
      </w:pPr>
    </w:p>
    <w:p w14:paraId="5A3C1082" w14:textId="77777777" w:rsidR="005831AE" w:rsidRPr="005831AE" w:rsidRDefault="005831AE" w:rsidP="005831AE">
      <w:pPr>
        <w:spacing w:after="160" w:line="360" w:lineRule="auto"/>
        <w:jc w:val="center"/>
        <w:rPr>
          <w:rFonts w:ascii="Arial" w:eastAsia="Arial" w:hAnsi="Arial" w:cs="Arial"/>
          <w:b/>
          <w:bCs/>
          <w:sz w:val="28"/>
          <w:szCs w:val="28"/>
        </w:rPr>
      </w:pPr>
    </w:p>
    <w:p w14:paraId="657D992B" w14:textId="77777777" w:rsidR="00046C2E" w:rsidRDefault="000412EC" w:rsidP="00A5799D">
      <w:pPr>
        <w:spacing w:line="360" w:lineRule="auto"/>
        <w:jc w:val="both"/>
      </w:pPr>
      <w:r>
        <w:br w:type="page"/>
      </w:r>
    </w:p>
    <w:p w14:paraId="1E69EDA6" w14:textId="77777777" w:rsidR="00046C2E" w:rsidRDefault="000412EC" w:rsidP="00A5799D">
      <w:pPr>
        <w:pStyle w:val="Heading1"/>
        <w:spacing w:line="360" w:lineRule="auto"/>
        <w:jc w:val="both"/>
      </w:pPr>
      <w:bookmarkStart w:id="1" w:name="_Toc228218218"/>
      <w:r>
        <w:lastRenderedPageBreak/>
        <w:t>Executive Summary</w:t>
      </w:r>
      <w:bookmarkEnd w:id="1"/>
    </w:p>
    <w:p w14:paraId="3F1415E3" w14:textId="42BBF02F" w:rsidR="00125B0D" w:rsidRDefault="00125B0D" w:rsidP="00A5799D">
      <w:pPr>
        <w:spacing w:line="360" w:lineRule="auto"/>
        <w:jc w:val="both"/>
      </w:pPr>
      <w:r>
        <w:t xml:space="preserve">This report offers strategic advice to Siemens AG, a world-leading technology company based in Munich, Germany, with a presence in more than 190 countries </w:t>
      </w:r>
      <w:r w:rsidR="00305668">
        <w:t>across the industrial automation, smart infrastructure, mobility,</w:t>
      </w:r>
      <w:r>
        <w:t xml:space="preserve"> and healthcare technology sectors. This is a component of </w:t>
      </w:r>
      <w:r w:rsidR="00305668">
        <w:t>an</w:t>
      </w:r>
      <w:r>
        <w:t xml:space="preserve"> RFD Global internship application. The argument advanced is that artificial intelligence is no longer a technology layer at Siemens that can be added to its products and services - it is the </w:t>
      </w:r>
      <w:proofErr w:type="spellStart"/>
      <w:r>
        <w:t>organising</w:t>
      </w:r>
      <w:proofErr w:type="spellEnd"/>
      <w:r>
        <w:t xml:space="preserve"> principle that underpins product and service development, manufacturing and delivery. Responsibly managing this transition is a moral, economic and regulatory imperative.</w:t>
      </w:r>
    </w:p>
    <w:p w14:paraId="7353F197" w14:textId="00987C76" w:rsidR="00046C2E" w:rsidRDefault="00125B0D" w:rsidP="00A5799D">
      <w:pPr>
        <w:spacing w:line="360" w:lineRule="auto"/>
        <w:jc w:val="both"/>
      </w:pPr>
      <w:r>
        <w:t xml:space="preserve">The report uses Porter's Five Forces, Porter's Diamond of National Advantage and a PESTLE analysis to assess Siemens' operating environment in the United Kingdom and Germany/EU. The key challenges are identified as the distinctive governance challenges of the integration of the operational technology (OT) and information technology (IT) environments; the regulatory obligations of the EU AI Act for AI in critical infrastructure; and the cultural and </w:t>
      </w:r>
      <w:proofErr w:type="spellStart"/>
      <w:r>
        <w:t>organisational</w:t>
      </w:r>
      <w:proofErr w:type="spellEnd"/>
      <w:r>
        <w:t xml:space="preserve"> aspects of implementing AI governance across a 312,000-person workforce. The report recommends a staged roll-out plan to develop credible and verifiable AI governance that will see Siemens become a world leader in responsible industrial AI.</w:t>
      </w:r>
      <w:r>
        <w:br w:type="page"/>
      </w:r>
    </w:p>
    <w:sdt>
      <w:sdtPr>
        <w:rPr>
          <w:rFonts w:ascii="Times New Roman" w:eastAsia="Times New Roman" w:hAnsi="Times New Roman" w:cs="Times New Roman"/>
          <w:color w:val="auto"/>
          <w:sz w:val="24"/>
          <w:szCs w:val="24"/>
        </w:rPr>
        <w:id w:val="1823541633"/>
        <w:docPartObj>
          <w:docPartGallery w:val="Table of Contents"/>
          <w:docPartUnique/>
        </w:docPartObj>
      </w:sdtPr>
      <w:sdtEndPr>
        <w:rPr>
          <w:b/>
          <w:bCs/>
          <w:noProof/>
        </w:rPr>
      </w:sdtEndPr>
      <w:sdtContent>
        <w:p w14:paraId="4F0ED5C3" w14:textId="6B65AADC" w:rsidR="00305668" w:rsidRDefault="00305668">
          <w:pPr>
            <w:pStyle w:val="TOCHeading"/>
          </w:pPr>
          <w:r>
            <w:t>Table of Contents</w:t>
          </w:r>
        </w:p>
        <w:p w14:paraId="01E48D4E" w14:textId="06FF92E3" w:rsidR="00305668" w:rsidRDefault="00305668">
          <w:pPr>
            <w:pStyle w:val="TOC1"/>
            <w:tabs>
              <w:tab w:val="right" w:leader="dot" w:pos="9196"/>
            </w:tabs>
            <w:rPr>
              <w:noProof/>
            </w:rPr>
          </w:pPr>
          <w:r>
            <w:fldChar w:fldCharType="begin"/>
          </w:r>
          <w:r>
            <w:instrText xml:space="preserve"> TOC \o "1-3" \h \z \u </w:instrText>
          </w:r>
          <w:r>
            <w:fldChar w:fldCharType="separate"/>
          </w:r>
          <w:hyperlink w:anchor="_Toc228218218" w:history="1">
            <w:r w:rsidRPr="00315F3D">
              <w:rPr>
                <w:rStyle w:val="Hyperlink"/>
                <w:noProof/>
              </w:rPr>
              <w:t>Executive Summary</w:t>
            </w:r>
            <w:r>
              <w:rPr>
                <w:noProof/>
                <w:webHidden/>
              </w:rPr>
              <w:tab/>
            </w:r>
            <w:r>
              <w:rPr>
                <w:noProof/>
                <w:webHidden/>
              </w:rPr>
              <w:fldChar w:fldCharType="begin"/>
            </w:r>
            <w:r>
              <w:rPr>
                <w:noProof/>
                <w:webHidden/>
              </w:rPr>
              <w:instrText xml:space="preserve"> PAGEREF _Toc228218218 \h </w:instrText>
            </w:r>
            <w:r>
              <w:rPr>
                <w:noProof/>
                <w:webHidden/>
              </w:rPr>
            </w:r>
            <w:r>
              <w:rPr>
                <w:noProof/>
                <w:webHidden/>
              </w:rPr>
              <w:fldChar w:fldCharType="separate"/>
            </w:r>
            <w:r>
              <w:rPr>
                <w:noProof/>
                <w:webHidden/>
              </w:rPr>
              <w:t>2</w:t>
            </w:r>
            <w:r>
              <w:rPr>
                <w:noProof/>
                <w:webHidden/>
              </w:rPr>
              <w:fldChar w:fldCharType="end"/>
            </w:r>
          </w:hyperlink>
        </w:p>
        <w:p w14:paraId="380DA2E2" w14:textId="08C3A9D3" w:rsidR="00305668" w:rsidRDefault="00F76709">
          <w:pPr>
            <w:pStyle w:val="TOC1"/>
            <w:tabs>
              <w:tab w:val="right" w:leader="dot" w:pos="9196"/>
            </w:tabs>
            <w:rPr>
              <w:noProof/>
            </w:rPr>
          </w:pPr>
          <w:hyperlink w:anchor="_Toc228218219" w:history="1">
            <w:r w:rsidR="00305668" w:rsidRPr="00315F3D">
              <w:rPr>
                <w:rStyle w:val="Hyperlink"/>
                <w:noProof/>
              </w:rPr>
              <w:t>1. Introduction</w:t>
            </w:r>
            <w:r w:rsidR="00305668">
              <w:rPr>
                <w:noProof/>
                <w:webHidden/>
              </w:rPr>
              <w:tab/>
            </w:r>
            <w:r w:rsidR="00305668">
              <w:rPr>
                <w:noProof/>
                <w:webHidden/>
              </w:rPr>
              <w:fldChar w:fldCharType="begin"/>
            </w:r>
            <w:r w:rsidR="00305668">
              <w:rPr>
                <w:noProof/>
                <w:webHidden/>
              </w:rPr>
              <w:instrText xml:space="preserve"> PAGEREF _Toc228218219 \h </w:instrText>
            </w:r>
            <w:r w:rsidR="00305668">
              <w:rPr>
                <w:noProof/>
                <w:webHidden/>
              </w:rPr>
            </w:r>
            <w:r w:rsidR="00305668">
              <w:rPr>
                <w:noProof/>
                <w:webHidden/>
              </w:rPr>
              <w:fldChar w:fldCharType="separate"/>
            </w:r>
            <w:r w:rsidR="00305668">
              <w:rPr>
                <w:noProof/>
                <w:webHidden/>
              </w:rPr>
              <w:t>4</w:t>
            </w:r>
            <w:r w:rsidR="00305668">
              <w:rPr>
                <w:noProof/>
                <w:webHidden/>
              </w:rPr>
              <w:fldChar w:fldCharType="end"/>
            </w:r>
          </w:hyperlink>
        </w:p>
        <w:p w14:paraId="7E2E7EC2" w14:textId="7D1DA33D" w:rsidR="00305668" w:rsidRDefault="00F76709">
          <w:pPr>
            <w:pStyle w:val="TOC1"/>
            <w:tabs>
              <w:tab w:val="right" w:leader="dot" w:pos="9196"/>
            </w:tabs>
            <w:rPr>
              <w:noProof/>
            </w:rPr>
          </w:pPr>
          <w:hyperlink w:anchor="_Toc228218220" w:history="1">
            <w:r w:rsidR="00305668" w:rsidRPr="00315F3D">
              <w:rPr>
                <w:rStyle w:val="Hyperlink"/>
                <w:noProof/>
              </w:rPr>
              <w:t>2. Analytical Findings</w:t>
            </w:r>
            <w:r w:rsidR="00305668">
              <w:rPr>
                <w:noProof/>
                <w:webHidden/>
              </w:rPr>
              <w:tab/>
            </w:r>
            <w:r w:rsidR="00305668">
              <w:rPr>
                <w:noProof/>
                <w:webHidden/>
              </w:rPr>
              <w:fldChar w:fldCharType="begin"/>
            </w:r>
            <w:r w:rsidR="00305668">
              <w:rPr>
                <w:noProof/>
                <w:webHidden/>
              </w:rPr>
              <w:instrText xml:space="preserve"> PAGEREF _Toc228218220 \h </w:instrText>
            </w:r>
            <w:r w:rsidR="00305668">
              <w:rPr>
                <w:noProof/>
                <w:webHidden/>
              </w:rPr>
            </w:r>
            <w:r w:rsidR="00305668">
              <w:rPr>
                <w:noProof/>
                <w:webHidden/>
              </w:rPr>
              <w:fldChar w:fldCharType="separate"/>
            </w:r>
            <w:r w:rsidR="00305668">
              <w:rPr>
                <w:noProof/>
                <w:webHidden/>
              </w:rPr>
              <w:t>5</w:t>
            </w:r>
            <w:r w:rsidR="00305668">
              <w:rPr>
                <w:noProof/>
                <w:webHidden/>
              </w:rPr>
              <w:fldChar w:fldCharType="end"/>
            </w:r>
          </w:hyperlink>
        </w:p>
        <w:p w14:paraId="58C1D455" w14:textId="7756024E" w:rsidR="00305668" w:rsidRDefault="00F76709">
          <w:pPr>
            <w:pStyle w:val="TOC2"/>
            <w:tabs>
              <w:tab w:val="right" w:leader="dot" w:pos="9196"/>
            </w:tabs>
            <w:rPr>
              <w:noProof/>
            </w:rPr>
          </w:pPr>
          <w:hyperlink w:anchor="_Toc228218221" w:history="1">
            <w:r w:rsidR="00305668" w:rsidRPr="00315F3D">
              <w:rPr>
                <w:rStyle w:val="Hyperlink"/>
                <w:noProof/>
              </w:rPr>
              <w:t>2.1 Market Power and the Competitive Frontier: Porter's Five Forces</w:t>
            </w:r>
            <w:r w:rsidR="00305668">
              <w:rPr>
                <w:noProof/>
                <w:webHidden/>
              </w:rPr>
              <w:tab/>
            </w:r>
            <w:r w:rsidR="00305668">
              <w:rPr>
                <w:noProof/>
                <w:webHidden/>
              </w:rPr>
              <w:fldChar w:fldCharType="begin"/>
            </w:r>
            <w:r w:rsidR="00305668">
              <w:rPr>
                <w:noProof/>
                <w:webHidden/>
              </w:rPr>
              <w:instrText xml:space="preserve"> PAGEREF _Toc228218221 \h </w:instrText>
            </w:r>
            <w:r w:rsidR="00305668">
              <w:rPr>
                <w:noProof/>
                <w:webHidden/>
              </w:rPr>
            </w:r>
            <w:r w:rsidR="00305668">
              <w:rPr>
                <w:noProof/>
                <w:webHidden/>
              </w:rPr>
              <w:fldChar w:fldCharType="separate"/>
            </w:r>
            <w:r w:rsidR="00305668">
              <w:rPr>
                <w:noProof/>
                <w:webHidden/>
              </w:rPr>
              <w:t>5</w:t>
            </w:r>
            <w:r w:rsidR="00305668">
              <w:rPr>
                <w:noProof/>
                <w:webHidden/>
              </w:rPr>
              <w:fldChar w:fldCharType="end"/>
            </w:r>
          </w:hyperlink>
        </w:p>
        <w:p w14:paraId="1EFBA476" w14:textId="49866C8F" w:rsidR="00305668" w:rsidRDefault="00F76709">
          <w:pPr>
            <w:pStyle w:val="TOC2"/>
            <w:tabs>
              <w:tab w:val="right" w:leader="dot" w:pos="9196"/>
            </w:tabs>
            <w:rPr>
              <w:noProof/>
            </w:rPr>
          </w:pPr>
          <w:hyperlink w:anchor="_Toc228218222" w:history="1">
            <w:r w:rsidR="00305668" w:rsidRPr="00315F3D">
              <w:rPr>
                <w:rStyle w:val="Hyperlink"/>
                <w:noProof/>
              </w:rPr>
              <w:t>2.2 Reading the External Environment: A PESTLE Analysis</w:t>
            </w:r>
            <w:r w:rsidR="00305668">
              <w:rPr>
                <w:noProof/>
                <w:webHidden/>
              </w:rPr>
              <w:tab/>
            </w:r>
            <w:r w:rsidR="00305668">
              <w:rPr>
                <w:noProof/>
                <w:webHidden/>
              </w:rPr>
              <w:fldChar w:fldCharType="begin"/>
            </w:r>
            <w:r w:rsidR="00305668">
              <w:rPr>
                <w:noProof/>
                <w:webHidden/>
              </w:rPr>
              <w:instrText xml:space="preserve"> PAGEREF _Toc228218222 \h </w:instrText>
            </w:r>
            <w:r w:rsidR="00305668">
              <w:rPr>
                <w:noProof/>
                <w:webHidden/>
              </w:rPr>
            </w:r>
            <w:r w:rsidR="00305668">
              <w:rPr>
                <w:noProof/>
                <w:webHidden/>
              </w:rPr>
              <w:fldChar w:fldCharType="separate"/>
            </w:r>
            <w:r w:rsidR="00305668">
              <w:rPr>
                <w:noProof/>
                <w:webHidden/>
              </w:rPr>
              <w:t>5</w:t>
            </w:r>
            <w:r w:rsidR="00305668">
              <w:rPr>
                <w:noProof/>
                <w:webHidden/>
              </w:rPr>
              <w:fldChar w:fldCharType="end"/>
            </w:r>
          </w:hyperlink>
        </w:p>
        <w:p w14:paraId="36E105B4" w14:textId="173F2747" w:rsidR="00305668" w:rsidRDefault="00F76709">
          <w:pPr>
            <w:pStyle w:val="TOC2"/>
            <w:tabs>
              <w:tab w:val="right" w:leader="dot" w:pos="9196"/>
            </w:tabs>
            <w:rPr>
              <w:noProof/>
            </w:rPr>
          </w:pPr>
          <w:hyperlink w:anchor="_Toc228218223" w:history="1">
            <w:r w:rsidR="00305668" w:rsidRPr="00315F3D">
              <w:rPr>
                <w:rStyle w:val="Hyperlink"/>
                <w:noProof/>
              </w:rPr>
              <w:t>2.3 From Munich to the World: Porter's Diamond and German Industrial Advantage</w:t>
            </w:r>
            <w:r w:rsidR="00305668">
              <w:rPr>
                <w:noProof/>
                <w:webHidden/>
              </w:rPr>
              <w:tab/>
            </w:r>
            <w:r w:rsidR="00305668">
              <w:rPr>
                <w:noProof/>
                <w:webHidden/>
              </w:rPr>
              <w:fldChar w:fldCharType="begin"/>
            </w:r>
            <w:r w:rsidR="00305668">
              <w:rPr>
                <w:noProof/>
                <w:webHidden/>
              </w:rPr>
              <w:instrText xml:space="preserve"> PAGEREF _Toc228218223 \h </w:instrText>
            </w:r>
            <w:r w:rsidR="00305668">
              <w:rPr>
                <w:noProof/>
                <w:webHidden/>
              </w:rPr>
            </w:r>
            <w:r w:rsidR="00305668">
              <w:rPr>
                <w:noProof/>
                <w:webHidden/>
              </w:rPr>
              <w:fldChar w:fldCharType="separate"/>
            </w:r>
            <w:r w:rsidR="00305668">
              <w:rPr>
                <w:noProof/>
                <w:webHidden/>
              </w:rPr>
              <w:t>8</w:t>
            </w:r>
            <w:r w:rsidR="00305668">
              <w:rPr>
                <w:noProof/>
                <w:webHidden/>
              </w:rPr>
              <w:fldChar w:fldCharType="end"/>
            </w:r>
          </w:hyperlink>
        </w:p>
        <w:p w14:paraId="71A4A520" w14:textId="627D8701" w:rsidR="00305668" w:rsidRDefault="00F76709">
          <w:pPr>
            <w:pStyle w:val="TOC2"/>
            <w:tabs>
              <w:tab w:val="right" w:leader="dot" w:pos="9196"/>
            </w:tabs>
            <w:rPr>
              <w:noProof/>
            </w:rPr>
          </w:pPr>
          <w:hyperlink w:anchor="_Toc228218224" w:history="1">
            <w:r w:rsidR="00305668" w:rsidRPr="00315F3D">
              <w:rPr>
                <w:rStyle w:val="Hyperlink"/>
                <w:noProof/>
              </w:rPr>
              <w:t>2.4 Where Steel Meets Silicon: OT-IT Convergence and AI Risk</w:t>
            </w:r>
            <w:r w:rsidR="00305668">
              <w:rPr>
                <w:noProof/>
                <w:webHidden/>
              </w:rPr>
              <w:tab/>
            </w:r>
            <w:r w:rsidR="00305668">
              <w:rPr>
                <w:noProof/>
                <w:webHidden/>
              </w:rPr>
              <w:fldChar w:fldCharType="begin"/>
            </w:r>
            <w:r w:rsidR="00305668">
              <w:rPr>
                <w:noProof/>
                <w:webHidden/>
              </w:rPr>
              <w:instrText xml:space="preserve"> PAGEREF _Toc228218224 \h </w:instrText>
            </w:r>
            <w:r w:rsidR="00305668">
              <w:rPr>
                <w:noProof/>
                <w:webHidden/>
              </w:rPr>
            </w:r>
            <w:r w:rsidR="00305668">
              <w:rPr>
                <w:noProof/>
                <w:webHidden/>
              </w:rPr>
              <w:fldChar w:fldCharType="separate"/>
            </w:r>
            <w:r w:rsidR="00305668">
              <w:rPr>
                <w:noProof/>
                <w:webHidden/>
              </w:rPr>
              <w:t>9</w:t>
            </w:r>
            <w:r w:rsidR="00305668">
              <w:rPr>
                <w:noProof/>
                <w:webHidden/>
              </w:rPr>
              <w:fldChar w:fldCharType="end"/>
            </w:r>
          </w:hyperlink>
        </w:p>
        <w:p w14:paraId="545FBB8D" w14:textId="1A1B3821" w:rsidR="00305668" w:rsidRDefault="00F76709">
          <w:pPr>
            <w:pStyle w:val="TOC2"/>
            <w:tabs>
              <w:tab w:val="right" w:leader="dot" w:pos="9196"/>
            </w:tabs>
            <w:rPr>
              <w:noProof/>
            </w:rPr>
          </w:pPr>
          <w:hyperlink w:anchor="_Toc228218225" w:history="1">
            <w:r w:rsidR="00305668" w:rsidRPr="00315F3D">
              <w:rPr>
                <w:rStyle w:val="Hyperlink"/>
                <w:noProof/>
              </w:rPr>
              <w:t>2.5 The Governance Gap: Data Ethics, Regulatory Compliance and Trust</w:t>
            </w:r>
            <w:r w:rsidR="00305668">
              <w:rPr>
                <w:noProof/>
                <w:webHidden/>
              </w:rPr>
              <w:tab/>
            </w:r>
            <w:r w:rsidR="00305668">
              <w:rPr>
                <w:noProof/>
                <w:webHidden/>
              </w:rPr>
              <w:fldChar w:fldCharType="begin"/>
            </w:r>
            <w:r w:rsidR="00305668">
              <w:rPr>
                <w:noProof/>
                <w:webHidden/>
              </w:rPr>
              <w:instrText xml:space="preserve"> PAGEREF _Toc228218225 \h </w:instrText>
            </w:r>
            <w:r w:rsidR="00305668">
              <w:rPr>
                <w:noProof/>
                <w:webHidden/>
              </w:rPr>
            </w:r>
            <w:r w:rsidR="00305668">
              <w:rPr>
                <w:noProof/>
                <w:webHidden/>
              </w:rPr>
              <w:fldChar w:fldCharType="separate"/>
            </w:r>
            <w:r w:rsidR="00305668">
              <w:rPr>
                <w:noProof/>
                <w:webHidden/>
              </w:rPr>
              <w:t>10</w:t>
            </w:r>
            <w:r w:rsidR="00305668">
              <w:rPr>
                <w:noProof/>
                <w:webHidden/>
              </w:rPr>
              <w:fldChar w:fldCharType="end"/>
            </w:r>
          </w:hyperlink>
        </w:p>
        <w:p w14:paraId="77AB0508" w14:textId="71ECEB2C" w:rsidR="00305668" w:rsidRDefault="00F76709">
          <w:pPr>
            <w:pStyle w:val="TOC2"/>
            <w:tabs>
              <w:tab w:val="right" w:leader="dot" w:pos="9196"/>
            </w:tabs>
            <w:rPr>
              <w:noProof/>
            </w:rPr>
          </w:pPr>
          <w:hyperlink w:anchor="_Toc228218226" w:history="1">
            <w:r w:rsidR="00305668" w:rsidRPr="00315F3D">
              <w:rPr>
                <w:rStyle w:val="Hyperlink"/>
                <w:noProof/>
              </w:rPr>
              <w:t>2.6 Building the Framework: An AI Governance Lifecycle for Siemens</w:t>
            </w:r>
            <w:r w:rsidR="00305668">
              <w:rPr>
                <w:noProof/>
                <w:webHidden/>
              </w:rPr>
              <w:tab/>
            </w:r>
            <w:r w:rsidR="00305668">
              <w:rPr>
                <w:noProof/>
                <w:webHidden/>
              </w:rPr>
              <w:fldChar w:fldCharType="begin"/>
            </w:r>
            <w:r w:rsidR="00305668">
              <w:rPr>
                <w:noProof/>
                <w:webHidden/>
              </w:rPr>
              <w:instrText xml:space="preserve"> PAGEREF _Toc228218226 \h </w:instrText>
            </w:r>
            <w:r w:rsidR="00305668">
              <w:rPr>
                <w:noProof/>
                <w:webHidden/>
              </w:rPr>
            </w:r>
            <w:r w:rsidR="00305668">
              <w:rPr>
                <w:noProof/>
                <w:webHidden/>
              </w:rPr>
              <w:fldChar w:fldCharType="separate"/>
            </w:r>
            <w:r w:rsidR="00305668">
              <w:rPr>
                <w:noProof/>
                <w:webHidden/>
              </w:rPr>
              <w:t>13</w:t>
            </w:r>
            <w:r w:rsidR="00305668">
              <w:rPr>
                <w:noProof/>
                <w:webHidden/>
              </w:rPr>
              <w:fldChar w:fldCharType="end"/>
            </w:r>
          </w:hyperlink>
        </w:p>
        <w:p w14:paraId="76ED0AED" w14:textId="08492097" w:rsidR="00305668" w:rsidRDefault="00F76709">
          <w:pPr>
            <w:pStyle w:val="TOC2"/>
            <w:tabs>
              <w:tab w:val="right" w:leader="dot" w:pos="9196"/>
            </w:tabs>
            <w:rPr>
              <w:noProof/>
            </w:rPr>
          </w:pPr>
          <w:hyperlink w:anchor="_Toc228218227" w:history="1">
            <w:r w:rsidR="00305668" w:rsidRPr="00315F3D">
              <w:rPr>
                <w:rStyle w:val="Hyperlink"/>
                <w:noProof/>
              </w:rPr>
              <w:t>2.7 Sustainability, the DEGREE Framework and the SDG Commitment</w:t>
            </w:r>
            <w:r w:rsidR="00305668">
              <w:rPr>
                <w:noProof/>
                <w:webHidden/>
              </w:rPr>
              <w:tab/>
            </w:r>
            <w:r w:rsidR="00305668">
              <w:rPr>
                <w:noProof/>
                <w:webHidden/>
              </w:rPr>
              <w:fldChar w:fldCharType="begin"/>
            </w:r>
            <w:r w:rsidR="00305668">
              <w:rPr>
                <w:noProof/>
                <w:webHidden/>
              </w:rPr>
              <w:instrText xml:space="preserve"> PAGEREF _Toc228218227 \h </w:instrText>
            </w:r>
            <w:r w:rsidR="00305668">
              <w:rPr>
                <w:noProof/>
                <w:webHidden/>
              </w:rPr>
            </w:r>
            <w:r w:rsidR="00305668">
              <w:rPr>
                <w:noProof/>
                <w:webHidden/>
              </w:rPr>
              <w:fldChar w:fldCharType="separate"/>
            </w:r>
            <w:r w:rsidR="00305668">
              <w:rPr>
                <w:noProof/>
                <w:webHidden/>
              </w:rPr>
              <w:t>14</w:t>
            </w:r>
            <w:r w:rsidR="00305668">
              <w:rPr>
                <w:noProof/>
                <w:webHidden/>
              </w:rPr>
              <w:fldChar w:fldCharType="end"/>
            </w:r>
          </w:hyperlink>
        </w:p>
        <w:p w14:paraId="7EC90C39" w14:textId="11F8A37F" w:rsidR="00305668" w:rsidRDefault="00F76709">
          <w:pPr>
            <w:pStyle w:val="TOC1"/>
            <w:tabs>
              <w:tab w:val="right" w:leader="dot" w:pos="9196"/>
            </w:tabs>
            <w:rPr>
              <w:noProof/>
            </w:rPr>
          </w:pPr>
          <w:hyperlink w:anchor="_Toc228218228" w:history="1">
            <w:r w:rsidR="00305668" w:rsidRPr="00315F3D">
              <w:rPr>
                <w:rStyle w:val="Hyperlink"/>
                <w:noProof/>
              </w:rPr>
              <w:t>3. Implementation Strategy</w:t>
            </w:r>
            <w:r w:rsidR="00305668">
              <w:rPr>
                <w:noProof/>
                <w:webHidden/>
              </w:rPr>
              <w:tab/>
            </w:r>
            <w:r w:rsidR="00305668">
              <w:rPr>
                <w:noProof/>
                <w:webHidden/>
              </w:rPr>
              <w:fldChar w:fldCharType="begin"/>
            </w:r>
            <w:r w:rsidR="00305668">
              <w:rPr>
                <w:noProof/>
                <w:webHidden/>
              </w:rPr>
              <w:instrText xml:space="preserve"> PAGEREF _Toc228218228 \h </w:instrText>
            </w:r>
            <w:r w:rsidR="00305668">
              <w:rPr>
                <w:noProof/>
                <w:webHidden/>
              </w:rPr>
            </w:r>
            <w:r w:rsidR="00305668">
              <w:rPr>
                <w:noProof/>
                <w:webHidden/>
              </w:rPr>
              <w:fldChar w:fldCharType="separate"/>
            </w:r>
            <w:r w:rsidR="00305668">
              <w:rPr>
                <w:noProof/>
                <w:webHidden/>
              </w:rPr>
              <w:t>16</w:t>
            </w:r>
            <w:r w:rsidR="00305668">
              <w:rPr>
                <w:noProof/>
                <w:webHidden/>
              </w:rPr>
              <w:fldChar w:fldCharType="end"/>
            </w:r>
          </w:hyperlink>
        </w:p>
        <w:p w14:paraId="01E6D6BB" w14:textId="75583E91" w:rsidR="00305668" w:rsidRDefault="00F76709">
          <w:pPr>
            <w:pStyle w:val="TOC2"/>
            <w:tabs>
              <w:tab w:val="right" w:leader="dot" w:pos="9196"/>
            </w:tabs>
            <w:rPr>
              <w:noProof/>
            </w:rPr>
          </w:pPr>
          <w:hyperlink w:anchor="_Toc228218229" w:history="1">
            <w:r w:rsidR="00305668" w:rsidRPr="00315F3D">
              <w:rPr>
                <w:rStyle w:val="Hyperlink"/>
                <w:noProof/>
              </w:rPr>
              <w:t>Phase One: Governance Infrastructure (0 to 12 Months)</w:t>
            </w:r>
            <w:r w:rsidR="00305668">
              <w:rPr>
                <w:noProof/>
                <w:webHidden/>
              </w:rPr>
              <w:tab/>
            </w:r>
            <w:r w:rsidR="00305668">
              <w:rPr>
                <w:noProof/>
                <w:webHidden/>
              </w:rPr>
              <w:fldChar w:fldCharType="begin"/>
            </w:r>
            <w:r w:rsidR="00305668">
              <w:rPr>
                <w:noProof/>
                <w:webHidden/>
              </w:rPr>
              <w:instrText xml:space="preserve"> PAGEREF _Toc228218229 \h </w:instrText>
            </w:r>
            <w:r w:rsidR="00305668">
              <w:rPr>
                <w:noProof/>
                <w:webHidden/>
              </w:rPr>
            </w:r>
            <w:r w:rsidR="00305668">
              <w:rPr>
                <w:noProof/>
                <w:webHidden/>
              </w:rPr>
              <w:fldChar w:fldCharType="separate"/>
            </w:r>
            <w:r w:rsidR="00305668">
              <w:rPr>
                <w:noProof/>
                <w:webHidden/>
              </w:rPr>
              <w:t>16</w:t>
            </w:r>
            <w:r w:rsidR="00305668">
              <w:rPr>
                <w:noProof/>
                <w:webHidden/>
              </w:rPr>
              <w:fldChar w:fldCharType="end"/>
            </w:r>
          </w:hyperlink>
        </w:p>
        <w:p w14:paraId="0FC86654" w14:textId="25E1A73B" w:rsidR="00305668" w:rsidRDefault="00F76709">
          <w:pPr>
            <w:pStyle w:val="TOC2"/>
            <w:tabs>
              <w:tab w:val="right" w:leader="dot" w:pos="9196"/>
            </w:tabs>
            <w:rPr>
              <w:noProof/>
            </w:rPr>
          </w:pPr>
          <w:hyperlink w:anchor="_Toc228218230" w:history="1">
            <w:r w:rsidR="00305668" w:rsidRPr="00315F3D">
              <w:rPr>
                <w:rStyle w:val="Hyperlink"/>
                <w:noProof/>
              </w:rPr>
              <w:t>Phase Two: Capability Development and Regulatory Engagement (One to Three Years)</w:t>
            </w:r>
            <w:r w:rsidR="00305668">
              <w:rPr>
                <w:noProof/>
                <w:webHidden/>
              </w:rPr>
              <w:tab/>
            </w:r>
            <w:r w:rsidR="00305668">
              <w:rPr>
                <w:noProof/>
                <w:webHidden/>
              </w:rPr>
              <w:fldChar w:fldCharType="begin"/>
            </w:r>
            <w:r w:rsidR="00305668">
              <w:rPr>
                <w:noProof/>
                <w:webHidden/>
              </w:rPr>
              <w:instrText xml:space="preserve"> PAGEREF _Toc228218230 \h </w:instrText>
            </w:r>
            <w:r w:rsidR="00305668">
              <w:rPr>
                <w:noProof/>
                <w:webHidden/>
              </w:rPr>
            </w:r>
            <w:r w:rsidR="00305668">
              <w:rPr>
                <w:noProof/>
                <w:webHidden/>
              </w:rPr>
              <w:fldChar w:fldCharType="separate"/>
            </w:r>
            <w:r w:rsidR="00305668">
              <w:rPr>
                <w:noProof/>
                <w:webHidden/>
              </w:rPr>
              <w:t>17</w:t>
            </w:r>
            <w:r w:rsidR="00305668">
              <w:rPr>
                <w:noProof/>
                <w:webHidden/>
              </w:rPr>
              <w:fldChar w:fldCharType="end"/>
            </w:r>
          </w:hyperlink>
        </w:p>
        <w:p w14:paraId="160A664F" w14:textId="1900A340" w:rsidR="00305668" w:rsidRDefault="00F76709">
          <w:pPr>
            <w:pStyle w:val="TOC2"/>
            <w:tabs>
              <w:tab w:val="right" w:leader="dot" w:pos="9196"/>
            </w:tabs>
            <w:rPr>
              <w:noProof/>
            </w:rPr>
          </w:pPr>
          <w:hyperlink w:anchor="_Toc228218231" w:history="1">
            <w:r w:rsidR="00305668" w:rsidRPr="00315F3D">
              <w:rPr>
                <w:rStyle w:val="Hyperlink"/>
                <w:noProof/>
              </w:rPr>
              <w:t>Phase Three: Market Leadership and Governance Differentiation (Three to Five Years)</w:t>
            </w:r>
            <w:r w:rsidR="00305668">
              <w:rPr>
                <w:noProof/>
                <w:webHidden/>
              </w:rPr>
              <w:tab/>
            </w:r>
            <w:r w:rsidR="00305668">
              <w:rPr>
                <w:noProof/>
                <w:webHidden/>
              </w:rPr>
              <w:fldChar w:fldCharType="begin"/>
            </w:r>
            <w:r w:rsidR="00305668">
              <w:rPr>
                <w:noProof/>
                <w:webHidden/>
              </w:rPr>
              <w:instrText xml:space="preserve"> PAGEREF _Toc228218231 \h </w:instrText>
            </w:r>
            <w:r w:rsidR="00305668">
              <w:rPr>
                <w:noProof/>
                <w:webHidden/>
              </w:rPr>
            </w:r>
            <w:r w:rsidR="00305668">
              <w:rPr>
                <w:noProof/>
                <w:webHidden/>
              </w:rPr>
              <w:fldChar w:fldCharType="separate"/>
            </w:r>
            <w:r w:rsidR="00305668">
              <w:rPr>
                <w:noProof/>
                <w:webHidden/>
              </w:rPr>
              <w:t>17</w:t>
            </w:r>
            <w:r w:rsidR="00305668">
              <w:rPr>
                <w:noProof/>
                <w:webHidden/>
              </w:rPr>
              <w:fldChar w:fldCharType="end"/>
            </w:r>
          </w:hyperlink>
        </w:p>
        <w:p w14:paraId="28039B40" w14:textId="7C6CFC31" w:rsidR="00305668" w:rsidRDefault="00F76709">
          <w:pPr>
            <w:pStyle w:val="TOC1"/>
            <w:tabs>
              <w:tab w:val="right" w:leader="dot" w:pos="9196"/>
            </w:tabs>
            <w:rPr>
              <w:noProof/>
            </w:rPr>
          </w:pPr>
          <w:hyperlink w:anchor="_Toc228218232" w:history="1">
            <w:r w:rsidR="00305668" w:rsidRPr="00315F3D">
              <w:rPr>
                <w:rStyle w:val="Hyperlink"/>
                <w:noProof/>
              </w:rPr>
              <w:t>4. Conclusions</w:t>
            </w:r>
            <w:r w:rsidR="00305668">
              <w:rPr>
                <w:noProof/>
                <w:webHidden/>
              </w:rPr>
              <w:tab/>
            </w:r>
            <w:r w:rsidR="00305668">
              <w:rPr>
                <w:noProof/>
                <w:webHidden/>
              </w:rPr>
              <w:fldChar w:fldCharType="begin"/>
            </w:r>
            <w:r w:rsidR="00305668">
              <w:rPr>
                <w:noProof/>
                <w:webHidden/>
              </w:rPr>
              <w:instrText xml:space="preserve"> PAGEREF _Toc228218232 \h </w:instrText>
            </w:r>
            <w:r w:rsidR="00305668">
              <w:rPr>
                <w:noProof/>
                <w:webHidden/>
              </w:rPr>
            </w:r>
            <w:r w:rsidR="00305668">
              <w:rPr>
                <w:noProof/>
                <w:webHidden/>
              </w:rPr>
              <w:fldChar w:fldCharType="separate"/>
            </w:r>
            <w:r w:rsidR="00305668">
              <w:rPr>
                <w:noProof/>
                <w:webHidden/>
              </w:rPr>
              <w:t>19</w:t>
            </w:r>
            <w:r w:rsidR="00305668">
              <w:rPr>
                <w:noProof/>
                <w:webHidden/>
              </w:rPr>
              <w:fldChar w:fldCharType="end"/>
            </w:r>
          </w:hyperlink>
        </w:p>
        <w:p w14:paraId="2D67A2B8" w14:textId="1EC352B5" w:rsidR="00305668" w:rsidRDefault="00F76709">
          <w:pPr>
            <w:pStyle w:val="TOC1"/>
            <w:tabs>
              <w:tab w:val="right" w:leader="dot" w:pos="9196"/>
            </w:tabs>
            <w:rPr>
              <w:noProof/>
            </w:rPr>
          </w:pPr>
          <w:hyperlink w:anchor="_Toc228218233" w:history="1">
            <w:r w:rsidR="00305668" w:rsidRPr="00315F3D">
              <w:rPr>
                <w:rStyle w:val="Hyperlink"/>
                <w:noProof/>
              </w:rPr>
              <w:t>5. Bibliography</w:t>
            </w:r>
            <w:r w:rsidR="00305668">
              <w:rPr>
                <w:noProof/>
                <w:webHidden/>
              </w:rPr>
              <w:tab/>
            </w:r>
            <w:r w:rsidR="00305668">
              <w:rPr>
                <w:noProof/>
                <w:webHidden/>
              </w:rPr>
              <w:fldChar w:fldCharType="begin"/>
            </w:r>
            <w:r w:rsidR="00305668">
              <w:rPr>
                <w:noProof/>
                <w:webHidden/>
              </w:rPr>
              <w:instrText xml:space="preserve"> PAGEREF _Toc228218233 \h </w:instrText>
            </w:r>
            <w:r w:rsidR="00305668">
              <w:rPr>
                <w:noProof/>
                <w:webHidden/>
              </w:rPr>
            </w:r>
            <w:r w:rsidR="00305668">
              <w:rPr>
                <w:noProof/>
                <w:webHidden/>
              </w:rPr>
              <w:fldChar w:fldCharType="separate"/>
            </w:r>
            <w:r w:rsidR="00305668">
              <w:rPr>
                <w:noProof/>
                <w:webHidden/>
              </w:rPr>
              <w:t>20</w:t>
            </w:r>
            <w:r w:rsidR="00305668">
              <w:rPr>
                <w:noProof/>
                <w:webHidden/>
              </w:rPr>
              <w:fldChar w:fldCharType="end"/>
            </w:r>
          </w:hyperlink>
        </w:p>
        <w:p w14:paraId="072B71A9" w14:textId="4648A16D" w:rsidR="00305668" w:rsidRDefault="00305668">
          <w:r>
            <w:rPr>
              <w:b/>
              <w:bCs/>
              <w:noProof/>
            </w:rPr>
            <w:fldChar w:fldCharType="end"/>
          </w:r>
        </w:p>
      </w:sdtContent>
    </w:sdt>
    <w:p w14:paraId="5E4D032D" w14:textId="77777777" w:rsidR="00046C2E" w:rsidRDefault="000412EC" w:rsidP="00A5799D">
      <w:pPr>
        <w:spacing w:line="360" w:lineRule="auto"/>
        <w:jc w:val="both"/>
      </w:pPr>
      <w:r>
        <w:br w:type="page"/>
      </w:r>
    </w:p>
    <w:p w14:paraId="4B7FCCB5" w14:textId="77777777" w:rsidR="00046C2E" w:rsidRDefault="000412EC" w:rsidP="00A5799D">
      <w:pPr>
        <w:pStyle w:val="Heading1"/>
        <w:spacing w:line="360" w:lineRule="auto"/>
        <w:jc w:val="both"/>
      </w:pPr>
      <w:bookmarkStart w:id="2" w:name="_Toc228218219"/>
      <w:r>
        <w:lastRenderedPageBreak/>
        <w:t>1. Introduction</w:t>
      </w:r>
      <w:bookmarkEnd w:id="2"/>
    </w:p>
    <w:p w14:paraId="0C28F274" w14:textId="77777777" w:rsidR="00125B0D" w:rsidRDefault="00125B0D" w:rsidP="00A5799D">
      <w:pPr>
        <w:spacing w:before="80" w:after="120" w:line="360" w:lineRule="auto"/>
        <w:jc w:val="both"/>
      </w:pPr>
      <w:r>
        <w:t xml:space="preserve">This report has been developed for RFD Global, a global consultancy focused on economic, regulatory and policy issues affecting global enterprises. The aim is to provide strategic and governance advice on the impact of artificial intelligence on Siemens AG, a multinational conglomerate based in Munich, Germany, </w:t>
      </w:r>
      <w:proofErr w:type="spellStart"/>
      <w:r>
        <w:t>specialising</w:t>
      </w:r>
      <w:proofErr w:type="spellEnd"/>
      <w:r>
        <w:t xml:space="preserve"> in technology and industrial automation. The analysis is focused on two key regulatory regions: the UK, where Siemens has major engineering, infrastructure and railway businesses; and the European Union (EU), with Germany as its home country. These jurisdictions are considered in concert because the post-Brexit regulatory divergence between UK and EU AI governance frameworks gives rise to particular dual regulatory compliance considerations that are pertinent to Siemens' strategic considerations.</w:t>
      </w:r>
    </w:p>
    <w:p w14:paraId="19E9FC79" w14:textId="77777777" w:rsidR="00125B0D" w:rsidRDefault="00125B0D" w:rsidP="00A5799D">
      <w:pPr>
        <w:spacing w:before="80" w:after="120" w:line="360" w:lineRule="auto"/>
        <w:jc w:val="both"/>
      </w:pPr>
      <w:r>
        <w:t xml:space="preserve">In FY2024, Siemens recorded revenues of €75.9 billion and had a global workforce of around 312,000 in the divisions of Digital Industries, Smart Infrastructure, Mobility and Siemens Healthineers (Siemens AG, 2024). It has a non-incremental approach to AI. The company's $10 billion (approximate) acquisition of Altair Engineering in 2024 - Siemens' largest ever - is explicitly positioned as a wager on industrial software with AI capabilities as the </w:t>
      </w:r>
      <w:proofErr w:type="spellStart"/>
      <w:r>
        <w:t>organising</w:t>
      </w:r>
      <w:proofErr w:type="spellEnd"/>
      <w:r>
        <w:t xml:space="preserve"> framework in its future business model. The Industrial Copilot, a collaboration with Microsoft Azure, is used by some 120,000 engineers (Microsoft Source, 2024). The digital twin initiative for the Nanjing plant increased production by 200%. These are not demonstrations, but real-world deployments.</w:t>
      </w:r>
    </w:p>
    <w:p w14:paraId="064B5F47" w14:textId="40876781" w:rsidR="00125B0D" w:rsidRDefault="00125B0D" w:rsidP="00A5799D">
      <w:pPr>
        <w:spacing w:before="80" w:after="120" w:line="360" w:lineRule="auto"/>
        <w:jc w:val="both"/>
      </w:pPr>
      <w:r>
        <w:t>The regulatory environment for this use is rapidly evolving. The EU AI Act (European Parliament, 2024) classifies AI used in critical infrastructure as high risk, requiring conformity assessment, testing for bias, technical documentation and human oversight, and full enforcement from August 2027. In the UK, the pro-innovation regulatory setting (UK Government, 2023) is principles-based, more flexible but also less certain - a different approach that is discussed in detail in Section 2.2. The role of AI within the broader industrial sector is highlighted by McKinsey and Company (2023) who report that generative AI is creating new competitive structures in what were once capital-intensive industries, changing the entry rules and competition rules for existing industries. This report considers how Siemens might adapt to this new environment.</w:t>
      </w:r>
    </w:p>
    <w:p w14:paraId="549A27BC" w14:textId="77777777" w:rsidR="00046C2E" w:rsidRDefault="000412EC" w:rsidP="00A5799D">
      <w:pPr>
        <w:spacing w:line="360" w:lineRule="auto"/>
        <w:jc w:val="both"/>
      </w:pPr>
      <w:r>
        <w:br w:type="page"/>
      </w:r>
    </w:p>
    <w:p w14:paraId="38F329CB" w14:textId="77777777" w:rsidR="00046C2E" w:rsidRDefault="000412EC" w:rsidP="00A5799D">
      <w:pPr>
        <w:pStyle w:val="Heading1"/>
        <w:spacing w:line="360" w:lineRule="auto"/>
        <w:jc w:val="both"/>
      </w:pPr>
      <w:bookmarkStart w:id="3" w:name="_Toc228218220"/>
      <w:r>
        <w:lastRenderedPageBreak/>
        <w:t>2. Analytical Findings</w:t>
      </w:r>
      <w:bookmarkEnd w:id="3"/>
    </w:p>
    <w:p w14:paraId="63972A0F" w14:textId="77777777" w:rsidR="00046C2E" w:rsidRDefault="000412EC" w:rsidP="00A5799D">
      <w:pPr>
        <w:pStyle w:val="Heading2"/>
        <w:spacing w:line="360" w:lineRule="auto"/>
        <w:jc w:val="both"/>
      </w:pPr>
      <w:bookmarkStart w:id="4" w:name="_Toc228218221"/>
      <w:r>
        <w:t>2.1 Market Power and the Competitive Frontier: Porter's Five Forces</w:t>
      </w:r>
      <w:bookmarkEnd w:id="4"/>
    </w:p>
    <w:p w14:paraId="141EEC92" w14:textId="6CAA31BE" w:rsidR="00964983" w:rsidRDefault="00964983" w:rsidP="00A5799D">
      <w:pPr>
        <w:spacing w:before="80" w:after="120" w:line="360" w:lineRule="auto"/>
        <w:jc w:val="both"/>
      </w:pPr>
      <w:r w:rsidRPr="00964983">
        <w:t xml:space="preserve">Based on the analysis of the AI market of the industrial sphere using Porters Five Forces (Porter, 1979), it is possible to note that the competitive order is stable in its property and dynamic in its technology. The arrival of AI as a major attribute of competitive advantage has enhanced competitive rivalry among incumbents - Siemens, ABB, Honeywell and Rockwell Automation. According to English and </w:t>
      </w:r>
      <w:proofErr w:type="spellStart"/>
      <w:r w:rsidRPr="00964983">
        <w:t>Fascinari</w:t>
      </w:r>
      <w:proofErr w:type="spellEnd"/>
      <w:r w:rsidRPr="00964983">
        <w:t xml:space="preserve"> (2026), the introduction of AI has become a sixth competitive force, transforming the industry organization in ways that are not expected. The acquisition of Altair Engineering by Siemens is also a strong indication of such restructuring: the combination of AI-based simulation and computational science characteristics will allow Siemens to establish competitive advantages that are hard to develop based on manufacturing investments.</w:t>
      </w:r>
    </w:p>
    <w:p w14:paraId="3427812C" w14:textId="7F07CD67" w:rsidR="00125B0D" w:rsidRDefault="00125B0D" w:rsidP="00A5799D">
      <w:pPr>
        <w:spacing w:before="80" w:after="120" w:line="360" w:lineRule="auto"/>
        <w:jc w:val="both"/>
      </w:pPr>
      <w:r>
        <w:t>Barriers to new entrants in industrial technology have traditionally been high due to capital intensity, safety</w:t>
      </w:r>
      <w:r w:rsidR="00305668">
        <w:t>,</w:t>
      </w:r>
      <w:r>
        <w:t xml:space="preserve"> quality certification and skill requirements. AI has created a new entrant type however: pure-software AI and cloud </w:t>
      </w:r>
      <w:proofErr w:type="spellStart"/>
      <w:r>
        <w:t>hyperscalers</w:t>
      </w:r>
      <w:proofErr w:type="spellEnd"/>
      <w:r>
        <w:t xml:space="preserve"> that partner with industrial firms to supply AI capabilities without operational risk. McKinsey and Company (2023) report this shift, stating that generative AI is creating new industrial competitive structures in capital-intensive industries. Buyer power is concentrated among large manufacturing and infrastructure customers in their preference for AI safety and regulatory certification in procurement. </w:t>
      </w:r>
      <w:proofErr w:type="spellStart"/>
      <w:r>
        <w:t>Szadeczky</w:t>
      </w:r>
      <w:proofErr w:type="spellEnd"/>
      <w:r>
        <w:t xml:space="preserve"> and </w:t>
      </w:r>
      <w:proofErr w:type="spellStart"/>
      <w:r>
        <w:t>Bederna</w:t>
      </w:r>
      <w:proofErr w:type="spellEnd"/>
      <w:r>
        <w:t xml:space="preserve"> (2025) contend that in critical AI applications, governance quality has become a buyer criterion. Supplier power is high for </w:t>
      </w:r>
      <w:proofErr w:type="spellStart"/>
      <w:r>
        <w:t>specialised</w:t>
      </w:r>
      <w:proofErr w:type="spellEnd"/>
      <w:r>
        <w:t xml:space="preserve"> AI experts and cloud computing</w:t>
      </w:r>
      <w:r w:rsidR="00305668">
        <w:t>. Still, the</w:t>
      </w:r>
      <w:r>
        <w:t xml:space="preserve"> risk of substitution is increasing with open-source industrial AI platforms, albeit with significant safety certification switching costs.</w:t>
      </w:r>
    </w:p>
    <w:p w14:paraId="6BF20F1C" w14:textId="77777777" w:rsidR="00046C2E" w:rsidRDefault="00046C2E" w:rsidP="00A5799D">
      <w:pPr>
        <w:spacing w:before="60" w:after="40" w:line="360" w:lineRule="auto"/>
        <w:jc w:val="both"/>
      </w:pPr>
    </w:p>
    <w:p w14:paraId="403A8993" w14:textId="77777777" w:rsidR="00046C2E" w:rsidRDefault="000412EC" w:rsidP="00A5799D">
      <w:pPr>
        <w:pStyle w:val="Heading2"/>
        <w:spacing w:line="360" w:lineRule="auto"/>
        <w:jc w:val="both"/>
      </w:pPr>
      <w:bookmarkStart w:id="5" w:name="_Toc228218222"/>
      <w:r>
        <w:t>2.2 Reading the External Environment: A PESTLE Analysis</w:t>
      </w:r>
      <w:bookmarkEnd w:id="5"/>
    </w:p>
    <w:p w14:paraId="393746DB" w14:textId="26AE6DED" w:rsidR="00125B0D" w:rsidRDefault="00125B0D" w:rsidP="00A5799D">
      <w:pPr>
        <w:spacing w:before="80" w:after="120" w:line="360" w:lineRule="auto"/>
        <w:jc w:val="both"/>
      </w:pPr>
      <w:r w:rsidRPr="00125B0D">
        <w:t>A formal PESTLE analysis is useful for Siemens as the firm operates across regulatory, sector and cultural boundaries (Belsare, 2025). Miller (2023) observes that the importance of the PESTLE analysis in AI strategy is to convert external factors into actionable information - between immediate compliance requirements vs strategic opportunities. Table 1 maps the PESTLE dimensions in Siemens' AI environment. The narrative below expands on the two dimensions with immediate strategic impact.</w:t>
      </w:r>
    </w:p>
    <w:p w14:paraId="028CCFD1" w14:textId="77777777" w:rsidR="00046C2E" w:rsidRDefault="00046C2E" w:rsidP="00A5799D">
      <w:pPr>
        <w:spacing w:before="60" w:after="40" w:line="360" w:lineRule="auto"/>
        <w:jc w:val="both"/>
      </w:pPr>
    </w:p>
    <w:p w14:paraId="6F0D3B3F" w14:textId="77777777" w:rsidR="00046C2E" w:rsidRDefault="000412EC" w:rsidP="00A5799D">
      <w:pPr>
        <w:spacing w:before="100" w:after="60" w:line="360" w:lineRule="auto"/>
        <w:jc w:val="both"/>
      </w:pPr>
      <w:r>
        <w:rPr>
          <w:rFonts w:ascii="Arial" w:eastAsia="Arial" w:hAnsi="Arial" w:cs="Arial"/>
          <w:b/>
          <w:bCs/>
          <w:i/>
          <w:iCs/>
          <w:color w:val="2D6A4F"/>
          <w:sz w:val="20"/>
          <w:szCs w:val="20"/>
        </w:rPr>
        <w:t>Table 1: PESTLE Analysis of Siemens AG's AI Environment (Source: Self-made)</w:t>
      </w:r>
    </w:p>
    <w:tbl>
      <w:tblPr>
        <w:tblW w:w="92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58"/>
        <w:gridCol w:w="3703"/>
        <w:gridCol w:w="3865"/>
      </w:tblGrid>
      <w:tr w:rsidR="00046C2E" w14:paraId="2CC82A23" w14:textId="77777777" w:rsidTr="00305668">
        <w:tc>
          <w:tcPr>
            <w:tcW w:w="15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100" w:type="dxa"/>
              <w:left w:w="120" w:type="dxa"/>
              <w:bottom w:w="100" w:type="dxa"/>
              <w:right w:w="120" w:type="dxa"/>
            </w:tcMar>
            <w:vAlign w:val="center"/>
          </w:tcPr>
          <w:p w14:paraId="69A6D42D" w14:textId="77777777" w:rsidR="00046C2E" w:rsidRPr="00305668" w:rsidRDefault="000412EC" w:rsidP="00A5799D">
            <w:pPr>
              <w:spacing w:line="360" w:lineRule="auto"/>
              <w:jc w:val="both"/>
              <w:rPr>
                <w:color w:val="000000" w:themeColor="text1"/>
              </w:rPr>
            </w:pPr>
            <w:r w:rsidRPr="00305668">
              <w:rPr>
                <w:rFonts w:ascii="Arial" w:eastAsia="Arial" w:hAnsi="Arial" w:cs="Arial"/>
                <w:b/>
                <w:bCs/>
                <w:color w:val="000000" w:themeColor="text1"/>
                <w:sz w:val="20"/>
                <w:szCs w:val="20"/>
              </w:rPr>
              <w:t>Factor</w:t>
            </w:r>
          </w:p>
        </w:tc>
        <w:tc>
          <w:tcPr>
            <w:tcW w:w="38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100" w:type="dxa"/>
              <w:left w:w="120" w:type="dxa"/>
              <w:bottom w:w="100" w:type="dxa"/>
              <w:right w:w="120" w:type="dxa"/>
            </w:tcMar>
            <w:vAlign w:val="center"/>
          </w:tcPr>
          <w:p w14:paraId="4026AFAB" w14:textId="77777777" w:rsidR="00046C2E" w:rsidRPr="00305668" w:rsidRDefault="000412EC" w:rsidP="00A5799D">
            <w:pPr>
              <w:spacing w:line="360" w:lineRule="auto"/>
              <w:jc w:val="both"/>
              <w:rPr>
                <w:color w:val="000000" w:themeColor="text1"/>
              </w:rPr>
            </w:pPr>
            <w:r w:rsidRPr="00305668">
              <w:rPr>
                <w:rFonts w:ascii="Arial" w:eastAsia="Arial" w:hAnsi="Arial" w:cs="Arial"/>
                <w:b/>
                <w:bCs/>
                <w:color w:val="000000" w:themeColor="text1"/>
                <w:sz w:val="20"/>
                <w:szCs w:val="20"/>
              </w:rPr>
              <w:t>Macro-Environmental Driver</w:t>
            </w:r>
          </w:p>
        </w:tc>
        <w:tc>
          <w:tcPr>
            <w:tcW w:w="3926"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100" w:type="dxa"/>
              <w:left w:w="120" w:type="dxa"/>
              <w:bottom w:w="100" w:type="dxa"/>
              <w:right w:w="120" w:type="dxa"/>
            </w:tcMar>
            <w:vAlign w:val="center"/>
          </w:tcPr>
          <w:p w14:paraId="272E0D7D" w14:textId="77777777" w:rsidR="00046C2E" w:rsidRPr="00305668" w:rsidRDefault="000412EC" w:rsidP="00A5799D">
            <w:pPr>
              <w:spacing w:line="360" w:lineRule="auto"/>
              <w:jc w:val="both"/>
              <w:rPr>
                <w:color w:val="000000" w:themeColor="text1"/>
              </w:rPr>
            </w:pPr>
            <w:r w:rsidRPr="00305668">
              <w:rPr>
                <w:rFonts w:ascii="Arial" w:eastAsia="Arial" w:hAnsi="Arial" w:cs="Arial"/>
                <w:b/>
                <w:bCs/>
                <w:color w:val="000000" w:themeColor="text1"/>
                <w:sz w:val="20"/>
                <w:szCs w:val="20"/>
              </w:rPr>
              <w:t>AI Risk or Strategic Opportunity for Siemens</w:t>
            </w:r>
          </w:p>
        </w:tc>
      </w:tr>
      <w:tr w:rsidR="00046C2E" w14:paraId="34827118" w14:textId="77777777">
        <w:tc>
          <w:tcPr>
            <w:tcW w:w="1500" w:type="dxa"/>
            <w:tcBorders>
              <w:top w:val="single" w:sz="1" w:space="0" w:color="AAAAAA"/>
              <w:left w:val="single" w:sz="1" w:space="0" w:color="AAAAAA"/>
              <w:bottom w:val="single" w:sz="1" w:space="0" w:color="AAAAAA"/>
              <w:right w:val="single" w:sz="1" w:space="0" w:color="AAAAAA"/>
            </w:tcBorders>
            <w:shd w:val="clear" w:color="auto" w:fill="E9F5F0"/>
            <w:tcMar>
              <w:top w:w="80" w:type="dxa"/>
              <w:left w:w="120" w:type="dxa"/>
              <w:bottom w:w="80" w:type="dxa"/>
              <w:right w:w="120" w:type="dxa"/>
            </w:tcMar>
          </w:tcPr>
          <w:p w14:paraId="16053D43" w14:textId="77777777" w:rsidR="00046C2E" w:rsidRDefault="000412EC" w:rsidP="00A5799D">
            <w:pPr>
              <w:spacing w:line="360" w:lineRule="auto"/>
              <w:jc w:val="both"/>
            </w:pPr>
            <w:r>
              <w:rPr>
                <w:b/>
                <w:bCs/>
                <w:color w:val="000000"/>
                <w:sz w:val="22"/>
                <w:szCs w:val="22"/>
              </w:rPr>
              <w:t>Political</w:t>
            </w:r>
          </w:p>
        </w:tc>
        <w:tc>
          <w:tcPr>
            <w:tcW w:w="3800" w:type="dxa"/>
            <w:tcBorders>
              <w:top w:val="single" w:sz="1" w:space="0" w:color="AAAAAA"/>
              <w:left w:val="single" w:sz="1" w:space="0" w:color="AAAAAA"/>
              <w:bottom w:val="single" w:sz="1" w:space="0" w:color="AAAAAA"/>
              <w:right w:val="single" w:sz="1" w:space="0" w:color="AAAAAA"/>
            </w:tcBorders>
            <w:shd w:val="clear" w:color="auto" w:fill="E9F5F0"/>
            <w:tcMar>
              <w:top w:w="80" w:type="dxa"/>
              <w:left w:w="120" w:type="dxa"/>
              <w:bottom w:w="80" w:type="dxa"/>
              <w:right w:w="120" w:type="dxa"/>
            </w:tcMar>
          </w:tcPr>
          <w:p w14:paraId="620BDDD3" w14:textId="77777777" w:rsidR="00046C2E" w:rsidRDefault="000412EC" w:rsidP="00A5799D">
            <w:pPr>
              <w:spacing w:line="360" w:lineRule="auto"/>
              <w:jc w:val="both"/>
            </w:pPr>
            <w:r>
              <w:rPr>
                <w:color w:val="000000"/>
                <w:sz w:val="22"/>
                <w:szCs w:val="22"/>
              </w:rPr>
              <w:t>EU AI Act (European Parliament, 2024) now in force; UK pro-innovation regulation (UK Government, 2023); German Industrie 4.0 government backing; geopolitical pressures on technology supply chains</w:t>
            </w:r>
          </w:p>
        </w:tc>
        <w:tc>
          <w:tcPr>
            <w:tcW w:w="3926" w:type="dxa"/>
            <w:tcBorders>
              <w:top w:val="single" w:sz="1" w:space="0" w:color="AAAAAA"/>
              <w:left w:val="single" w:sz="1" w:space="0" w:color="AAAAAA"/>
              <w:bottom w:val="single" w:sz="1" w:space="0" w:color="AAAAAA"/>
              <w:right w:val="single" w:sz="1" w:space="0" w:color="AAAAAA"/>
            </w:tcBorders>
            <w:shd w:val="clear" w:color="auto" w:fill="E9F5F0"/>
            <w:tcMar>
              <w:top w:w="80" w:type="dxa"/>
              <w:left w:w="120" w:type="dxa"/>
              <w:bottom w:w="80" w:type="dxa"/>
              <w:right w:w="120" w:type="dxa"/>
            </w:tcMar>
          </w:tcPr>
          <w:p w14:paraId="7C49C11D" w14:textId="77777777" w:rsidR="00046C2E" w:rsidRDefault="000412EC" w:rsidP="00A5799D">
            <w:pPr>
              <w:spacing w:line="360" w:lineRule="auto"/>
              <w:jc w:val="both"/>
            </w:pPr>
            <w:r>
              <w:rPr>
                <w:color w:val="000000"/>
                <w:sz w:val="22"/>
                <w:szCs w:val="22"/>
              </w:rPr>
              <w:t>High-risk classification of safety-critical AI creates mandatory compliance obligations in the EU; UK-EU regulatory divergence post-Brexit means Siemens must manage dual compliance architectures across British and continental operations, each with distinct institutional expectations</w:t>
            </w:r>
          </w:p>
        </w:tc>
      </w:tr>
      <w:tr w:rsidR="00046C2E" w14:paraId="32ADA053" w14:textId="77777777">
        <w:tc>
          <w:tcPr>
            <w:tcW w:w="1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B396D6E" w14:textId="77777777" w:rsidR="00046C2E" w:rsidRDefault="000412EC" w:rsidP="00A5799D">
            <w:pPr>
              <w:spacing w:line="360" w:lineRule="auto"/>
              <w:jc w:val="both"/>
            </w:pPr>
            <w:r>
              <w:rPr>
                <w:b/>
                <w:bCs/>
                <w:color w:val="000000"/>
                <w:sz w:val="22"/>
                <w:szCs w:val="22"/>
              </w:rPr>
              <w:t>Economic</w:t>
            </w:r>
          </w:p>
        </w:tc>
        <w:tc>
          <w:tcPr>
            <w:tcW w:w="3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527C1EB" w14:textId="77777777" w:rsidR="00046C2E" w:rsidRDefault="000412EC" w:rsidP="00A5799D">
            <w:pPr>
              <w:spacing w:line="360" w:lineRule="auto"/>
              <w:jc w:val="both"/>
            </w:pPr>
            <w:r>
              <w:rPr>
                <w:color w:val="000000"/>
                <w:sz w:val="22"/>
                <w:szCs w:val="22"/>
              </w:rPr>
              <w:t>Global industrial AI market projected to expand at 13.5% CAGR to 2030; Siemens generated €75.9 billion revenue in FY2024 (Siemens AG, 2024); Altair Engineering acquisition for approximately $10 billion signals software-first competitive repositioning</w:t>
            </w:r>
          </w:p>
        </w:tc>
        <w:tc>
          <w:tcPr>
            <w:tcW w:w="39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1472D9C" w14:textId="77777777" w:rsidR="00046C2E" w:rsidRDefault="000412EC" w:rsidP="00A5799D">
            <w:pPr>
              <w:spacing w:line="360" w:lineRule="auto"/>
              <w:jc w:val="both"/>
            </w:pPr>
            <w:r>
              <w:rPr>
                <w:color w:val="000000"/>
                <w:sz w:val="22"/>
                <w:szCs w:val="22"/>
              </w:rPr>
              <w:t xml:space="preserve">AI investment delivers economic efficiency through reduced downtime and </w:t>
            </w:r>
            <w:proofErr w:type="spellStart"/>
            <w:r>
              <w:rPr>
                <w:color w:val="000000"/>
                <w:sz w:val="22"/>
                <w:szCs w:val="22"/>
              </w:rPr>
              <w:t>optimised</w:t>
            </w:r>
            <w:proofErr w:type="spellEnd"/>
            <w:r>
              <w:rPr>
                <w:color w:val="000000"/>
                <w:sz w:val="22"/>
                <w:szCs w:val="22"/>
              </w:rPr>
              <w:t xml:space="preserve"> production; capital intensity of AI governance infrastructure reinforces the incumbent advantage of established players like Siemens over smaller industrial competitors</w:t>
            </w:r>
          </w:p>
        </w:tc>
      </w:tr>
      <w:tr w:rsidR="00046C2E" w14:paraId="3DB34DBF" w14:textId="77777777">
        <w:tc>
          <w:tcPr>
            <w:tcW w:w="1500" w:type="dxa"/>
            <w:tcBorders>
              <w:top w:val="single" w:sz="1" w:space="0" w:color="AAAAAA"/>
              <w:left w:val="single" w:sz="1" w:space="0" w:color="AAAAAA"/>
              <w:bottom w:val="single" w:sz="1" w:space="0" w:color="AAAAAA"/>
              <w:right w:val="single" w:sz="1" w:space="0" w:color="AAAAAA"/>
            </w:tcBorders>
            <w:shd w:val="clear" w:color="auto" w:fill="E9F5F0"/>
            <w:tcMar>
              <w:top w:w="80" w:type="dxa"/>
              <w:left w:w="120" w:type="dxa"/>
              <w:bottom w:w="80" w:type="dxa"/>
              <w:right w:w="120" w:type="dxa"/>
            </w:tcMar>
          </w:tcPr>
          <w:p w14:paraId="49EC6426" w14:textId="77777777" w:rsidR="00046C2E" w:rsidRDefault="000412EC" w:rsidP="00A5799D">
            <w:pPr>
              <w:spacing w:line="360" w:lineRule="auto"/>
              <w:jc w:val="both"/>
            </w:pPr>
            <w:r>
              <w:rPr>
                <w:b/>
                <w:bCs/>
                <w:color w:val="000000"/>
                <w:sz w:val="22"/>
                <w:szCs w:val="22"/>
              </w:rPr>
              <w:t>Social</w:t>
            </w:r>
          </w:p>
        </w:tc>
        <w:tc>
          <w:tcPr>
            <w:tcW w:w="3800" w:type="dxa"/>
            <w:tcBorders>
              <w:top w:val="single" w:sz="1" w:space="0" w:color="AAAAAA"/>
              <w:left w:val="single" w:sz="1" w:space="0" w:color="AAAAAA"/>
              <w:bottom w:val="single" w:sz="1" w:space="0" w:color="AAAAAA"/>
              <w:right w:val="single" w:sz="1" w:space="0" w:color="AAAAAA"/>
            </w:tcBorders>
            <w:shd w:val="clear" w:color="auto" w:fill="E9F5F0"/>
            <w:tcMar>
              <w:top w:w="80" w:type="dxa"/>
              <w:left w:w="120" w:type="dxa"/>
              <w:bottom w:w="80" w:type="dxa"/>
              <w:right w:w="120" w:type="dxa"/>
            </w:tcMar>
          </w:tcPr>
          <w:p w14:paraId="0CCAD109" w14:textId="77777777" w:rsidR="00046C2E" w:rsidRDefault="000412EC" w:rsidP="00A5799D">
            <w:pPr>
              <w:spacing w:line="360" w:lineRule="auto"/>
              <w:jc w:val="both"/>
            </w:pPr>
            <w:r>
              <w:rPr>
                <w:color w:val="000000"/>
                <w:sz w:val="22"/>
                <w:szCs w:val="22"/>
              </w:rPr>
              <w:t>Workforce displacement concerns from automation; skills gap in AI-literate engineering talent; growing stakeholder expectations around responsible AI; cross-cultural variation in worker attitudes towards AI-assisted decision-making</w:t>
            </w:r>
          </w:p>
        </w:tc>
        <w:tc>
          <w:tcPr>
            <w:tcW w:w="3926" w:type="dxa"/>
            <w:tcBorders>
              <w:top w:val="single" w:sz="1" w:space="0" w:color="AAAAAA"/>
              <w:left w:val="single" w:sz="1" w:space="0" w:color="AAAAAA"/>
              <w:bottom w:val="single" w:sz="1" w:space="0" w:color="AAAAAA"/>
              <w:right w:val="single" w:sz="1" w:space="0" w:color="AAAAAA"/>
            </w:tcBorders>
            <w:shd w:val="clear" w:color="auto" w:fill="E9F5F0"/>
            <w:tcMar>
              <w:top w:w="80" w:type="dxa"/>
              <w:left w:w="120" w:type="dxa"/>
              <w:bottom w:w="80" w:type="dxa"/>
              <w:right w:w="120" w:type="dxa"/>
            </w:tcMar>
          </w:tcPr>
          <w:p w14:paraId="5BC207D5" w14:textId="77777777" w:rsidR="00046C2E" w:rsidRDefault="000412EC" w:rsidP="00A5799D">
            <w:pPr>
              <w:spacing w:line="360" w:lineRule="auto"/>
              <w:jc w:val="both"/>
            </w:pPr>
            <w:r>
              <w:rPr>
                <w:color w:val="000000"/>
                <w:sz w:val="22"/>
                <w:szCs w:val="22"/>
              </w:rPr>
              <w:t xml:space="preserve">Siemens' DEGREE commitment to employability — averaging 27 digital learning hours per employee in 2024 (Siemens, 2024a) — addresses social </w:t>
            </w:r>
            <w:proofErr w:type="spellStart"/>
            <w:r>
              <w:rPr>
                <w:color w:val="000000"/>
                <w:sz w:val="22"/>
                <w:szCs w:val="22"/>
              </w:rPr>
              <w:t>licence</w:t>
            </w:r>
            <w:proofErr w:type="spellEnd"/>
            <w:r>
              <w:rPr>
                <w:color w:val="000000"/>
                <w:sz w:val="22"/>
                <w:szCs w:val="22"/>
              </w:rPr>
              <w:t xml:space="preserve"> risk; Hofstede (2011) highlights that German high uncertainty avoidance and UK lower scores require culturally differentiated workforce AI communication strategies</w:t>
            </w:r>
          </w:p>
        </w:tc>
      </w:tr>
      <w:tr w:rsidR="00046C2E" w14:paraId="2D43913E" w14:textId="77777777">
        <w:tc>
          <w:tcPr>
            <w:tcW w:w="1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2BA6A49" w14:textId="77777777" w:rsidR="00046C2E" w:rsidRDefault="000412EC" w:rsidP="00A5799D">
            <w:pPr>
              <w:spacing w:line="360" w:lineRule="auto"/>
              <w:jc w:val="both"/>
            </w:pPr>
            <w:r>
              <w:rPr>
                <w:b/>
                <w:bCs/>
                <w:color w:val="000000"/>
                <w:sz w:val="22"/>
                <w:szCs w:val="22"/>
              </w:rPr>
              <w:t>Technological</w:t>
            </w:r>
          </w:p>
        </w:tc>
        <w:tc>
          <w:tcPr>
            <w:tcW w:w="3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48C3A73" w14:textId="77777777" w:rsidR="00046C2E" w:rsidRDefault="000412EC" w:rsidP="00A5799D">
            <w:pPr>
              <w:spacing w:line="360" w:lineRule="auto"/>
              <w:jc w:val="both"/>
            </w:pPr>
            <w:r>
              <w:rPr>
                <w:color w:val="000000"/>
                <w:sz w:val="22"/>
                <w:szCs w:val="22"/>
              </w:rPr>
              <w:t xml:space="preserve">Industrial Copilot deployed across 120,000 engineering users with Microsoft Azure (Microsoft Source, 2024); digital twin </w:t>
            </w:r>
            <w:proofErr w:type="spellStart"/>
            <w:r>
              <w:rPr>
                <w:color w:val="000000"/>
                <w:sz w:val="22"/>
                <w:szCs w:val="22"/>
              </w:rPr>
              <w:t>programme</w:t>
            </w:r>
            <w:proofErr w:type="spellEnd"/>
            <w:r>
              <w:rPr>
                <w:color w:val="000000"/>
                <w:sz w:val="22"/>
                <w:szCs w:val="22"/>
              </w:rPr>
              <w:t xml:space="preserve"> at Nanjing achieving 200% capacity </w:t>
            </w:r>
            <w:r>
              <w:rPr>
                <w:color w:val="000000"/>
                <w:sz w:val="22"/>
                <w:szCs w:val="22"/>
              </w:rPr>
              <w:lastRenderedPageBreak/>
              <w:t>gains; Industrial Foundation Model in development</w:t>
            </w:r>
          </w:p>
        </w:tc>
        <w:tc>
          <w:tcPr>
            <w:tcW w:w="39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2AB3600" w14:textId="77777777" w:rsidR="00046C2E" w:rsidRDefault="000412EC" w:rsidP="00A5799D">
            <w:pPr>
              <w:spacing w:line="360" w:lineRule="auto"/>
              <w:jc w:val="both"/>
            </w:pPr>
            <w:r>
              <w:rPr>
                <w:color w:val="000000"/>
                <w:sz w:val="22"/>
                <w:szCs w:val="22"/>
              </w:rPr>
              <w:lastRenderedPageBreak/>
              <w:t xml:space="preserve">OT-IT convergence creates new data governance obligations and cybersecurity vulnerabilities; black-box AI in safety-critical contexts raises explainability </w:t>
            </w:r>
            <w:r>
              <w:rPr>
                <w:color w:val="000000"/>
                <w:sz w:val="22"/>
                <w:szCs w:val="22"/>
              </w:rPr>
              <w:lastRenderedPageBreak/>
              <w:t>challenges that current XAI methods do not fully resolve (Rosati et al., 2022)</w:t>
            </w:r>
          </w:p>
        </w:tc>
      </w:tr>
      <w:tr w:rsidR="00046C2E" w14:paraId="159678B9" w14:textId="77777777">
        <w:tc>
          <w:tcPr>
            <w:tcW w:w="1500" w:type="dxa"/>
            <w:tcBorders>
              <w:top w:val="single" w:sz="1" w:space="0" w:color="AAAAAA"/>
              <w:left w:val="single" w:sz="1" w:space="0" w:color="AAAAAA"/>
              <w:bottom w:val="single" w:sz="1" w:space="0" w:color="AAAAAA"/>
              <w:right w:val="single" w:sz="1" w:space="0" w:color="AAAAAA"/>
            </w:tcBorders>
            <w:shd w:val="clear" w:color="auto" w:fill="E9F5F0"/>
            <w:tcMar>
              <w:top w:w="80" w:type="dxa"/>
              <w:left w:w="120" w:type="dxa"/>
              <w:bottom w:w="80" w:type="dxa"/>
              <w:right w:w="120" w:type="dxa"/>
            </w:tcMar>
          </w:tcPr>
          <w:p w14:paraId="1427B917" w14:textId="77777777" w:rsidR="00046C2E" w:rsidRDefault="000412EC" w:rsidP="00A5799D">
            <w:pPr>
              <w:spacing w:line="360" w:lineRule="auto"/>
              <w:jc w:val="both"/>
            </w:pPr>
            <w:r>
              <w:rPr>
                <w:b/>
                <w:bCs/>
                <w:color w:val="000000"/>
                <w:sz w:val="22"/>
                <w:szCs w:val="22"/>
              </w:rPr>
              <w:lastRenderedPageBreak/>
              <w:t>Legal</w:t>
            </w:r>
          </w:p>
        </w:tc>
        <w:tc>
          <w:tcPr>
            <w:tcW w:w="3800" w:type="dxa"/>
            <w:tcBorders>
              <w:top w:val="single" w:sz="1" w:space="0" w:color="AAAAAA"/>
              <w:left w:val="single" w:sz="1" w:space="0" w:color="AAAAAA"/>
              <w:bottom w:val="single" w:sz="1" w:space="0" w:color="AAAAAA"/>
              <w:right w:val="single" w:sz="1" w:space="0" w:color="AAAAAA"/>
            </w:tcBorders>
            <w:shd w:val="clear" w:color="auto" w:fill="E9F5F0"/>
            <w:tcMar>
              <w:top w:w="80" w:type="dxa"/>
              <w:left w:w="120" w:type="dxa"/>
              <w:bottom w:w="80" w:type="dxa"/>
              <w:right w:w="120" w:type="dxa"/>
            </w:tcMar>
          </w:tcPr>
          <w:p w14:paraId="52F4585C" w14:textId="77777777" w:rsidR="00046C2E" w:rsidRDefault="000412EC" w:rsidP="00A5799D">
            <w:pPr>
              <w:spacing w:line="360" w:lineRule="auto"/>
              <w:jc w:val="both"/>
            </w:pPr>
            <w:r>
              <w:rPr>
                <w:color w:val="000000"/>
                <w:sz w:val="22"/>
                <w:szCs w:val="22"/>
              </w:rPr>
              <w:t>EU AI Act classifies AI in critical infrastructure as high-risk (European Parliament, 2024); GDPR data governance obligations on training datasets; NIS2 cybersecurity directive for industrial systems; UK GDPR post-Brexit divergence</w:t>
            </w:r>
          </w:p>
        </w:tc>
        <w:tc>
          <w:tcPr>
            <w:tcW w:w="3926" w:type="dxa"/>
            <w:tcBorders>
              <w:top w:val="single" w:sz="1" w:space="0" w:color="AAAAAA"/>
              <w:left w:val="single" w:sz="1" w:space="0" w:color="AAAAAA"/>
              <w:bottom w:val="single" w:sz="1" w:space="0" w:color="AAAAAA"/>
              <w:right w:val="single" w:sz="1" w:space="0" w:color="AAAAAA"/>
            </w:tcBorders>
            <w:shd w:val="clear" w:color="auto" w:fill="E9F5F0"/>
            <w:tcMar>
              <w:top w:w="80" w:type="dxa"/>
              <w:left w:w="120" w:type="dxa"/>
              <w:bottom w:w="80" w:type="dxa"/>
              <w:right w:w="120" w:type="dxa"/>
            </w:tcMar>
          </w:tcPr>
          <w:p w14:paraId="02EE9353" w14:textId="77777777" w:rsidR="00046C2E" w:rsidRDefault="000412EC" w:rsidP="00A5799D">
            <w:pPr>
              <w:spacing w:line="360" w:lineRule="auto"/>
              <w:jc w:val="both"/>
            </w:pPr>
            <w:r>
              <w:rPr>
                <w:color w:val="000000"/>
                <w:sz w:val="22"/>
                <w:szCs w:val="22"/>
              </w:rPr>
              <w:t>Fines of up to 7% of global annual turnover for non-compliance (PricewaterhouseCoopers, 2024) make regulatory risk a board-level financial concern; conformity assessment, bias testing and human oversight requirements apply to safety-critical AI systems</w:t>
            </w:r>
          </w:p>
        </w:tc>
      </w:tr>
      <w:tr w:rsidR="00046C2E" w14:paraId="1CEA2E63" w14:textId="77777777">
        <w:tc>
          <w:tcPr>
            <w:tcW w:w="1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8A21312" w14:textId="77777777" w:rsidR="00046C2E" w:rsidRDefault="000412EC" w:rsidP="00A5799D">
            <w:pPr>
              <w:spacing w:line="360" w:lineRule="auto"/>
              <w:jc w:val="both"/>
            </w:pPr>
            <w:r>
              <w:rPr>
                <w:b/>
                <w:bCs/>
                <w:color w:val="000000"/>
                <w:sz w:val="22"/>
                <w:szCs w:val="22"/>
              </w:rPr>
              <w:t>Environmental</w:t>
            </w:r>
          </w:p>
        </w:tc>
        <w:tc>
          <w:tcPr>
            <w:tcW w:w="3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CC27D6C" w14:textId="77777777" w:rsidR="00046C2E" w:rsidRDefault="000412EC" w:rsidP="00A5799D">
            <w:pPr>
              <w:spacing w:line="360" w:lineRule="auto"/>
              <w:jc w:val="both"/>
            </w:pPr>
            <w:r>
              <w:rPr>
                <w:color w:val="000000"/>
                <w:sz w:val="22"/>
                <w:szCs w:val="22"/>
              </w:rPr>
              <w:t>CSRD sustainability disclosure requirements; EU Green Deal industrial targets; Siemens' net zero commitment for operations by 2030 and value chain by 2050 (Siemens AG, 2025b)</w:t>
            </w:r>
          </w:p>
        </w:tc>
        <w:tc>
          <w:tcPr>
            <w:tcW w:w="39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C525095" w14:textId="77777777" w:rsidR="00046C2E" w:rsidRDefault="000412EC" w:rsidP="00A5799D">
            <w:pPr>
              <w:spacing w:line="360" w:lineRule="auto"/>
              <w:jc w:val="both"/>
            </w:pPr>
            <w:r>
              <w:rPr>
                <w:color w:val="000000"/>
                <w:sz w:val="22"/>
                <w:szCs w:val="22"/>
              </w:rPr>
              <w:t xml:space="preserve">AI-enabled energy </w:t>
            </w:r>
            <w:proofErr w:type="spellStart"/>
            <w:r>
              <w:rPr>
                <w:color w:val="000000"/>
                <w:sz w:val="22"/>
                <w:szCs w:val="22"/>
              </w:rPr>
              <w:t>optimisation</w:t>
            </w:r>
            <w:proofErr w:type="spellEnd"/>
            <w:r>
              <w:rPr>
                <w:color w:val="000000"/>
                <w:sz w:val="22"/>
                <w:szCs w:val="22"/>
              </w:rPr>
              <w:t xml:space="preserve"> delivers ESG benefits — Siemens' technologies helped customers avoid 694 million metric </w:t>
            </w:r>
            <w:proofErr w:type="spellStart"/>
            <w:r>
              <w:rPr>
                <w:color w:val="000000"/>
                <w:sz w:val="22"/>
                <w:szCs w:val="22"/>
              </w:rPr>
              <w:t>tonnes</w:t>
            </w:r>
            <w:proofErr w:type="spellEnd"/>
            <w:r>
              <w:rPr>
                <w:color w:val="000000"/>
                <w:sz w:val="22"/>
                <w:szCs w:val="22"/>
              </w:rPr>
              <w:t xml:space="preserve"> of </w:t>
            </w:r>
            <w:proofErr w:type="spellStart"/>
            <w:r>
              <w:rPr>
                <w:color w:val="000000"/>
                <w:sz w:val="22"/>
                <w:szCs w:val="22"/>
              </w:rPr>
              <w:t>CO₂e</w:t>
            </w:r>
            <w:proofErr w:type="spellEnd"/>
            <w:r>
              <w:rPr>
                <w:color w:val="000000"/>
                <w:sz w:val="22"/>
                <w:szCs w:val="22"/>
              </w:rPr>
              <w:t xml:space="preserve"> cumulatively to 2025; AI training infrastructure energy intensity must be transparently disclosed (Nica, </w:t>
            </w:r>
            <w:proofErr w:type="spellStart"/>
            <w:r>
              <w:rPr>
                <w:color w:val="000000"/>
                <w:sz w:val="22"/>
                <w:szCs w:val="22"/>
              </w:rPr>
              <w:t>Chiriță</w:t>
            </w:r>
            <w:proofErr w:type="spellEnd"/>
            <w:r>
              <w:rPr>
                <w:color w:val="000000"/>
                <w:sz w:val="22"/>
                <w:szCs w:val="22"/>
              </w:rPr>
              <w:t xml:space="preserve"> and </w:t>
            </w:r>
            <w:proofErr w:type="spellStart"/>
            <w:r>
              <w:rPr>
                <w:color w:val="000000"/>
                <w:sz w:val="22"/>
                <w:szCs w:val="22"/>
              </w:rPr>
              <w:t>Georgescu</w:t>
            </w:r>
            <w:proofErr w:type="spellEnd"/>
            <w:r>
              <w:rPr>
                <w:color w:val="000000"/>
                <w:sz w:val="22"/>
                <w:szCs w:val="22"/>
              </w:rPr>
              <w:t>, 2025)</w:t>
            </w:r>
          </w:p>
        </w:tc>
      </w:tr>
    </w:tbl>
    <w:p w14:paraId="5F023FAA" w14:textId="77777777" w:rsidR="00046C2E" w:rsidRDefault="00046C2E" w:rsidP="00A5799D">
      <w:pPr>
        <w:spacing w:before="120" w:after="80" w:line="360" w:lineRule="auto"/>
        <w:jc w:val="both"/>
      </w:pPr>
    </w:p>
    <w:p w14:paraId="616F757C" w14:textId="36A913EE" w:rsidR="00964983" w:rsidRDefault="00125B0D" w:rsidP="00964983">
      <w:pPr>
        <w:spacing w:before="80" w:after="120" w:line="360" w:lineRule="auto"/>
        <w:jc w:val="both"/>
      </w:pPr>
      <w:r>
        <w:t>.</w:t>
      </w:r>
      <w:r w:rsidR="00964983">
        <w:t xml:space="preserve">The legal aspect should be given particular consideration since it has the most tangible and immediate compliance requirements. PricewaterhouseCoopers (2024) breaks down the EU AI Act in its entirety, emphasizing that the data governance (Article 10) and transparency (Article 13) requirements are a major compliance burden on industrial developers of AI systems whose systems fall on the OT-IT interface. </w:t>
      </w:r>
      <w:proofErr w:type="spellStart"/>
      <w:r w:rsidR="00964983">
        <w:t>Bolgouras</w:t>
      </w:r>
      <w:proofErr w:type="spellEnd"/>
      <w:r w:rsidR="00964983">
        <w:t xml:space="preserve"> et al. (2025) puts the broader EU regulatory framework in context - indicating that the AI acting, the General Data Protection Regulation (GDPR) and the Network and information security 2 (NIS2) cybersecurity regulations impose interdependent requirements on the companies, such as Siemens, whose AI systems handle personal data, which are located in critical infrastructure and are deployed in many of the EU member states.</w:t>
      </w:r>
    </w:p>
    <w:p w14:paraId="12D0B16B" w14:textId="0F6E532D" w:rsidR="00046C2E" w:rsidRDefault="00964983" w:rsidP="00964983">
      <w:pPr>
        <w:spacing w:before="80" w:after="120" w:line="360" w:lineRule="auto"/>
        <w:jc w:val="both"/>
      </w:pPr>
      <w:r>
        <w:t xml:space="preserve">Politically, a specific study on the UK and EU is needed. The pro-innovation approach taken by the UK Government (2023) is quite specific in staying silent on specific regulations, which lets companies operate with AI at will, but also creates a regulatory vacuum which some industrial buyers might struggle to navigate. This contrasts with the prescriptive, risk-based approach of the EU AI Act. This suggests two things to Siemens, which must comply with both regulatory </w:t>
      </w:r>
      <w:r>
        <w:lastRenderedPageBreak/>
        <w:t xml:space="preserve">regimes: EU-bound AI systems would have to go through formal conformity assessment and receive CE marking; UK-bound AI systems would be governed by principles that are not currently prescriptive, but may become more prescriptive as the FCA and other UK regulators revise their AI guidance post-2025. </w:t>
      </w:r>
      <w:r w:rsidR="00125B0D">
        <w:t xml:space="preserve">Cannas et al. (2023), studying AI in multiple industrial case study </w:t>
      </w:r>
      <w:proofErr w:type="spellStart"/>
      <w:r w:rsidR="00125B0D">
        <w:t>organisations</w:t>
      </w:r>
      <w:proofErr w:type="spellEnd"/>
      <w:r w:rsidR="00125B0D">
        <w:t>, report that firms operating in multiple regulatory regimes consistently report that regulatory diversity is a greater governance cost component than the burden of any one regime. In the case of Siemens' engineering and railway systems in the UK, this means compliance processes that meet EU standards even for systems that only operate in the UK, because the cost savings of having only one global standard that can be used everywhere outweighs the marginal cost of having multiple standards.</w:t>
      </w:r>
    </w:p>
    <w:p w14:paraId="6B331722" w14:textId="77777777" w:rsidR="00046C2E" w:rsidRDefault="000412EC" w:rsidP="00A5799D">
      <w:pPr>
        <w:pStyle w:val="Heading2"/>
        <w:spacing w:line="360" w:lineRule="auto"/>
        <w:jc w:val="both"/>
      </w:pPr>
      <w:bookmarkStart w:id="6" w:name="_Toc228218223"/>
      <w:r>
        <w:t>2.3 From Munich to the World: Porter's Diamond and German Industrial Advantage</w:t>
      </w:r>
      <w:bookmarkEnd w:id="6"/>
    </w:p>
    <w:p w14:paraId="06379760" w14:textId="70548CEB" w:rsidR="006A7D96" w:rsidRDefault="006A7D96" w:rsidP="00A5799D">
      <w:pPr>
        <w:spacing w:before="80" w:after="120" w:line="360" w:lineRule="auto"/>
        <w:jc w:val="both"/>
      </w:pPr>
      <w:r>
        <w:t>Porter's Diamond of National Advantage (Porter, 1979) explains why Germany has given birth to world-leading industrial technology companies, and why Siemens is well placed to take the lead in industrial AI. Vlados (2019) offers a strong theoretical discussion of the diamond model, and argues that Germany is emblematic of Porter's argument that competitive advantage is "made" rather than "born" - that engineering excellence is nurtured by institutional investment rather than factor endowments. The Review, H.E. (2024) Porter framework analysis of Germany is a good place to start</w:t>
      </w:r>
      <w:r w:rsidR="00305668">
        <w:t>. Still, the</w:t>
      </w:r>
      <w:r>
        <w:t xml:space="preserve"> diamond analysis here is triangulated with primary company sources and academic </w:t>
      </w:r>
      <w:r w:rsidR="00305668">
        <w:t xml:space="preserve">research on supply chain and governance </w:t>
      </w:r>
      <w:r>
        <w:t>to avoid over-reliance on a single secondary source.</w:t>
      </w:r>
    </w:p>
    <w:p w14:paraId="1DB6EF08" w14:textId="45F07E2B" w:rsidR="006A7D96" w:rsidRDefault="006A7D96" w:rsidP="00A5799D">
      <w:pPr>
        <w:spacing w:before="80" w:after="120" w:line="360" w:lineRule="auto"/>
        <w:jc w:val="both"/>
      </w:pPr>
      <w:r>
        <w:t xml:space="preserve">Germany's factor conditions for industrial AI are indeed "world class". The dual vocational education system provides engineers with industrial knowledge that can be readily applied to industrial AI - a skills combination that technology companies from outside the sector take time to develop. Siemens' R&amp;D outlay </w:t>
      </w:r>
      <w:proofErr w:type="spellStart"/>
      <w:r w:rsidR="00305668">
        <w:t>totalled</w:t>
      </w:r>
      <w:proofErr w:type="spellEnd"/>
      <w:r w:rsidR="00305668">
        <w:t xml:space="preserve"> €6.2 billion in FY2023, with a </w:t>
      </w:r>
      <w:r>
        <w:t>focus on simulation and digital twins, data analytics and AI, connectivity and edge computing, and cybersecurity (Siemens AG, 2024). The new €100 million Siemens Technology Centre near Munich, with more than 1,000 R&amp;D experts working on AI and data analytics, is a proactive upgrade of advanced factor conditions that cannot be mimicked by competitors through capital investment. Barney (1991) confirms resources that create sustainable competitive advantage must be valuable, rare, inimitable and non-substitutable; Siemens' mix of engineering domain expertise, proprietary industrial data and co-built AI solutions with Microsoft and NVIDIA both passes these tests.</w:t>
      </w:r>
    </w:p>
    <w:p w14:paraId="029A2BCA" w14:textId="77777777" w:rsidR="00964983" w:rsidRDefault="00964983" w:rsidP="00964983">
      <w:pPr>
        <w:spacing w:before="80" w:after="120" w:line="360" w:lineRule="auto"/>
        <w:jc w:val="both"/>
      </w:pPr>
      <w:r>
        <w:lastRenderedPageBreak/>
        <w:t>The element of demand conditions is also strong. Car companies, chemicals and infrastructure utilities are the German industrial customers of Siemens, who are some of the most advanced in terms of using industrial technologies. According to the Review, H.E. (2024), this technical home market traditionally motivated German industrial companies to possess better technical performance and safety standards. In the case of AI playbook of Siemens, its advanced domestic customers are already demanding AI technology which not only works, but also safe and controllable, compelling the AI governance strategy of Siemens to be in tandem with this expectation and hence offering an initial advantage in the regulatory compliance wars in the international markets.</w:t>
      </w:r>
    </w:p>
    <w:p w14:paraId="1A0FAF98" w14:textId="4A5C5C01" w:rsidR="00046C2E" w:rsidRDefault="00964983" w:rsidP="00964983">
      <w:pPr>
        <w:spacing w:before="80" w:after="120" w:line="360" w:lineRule="auto"/>
        <w:jc w:val="both"/>
      </w:pPr>
      <w:r>
        <w:t>The dimension of related and supporting industries is important in the era of AI The German industrial ecosystem - automotive suppliers, chemicals, precision engineering and research universities - is a place of testing and innovation partner of Siemens. According to Cannas et al. (2023), the companies that are part of ecosystems embrace AI technologies significantly better than companies that experiment with AI alone. One such partnership is that of Siemens with NVIDIA, Microsoft and AWS. Company strategy, structure and competition - intense local competition with Bosch, local German operations and engineering software companies of ABB - provides the last spark, requiring innovation as opposed to platform dependency.</w:t>
      </w:r>
    </w:p>
    <w:p w14:paraId="66D00D18" w14:textId="77777777" w:rsidR="00046C2E" w:rsidRDefault="000412EC" w:rsidP="00A5799D">
      <w:pPr>
        <w:pStyle w:val="Heading2"/>
        <w:spacing w:line="360" w:lineRule="auto"/>
        <w:jc w:val="both"/>
      </w:pPr>
      <w:bookmarkStart w:id="7" w:name="_Toc228218224"/>
      <w:r>
        <w:t>2.4 Where Steel Meets Silicon: OT-IT Convergence and AI Risk</w:t>
      </w:r>
      <w:bookmarkEnd w:id="7"/>
    </w:p>
    <w:p w14:paraId="0D2BBA0F" w14:textId="77777777" w:rsidR="00964983" w:rsidRDefault="00964983" w:rsidP="00964983">
      <w:pPr>
        <w:spacing w:before="80" w:after="120" w:line="360" w:lineRule="auto"/>
        <w:jc w:val="both"/>
      </w:pPr>
      <w:r>
        <w:t>The most distinctive of AI risk at Siemens - and the point where it differs with a bank or pharmaceutical - is the physical effect of system failure. Hardware and software used to program and monitor industrial processes: programmable logic controllers, SCADA systems and robots, are known as operational technology (OT). These systems were constructed decades ago to be reliable, safe and isolated - not to be connected to internet-linked AI systems. These dynamic operational environments are meeting the information technology environments with the Industrial Internet of Things, which introduces new governance responsibilities that are not handled by the conventional IT risk management.</w:t>
      </w:r>
    </w:p>
    <w:p w14:paraId="136BD67F" w14:textId="618D7E08" w:rsidR="00964983" w:rsidRDefault="00964983" w:rsidP="00964983">
      <w:pPr>
        <w:spacing w:before="80" w:after="120" w:line="360" w:lineRule="auto"/>
        <w:jc w:val="both"/>
      </w:pPr>
      <w:r>
        <w:t>Liu et al. (2025) examine this convergence in detail, stating that there are five interconnected domains (communication, IT support to OT, human centricity, advanced industrial control systems and cybersecurity) and management of risks in the five domains is a governance. In the case of Siemens, whose Industrial Copilot and digital twins solutions operate at this OT-IT interface, every AI suggestion to an engineer in the manufacturing line may have an impact on the real world that AI in financial services cannot.</w:t>
      </w:r>
    </w:p>
    <w:p w14:paraId="2479FF7E" w14:textId="77777777" w:rsidR="006A7D96" w:rsidRDefault="006A7D96" w:rsidP="00A5799D">
      <w:pPr>
        <w:spacing w:before="80" w:after="120" w:line="360" w:lineRule="auto"/>
        <w:jc w:val="both"/>
      </w:pPr>
      <w:r>
        <w:lastRenderedPageBreak/>
        <w:t xml:space="preserve">Predictive maintenance is one such risk example. </w:t>
      </w:r>
      <w:proofErr w:type="spellStart"/>
      <w:r>
        <w:t>Rakholia</w:t>
      </w:r>
      <w:proofErr w:type="spellEnd"/>
      <w:r>
        <w:t xml:space="preserve"> et al. (2025) explain how predictive maintenance is a key element of Industry 4.0 smart manufacturing, facilitating real-time failure prediction using IoT data collection and machine learning models. A systematic review of models and methods by Abdelhafid, Anwar and Mustapha (2026) verifies that unplanned downtime in industrial sectors is estimated to cost the world economy nearly half a trillion US dollars a year, making the case for AI investment attractive. But Rosati et al. (2022), in an industrial case study, show that predictive maintenance AI continues to struggle with issues related to data quality, model explainability and integration that "accuracy" measures don't reveal. When models are faced with edge cases and out-of-distribution failure modes they can be highly confident but wrong - a failure mode that could be catastrophic in safety-critical applications. This is borne out in Ayvaz and Alpay (2021), who show that while machine learning algorithms perform significantly better than traditional preventive maintenance on benchmark datasets, they perform significantly worse in new operating conditions.</w:t>
      </w:r>
    </w:p>
    <w:p w14:paraId="13D1438C" w14:textId="0AC3F752" w:rsidR="00046C2E" w:rsidRDefault="006A7D96" w:rsidP="00305668">
      <w:pPr>
        <w:spacing w:before="80" w:after="120" w:line="360" w:lineRule="auto"/>
        <w:jc w:val="both"/>
      </w:pPr>
      <w:r>
        <w:t xml:space="preserve">Digital twins take the technology and the governance challenge further. Dai et al. (2025) report AI-digital twin integration transforming manufacturing processes through real-time monitoring, predictive maintenance and process </w:t>
      </w:r>
      <w:proofErr w:type="spellStart"/>
      <w:r>
        <w:t>optimisation</w:t>
      </w:r>
      <w:proofErr w:type="spellEnd"/>
      <w:r>
        <w:t xml:space="preserve">. Nguyen et al. (2025) offer a review across hierarchical manufacturing levels, which confirms the transformational potential but also state that explainability of digital twin AI components is technically difficult. Hu et al. (2024) locate this </w:t>
      </w:r>
      <w:r w:rsidR="004D41D2">
        <w:t>within the evolution of intelligent manufacturing and suggest that the shift to AI-based digital twin systems demands a governance framework adaptable to evolving</w:t>
      </w:r>
      <w:r>
        <w:t xml:space="preserve"> capabilities. Tao et al. (2022) lay the technical foundations of the digital twin modelling concept, which forms the conceptual basis for understanding how it creates accountability considerations. A systematic review of the literature on smart manufacturing AI</w:t>
      </w:r>
      <w:r w:rsidR="004D41D2">
        <w:t xml:space="preserve"> by Ramzan and Recupero (2025) also confirms that the lack of human-technology collaboration and data scarcity remain</w:t>
      </w:r>
      <w:r>
        <w:t xml:space="preserve"> the biggest barriers to the deployment of reliable industrial AI - insights that underpin the design recommendations for governance in Section 3.</w:t>
      </w:r>
    </w:p>
    <w:p w14:paraId="5E18FD64" w14:textId="77777777" w:rsidR="00046C2E" w:rsidRDefault="000412EC" w:rsidP="00A5799D">
      <w:pPr>
        <w:pStyle w:val="Heading2"/>
        <w:spacing w:line="360" w:lineRule="auto"/>
        <w:jc w:val="both"/>
      </w:pPr>
      <w:bookmarkStart w:id="8" w:name="_Toc228218225"/>
      <w:r>
        <w:t>2.5 The Governance Gap: Data Ethics, Regulatory Compliance and Trust</w:t>
      </w:r>
      <w:bookmarkEnd w:id="8"/>
    </w:p>
    <w:p w14:paraId="4F641F46" w14:textId="29846584" w:rsidR="006A7D96" w:rsidRDefault="006A7D96" w:rsidP="00A5799D">
      <w:pPr>
        <w:spacing w:before="80" w:after="120" w:line="360" w:lineRule="auto"/>
        <w:jc w:val="both"/>
      </w:pPr>
      <w:r w:rsidRPr="006A7D96">
        <w:t xml:space="preserve">At the core of Siemens' AI governance problem lies a key tension. Strategic advantage is gained by using AI at scale and speed in a wide range of industrial applications. Regulatory and ethical considerations demand that this be done responsibly, </w:t>
      </w:r>
      <w:r w:rsidR="004D41D2">
        <w:t>transparently,</w:t>
      </w:r>
      <w:r w:rsidRPr="006A7D96">
        <w:t xml:space="preserve"> and with documented accountability. These are not distant goals, but do require institutional design to be pursued in parallel. Table 2 compares Siemens' existing governance arrangements with the regulatory and </w:t>
      </w:r>
      <w:r w:rsidRPr="006A7D96">
        <w:lastRenderedPageBreak/>
        <w:t>industrial stakeholders' obligations, highlighting the gaps that the implementation plan presented in Section 3 aims to address.</w:t>
      </w:r>
    </w:p>
    <w:p w14:paraId="306C62FD" w14:textId="77777777" w:rsidR="00046C2E" w:rsidRDefault="00046C2E" w:rsidP="00A5799D">
      <w:pPr>
        <w:spacing w:before="60" w:after="40" w:line="360" w:lineRule="auto"/>
        <w:jc w:val="both"/>
      </w:pPr>
    </w:p>
    <w:p w14:paraId="491E50DC" w14:textId="40AF10EA" w:rsidR="00046C2E" w:rsidRDefault="000412EC" w:rsidP="00A5799D">
      <w:pPr>
        <w:spacing w:before="100" w:after="60" w:line="360" w:lineRule="auto"/>
        <w:jc w:val="both"/>
      </w:pPr>
      <w:r>
        <w:rPr>
          <w:rFonts w:ascii="Arial" w:eastAsia="Arial" w:hAnsi="Arial" w:cs="Arial"/>
          <w:b/>
          <w:bCs/>
          <w:i/>
          <w:iCs/>
          <w:color w:val="2D6A4F"/>
          <w:sz w:val="20"/>
          <w:szCs w:val="20"/>
        </w:rPr>
        <w:t xml:space="preserve">Table 2: AI Governance Maturity Assessment </w:t>
      </w:r>
      <w:r w:rsidR="00305668">
        <w:rPr>
          <w:rFonts w:ascii="Arial" w:eastAsia="Arial" w:hAnsi="Arial" w:cs="Arial"/>
          <w:b/>
          <w:bCs/>
          <w:i/>
          <w:iCs/>
          <w:color w:val="2D6A4F"/>
          <w:sz w:val="20"/>
          <w:szCs w:val="20"/>
        </w:rPr>
        <w:t>-</w:t>
      </w:r>
      <w:r>
        <w:rPr>
          <w:rFonts w:ascii="Arial" w:eastAsia="Arial" w:hAnsi="Arial" w:cs="Arial"/>
          <w:b/>
          <w:bCs/>
          <w:i/>
          <w:iCs/>
          <w:color w:val="2D6A4F"/>
          <w:sz w:val="20"/>
          <w:szCs w:val="20"/>
        </w:rPr>
        <w:t xml:space="preserve"> Siemens AG: Current vs Target State (Source: Self-made)</w:t>
      </w:r>
    </w:p>
    <w:tbl>
      <w:tblPr>
        <w:tblStyle w:val="TableGrid"/>
        <w:tblW w:w="9226" w:type="dxa"/>
        <w:tblLook w:val="0000" w:firstRow="0" w:lastRow="0" w:firstColumn="0" w:lastColumn="0" w:noHBand="0" w:noVBand="0"/>
      </w:tblPr>
      <w:tblGrid>
        <w:gridCol w:w="2200"/>
        <w:gridCol w:w="2400"/>
        <w:gridCol w:w="2400"/>
        <w:gridCol w:w="2226"/>
      </w:tblGrid>
      <w:tr w:rsidR="00046C2E" w14:paraId="2F1CCBD9" w14:textId="77777777" w:rsidTr="00305668">
        <w:trPr>
          <w:tblHeader/>
        </w:trPr>
        <w:tc>
          <w:tcPr>
            <w:tcW w:w="2200" w:type="dxa"/>
          </w:tcPr>
          <w:p w14:paraId="2B10F6AB" w14:textId="77777777" w:rsidR="00046C2E" w:rsidRPr="00305668" w:rsidRDefault="000412EC" w:rsidP="00A5799D">
            <w:pPr>
              <w:spacing w:line="360" w:lineRule="auto"/>
              <w:jc w:val="both"/>
            </w:pPr>
            <w:r w:rsidRPr="00305668">
              <w:rPr>
                <w:rFonts w:ascii="Arial" w:eastAsia="Arial" w:hAnsi="Arial" w:cs="Arial"/>
                <w:b/>
                <w:bCs/>
                <w:sz w:val="20"/>
                <w:szCs w:val="20"/>
              </w:rPr>
              <w:t>Governance Dimension</w:t>
            </w:r>
          </w:p>
        </w:tc>
        <w:tc>
          <w:tcPr>
            <w:tcW w:w="2400" w:type="dxa"/>
          </w:tcPr>
          <w:p w14:paraId="44D3C36E" w14:textId="77777777" w:rsidR="00046C2E" w:rsidRPr="00305668" w:rsidRDefault="000412EC" w:rsidP="00A5799D">
            <w:pPr>
              <w:spacing w:line="360" w:lineRule="auto"/>
              <w:jc w:val="both"/>
            </w:pPr>
            <w:r w:rsidRPr="00305668">
              <w:rPr>
                <w:rFonts w:ascii="Arial" w:eastAsia="Arial" w:hAnsi="Arial" w:cs="Arial"/>
                <w:b/>
                <w:bCs/>
                <w:sz w:val="20"/>
                <w:szCs w:val="20"/>
              </w:rPr>
              <w:t>Current State (2025)</w:t>
            </w:r>
          </w:p>
        </w:tc>
        <w:tc>
          <w:tcPr>
            <w:tcW w:w="2400" w:type="dxa"/>
          </w:tcPr>
          <w:p w14:paraId="0AFD2D7A" w14:textId="77777777" w:rsidR="00046C2E" w:rsidRPr="00305668" w:rsidRDefault="000412EC" w:rsidP="00A5799D">
            <w:pPr>
              <w:spacing w:line="360" w:lineRule="auto"/>
              <w:jc w:val="both"/>
            </w:pPr>
            <w:r w:rsidRPr="00305668">
              <w:rPr>
                <w:rFonts w:ascii="Arial" w:eastAsia="Arial" w:hAnsi="Arial" w:cs="Arial"/>
                <w:b/>
                <w:bCs/>
                <w:sz w:val="20"/>
                <w:szCs w:val="20"/>
              </w:rPr>
              <w:t>Target State (2027+)</w:t>
            </w:r>
          </w:p>
        </w:tc>
        <w:tc>
          <w:tcPr>
            <w:tcW w:w="2226" w:type="dxa"/>
          </w:tcPr>
          <w:p w14:paraId="2DC664FB" w14:textId="77777777" w:rsidR="00046C2E" w:rsidRPr="00305668" w:rsidRDefault="000412EC" w:rsidP="00A5799D">
            <w:pPr>
              <w:spacing w:line="360" w:lineRule="auto"/>
              <w:jc w:val="both"/>
            </w:pPr>
            <w:r w:rsidRPr="00305668">
              <w:rPr>
                <w:rFonts w:ascii="Arial" w:eastAsia="Arial" w:hAnsi="Arial" w:cs="Arial"/>
                <w:b/>
                <w:bCs/>
                <w:sz w:val="20"/>
                <w:szCs w:val="20"/>
              </w:rPr>
              <w:t>Key Gap and Action Required</w:t>
            </w:r>
          </w:p>
        </w:tc>
      </w:tr>
      <w:tr w:rsidR="00046C2E" w14:paraId="40953188" w14:textId="77777777" w:rsidTr="00305668">
        <w:tc>
          <w:tcPr>
            <w:tcW w:w="2200" w:type="dxa"/>
          </w:tcPr>
          <w:p w14:paraId="7EC5156D" w14:textId="77777777" w:rsidR="00046C2E" w:rsidRPr="00305668" w:rsidRDefault="000412EC" w:rsidP="00A5799D">
            <w:pPr>
              <w:spacing w:line="360" w:lineRule="auto"/>
              <w:jc w:val="both"/>
            </w:pPr>
            <w:r w:rsidRPr="00305668">
              <w:rPr>
                <w:b/>
                <w:bCs/>
                <w:sz w:val="22"/>
                <w:szCs w:val="22"/>
              </w:rPr>
              <w:t>Board-Level AI Accountability</w:t>
            </w:r>
          </w:p>
        </w:tc>
        <w:tc>
          <w:tcPr>
            <w:tcW w:w="2400" w:type="dxa"/>
          </w:tcPr>
          <w:p w14:paraId="69D3EF61" w14:textId="77777777" w:rsidR="00046C2E" w:rsidRPr="00305668" w:rsidRDefault="000412EC" w:rsidP="00A5799D">
            <w:pPr>
              <w:spacing w:line="360" w:lineRule="auto"/>
              <w:jc w:val="both"/>
            </w:pPr>
            <w:r w:rsidRPr="00305668">
              <w:rPr>
                <w:sz w:val="22"/>
                <w:szCs w:val="22"/>
              </w:rPr>
              <w:t>ESG criteria embedded in executive compensation; Supervisory Board monitors sustainability and digital risk</w:t>
            </w:r>
          </w:p>
        </w:tc>
        <w:tc>
          <w:tcPr>
            <w:tcW w:w="2400" w:type="dxa"/>
          </w:tcPr>
          <w:p w14:paraId="029354F4" w14:textId="77777777" w:rsidR="00046C2E" w:rsidRPr="00305668" w:rsidRDefault="000412EC" w:rsidP="00A5799D">
            <w:pPr>
              <w:spacing w:line="360" w:lineRule="auto"/>
              <w:jc w:val="both"/>
            </w:pPr>
            <w:r w:rsidRPr="00305668">
              <w:rPr>
                <w:sz w:val="22"/>
                <w:szCs w:val="22"/>
              </w:rPr>
              <w:t>Dedicated AI Risk Committee with board reporting; named senior AI governance officer</w:t>
            </w:r>
          </w:p>
        </w:tc>
        <w:tc>
          <w:tcPr>
            <w:tcW w:w="2226" w:type="dxa"/>
          </w:tcPr>
          <w:p w14:paraId="692EB9A7" w14:textId="77777777" w:rsidR="00046C2E" w:rsidRPr="00305668" w:rsidRDefault="000412EC" w:rsidP="00A5799D">
            <w:pPr>
              <w:spacing w:line="360" w:lineRule="auto"/>
              <w:jc w:val="both"/>
            </w:pPr>
            <w:proofErr w:type="spellStart"/>
            <w:r w:rsidRPr="00305668">
              <w:rPr>
                <w:sz w:val="22"/>
                <w:szCs w:val="22"/>
              </w:rPr>
              <w:t>Formalise</w:t>
            </w:r>
            <w:proofErr w:type="spellEnd"/>
            <w:r w:rsidRPr="00305668">
              <w:rPr>
                <w:sz w:val="22"/>
                <w:szCs w:val="22"/>
              </w:rPr>
              <w:t xml:space="preserve"> AI risk as a distinct category within enterprise risk framework alongside financial and operational risk</w:t>
            </w:r>
          </w:p>
        </w:tc>
      </w:tr>
      <w:tr w:rsidR="00046C2E" w14:paraId="7BD05BA5" w14:textId="77777777" w:rsidTr="00305668">
        <w:tc>
          <w:tcPr>
            <w:tcW w:w="2200" w:type="dxa"/>
          </w:tcPr>
          <w:p w14:paraId="369A1489" w14:textId="77777777" w:rsidR="00046C2E" w:rsidRPr="00305668" w:rsidRDefault="000412EC" w:rsidP="00A5799D">
            <w:pPr>
              <w:spacing w:line="360" w:lineRule="auto"/>
              <w:jc w:val="both"/>
            </w:pPr>
            <w:r w:rsidRPr="00305668">
              <w:rPr>
                <w:b/>
                <w:bCs/>
                <w:sz w:val="22"/>
                <w:szCs w:val="22"/>
              </w:rPr>
              <w:t>AI Ethics Framework</w:t>
            </w:r>
          </w:p>
        </w:tc>
        <w:tc>
          <w:tcPr>
            <w:tcW w:w="2400" w:type="dxa"/>
          </w:tcPr>
          <w:p w14:paraId="50129559" w14:textId="77777777" w:rsidR="00046C2E" w:rsidRPr="00305668" w:rsidRDefault="000412EC" w:rsidP="00A5799D">
            <w:pPr>
              <w:spacing w:line="360" w:lineRule="auto"/>
              <w:jc w:val="both"/>
            </w:pPr>
            <w:r w:rsidRPr="00305668">
              <w:rPr>
                <w:sz w:val="22"/>
                <w:szCs w:val="22"/>
              </w:rPr>
              <w:t>Internal AI Principles documented; Industrial Copilot governed by internal guidelines</w:t>
            </w:r>
          </w:p>
        </w:tc>
        <w:tc>
          <w:tcPr>
            <w:tcW w:w="2400" w:type="dxa"/>
          </w:tcPr>
          <w:p w14:paraId="73F85F68" w14:textId="77777777" w:rsidR="00046C2E" w:rsidRPr="00305668" w:rsidRDefault="000412EC" w:rsidP="00A5799D">
            <w:pPr>
              <w:spacing w:line="360" w:lineRule="auto"/>
              <w:jc w:val="both"/>
            </w:pPr>
            <w:r w:rsidRPr="00305668">
              <w:rPr>
                <w:sz w:val="22"/>
                <w:szCs w:val="22"/>
              </w:rPr>
              <w:t>Published, externally verified AI Ethics Charter aligned with NIST AI RMF and EU AI Act obligations</w:t>
            </w:r>
          </w:p>
        </w:tc>
        <w:tc>
          <w:tcPr>
            <w:tcW w:w="2226" w:type="dxa"/>
          </w:tcPr>
          <w:p w14:paraId="1A70FE16" w14:textId="77777777" w:rsidR="00046C2E" w:rsidRPr="00305668" w:rsidRDefault="000412EC" w:rsidP="00A5799D">
            <w:pPr>
              <w:spacing w:line="360" w:lineRule="auto"/>
              <w:jc w:val="both"/>
            </w:pPr>
            <w:r w:rsidRPr="00305668">
              <w:rPr>
                <w:sz w:val="22"/>
                <w:szCs w:val="22"/>
              </w:rPr>
              <w:t>Current principles lack external verification; third-party ethics review required to build stakeholder trust (Leslie, 2019)</w:t>
            </w:r>
          </w:p>
        </w:tc>
      </w:tr>
      <w:tr w:rsidR="00046C2E" w14:paraId="5C9C218D" w14:textId="77777777" w:rsidTr="00305668">
        <w:tc>
          <w:tcPr>
            <w:tcW w:w="2200" w:type="dxa"/>
          </w:tcPr>
          <w:p w14:paraId="0358B7FD" w14:textId="77777777" w:rsidR="00046C2E" w:rsidRPr="00305668" w:rsidRDefault="000412EC" w:rsidP="00A5799D">
            <w:pPr>
              <w:spacing w:line="360" w:lineRule="auto"/>
              <w:jc w:val="both"/>
            </w:pPr>
            <w:r w:rsidRPr="00305668">
              <w:rPr>
                <w:b/>
                <w:bCs/>
                <w:sz w:val="22"/>
                <w:szCs w:val="22"/>
              </w:rPr>
              <w:t>OT Data Governance</w:t>
            </w:r>
          </w:p>
        </w:tc>
        <w:tc>
          <w:tcPr>
            <w:tcW w:w="2400" w:type="dxa"/>
          </w:tcPr>
          <w:p w14:paraId="7D971FE0" w14:textId="77777777" w:rsidR="00046C2E" w:rsidRPr="00305668" w:rsidRDefault="000412EC" w:rsidP="00A5799D">
            <w:pPr>
              <w:spacing w:line="360" w:lineRule="auto"/>
              <w:jc w:val="both"/>
            </w:pPr>
            <w:r w:rsidRPr="00305668">
              <w:rPr>
                <w:sz w:val="22"/>
                <w:szCs w:val="22"/>
              </w:rPr>
              <w:t>IT-standard data governance applies to software AI; OT-specific data governance policies still developing</w:t>
            </w:r>
          </w:p>
        </w:tc>
        <w:tc>
          <w:tcPr>
            <w:tcW w:w="2400" w:type="dxa"/>
          </w:tcPr>
          <w:p w14:paraId="29AED2B5" w14:textId="77777777" w:rsidR="00046C2E" w:rsidRPr="00305668" w:rsidRDefault="000412EC" w:rsidP="00A5799D">
            <w:pPr>
              <w:spacing w:line="360" w:lineRule="auto"/>
              <w:jc w:val="both"/>
            </w:pPr>
            <w:r w:rsidRPr="00305668">
              <w:rPr>
                <w:sz w:val="22"/>
                <w:szCs w:val="22"/>
              </w:rPr>
              <w:t>Unified OT-IT data governance standard covering training data quality, access controls and lineage documentation</w:t>
            </w:r>
          </w:p>
        </w:tc>
        <w:tc>
          <w:tcPr>
            <w:tcW w:w="2226" w:type="dxa"/>
          </w:tcPr>
          <w:p w14:paraId="32D626D2" w14:textId="77777777" w:rsidR="00046C2E" w:rsidRPr="00305668" w:rsidRDefault="000412EC" w:rsidP="00A5799D">
            <w:pPr>
              <w:spacing w:line="360" w:lineRule="auto"/>
              <w:jc w:val="both"/>
            </w:pPr>
            <w:r w:rsidRPr="00305668">
              <w:rPr>
                <w:sz w:val="22"/>
                <w:szCs w:val="22"/>
              </w:rPr>
              <w:t xml:space="preserve">OT environments have historically lacked IT-standard data governance; </w:t>
            </w:r>
            <w:proofErr w:type="spellStart"/>
            <w:r w:rsidRPr="00305668">
              <w:rPr>
                <w:sz w:val="22"/>
                <w:szCs w:val="22"/>
              </w:rPr>
              <w:t>Bolgouras</w:t>
            </w:r>
            <w:proofErr w:type="spellEnd"/>
            <w:r w:rsidRPr="00305668">
              <w:rPr>
                <w:sz w:val="22"/>
                <w:szCs w:val="22"/>
              </w:rPr>
              <w:t xml:space="preserve"> et al. (2025) identify this as the most common EU AI Act compliance gap in industrial </w:t>
            </w:r>
            <w:proofErr w:type="spellStart"/>
            <w:r w:rsidRPr="00305668">
              <w:rPr>
                <w:sz w:val="22"/>
                <w:szCs w:val="22"/>
              </w:rPr>
              <w:t>organisations</w:t>
            </w:r>
            <w:proofErr w:type="spellEnd"/>
          </w:p>
        </w:tc>
      </w:tr>
      <w:tr w:rsidR="00046C2E" w14:paraId="5882E6C7" w14:textId="77777777" w:rsidTr="00305668">
        <w:tc>
          <w:tcPr>
            <w:tcW w:w="2200" w:type="dxa"/>
          </w:tcPr>
          <w:p w14:paraId="6CC00133" w14:textId="77777777" w:rsidR="00046C2E" w:rsidRPr="00305668" w:rsidRDefault="000412EC" w:rsidP="00A5799D">
            <w:pPr>
              <w:spacing w:line="360" w:lineRule="auto"/>
              <w:jc w:val="both"/>
            </w:pPr>
            <w:r w:rsidRPr="00305668">
              <w:rPr>
                <w:b/>
                <w:bCs/>
                <w:sz w:val="22"/>
                <w:szCs w:val="22"/>
              </w:rPr>
              <w:t>Workforce AI Literacy</w:t>
            </w:r>
          </w:p>
        </w:tc>
        <w:tc>
          <w:tcPr>
            <w:tcW w:w="2400" w:type="dxa"/>
          </w:tcPr>
          <w:p w14:paraId="1CFAFFB6" w14:textId="77777777" w:rsidR="00046C2E" w:rsidRPr="00305668" w:rsidRDefault="000412EC" w:rsidP="00A5799D">
            <w:pPr>
              <w:spacing w:line="360" w:lineRule="auto"/>
              <w:jc w:val="both"/>
            </w:pPr>
            <w:r w:rsidRPr="00305668">
              <w:rPr>
                <w:sz w:val="22"/>
                <w:szCs w:val="22"/>
              </w:rPr>
              <w:t xml:space="preserve">27 digital learning hours per employee annually (Siemens, 2024a); general AI fluency </w:t>
            </w:r>
            <w:proofErr w:type="spellStart"/>
            <w:r w:rsidRPr="00305668">
              <w:rPr>
                <w:sz w:val="22"/>
                <w:szCs w:val="22"/>
              </w:rPr>
              <w:t>programmes</w:t>
            </w:r>
            <w:proofErr w:type="spellEnd"/>
            <w:r w:rsidRPr="00305668">
              <w:rPr>
                <w:sz w:val="22"/>
                <w:szCs w:val="22"/>
              </w:rPr>
              <w:t xml:space="preserve"> in place</w:t>
            </w:r>
          </w:p>
        </w:tc>
        <w:tc>
          <w:tcPr>
            <w:tcW w:w="2400" w:type="dxa"/>
          </w:tcPr>
          <w:p w14:paraId="64309818" w14:textId="77777777" w:rsidR="00046C2E" w:rsidRPr="00305668" w:rsidRDefault="000412EC" w:rsidP="00A5799D">
            <w:pPr>
              <w:spacing w:line="360" w:lineRule="auto"/>
              <w:jc w:val="both"/>
            </w:pPr>
            <w:r w:rsidRPr="00305668">
              <w:rPr>
                <w:sz w:val="22"/>
                <w:szCs w:val="22"/>
              </w:rPr>
              <w:t>Role-specific AI governance training for engineers, operators, managers and compliance staff</w:t>
            </w:r>
          </w:p>
        </w:tc>
        <w:tc>
          <w:tcPr>
            <w:tcW w:w="2226" w:type="dxa"/>
          </w:tcPr>
          <w:p w14:paraId="3747CCA7" w14:textId="77777777" w:rsidR="00046C2E" w:rsidRPr="00305668" w:rsidRDefault="000412EC" w:rsidP="00A5799D">
            <w:pPr>
              <w:spacing w:line="360" w:lineRule="auto"/>
              <w:jc w:val="both"/>
            </w:pPr>
            <w:r w:rsidRPr="00305668">
              <w:rPr>
                <w:sz w:val="22"/>
                <w:szCs w:val="22"/>
              </w:rPr>
              <w:t>General literacy does not guarantee governance competency; domain-specific training required for safety-</w:t>
            </w:r>
            <w:r w:rsidRPr="00305668">
              <w:rPr>
                <w:sz w:val="22"/>
                <w:szCs w:val="22"/>
              </w:rPr>
              <w:lastRenderedPageBreak/>
              <w:t>critical AI contexts (Hofstede, 2011)</w:t>
            </w:r>
          </w:p>
        </w:tc>
      </w:tr>
      <w:tr w:rsidR="00046C2E" w14:paraId="1E93667E" w14:textId="77777777" w:rsidTr="00305668">
        <w:tc>
          <w:tcPr>
            <w:tcW w:w="2200" w:type="dxa"/>
          </w:tcPr>
          <w:p w14:paraId="30DC3E67" w14:textId="77777777" w:rsidR="00046C2E" w:rsidRPr="00305668" w:rsidRDefault="000412EC" w:rsidP="00A5799D">
            <w:pPr>
              <w:spacing w:line="360" w:lineRule="auto"/>
              <w:jc w:val="both"/>
            </w:pPr>
            <w:r w:rsidRPr="00305668">
              <w:rPr>
                <w:b/>
                <w:bCs/>
                <w:sz w:val="22"/>
                <w:szCs w:val="22"/>
              </w:rPr>
              <w:lastRenderedPageBreak/>
              <w:t>Regulatory Compliance Readiness</w:t>
            </w:r>
          </w:p>
        </w:tc>
        <w:tc>
          <w:tcPr>
            <w:tcW w:w="2400" w:type="dxa"/>
          </w:tcPr>
          <w:p w14:paraId="0C52D4A8" w14:textId="77777777" w:rsidR="00046C2E" w:rsidRPr="00305668" w:rsidRDefault="000412EC" w:rsidP="00A5799D">
            <w:pPr>
              <w:spacing w:line="360" w:lineRule="auto"/>
              <w:jc w:val="both"/>
            </w:pPr>
            <w:r w:rsidRPr="00305668">
              <w:rPr>
                <w:sz w:val="22"/>
                <w:szCs w:val="22"/>
              </w:rPr>
              <w:t>EU AI Act self-assessment activities under way; high-risk AI system inventory in progress</w:t>
            </w:r>
          </w:p>
        </w:tc>
        <w:tc>
          <w:tcPr>
            <w:tcW w:w="2400" w:type="dxa"/>
          </w:tcPr>
          <w:p w14:paraId="60B4DF56" w14:textId="77777777" w:rsidR="00046C2E" w:rsidRPr="00305668" w:rsidRDefault="000412EC" w:rsidP="00A5799D">
            <w:pPr>
              <w:spacing w:line="360" w:lineRule="auto"/>
              <w:jc w:val="both"/>
            </w:pPr>
            <w:r w:rsidRPr="00305668">
              <w:rPr>
                <w:sz w:val="22"/>
                <w:szCs w:val="22"/>
              </w:rPr>
              <w:t>Documented conformity assessment for all high-risk systems by August 2027; proactive engagement with EU AI Office</w:t>
            </w:r>
          </w:p>
        </w:tc>
        <w:tc>
          <w:tcPr>
            <w:tcW w:w="2226" w:type="dxa"/>
          </w:tcPr>
          <w:p w14:paraId="15E8C9D3" w14:textId="77777777" w:rsidR="00046C2E" w:rsidRPr="00305668" w:rsidRDefault="000412EC" w:rsidP="00A5799D">
            <w:pPr>
              <w:spacing w:line="360" w:lineRule="auto"/>
              <w:jc w:val="both"/>
            </w:pPr>
            <w:r w:rsidRPr="00305668">
              <w:rPr>
                <w:sz w:val="22"/>
                <w:szCs w:val="22"/>
              </w:rPr>
              <w:t>Voluntary early compliance ahead of August 2027 mandatory deadline provides both competitive and reputational advantage (European Parliament, 2025)</w:t>
            </w:r>
          </w:p>
        </w:tc>
      </w:tr>
    </w:tbl>
    <w:p w14:paraId="17CFA427" w14:textId="77777777" w:rsidR="00046C2E" w:rsidRDefault="00046C2E" w:rsidP="00A5799D">
      <w:pPr>
        <w:spacing w:before="120" w:after="80" w:line="360" w:lineRule="auto"/>
        <w:jc w:val="both"/>
      </w:pPr>
    </w:p>
    <w:p w14:paraId="2618F46E" w14:textId="1930C3D0" w:rsidR="006A7D96" w:rsidRDefault="006A7D96" w:rsidP="00A5799D">
      <w:pPr>
        <w:spacing w:before="80" w:after="120" w:line="360" w:lineRule="auto"/>
        <w:jc w:val="both"/>
      </w:pPr>
      <w:r>
        <w:t xml:space="preserve">At the core of Siemens' AI governance problem lies a key tension. Strategic advantage is gained by using AI at scale and speed in a wide range of industrial applications. Regulatory and ethical considerations demand that this be done responsibly, </w:t>
      </w:r>
      <w:r w:rsidR="004D41D2">
        <w:t>transparently,</w:t>
      </w:r>
      <w:r>
        <w:t xml:space="preserve"> and with documented accountability. These are not distant goals, but do require institutional design to be pursued in parallel. Table 2 compares Siemens' existing governance arrangements with the regulatory and industrial stakeholders' obligations, highlighting the gaps that the implementation plan presented in Section 3 aims to address.</w:t>
      </w:r>
    </w:p>
    <w:p w14:paraId="2E4D2041" w14:textId="77777777" w:rsidR="006A7D96" w:rsidRDefault="006A7D96" w:rsidP="00A5799D">
      <w:pPr>
        <w:spacing w:before="80" w:after="120" w:line="360" w:lineRule="auto"/>
        <w:jc w:val="both"/>
      </w:pPr>
      <w:r>
        <w:t xml:space="preserve">The operational data governance dimension is critical for analysis because it is the highest priority compliance gap. Historically, industrial sensor data has been produced and used locally, without documentation, data lineage or with any expectation that it will be used to train machine learning algorithms. With the emergence of </w:t>
      </w:r>
      <w:proofErr w:type="spellStart"/>
      <w:r>
        <w:t>IIoT</w:t>
      </w:r>
      <w:proofErr w:type="spellEnd"/>
      <w:r>
        <w:t xml:space="preserve"> and industrial AI, this changes: data generated by Siemens' industrial systems is now the "input" material for AI models, and the quality of the data used is a critical determinant of the quality and fairness of AI decisions. </w:t>
      </w:r>
      <w:proofErr w:type="spellStart"/>
      <w:r>
        <w:t>Batool</w:t>
      </w:r>
      <w:proofErr w:type="spellEnd"/>
      <w:r>
        <w:t xml:space="preserve">, </w:t>
      </w:r>
      <w:proofErr w:type="spellStart"/>
      <w:r>
        <w:t>Zowghi</w:t>
      </w:r>
      <w:proofErr w:type="spellEnd"/>
      <w:r>
        <w:t xml:space="preserve"> and </w:t>
      </w:r>
      <w:proofErr w:type="spellStart"/>
      <w:r>
        <w:t>Bano</w:t>
      </w:r>
      <w:proofErr w:type="spellEnd"/>
      <w:r>
        <w:t xml:space="preserve"> (2025) point to data governance as one of the most underdeveloped areas of AI governance, noting that </w:t>
      </w:r>
      <w:proofErr w:type="spellStart"/>
      <w:r>
        <w:t>organisations</w:t>
      </w:r>
      <w:proofErr w:type="spellEnd"/>
      <w:r>
        <w:t xml:space="preserve"> tend to </w:t>
      </w:r>
      <w:proofErr w:type="spellStart"/>
      <w:r>
        <w:t>prioritise</w:t>
      </w:r>
      <w:proofErr w:type="spellEnd"/>
      <w:r>
        <w:t xml:space="preserve"> model governance while neglecting the data quality and documentation processes that underpin model training.</w:t>
      </w:r>
    </w:p>
    <w:p w14:paraId="02C6ED66" w14:textId="4114B137" w:rsidR="006A7D96" w:rsidRDefault="006A7D96" w:rsidP="00A5799D">
      <w:pPr>
        <w:spacing w:before="80" w:after="120" w:line="360" w:lineRule="auto"/>
        <w:jc w:val="both"/>
      </w:pPr>
      <w:r>
        <w:t xml:space="preserve">The ethical deployment of AI in industrial settings raises different concerns to consumer AI. </w:t>
      </w:r>
      <w:proofErr w:type="spellStart"/>
      <w:r>
        <w:t>Floridi</w:t>
      </w:r>
      <w:proofErr w:type="spellEnd"/>
      <w:r>
        <w:t xml:space="preserve"> et al. (2018) claim that ethical AI should be accountable, explainable, inclusive, safe and secure. In manufacturing, accountability means </w:t>
      </w:r>
      <w:r w:rsidR="004D41D2">
        <w:t>recording</w:t>
      </w:r>
      <w:r>
        <w:t xml:space="preserve"> maintenance tasks guided by AI that impact employee safety. Explainability means giving engineers AI recommendations that they </w:t>
      </w:r>
      <w:r>
        <w:lastRenderedPageBreak/>
        <w:t xml:space="preserve">can challenge. </w:t>
      </w:r>
      <w:proofErr w:type="spellStart"/>
      <w:r>
        <w:t>Jobin</w:t>
      </w:r>
      <w:proofErr w:type="spellEnd"/>
      <w:r>
        <w:t xml:space="preserve">, </w:t>
      </w:r>
      <w:proofErr w:type="spellStart"/>
      <w:r>
        <w:t>Ienca</w:t>
      </w:r>
      <w:proofErr w:type="spellEnd"/>
      <w:r>
        <w:t xml:space="preserve"> and </w:t>
      </w:r>
      <w:proofErr w:type="spellStart"/>
      <w:r>
        <w:t>Vayena</w:t>
      </w:r>
      <w:proofErr w:type="spellEnd"/>
      <w:r>
        <w:t xml:space="preserve"> (2019) undertook a worldwide review of AI ethics guidelines, finding principles of accountability, transparency and human oversight recurring most frequently - the same principles that were embedded in the EU AI Act. Hilb (2020) suggests AI is a corporate governance issue that has a reputation and financial risk for which they cannot leave responsibility to the IT department. Cihon, Schuett and Baum (2021) explicitly position this as public-interested corporate governance: companies operating AI on the scale of Siemens need to consider systemic social and safety impacts on communities where their technologies are used, not just efficiency gains within the company.</w:t>
      </w:r>
    </w:p>
    <w:p w14:paraId="3A192E49" w14:textId="77777777" w:rsidR="00046C2E" w:rsidRDefault="00046C2E" w:rsidP="00A5799D">
      <w:pPr>
        <w:spacing w:before="60" w:after="40" w:line="360" w:lineRule="auto"/>
        <w:jc w:val="both"/>
      </w:pPr>
    </w:p>
    <w:p w14:paraId="73116E5F" w14:textId="77777777" w:rsidR="00046C2E" w:rsidRDefault="000412EC" w:rsidP="00A5799D">
      <w:pPr>
        <w:pStyle w:val="Heading2"/>
        <w:spacing w:line="360" w:lineRule="auto"/>
        <w:jc w:val="both"/>
      </w:pPr>
      <w:bookmarkStart w:id="9" w:name="_Toc228218226"/>
      <w:r>
        <w:t>2.6 Building the Framework: An AI Governance Lifecycle for Siemens</w:t>
      </w:r>
      <w:bookmarkEnd w:id="9"/>
    </w:p>
    <w:p w14:paraId="6BF576EE" w14:textId="1C9A48E1" w:rsidR="00921221" w:rsidRDefault="00921221" w:rsidP="00A5799D">
      <w:pPr>
        <w:spacing w:before="80" w:after="120" w:line="360" w:lineRule="auto"/>
        <w:jc w:val="both"/>
      </w:pPr>
      <w:r w:rsidRPr="00921221">
        <w:t>The following five-stage AI governance lifecycle for Siemens (Diagram 1) illustrates an approach to governance across the industrial ecosystem. This is distinct from a general governance model which views deployment as a one-time affair, as industrial AI systems are continually updated and refined during operation based on experience, model enhancements and regulatory developments. Thus, AI governance is an ongoing operational task rather than a one-off compliance task. The stages align with EU AI Act requirements, but are also feasible within Siemens' engineering and quality management framework.</w:t>
      </w:r>
    </w:p>
    <w:p w14:paraId="48F6FB80" w14:textId="77777777" w:rsidR="00046C2E" w:rsidRDefault="00046C2E" w:rsidP="00A5799D">
      <w:pPr>
        <w:spacing w:before="60" w:after="40" w:line="360" w:lineRule="auto"/>
        <w:jc w:val="both"/>
      </w:pPr>
    </w:p>
    <w:p w14:paraId="461B2C8D" w14:textId="3339AD4D" w:rsidR="00046C2E" w:rsidRDefault="000412EC" w:rsidP="00A5799D">
      <w:pPr>
        <w:spacing w:before="100" w:after="60" w:line="360" w:lineRule="auto"/>
        <w:jc w:val="both"/>
      </w:pPr>
      <w:r>
        <w:rPr>
          <w:rFonts w:ascii="Arial" w:eastAsia="Arial" w:hAnsi="Arial" w:cs="Arial"/>
          <w:b/>
          <w:bCs/>
          <w:i/>
          <w:iCs/>
          <w:color w:val="2D6A4F"/>
          <w:sz w:val="20"/>
          <w:szCs w:val="20"/>
        </w:rPr>
        <w:t xml:space="preserve">Diagram 1: Siemens AI Governance Lifecycle </w:t>
      </w:r>
      <w:r w:rsidR="00305668">
        <w:rPr>
          <w:rFonts w:ascii="Arial" w:eastAsia="Arial" w:hAnsi="Arial" w:cs="Arial"/>
          <w:b/>
          <w:bCs/>
          <w:i/>
          <w:iCs/>
          <w:color w:val="2D6A4F"/>
          <w:sz w:val="20"/>
          <w:szCs w:val="20"/>
        </w:rPr>
        <w:t>-</w:t>
      </w:r>
      <w:r>
        <w:rPr>
          <w:rFonts w:ascii="Arial" w:eastAsia="Arial" w:hAnsi="Arial" w:cs="Arial"/>
          <w:b/>
          <w:bCs/>
          <w:i/>
          <w:iCs/>
          <w:color w:val="2D6A4F"/>
          <w:sz w:val="20"/>
          <w:szCs w:val="20"/>
        </w:rPr>
        <w:t xml:space="preserve"> From Design to Monitor (Source: </w:t>
      </w:r>
      <w:r w:rsidR="00305668">
        <w:rPr>
          <w:rFonts w:ascii="Arial" w:eastAsia="Arial" w:hAnsi="Arial" w:cs="Arial"/>
          <w:b/>
          <w:bCs/>
          <w:i/>
          <w:iCs/>
          <w:color w:val="2D6A4F"/>
          <w:sz w:val="20"/>
          <w:szCs w:val="20"/>
        </w:rPr>
        <w:t>Self-made</w:t>
      </w:r>
      <w:r>
        <w:rPr>
          <w:rFonts w:ascii="Arial" w:eastAsia="Arial" w:hAnsi="Arial" w:cs="Arial"/>
          <w:b/>
          <w:bCs/>
          <w:i/>
          <w:iCs/>
          <w:color w:val="2D6A4F"/>
          <w:sz w:val="20"/>
          <w:szCs w:val="20"/>
        </w:rPr>
        <w:t>)</w:t>
      </w:r>
    </w:p>
    <w:tbl>
      <w:tblPr>
        <w:tblW w:w="9226" w:type="dxa"/>
        <w:tblInd w:w="-3" w:type="dxa"/>
        <w:tblBorders>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453"/>
        <w:gridCol w:w="280"/>
        <w:gridCol w:w="1443"/>
        <w:gridCol w:w="280"/>
        <w:gridCol w:w="1444"/>
        <w:gridCol w:w="280"/>
        <w:gridCol w:w="1444"/>
        <w:gridCol w:w="280"/>
        <w:gridCol w:w="1401"/>
        <w:gridCol w:w="921"/>
      </w:tblGrid>
      <w:tr w:rsidR="00046C2E" w14:paraId="52112ACA" w14:textId="77777777">
        <w:trPr>
          <w:gridAfter w:val="1"/>
          <w:wAfter w:w="1011" w:type="dxa"/>
        </w:trPr>
        <w:tc>
          <w:tcPr>
            <w:tcW w:w="1460" w:type="dxa"/>
            <w:tcBorders>
              <w:top w:val="single" w:sz="2" w:space="0" w:color="74C69D"/>
              <w:left w:val="single" w:sz="2" w:space="0" w:color="74C69D"/>
              <w:bottom w:val="single" w:sz="2" w:space="0" w:color="74C69D"/>
              <w:right w:val="single" w:sz="2" w:space="0" w:color="74C69D"/>
            </w:tcBorders>
            <w:shd w:val="clear" w:color="auto" w:fill="D8F3DC"/>
            <w:tcMar>
              <w:top w:w="120" w:type="dxa"/>
              <w:left w:w="140" w:type="dxa"/>
              <w:bottom w:w="120" w:type="dxa"/>
              <w:right w:w="140" w:type="dxa"/>
            </w:tcMar>
          </w:tcPr>
          <w:p w14:paraId="1B88E8E7" w14:textId="77777777" w:rsidR="00046C2E" w:rsidRDefault="000412EC" w:rsidP="00A5799D">
            <w:pPr>
              <w:spacing w:after="60" w:line="360" w:lineRule="auto"/>
              <w:jc w:val="both"/>
            </w:pPr>
            <w:r>
              <w:rPr>
                <w:rFonts w:ascii="Arial" w:eastAsia="Arial" w:hAnsi="Arial" w:cs="Arial"/>
                <w:b/>
                <w:bCs/>
                <w:color w:val="1B4332"/>
                <w:sz w:val="22"/>
                <w:szCs w:val="22"/>
              </w:rPr>
              <w:t>1. Design</w:t>
            </w:r>
          </w:p>
          <w:p w14:paraId="6E5BAAED" w14:textId="77777777" w:rsidR="00046C2E" w:rsidRDefault="000412EC" w:rsidP="00A5799D">
            <w:pPr>
              <w:spacing w:line="360" w:lineRule="auto"/>
              <w:jc w:val="both"/>
            </w:pPr>
            <w:r>
              <w:rPr>
                <w:rFonts w:ascii="Arial" w:eastAsia="Arial" w:hAnsi="Arial" w:cs="Arial"/>
                <w:color w:val="2D6A4F"/>
                <w:sz w:val="18"/>
                <w:szCs w:val="18"/>
              </w:rPr>
              <w:t>Define AI objectives, data requirements, risk classification</w:t>
            </w:r>
          </w:p>
        </w:tc>
        <w:tc>
          <w:tcPr>
            <w:tcW w:w="240" w:type="dxa"/>
            <w:shd w:val="clear" w:color="auto" w:fill="FFFFFF"/>
            <w:tcMar>
              <w:top w:w="80" w:type="dxa"/>
              <w:left w:w="40" w:type="dxa"/>
              <w:bottom w:w="80" w:type="dxa"/>
              <w:right w:w="40" w:type="dxa"/>
            </w:tcMar>
            <w:vAlign w:val="center"/>
          </w:tcPr>
          <w:p w14:paraId="4DB92B1A" w14:textId="77777777" w:rsidR="00046C2E" w:rsidRDefault="000412EC" w:rsidP="00A5799D">
            <w:pPr>
              <w:spacing w:line="360" w:lineRule="auto"/>
              <w:jc w:val="both"/>
            </w:pPr>
            <w:r>
              <w:rPr>
                <w:rFonts w:ascii="Arial" w:eastAsia="Arial" w:hAnsi="Arial" w:cs="Arial"/>
                <w:b/>
                <w:bCs/>
                <w:color w:val="2D6A4F"/>
                <w:sz w:val="20"/>
                <w:szCs w:val="20"/>
              </w:rPr>
              <w:t>→</w:t>
            </w:r>
          </w:p>
        </w:tc>
        <w:tc>
          <w:tcPr>
            <w:tcW w:w="1460" w:type="dxa"/>
            <w:tcBorders>
              <w:top w:val="single" w:sz="2" w:space="0" w:color="74C69D"/>
              <w:left w:val="single" w:sz="2" w:space="0" w:color="74C69D"/>
              <w:bottom w:val="single" w:sz="2" w:space="0" w:color="74C69D"/>
              <w:right w:val="single" w:sz="2" w:space="0" w:color="74C69D"/>
            </w:tcBorders>
            <w:shd w:val="clear" w:color="auto" w:fill="B7E4C7"/>
            <w:tcMar>
              <w:top w:w="120" w:type="dxa"/>
              <w:left w:w="140" w:type="dxa"/>
              <w:bottom w:w="120" w:type="dxa"/>
              <w:right w:w="140" w:type="dxa"/>
            </w:tcMar>
          </w:tcPr>
          <w:p w14:paraId="53B75897" w14:textId="77777777" w:rsidR="00046C2E" w:rsidRDefault="000412EC" w:rsidP="00A5799D">
            <w:pPr>
              <w:spacing w:after="60" w:line="360" w:lineRule="auto"/>
              <w:jc w:val="both"/>
            </w:pPr>
            <w:r>
              <w:rPr>
                <w:rFonts w:ascii="Arial" w:eastAsia="Arial" w:hAnsi="Arial" w:cs="Arial"/>
                <w:b/>
                <w:bCs/>
                <w:color w:val="1B4332"/>
                <w:sz w:val="22"/>
                <w:szCs w:val="22"/>
              </w:rPr>
              <w:t>2. Develop</w:t>
            </w:r>
          </w:p>
          <w:p w14:paraId="3BCE7205" w14:textId="77777777" w:rsidR="00046C2E" w:rsidRDefault="000412EC" w:rsidP="00A5799D">
            <w:pPr>
              <w:spacing w:line="360" w:lineRule="auto"/>
              <w:jc w:val="both"/>
            </w:pPr>
            <w:r>
              <w:rPr>
                <w:rFonts w:ascii="Arial" w:eastAsia="Arial" w:hAnsi="Arial" w:cs="Arial"/>
                <w:color w:val="2D6A4F"/>
                <w:sz w:val="18"/>
                <w:szCs w:val="18"/>
              </w:rPr>
              <w:t>Build and train models; apply data governance; document lineage</w:t>
            </w:r>
          </w:p>
        </w:tc>
        <w:tc>
          <w:tcPr>
            <w:tcW w:w="240" w:type="dxa"/>
            <w:shd w:val="clear" w:color="auto" w:fill="FFFFFF"/>
            <w:tcMar>
              <w:top w:w="80" w:type="dxa"/>
              <w:left w:w="40" w:type="dxa"/>
              <w:bottom w:w="80" w:type="dxa"/>
              <w:right w:w="40" w:type="dxa"/>
            </w:tcMar>
            <w:vAlign w:val="center"/>
          </w:tcPr>
          <w:p w14:paraId="79F9097F" w14:textId="77777777" w:rsidR="00046C2E" w:rsidRDefault="000412EC" w:rsidP="00A5799D">
            <w:pPr>
              <w:spacing w:line="360" w:lineRule="auto"/>
              <w:jc w:val="both"/>
            </w:pPr>
            <w:r>
              <w:rPr>
                <w:rFonts w:ascii="Arial" w:eastAsia="Arial" w:hAnsi="Arial" w:cs="Arial"/>
                <w:b/>
                <w:bCs/>
                <w:color w:val="2D6A4F"/>
                <w:sz w:val="20"/>
                <w:szCs w:val="20"/>
              </w:rPr>
              <w:t>→</w:t>
            </w:r>
          </w:p>
        </w:tc>
        <w:tc>
          <w:tcPr>
            <w:tcW w:w="1460" w:type="dxa"/>
            <w:tcBorders>
              <w:top w:val="single" w:sz="2" w:space="0" w:color="74C69D"/>
              <w:left w:val="single" w:sz="2" w:space="0" w:color="74C69D"/>
              <w:bottom w:val="single" w:sz="2" w:space="0" w:color="74C69D"/>
              <w:right w:val="single" w:sz="2" w:space="0" w:color="74C69D"/>
            </w:tcBorders>
            <w:shd w:val="clear" w:color="auto" w:fill="95D5B2"/>
            <w:tcMar>
              <w:top w:w="120" w:type="dxa"/>
              <w:left w:w="140" w:type="dxa"/>
              <w:bottom w:w="120" w:type="dxa"/>
              <w:right w:w="140" w:type="dxa"/>
            </w:tcMar>
          </w:tcPr>
          <w:p w14:paraId="61EE4B9D" w14:textId="77777777" w:rsidR="00046C2E" w:rsidRDefault="000412EC" w:rsidP="00A5799D">
            <w:pPr>
              <w:spacing w:after="60" w:line="360" w:lineRule="auto"/>
              <w:jc w:val="both"/>
            </w:pPr>
            <w:r>
              <w:rPr>
                <w:rFonts w:ascii="Arial" w:eastAsia="Arial" w:hAnsi="Arial" w:cs="Arial"/>
                <w:b/>
                <w:bCs/>
                <w:color w:val="1B4332"/>
                <w:sz w:val="22"/>
                <w:szCs w:val="22"/>
              </w:rPr>
              <w:t>3. Validate</w:t>
            </w:r>
          </w:p>
          <w:p w14:paraId="0DD7B741" w14:textId="77777777" w:rsidR="00046C2E" w:rsidRDefault="000412EC" w:rsidP="00A5799D">
            <w:pPr>
              <w:spacing w:line="360" w:lineRule="auto"/>
              <w:jc w:val="both"/>
            </w:pPr>
            <w:r>
              <w:rPr>
                <w:rFonts w:ascii="Arial" w:eastAsia="Arial" w:hAnsi="Arial" w:cs="Arial"/>
                <w:color w:val="2D6A4F"/>
                <w:sz w:val="18"/>
                <w:szCs w:val="18"/>
              </w:rPr>
              <w:t>Bias testing; safety assessment; XAI review; regulatory pre-check</w:t>
            </w:r>
          </w:p>
        </w:tc>
        <w:tc>
          <w:tcPr>
            <w:tcW w:w="240" w:type="dxa"/>
            <w:shd w:val="clear" w:color="auto" w:fill="FFFFFF"/>
            <w:tcMar>
              <w:top w:w="80" w:type="dxa"/>
              <w:left w:w="40" w:type="dxa"/>
              <w:bottom w:w="80" w:type="dxa"/>
              <w:right w:w="40" w:type="dxa"/>
            </w:tcMar>
            <w:vAlign w:val="center"/>
          </w:tcPr>
          <w:p w14:paraId="279DFDB3" w14:textId="77777777" w:rsidR="00046C2E" w:rsidRDefault="000412EC" w:rsidP="00A5799D">
            <w:pPr>
              <w:spacing w:line="360" w:lineRule="auto"/>
              <w:jc w:val="both"/>
            </w:pPr>
            <w:r>
              <w:rPr>
                <w:rFonts w:ascii="Arial" w:eastAsia="Arial" w:hAnsi="Arial" w:cs="Arial"/>
                <w:b/>
                <w:bCs/>
                <w:color w:val="2D6A4F"/>
                <w:sz w:val="20"/>
                <w:szCs w:val="20"/>
              </w:rPr>
              <w:t>→</w:t>
            </w:r>
          </w:p>
        </w:tc>
        <w:tc>
          <w:tcPr>
            <w:tcW w:w="1460" w:type="dxa"/>
            <w:tcBorders>
              <w:top w:val="single" w:sz="2" w:space="0" w:color="74C69D"/>
              <w:left w:val="single" w:sz="2" w:space="0" w:color="74C69D"/>
              <w:bottom w:val="single" w:sz="2" w:space="0" w:color="74C69D"/>
              <w:right w:val="single" w:sz="2" w:space="0" w:color="74C69D"/>
            </w:tcBorders>
            <w:shd w:val="clear" w:color="auto" w:fill="74C69D"/>
            <w:tcMar>
              <w:top w:w="120" w:type="dxa"/>
              <w:left w:w="140" w:type="dxa"/>
              <w:bottom w:w="120" w:type="dxa"/>
              <w:right w:w="140" w:type="dxa"/>
            </w:tcMar>
          </w:tcPr>
          <w:p w14:paraId="731A81A2" w14:textId="77777777" w:rsidR="00046C2E" w:rsidRDefault="000412EC" w:rsidP="00A5799D">
            <w:pPr>
              <w:spacing w:after="60" w:line="360" w:lineRule="auto"/>
              <w:jc w:val="both"/>
            </w:pPr>
            <w:r>
              <w:rPr>
                <w:rFonts w:ascii="Arial" w:eastAsia="Arial" w:hAnsi="Arial" w:cs="Arial"/>
                <w:b/>
                <w:bCs/>
                <w:color w:val="1B4332"/>
                <w:sz w:val="22"/>
                <w:szCs w:val="22"/>
              </w:rPr>
              <w:t>4. Deploy</w:t>
            </w:r>
          </w:p>
          <w:p w14:paraId="5AEC1A3D" w14:textId="77777777" w:rsidR="00046C2E" w:rsidRDefault="000412EC" w:rsidP="00A5799D">
            <w:pPr>
              <w:spacing w:line="360" w:lineRule="auto"/>
              <w:jc w:val="both"/>
            </w:pPr>
            <w:r>
              <w:rPr>
                <w:rFonts w:ascii="Arial" w:eastAsia="Arial" w:hAnsi="Arial" w:cs="Arial"/>
                <w:color w:val="2D6A4F"/>
                <w:sz w:val="18"/>
                <w:szCs w:val="18"/>
              </w:rPr>
              <w:t>Conformity assessment; CE marking for EU; human oversight protocols</w:t>
            </w:r>
          </w:p>
        </w:tc>
        <w:tc>
          <w:tcPr>
            <w:tcW w:w="240" w:type="dxa"/>
            <w:shd w:val="clear" w:color="auto" w:fill="FFFFFF"/>
            <w:tcMar>
              <w:top w:w="80" w:type="dxa"/>
              <w:left w:w="40" w:type="dxa"/>
              <w:bottom w:w="80" w:type="dxa"/>
              <w:right w:w="40" w:type="dxa"/>
            </w:tcMar>
            <w:vAlign w:val="center"/>
          </w:tcPr>
          <w:p w14:paraId="2EB76FB3" w14:textId="77777777" w:rsidR="00046C2E" w:rsidRDefault="000412EC" w:rsidP="00A5799D">
            <w:pPr>
              <w:spacing w:line="360" w:lineRule="auto"/>
              <w:jc w:val="both"/>
            </w:pPr>
            <w:r>
              <w:rPr>
                <w:rFonts w:ascii="Arial" w:eastAsia="Arial" w:hAnsi="Arial" w:cs="Arial"/>
                <w:b/>
                <w:bCs/>
                <w:color w:val="2D6A4F"/>
                <w:sz w:val="20"/>
                <w:szCs w:val="20"/>
              </w:rPr>
              <w:t>→</w:t>
            </w:r>
          </w:p>
        </w:tc>
        <w:tc>
          <w:tcPr>
            <w:tcW w:w="1412" w:type="dxa"/>
            <w:tcBorders>
              <w:top w:val="single" w:sz="2" w:space="0" w:color="74C69D"/>
              <w:left w:val="single" w:sz="2" w:space="0" w:color="74C69D"/>
              <w:bottom w:val="single" w:sz="2" w:space="0" w:color="74C69D"/>
              <w:right w:val="single" w:sz="2" w:space="0" w:color="74C69D"/>
            </w:tcBorders>
            <w:shd w:val="clear" w:color="auto" w:fill="52B788"/>
            <w:tcMar>
              <w:top w:w="120" w:type="dxa"/>
              <w:left w:w="140" w:type="dxa"/>
              <w:bottom w:w="120" w:type="dxa"/>
              <w:right w:w="140" w:type="dxa"/>
            </w:tcMar>
          </w:tcPr>
          <w:p w14:paraId="4E450230" w14:textId="77777777" w:rsidR="00046C2E" w:rsidRDefault="000412EC" w:rsidP="00A5799D">
            <w:pPr>
              <w:spacing w:after="60" w:line="360" w:lineRule="auto"/>
              <w:jc w:val="both"/>
            </w:pPr>
            <w:r>
              <w:rPr>
                <w:rFonts w:ascii="Arial" w:eastAsia="Arial" w:hAnsi="Arial" w:cs="Arial"/>
                <w:b/>
                <w:bCs/>
                <w:color w:val="1B4332"/>
                <w:sz w:val="22"/>
                <w:szCs w:val="22"/>
              </w:rPr>
              <w:t>5. Monitor</w:t>
            </w:r>
          </w:p>
          <w:p w14:paraId="4871D550" w14:textId="77777777" w:rsidR="00046C2E" w:rsidRDefault="000412EC" w:rsidP="00A5799D">
            <w:pPr>
              <w:spacing w:line="360" w:lineRule="auto"/>
              <w:jc w:val="both"/>
            </w:pPr>
            <w:r>
              <w:rPr>
                <w:rFonts w:ascii="Arial" w:eastAsia="Arial" w:hAnsi="Arial" w:cs="Arial"/>
                <w:color w:val="2D6A4F"/>
                <w:sz w:val="18"/>
                <w:szCs w:val="18"/>
              </w:rPr>
              <w:t>Continuous performance tracking; incident reporting; post-market surveillance</w:t>
            </w:r>
          </w:p>
        </w:tc>
      </w:tr>
      <w:tr w:rsidR="00046C2E" w14:paraId="51D59961" w14:textId="77777777">
        <w:tc>
          <w:tcPr>
            <w:tcW w:w="9226" w:type="dxa"/>
            <w:gridSpan w:val="10"/>
            <w:tcMar>
              <w:top w:w="60" w:type="dxa"/>
              <w:bottom w:w="60" w:type="dxa"/>
            </w:tcMar>
          </w:tcPr>
          <w:p w14:paraId="77A36138" w14:textId="661E5D4B" w:rsidR="00046C2E" w:rsidRDefault="00A5799D" w:rsidP="00A5799D">
            <w:pPr>
              <w:spacing w:line="360" w:lineRule="auto"/>
              <w:jc w:val="both"/>
            </w:pPr>
            <w:r>
              <w:rPr>
                <w:rFonts w:ascii="Arial" w:eastAsia="Arial" w:hAnsi="Arial" w:cs="Arial"/>
                <w:i/>
                <w:iCs/>
                <w:color w:val="2D6A4F"/>
                <w:sz w:val="18"/>
                <w:szCs w:val="18"/>
              </w:rPr>
              <w:t xml:space="preserve"> Governance feedback loop: findings from Monitor inform redesign at Stage 1</w:t>
            </w:r>
          </w:p>
        </w:tc>
      </w:tr>
    </w:tbl>
    <w:p w14:paraId="0A69F7C8" w14:textId="77777777" w:rsidR="00046C2E" w:rsidRDefault="00046C2E" w:rsidP="00A5799D">
      <w:pPr>
        <w:spacing w:before="120" w:after="80" w:line="360" w:lineRule="auto"/>
        <w:jc w:val="both"/>
      </w:pPr>
    </w:p>
    <w:p w14:paraId="640302D1" w14:textId="77777777" w:rsidR="00921221" w:rsidRDefault="00921221" w:rsidP="00A5799D">
      <w:pPr>
        <w:spacing w:before="60" w:after="40" w:line="360" w:lineRule="auto"/>
        <w:jc w:val="both"/>
      </w:pPr>
      <w:r>
        <w:t xml:space="preserve">The Design stage requires EU AI Act risk classification prior to development commencing: governance investment upfront, avoiding redesign post-deployment. European Parliament (2025) advice stresses the importance of the "best way" to achieve compliance - integrating </w:t>
      </w:r>
      <w:r>
        <w:lastRenderedPageBreak/>
        <w:t xml:space="preserve">governance. The Develop stage requires the application of the OT-IT integrated data governance standard in Table 2, including data lineage documentation and GDPR-compliance data processing for training data. The Validate stage is where this framework most directly interacts with regulatory compliance: independent bias, safety and explainable AI reviews must be performed and documented prior to deployment. </w:t>
      </w:r>
      <w:proofErr w:type="spellStart"/>
      <w:r>
        <w:t>Bolgouras</w:t>
      </w:r>
      <w:proofErr w:type="spellEnd"/>
      <w:r>
        <w:t xml:space="preserve"> et al. (2025) note that this validation documentation is the particular gap most frequently referenced in industrial </w:t>
      </w:r>
      <w:proofErr w:type="spellStart"/>
      <w:r>
        <w:t>organisations'</w:t>
      </w:r>
      <w:proofErr w:type="spellEnd"/>
      <w:r>
        <w:t xml:space="preserve"> self-assessment of EU AI Act compliance.</w:t>
      </w:r>
    </w:p>
    <w:p w14:paraId="2F59732E" w14:textId="090549B0" w:rsidR="00046C2E" w:rsidRDefault="00921221" w:rsidP="00A5799D">
      <w:pPr>
        <w:spacing w:before="60" w:after="40" w:line="360" w:lineRule="auto"/>
        <w:jc w:val="both"/>
      </w:pPr>
      <w:r>
        <w:t xml:space="preserve">The Deploy stage mandates conformity assessment and, where required, CE marking of AI in regulated products. PricewaterhouseCoopers (2024) report that most industrial </w:t>
      </w:r>
      <w:proofErr w:type="spellStart"/>
      <w:r>
        <w:t>organisations</w:t>
      </w:r>
      <w:proofErr w:type="spellEnd"/>
      <w:r>
        <w:t xml:space="preserve"> lag in their documentation infrastructure for this stage. The Monitor stage completes the governance cycle by continuously monitoring performance and incident reporting, which are mandates of the EU AI Act for learning AI systems. The loop from Monitor back to Design is based on the reality that industrial AI systems are not static: new deployment data, changing process conditions</w:t>
      </w:r>
      <w:r w:rsidR="004D41D2">
        <w:t>, and model retraining mean that governance activities return to the Design stage,</w:t>
      </w:r>
      <w:r>
        <w:t xml:space="preserve"> not that deployment marks the end of the governance cycle.</w:t>
      </w:r>
    </w:p>
    <w:p w14:paraId="15A4858E" w14:textId="77777777" w:rsidR="00046C2E" w:rsidRDefault="000412EC" w:rsidP="00A5799D">
      <w:pPr>
        <w:pStyle w:val="Heading2"/>
        <w:spacing w:line="360" w:lineRule="auto"/>
        <w:jc w:val="both"/>
      </w:pPr>
      <w:bookmarkStart w:id="10" w:name="_Toc228218227"/>
      <w:r>
        <w:t>2.7 Sustainability, the DEGREE Framework and the SDG Commitment</w:t>
      </w:r>
      <w:bookmarkEnd w:id="10"/>
    </w:p>
    <w:p w14:paraId="3186BDBB" w14:textId="03B283CF" w:rsidR="00046C2E" w:rsidRDefault="00921221" w:rsidP="00A5799D">
      <w:pPr>
        <w:spacing w:line="360" w:lineRule="auto"/>
        <w:jc w:val="both"/>
      </w:pPr>
      <w:r w:rsidRPr="00921221">
        <w:t xml:space="preserve">Siemens' DEGREE framework - </w:t>
      </w:r>
      <w:proofErr w:type="spellStart"/>
      <w:r w:rsidRPr="00921221">
        <w:t>Decarbonisation</w:t>
      </w:r>
      <w:proofErr w:type="spellEnd"/>
      <w:r w:rsidRPr="00921221">
        <w:t xml:space="preserve">, Ethics, Governance, Resource efficiency, Equity and Employability - delivers a governance framework that links deployment of AI with ESG goals (Siemens, 2024b). </w:t>
      </w:r>
      <w:proofErr w:type="spellStart"/>
      <w:r w:rsidRPr="00921221">
        <w:t>Zaye</w:t>
      </w:r>
      <w:proofErr w:type="spellEnd"/>
      <w:r w:rsidRPr="00921221">
        <w:t xml:space="preserve"> and </w:t>
      </w:r>
      <w:proofErr w:type="spellStart"/>
      <w:r w:rsidRPr="00921221">
        <w:t>Ogunyomi-Oluyomi</w:t>
      </w:r>
      <w:proofErr w:type="spellEnd"/>
      <w:r w:rsidRPr="00921221">
        <w:t xml:space="preserve"> (2025) assess DEGREE against sustainable performance indicators for 2019-2023 and conclude that while significant progress has been made in most areas, there are still gaps in biodiversity and waste reduction. The ethics and governance components of DEGREE are relevant for AI governance: the same corporate discipline that has led to a 60% reduction in </w:t>
      </w:r>
      <w:proofErr w:type="spellStart"/>
      <w:r w:rsidRPr="00921221">
        <w:t>CO₂e</w:t>
      </w:r>
      <w:proofErr w:type="spellEnd"/>
      <w:r w:rsidRPr="00921221">
        <w:t xml:space="preserve"> emissions from its own operations since 2019 (Siemens, 2024a) needs to be applied to AI governance. Human resource management for sustainability, including AI knowledge and reasoning skills, is essential for </w:t>
      </w:r>
      <w:proofErr w:type="spellStart"/>
      <w:r w:rsidRPr="00921221">
        <w:t>organisations</w:t>
      </w:r>
      <w:proofErr w:type="spellEnd"/>
      <w:r w:rsidRPr="00921221">
        <w:t xml:space="preserve"> adopting SDGs (</w:t>
      </w:r>
      <w:proofErr w:type="spellStart"/>
      <w:r w:rsidRPr="00921221">
        <w:t>Chams</w:t>
      </w:r>
      <w:proofErr w:type="spellEnd"/>
      <w:r w:rsidRPr="00921221">
        <w:t xml:space="preserve"> and García-Blandón, 2019). For Siemens, with a €442 million budget for lifelong learning in FY2024 and an average of 27 hours of digital learning per employee (Siemens, 2024a), the capability is there; they need to </w:t>
      </w:r>
      <w:proofErr w:type="spellStart"/>
      <w:r w:rsidRPr="00921221">
        <w:t>prioritise</w:t>
      </w:r>
      <w:proofErr w:type="spellEnd"/>
      <w:r w:rsidRPr="00921221">
        <w:t xml:space="preserve"> the skills that are relevant to responsible AI in industry. Nica, </w:t>
      </w:r>
      <w:proofErr w:type="spellStart"/>
      <w:r w:rsidRPr="00921221">
        <w:t>Chiriță</w:t>
      </w:r>
      <w:proofErr w:type="spellEnd"/>
      <w:r w:rsidRPr="00921221">
        <w:t xml:space="preserve"> and </w:t>
      </w:r>
      <w:proofErr w:type="spellStart"/>
      <w:r w:rsidRPr="00921221">
        <w:t>Georgescu</w:t>
      </w:r>
      <w:proofErr w:type="spellEnd"/>
      <w:r w:rsidRPr="00921221">
        <w:t xml:space="preserve"> (2025) show that the Triple Bottom Line is becoming a standard approach to assess AI strategies across economic, social and environmental dimensions - which is the same multi-faceted accountability that DEGREE offers. Samuels (2025) adds that the most sustainable AI supply chain strategies explicitly include social </w:t>
      </w:r>
      <w:r w:rsidRPr="00921221">
        <w:lastRenderedPageBreak/>
        <w:t>and environmental governance alongside efficiency goals, confirming that Siemens' strategy is sound.</w:t>
      </w:r>
      <w:r>
        <w:br w:type="page"/>
      </w:r>
    </w:p>
    <w:p w14:paraId="19297D9C" w14:textId="77777777" w:rsidR="00046C2E" w:rsidRDefault="000412EC" w:rsidP="00A5799D">
      <w:pPr>
        <w:pStyle w:val="Heading1"/>
        <w:spacing w:line="360" w:lineRule="auto"/>
        <w:jc w:val="both"/>
      </w:pPr>
      <w:bookmarkStart w:id="11" w:name="_Toc228218228"/>
      <w:r>
        <w:lastRenderedPageBreak/>
        <w:t>3. Implementation Strategy</w:t>
      </w:r>
      <w:bookmarkEnd w:id="11"/>
    </w:p>
    <w:p w14:paraId="7C297C9F" w14:textId="448D5171" w:rsidR="00046C2E" w:rsidRDefault="00921221" w:rsidP="00A5799D">
      <w:pPr>
        <w:spacing w:before="80" w:after="120" w:line="360" w:lineRule="auto"/>
        <w:jc w:val="both"/>
      </w:pPr>
      <w:r w:rsidRPr="00921221">
        <w:t>The strategy below is based on a three-pronged approach. It is explicitly proactive: Siemens must act faster than the regulators' timetable to gain the competitive advantage of proactive governance. The cost estimates are based on publicly reported information on other industrial AI governance initiatives, and the Siemens DEGREE investment disclosures.</w:t>
      </w:r>
    </w:p>
    <w:p w14:paraId="5E9EE941" w14:textId="77777777" w:rsidR="00046C2E" w:rsidRDefault="000412EC" w:rsidP="00A5799D">
      <w:pPr>
        <w:pStyle w:val="Heading2"/>
        <w:spacing w:line="360" w:lineRule="auto"/>
        <w:jc w:val="both"/>
      </w:pPr>
      <w:bookmarkStart w:id="12" w:name="_Toc228218229"/>
      <w:r>
        <w:t>Phase One: Governance Infrastructure (0 to 12 Months)</w:t>
      </w:r>
      <w:bookmarkEnd w:id="12"/>
    </w:p>
    <w:p w14:paraId="11674872" w14:textId="77777777" w:rsidR="00046C2E" w:rsidRDefault="00046C2E" w:rsidP="00A5799D">
      <w:pPr>
        <w:spacing w:before="40" w:after="20" w:line="360" w:lineRule="auto"/>
        <w:jc w:val="both"/>
      </w:pPr>
    </w:p>
    <w:p w14:paraId="5E9BE745" w14:textId="3F63585E" w:rsidR="00921221" w:rsidRDefault="00921221" w:rsidP="00A5799D">
      <w:pPr>
        <w:pStyle w:val="ListParagraph"/>
        <w:numPr>
          <w:ilvl w:val="0"/>
          <w:numId w:val="10"/>
        </w:numPr>
        <w:spacing w:before="70" w:after="70" w:line="360" w:lineRule="auto"/>
        <w:jc w:val="both"/>
      </w:pPr>
      <w:r>
        <w:t>Create an Industrial AI Governance Board that reports to the Supervisory Board's Risk and Audit Committee. Hilb (2020) shows that AI governance without enforcement powers at board level has an advisory role. Siemens' current ESG-based executive accountability framework can serve as an obvious extension. Cost benchmark: governance restructuring projects for large European industrial companies have cost between €2 and €5 million in the initial year, mainly for hiring experts, reporting systems and governance frameworks.</w:t>
      </w:r>
    </w:p>
    <w:p w14:paraId="1E043442" w14:textId="49B26995" w:rsidR="00921221" w:rsidRDefault="00921221" w:rsidP="00A5799D">
      <w:pPr>
        <w:pStyle w:val="ListParagraph"/>
        <w:numPr>
          <w:ilvl w:val="0"/>
          <w:numId w:val="10"/>
        </w:numPr>
        <w:spacing w:before="70" w:after="70" w:line="360" w:lineRule="auto"/>
        <w:jc w:val="both"/>
      </w:pPr>
      <w:r>
        <w:t xml:space="preserve">Engage an independent audit of all AI systems against EU AI Act risk classifications, particularly focusing on AI systems embedded in OT that present the biggest compliance gaps. Since AI systems designed for critical infrastructure safety are required to comply from August 2027, systems that require redesign should start in early 2026. The audit should include a compliance plan for each high risk system. Cost benchmark: similar audits for industrial AI compliance for Tier 1 manufacturing companies have </w:t>
      </w:r>
      <w:r w:rsidR="004D41D2">
        <w:t>ranged from €2 to €4 million, due to the volume of documentation for</w:t>
      </w:r>
      <w:r>
        <w:t xml:space="preserve"> OT systems.</w:t>
      </w:r>
    </w:p>
    <w:p w14:paraId="22559AED" w14:textId="4C859269" w:rsidR="00921221" w:rsidRDefault="00921221" w:rsidP="00A5799D">
      <w:pPr>
        <w:pStyle w:val="ListParagraph"/>
        <w:numPr>
          <w:ilvl w:val="0"/>
          <w:numId w:val="10"/>
        </w:numPr>
        <w:spacing w:before="70" w:after="70" w:line="360" w:lineRule="auto"/>
        <w:jc w:val="both"/>
      </w:pPr>
      <w:r>
        <w:t xml:space="preserve">Publish a Siemens AI Ethics Charter in line with the principles of the EU regulatory landscape outlined by </w:t>
      </w:r>
      <w:proofErr w:type="spellStart"/>
      <w:r>
        <w:t>Bolgouras</w:t>
      </w:r>
      <w:proofErr w:type="spellEnd"/>
      <w:r>
        <w:t xml:space="preserve"> et al. (2015), including external audit mechanisms and explainability assurances. Leslie (2019) shows publicly accountable AI ethics frameworks are far more effective at establishing trust with stakeholders than governance documents.</w:t>
      </w:r>
    </w:p>
    <w:p w14:paraId="29AC32A2" w14:textId="3B4E9C63" w:rsidR="00921221" w:rsidRDefault="00921221" w:rsidP="00A5799D">
      <w:pPr>
        <w:pStyle w:val="ListParagraph"/>
        <w:numPr>
          <w:ilvl w:val="0"/>
          <w:numId w:val="10"/>
        </w:numPr>
        <w:spacing w:before="70" w:after="70" w:line="360" w:lineRule="auto"/>
        <w:jc w:val="both"/>
      </w:pPr>
      <w:r>
        <w:t xml:space="preserve">Create a data governance standard that integrates OT and IT systems in terms of training data quality assurance, data lineage and GDPR-compliant data processing practices. </w:t>
      </w:r>
      <w:proofErr w:type="spellStart"/>
      <w:r>
        <w:t>Batool</w:t>
      </w:r>
      <w:proofErr w:type="spellEnd"/>
      <w:r>
        <w:t xml:space="preserve">, </w:t>
      </w:r>
      <w:proofErr w:type="spellStart"/>
      <w:r>
        <w:t>Zowghi</w:t>
      </w:r>
      <w:proofErr w:type="spellEnd"/>
      <w:r>
        <w:t xml:space="preserve"> and </w:t>
      </w:r>
      <w:proofErr w:type="spellStart"/>
      <w:r>
        <w:t>Bano</w:t>
      </w:r>
      <w:proofErr w:type="spellEnd"/>
      <w:r>
        <w:t xml:space="preserve"> (2025) show that the investment in data </w:t>
      </w:r>
      <w:r>
        <w:lastRenderedPageBreak/>
        <w:t>governance upstream delivers regulatory compliance and quality improvements to the models that ultimately save downstream governance costs.</w:t>
      </w:r>
    </w:p>
    <w:p w14:paraId="1516046F" w14:textId="77777777" w:rsidR="00046C2E" w:rsidRDefault="00046C2E" w:rsidP="00A5799D">
      <w:pPr>
        <w:spacing w:before="80" w:after="40" w:line="360" w:lineRule="auto"/>
        <w:jc w:val="both"/>
      </w:pPr>
    </w:p>
    <w:p w14:paraId="08B4C096" w14:textId="77777777" w:rsidR="00046C2E" w:rsidRDefault="000412EC" w:rsidP="00A5799D">
      <w:pPr>
        <w:pStyle w:val="Heading2"/>
        <w:spacing w:line="360" w:lineRule="auto"/>
        <w:jc w:val="both"/>
      </w:pPr>
      <w:bookmarkStart w:id="13" w:name="_Toc228218230"/>
      <w:r>
        <w:t>Phase Two: Capability Development and Regulatory Engagement (One to Three Years)</w:t>
      </w:r>
      <w:bookmarkEnd w:id="13"/>
    </w:p>
    <w:p w14:paraId="194CFF0E" w14:textId="77777777" w:rsidR="00046C2E" w:rsidRDefault="00046C2E" w:rsidP="00A5799D">
      <w:pPr>
        <w:spacing w:before="40" w:after="20" w:line="360" w:lineRule="auto"/>
        <w:jc w:val="both"/>
      </w:pPr>
    </w:p>
    <w:p w14:paraId="51A13945" w14:textId="0BD5DF7A" w:rsidR="00A5799D" w:rsidRDefault="00A5799D" w:rsidP="00A5799D">
      <w:pPr>
        <w:pStyle w:val="ListParagraph"/>
        <w:numPr>
          <w:ilvl w:val="0"/>
          <w:numId w:val="5"/>
        </w:numPr>
        <w:spacing w:before="70" w:after="70" w:line="360" w:lineRule="auto"/>
        <w:jc w:val="both"/>
      </w:pPr>
      <w:r>
        <w:t xml:space="preserve">Establish a Centre of Excellence for Industrial AI Safety and Ethics, staffed with experts in model risk, safety engineering, regulatory, data governance and cross-cultural AI system integration. This team will oversee EU AI Act conformity assessment, engage with the EU AI Office and UK regulators and establish the technical documentation framework needed for high-risk AI system approvals. Cost benchmark: annual staffing and operational costs for similar Centre of Excellence </w:t>
      </w:r>
      <w:proofErr w:type="spellStart"/>
      <w:r>
        <w:t>programmes</w:t>
      </w:r>
      <w:proofErr w:type="spellEnd"/>
      <w:r>
        <w:t xml:space="preserve"> at major industrial conglomerates </w:t>
      </w:r>
      <w:r w:rsidR="004D41D2">
        <w:t>have</w:t>
      </w:r>
      <w:r>
        <w:t xml:space="preserve"> ranged from €8 to €15 million per year, based on Siemens' own report of a total investment in learning of €442 million and industry average costs for specialist regulatory roles.</w:t>
      </w:r>
    </w:p>
    <w:p w14:paraId="311EDC51" w14:textId="3E05C476" w:rsidR="00A5799D" w:rsidRDefault="00A5799D" w:rsidP="00A5799D">
      <w:pPr>
        <w:pStyle w:val="ListParagraph"/>
        <w:numPr>
          <w:ilvl w:val="0"/>
          <w:numId w:val="5"/>
        </w:numPr>
        <w:spacing w:before="70" w:after="70" w:line="360" w:lineRule="auto"/>
        <w:jc w:val="both"/>
      </w:pPr>
      <w:r>
        <w:t xml:space="preserve">Deliver tailored training on AI literacy for different employee populations, tailored for UK and German branches. Hofstede (2011) stresses that governance programs for the German engineering culture, high in uncertainty avoidance and proceduralism, need to be tailored for the UK, where procedural compliance attitudes differ. One-size-fits-all training </w:t>
      </w:r>
      <w:r w:rsidR="004D41D2">
        <w:t>has low take-up in the cultural settings where AI governance</w:t>
      </w:r>
      <w:r>
        <w:t xml:space="preserve"> is most operationally significant.</w:t>
      </w:r>
    </w:p>
    <w:p w14:paraId="1E212E4D" w14:textId="13322CCD" w:rsidR="00046C2E" w:rsidRDefault="00A5799D" w:rsidP="004D41D2">
      <w:pPr>
        <w:pStyle w:val="ListParagraph"/>
        <w:numPr>
          <w:ilvl w:val="0"/>
          <w:numId w:val="5"/>
        </w:numPr>
        <w:spacing w:before="70" w:after="70" w:line="360" w:lineRule="auto"/>
        <w:jc w:val="both"/>
      </w:pPr>
      <w:r>
        <w:t xml:space="preserve">Join the EU AI Act regulatory sandbox program from 2028 onwards to ensure Siemens is involved in industrial AI compliance standard setting. European Parliament (2025) reports that sandboxing offers flexibility to test real-world applications and see forthcoming guidance. Integrate the AI governance lifecycle model in Diagram 1 into the </w:t>
      </w:r>
      <w:proofErr w:type="spellStart"/>
      <w:r>
        <w:t>Xcelerator</w:t>
      </w:r>
      <w:proofErr w:type="spellEnd"/>
      <w:r>
        <w:t xml:space="preserve"> platform development lifecycle to ensure that all the AI components delivered via </w:t>
      </w:r>
      <w:proofErr w:type="spellStart"/>
      <w:r>
        <w:t>Xcelerator</w:t>
      </w:r>
      <w:proofErr w:type="spellEnd"/>
      <w:r>
        <w:t xml:space="preserve"> have governance documentation.</w:t>
      </w:r>
    </w:p>
    <w:p w14:paraId="79F9FA43" w14:textId="77777777" w:rsidR="00046C2E" w:rsidRDefault="000412EC" w:rsidP="00A5799D">
      <w:pPr>
        <w:pStyle w:val="Heading2"/>
        <w:spacing w:line="360" w:lineRule="auto"/>
        <w:jc w:val="both"/>
      </w:pPr>
      <w:bookmarkStart w:id="14" w:name="_Toc228218231"/>
      <w:r>
        <w:t>Phase Three: Market Leadership and Governance Differentiation (Three to Five Years)</w:t>
      </w:r>
      <w:bookmarkEnd w:id="14"/>
    </w:p>
    <w:p w14:paraId="0602E8AF" w14:textId="77777777" w:rsidR="00046C2E" w:rsidRDefault="00046C2E" w:rsidP="00A5799D">
      <w:pPr>
        <w:spacing w:before="40" w:after="20" w:line="360" w:lineRule="auto"/>
        <w:jc w:val="both"/>
      </w:pPr>
    </w:p>
    <w:p w14:paraId="6EDD9C2F" w14:textId="7404573B" w:rsidR="00A5799D" w:rsidRDefault="00A5799D" w:rsidP="00A5799D">
      <w:pPr>
        <w:pStyle w:val="ListParagraph"/>
        <w:numPr>
          <w:ilvl w:val="0"/>
          <w:numId w:val="7"/>
        </w:numPr>
        <w:spacing w:line="360" w:lineRule="auto"/>
        <w:jc w:val="both"/>
      </w:pPr>
      <w:r>
        <w:t xml:space="preserve">Annually report an Industrial AI Transparency Report in the DEGREE sustainability reporting framework, capturing governance activities, bias audit results, safety incident reports and regulatory engagement results. Siemens' existing ESG reporting platforms (CDP </w:t>
      </w:r>
      <w:r>
        <w:lastRenderedPageBreak/>
        <w:t xml:space="preserve">Climate A List, </w:t>
      </w:r>
      <w:proofErr w:type="spellStart"/>
      <w:r>
        <w:t>EcoVadis</w:t>
      </w:r>
      <w:proofErr w:type="spellEnd"/>
      <w:r>
        <w:t xml:space="preserve"> Platinum) offer institutional capacity to be leveraged for AI transparency, rather than starting from scratch.</w:t>
      </w:r>
    </w:p>
    <w:p w14:paraId="46BD9ABB" w14:textId="7FBC49F6" w:rsidR="00A5799D" w:rsidRDefault="00A5799D" w:rsidP="00A5799D">
      <w:pPr>
        <w:pStyle w:val="ListParagraph"/>
        <w:numPr>
          <w:ilvl w:val="0"/>
          <w:numId w:val="7"/>
        </w:numPr>
        <w:spacing w:line="360" w:lineRule="auto"/>
        <w:jc w:val="both"/>
      </w:pPr>
      <w:r>
        <w:t xml:space="preserve">Create an internal Industrial AI Certification Standard to certify Siemens AI systems against safety, fairness, explainability and governance standards. </w:t>
      </w:r>
      <w:proofErr w:type="spellStart"/>
      <w:r>
        <w:t>Iansiti</w:t>
      </w:r>
      <w:proofErr w:type="spellEnd"/>
      <w:r>
        <w:t xml:space="preserve"> and Lakhani (2020) note that for sustainability, the "best" strategic advantage in the era of AI is for companies to embed their governance criteria into the ecosystems of others. Siemens has the scale, expertise and regulatory clout to do this.</w:t>
      </w:r>
    </w:p>
    <w:p w14:paraId="435AE329" w14:textId="751699D2" w:rsidR="00046C2E" w:rsidRDefault="00A5799D" w:rsidP="00A5799D">
      <w:pPr>
        <w:pStyle w:val="ListParagraph"/>
        <w:numPr>
          <w:ilvl w:val="0"/>
          <w:numId w:val="7"/>
        </w:numPr>
        <w:spacing w:line="360" w:lineRule="auto"/>
        <w:jc w:val="both"/>
      </w:pPr>
      <w:r>
        <w:t>Conformity assessment of all high-risk systems with the EU AI Act by January 2027 - six months before the August 2027 deadline. This should be made public and should be used to signal to industrial customers that Siemens is the safe choice for the procurement of AI-enabled industrial technologies in regulated markets. PwC (2019) highlight that governance leadership in regulated industries leads to positive reputational feedback loops that are hard to catch up with. Estimated cost range for this phase: €25-40 million from Siemens' R&amp;D budget (at Siemens' R&amp;D spending for the FY2024 of about €6.2 billion).</w:t>
      </w:r>
      <w:r>
        <w:br w:type="page"/>
      </w:r>
    </w:p>
    <w:p w14:paraId="10C9640E" w14:textId="77777777" w:rsidR="00046C2E" w:rsidRDefault="000412EC" w:rsidP="00A5799D">
      <w:pPr>
        <w:pStyle w:val="Heading1"/>
        <w:spacing w:line="360" w:lineRule="auto"/>
        <w:jc w:val="both"/>
      </w:pPr>
      <w:bookmarkStart w:id="15" w:name="_Toc228218232"/>
      <w:r>
        <w:lastRenderedPageBreak/>
        <w:t>4. Conclusions</w:t>
      </w:r>
      <w:bookmarkEnd w:id="15"/>
    </w:p>
    <w:p w14:paraId="437C5FD4" w14:textId="77777777" w:rsidR="00A5799D" w:rsidRDefault="00A5799D" w:rsidP="00A5799D">
      <w:pPr>
        <w:spacing w:line="360" w:lineRule="auto"/>
        <w:jc w:val="both"/>
      </w:pPr>
      <w:r>
        <w:t>This report's analysis shows that the governance challenge faced by Siemens AG is not of the same nature as that faced by pharmaceutical firms or retail banks. Industrial AI failure can have physical rather than just financial or reputational consequences and the regulatory settings now being applied to industrial AI reflect this elevated risk status. The EU AI Act's identification of safety-critical infrastructure AI as high risk, and the UK's parallel but different pro-innovation approach to regulation, creates a twin regime of compliance that demands active institutional design.</w:t>
      </w:r>
    </w:p>
    <w:p w14:paraId="15751784" w14:textId="77777777" w:rsidR="00A5799D" w:rsidRDefault="00A5799D" w:rsidP="00A5799D">
      <w:pPr>
        <w:spacing w:line="360" w:lineRule="auto"/>
        <w:jc w:val="both"/>
      </w:pPr>
      <w:r>
        <w:t>The PESTLE, Five Forces and Diamond analyses all point to the same conclusion: Siemens enjoys structural advantages in the industrial AI sector - the depth of its engineering domain expertise, its capabilities for R&amp;D and its rigorous domestic market and innovation ecosystem - that are hard to match. But the question remains: is the company's internal governance infrastructure keeping pace with the scale and safety-critical nature of its AI deployment? The governance maturity assessment highlights the absence of OT data governance and a dedicated AI risk function at the board level as the most significant short-term governance challenges.</w:t>
      </w:r>
    </w:p>
    <w:p w14:paraId="7C658619" w14:textId="4813F214" w:rsidR="00046C2E" w:rsidRDefault="00A5799D" w:rsidP="00A5799D">
      <w:pPr>
        <w:spacing w:line="360" w:lineRule="auto"/>
        <w:jc w:val="both"/>
      </w:pPr>
      <w:r>
        <w:t xml:space="preserve">The proposed implementation plan is aimed at addressing these issues over a five-year timeframe. It is tailored to the challenges of industrial AI governance, and </w:t>
      </w:r>
      <w:proofErr w:type="spellStart"/>
      <w:r>
        <w:t>maximises</w:t>
      </w:r>
      <w:proofErr w:type="spellEnd"/>
      <w:r>
        <w:t xml:space="preserve"> the use of publicly available investment data, rather than relying on hypothetical cost estimates. </w:t>
      </w:r>
      <w:proofErr w:type="spellStart"/>
      <w:r>
        <w:t>Floridi</w:t>
      </w:r>
      <w:proofErr w:type="spellEnd"/>
      <w:r>
        <w:t xml:space="preserve"> et al. (2018) contend that good AI is AI that benefits human flourishing; in Siemens' industrial setting this means AI that drives factory safety, productivity and sustainability - delivered via governance structures that are transparent, accountable and ever-improving. The imperative to invest in that governance is not just ethical but also economic: in regulated industrial sectors, governance is what is increasingly being purchased.</w:t>
      </w:r>
      <w:r>
        <w:br w:type="page"/>
      </w:r>
    </w:p>
    <w:p w14:paraId="5DD65621" w14:textId="77777777" w:rsidR="00046C2E" w:rsidRDefault="000412EC" w:rsidP="00A5799D">
      <w:pPr>
        <w:pStyle w:val="Heading1"/>
        <w:spacing w:line="360" w:lineRule="auto"/>
        <w:jc w:val="both"/>
      </w:pPr>
      <w:bookmarkStart w:id="16" w:name="_Toc228218233"/>
      <w:r>
        <w:lastRenderedPageBreak/>
        <w:t>5. Bibliography</w:t>
      </w:r>
      <w:bookmarkEnd w:id="16"/>
    </w:p>
    <w:p w14:paraId="02B3234F" w14:textId="77777777" w:rsidR="00046C2E" w:rsidRDefault="000412EC" w:rsidP="00A5799D">
      <w:pPr>
        <w:spacing w:before="60" w:after="80" w:line="360" w:lineRule="auto"/>
        <w:jc w:val="both"/>
      </w:pPr>
      <w:r>
        <w:t>Abdelhafid, H.A., Anwar, M. and Mustapha, H. (2026) 'AI-driven predictive maintenance for Industry 4.0: a systematic review of models, methods, and challenges', The International Journal of Advanced Manufacturing Technology. doi:10.1007/s00170-026-17531-w.</w:t>
      </w:r>
    </w:p>
    <w:p w14:paraId="2D5E2FB8" w14:textId="77777777" w:rsidR="00046C2E" w:rsidRDefault="000412EC" w:rsidP="00A5799D">
      <w:pPr>
        <w:spacing w:before="60" w:after="80" w:line="360" w:lineRule="auto"/>
        <w:jc w:val="both"/>
      </w:pPr>
      <w:r>
        <w:t>Ayvaz, S. and Alpay, K. (2021) 'Predictive maintenance system for production lines in manufacturing: A machine learning approach using IoT data in real-time', Expert Systems with Applications, 173, p.114598. doi:10.1016/j.eswa.2021.114598.</w:t>
      </w:r>
    </w:p>
    <w:p w14:paraId="11596B28" w14:textId="77777777" w:rsidR="00046C2E" w:rsidRDefault="000412EC" w:rsidP="00A5799D">
      <w:pPr>
        <w:spacing w:before="60" w:after="80" w:line="360" w:lineRule="auto"/>
        <w:jc w:val="both"/>
      </w:pPr>
      <w:r>
        <w:t>Barney, J. (1991) 'Firm resources and sustained competitive advantage', Journal of Management, 17(1), pp.99–120. doi:10.1177/014920639101700108.</w:t>
      </w:r>
    </w:p>
    <w:p w14:paraId="2E70A8B0" w14:textId="77777777" w:rsidR="00046C2E" w:rsidRDefault="000412EC" w:rsidP="00A5799D">
      <w:pPr>
        <w:spacing w:before="60" w:after="80" w:line="360" w:lineRule="auto"/>
        <w:jc w:val="both"/>
      </w:pPr>
      <w:r>
        <w:t xml:space="preserve">Batool, A., </w:t>
      </w:r>
      <w:proofErr w:type="spellStart"/>
      <w:r>
        <w:t>Zowghi</w:t>
      </w:r>
      <w:proofErr w:type="spellEnd"/>
      <w:r>
        <w:t>, D. and Bano, M. (2025) 'AI governance: a systematic literature review', AI and Ethics, 5. doi:10.1007/s43681-024-00653-w.</w:t>
      </w:r>
    </w:p>
    <w:p w14:paraId="33042288" w14:textId="77777777" w:rsidR="00046C2E" w:rsidRDefault="000412EC" w:rsidP="00A5799D">
      <w:pPr>
        <w:spacing w:before="60" w:after="80" w:line="360" w:lineRule="auto"/>
        <w:jc w:val="both"/>
      </w:pPr>
      <w:r>
        <w:t>Belsare, H.V. (2025) 'PESTLE analysis', International Journal of Advanced Research, 13(02), pp.2320–5407. doi:10.21474/IJAR01/20411.</w:t>
      </w:r>
    </w:p>
    <w:p w14:paraId="40AD96E5" w14:textId="77777777" w:rsidR="00046C2E" w:rsidRDefault="000412EC" w:rsidP="00A5799D">
      <w:pPr>
        <w:spacing w:before="60" w:after="80" w:line="360" w:lineRule="auto"/>
        <w:jc w:val="both"/>
      </w:pPr>
      <w:proofErr w:type="spellStart"/>
      <w:r>
        <w:t>Bolgouras</w:t>
      </w:r>
      <w:proofErr w:type="spellEnd"/>
      <w:r>
        <w:t xml:space="preserve">, V., Zarras, A., Leka, C., Stylianou, I., </w:t>
      </w:r>
      <w:proofErr w:type="spellStart"/>
      <w:r>
        <w:t>Farao</w:t>
      </w:r>
      <w:proofErr w:type="spellEnd"/>
      <w:r>
        <w:t>, A. and Xenakis, C. (2025) 'EU regulatory ecosystem for ethical AI', AI and Ethics. doi:10.1007/s43681-025-00749-x.</w:t>
      </w:r>
    </w:p>
    <w:p w14:paraId="5E82A0B6" w14:textId="334326CA" w:rsidR="00046C2E" w:rsidRDefault="000412EC" w:rsidP="00A5799D">
      <w:pPr>
        <w:spacing w:before="60" w:after="80" w:line="360" w:lineRule="auto"/>
        <w:jc w:val="both"/>
      </w:pPr>
      <w:r>
        <w:t xml:space="preserve">Cannas, V.G., Ciano, M.P., Saltalamacchia, M. and Secchi, R. (2023) 'Artificial intelligence in supply chain and operations management: A multiple case study research', International Journal of Production Research, 62(9), pp.1–28. Available at: </w:t>
      </w:r>
      <w:hyperlink r:id="rId8" w:history="1">
        <w:r w:rsidR="00A5799D" w:rsidRPr="00F96513">
          <w:rPr>
            <w:rStyle w:val="Hyperlink"/>
          </w:rPr>
          <w:t>https://www.tandfonline.com/doi/full/10.1080/00207543.2023.2232050</w:t>
        </w:r>
      </w:hyperlink>
      <w:r w:rsidR="00A5799D">
        <w:t xml:space="preserve"> </w:t>
      </w:r>
    </w:p>
    <w:p w14:paraId="545C57EF" w14:textId="77777777" w:rsidR="00046C2E" w:rsidRDefault="000412EC" w:rsidP="00A5799D">
      <w:pPr>
        <w:spacing w:before="60" w:after="80" w:line="360" w:lineRule="auto"/>
        <w:jc w:val="both"/>
      </w:pPr>
      <w:r>
        <w:t>Chams, N. and García-Blandón, J. (2019) 'On the importance of sustainable human resource management for the adoption of sustainable development goals', Resources, Conservation and Recycling, 141(1), pp.109–122. doi:10.1016/j.resconrec.2018.10.006.</w:t>
      </w:r>
    </w:p>
    <w:p w14:paraId="75A6424A" w14:textId="77777777" w:rsidR="00046C2E" w:rsidRDefault="000412EC" w:rsidP="00A5799D">
      <w:pPr>
        <w:spacing w:before="60" w:after="80" w:line="360" w:lineRule="auto"/>
        <w:jc w:val="both"/>
      </w:pPr>
      <w:r>
        <w:t>Cihon, P., Schuett, J. and Baum, S.D. (2021) 'Corporate governance of artificial intelligence in the public interest', Information, 12(7), p.275. doi:10.3390/info12070275.</w:t>
      </w:r>
    </w:p>
    <w:p w14:paraId="064A0241" w14:textId="77777777" w:rsidR="00046C2E" w:rsidRDefault="000412EC" w:rsidP="00A5799D">
      <w:pPr>
        <w:spacing w:before="60" w:after="80" w:line="360" w:lineRule="auto"/>
        <w:jc w:val="both"/>
      </w:pPr>
      <w:r>
        <w:t>Dai, D., Zhao, B., Yu, Z., Franciosa, P. and Ceglarek, D. (2025) 'Generative and predictive AI for digital twin systems in manufacturing', Frontiers in Artificial Intelligence, 8. doi:10.3389/frai.2025.1655470.</w:t>
      </w:r>
    </w:p>
    <w:p w14:paraId="60452458" w14:textId="77777777" w:rsidR="00046C2E" w:rsidRDefault="000412EC" w:rsidP="00A5799D">
      <w:pPr>
        <w:spacing w:before="60" w:after="80" w:line="360" w:lineRule="auto"/>
        <w:jc w:val="both"/>
      </w:pPr>
      <w:r>
        <w:t xml:space="preserve">English, P.V. and </w:t>
      </w:r>
      <w:proofErr w:type="spellStart"/>
      <w:r>
        <w:t>Fascinari</w:t>
      </w:r>
      <w:proofErr w:type="spellEnd"/>
      <w:r>
        <w:t>, M. (2026) 'AI adoption as the 6th force in Porter's Five Forces model: A conceptual framework for SME competitive strategy', International Journal of Management and Economics Invention, 12(02). doi:10.47191/</w:t>
      </w:r>
      <w:proofErr w:type="spellStart"/>
      <w:r>
        <w:t>ijmei</w:t>
      </w:r>
      <w:proofErr w:type="spellEnd"/>
      <w:r>
        <w:t>/v12i2.06.</w:t>
      </w:r>
    </w:p>
    <w:p w14:paraId="57902EAA" w14:textId="7A91186F" w:rsidR="00046C2E" w:rsidRDefault="000412EC" w:rsidP="00A5799D">
      <w:pPr>
        <w:spacing w:before="60" w:after="80" w:line="360" w:lineRule="auto"/>
        <w:jc w:val="both"/>
      </w:pPr>
      <w:r>
        <w:lastRenderedPageBreak/>
        <w:t xml:space="preserve">European Commission (2023) A European Approach to Artificial Intelligence. Brussels: European Commission. Available at: </w:t>
      </w:r>
      <w:hyperlink r:id="rId9" w:history="1">
        <w:r w:rsidR="00A5799D" w:rsidRPr="00F96513">
          <w:rPr>
            <w:rStyle w:val="Hyperlink"/>
          </w:rPr>
          <w:t>https://digital-strategy.ec.europa.eu/en/policies/european-approach-artificial-intelligence</w:t>
        </w:r>
      </w:hyperlink>
      <w:r w:rsidR="00A5799D">
        <w:t xml:space="preserve"> </w:t>
      </w:r>
    </w:p>
    <w:p w14:paraId="515B22C6" w14:textId="39D95942" w:rsidR="00046C2E" w:rsidRDefault="000412EC" w:rsidP="00A5799D">
      <w:pPr>
        <w:spacing w:before="60" w:after="80" w:line="360" w:lineRule="auto"/>
        <w:jc w:val="both"/>
      </w:pPr>
      <w:r>
        <w:t xml:space="preserve">European Parliament (2024) Regulation (EU) 2024/1689 — Artificial Intelligence Act. Available at: </w:t>
      </w:r>
      <w:hyperlink r:id="rId10" w:history="1">
        <w:r w:rsidR="00A5799D" w:rsidRPr="00F96513">
          <w:rPr>
            <w:rStyle w:val="Hyperlink"/>
          </w:rPr>
          <w:t>https://eur-lex.europa.eu/legal-content/EN/TXT/?uri=OJ:L_202401689</w:t>
        </w:r>
      </w:hyperlink>
      <w:r w:rsidR="00A5799D">
        <w:t xml:space="preserve"> </w:t>
      </w:r>
    </w:p>
    <w:p w14:paraId="3051D8CD" w14:textId="41AD8E86" w:rsidR="00046C2E" w:rsidRDefault="000412EC" w:rsidP="00A5799D">
      <w:pPr>
        <w:spacing w:before="60" w:after="80" w:line="360" w:lineRule="auto"/>
        <w:jc w:val="both"/>
      </w:pPr>
      <w:r>
        <w:t xml:space="preserve">European Parliament (2025) EU AI Act: First Regulation on Artificial Intelligence. Available at: </w:t>
      </w:r>
      <w:hyperlink r:id="rId11" w:history="1">
        <w:r w:rsidR="00A5799D" w:rsidRPr="00F96513">
          <w:rPr>
            <w:rStyle w:val="Hyperlink"/>
          </w:rPr>
          <w:t>https://www.europarl.europa.eu/topics/en/article/20230601STO93804/eu-ai-act-first-regulation-on-artificial-intelligence</w:t>
        </w:r>
      </w:hyperlink>
      <w:r w:rsidR="00A5799D">
        <w:t xml:space="preserve"> </w:t>
      </w:r>
    </w:p>
    <w:p w14:paraId="4EF70644" w14:textId="77777777" w:rsidR="00046C2E" w:rsidRDefault="000412EC" w:rsidP="00A5799D">
      <w:pPr>
        <w:spacing w:before="60" w:after="80" w:line="360" w:lineRule="auto"/>
        <w:jc w:val="both"/>
      </w:pPr>
      <w:proofErr w:type="spellStart"/>
      <w:r>
        <w:t>Floridi</w:t>
      </w:r>
      <w:proofErr w:type="spellEnd"/>
      <w:r>
        <w:t xml:space="preserve">, L., Cowls, J., </w:t>
      </w:r>
      <w:proofErr w:type="spellStart"/>
      <w:r>
        <w:t>Beltrametti</w:t>
      </w:r>
      <w:proofErr w:type="spellEnd"/>
      <w:r>
        <w:t xml:space="preserve">, M., Chatila, R., </w:t>
      </w:r>
      <w:proofErr w:type="spellStart"/>
      <w:r>
        <w:t>Chazerand</w:t>
      </w:r>
      <w:proofErr w:type="spellEnd"/>
      <w:r>
        <w:t xml:space="preserve">, P., Dignum, V., Luetge, C., Madelin, R., </w:t>
      </w:r>
      <w:proofErr w:type="spellStart"/>
      <w:r>
        <w:t>Pagallo</w:t>
      </w:r>
      <w:proofErr w:type="spellEnd"/>
      <w:r>
        <w:t xml:space="preserve">, U., Rossi, F., Schafer, B., Valcke, P. and </w:t>
      </w:r>
      <w:proofErr w:type="spellStart"/>
      <w:r>
        <w:t>Vayena</w:t>
      </w:r>
      <w:proofErr w:type="spellEnd"/>
      <w:r>
        <w:t>, E. (2018) 'AI4People — An Ethical Framework for a Good AI Society: Opportunities, Risks, Principles, and Recommendations', Minds and Machines, 28(4), pp.689–707. doi:10.1007/s11023-018-9482-5.</w:t>
      </w:r>
    </w:p>
    <w:p w14:paraId="75B837B7" w14:textId="77777777" w:rsidR="00046C2E" w:rsidRDefault="000412EC" w:rsidP="00A5799D">
      <w:pPr>
        <w:spacing w:before="60" w:after="80" w:line="360" w:lineRule="auto"/>
        <w:jc w:val="both"/>
      </w:pPr>
      <w:r>
        <w:t>Hilb, M. (2020) 'Toward artificial governance? The role of artificial intelligence in shaping the future of corporate governance', Journal of Management and Governance, 24(4). doi:10.1007/s10997-020-09519-9.</w:t>
      </w:r>
    </w:p>
    <w:p w14:paraId="373E5F97" w14:textId="77777777" w:rsidR="00046C2E" w:rsidRDefault="000412EC" w:rsidP="00A5799D">
      <w:pPr>
        <w:spacing w:before="60" w:after="80" w:line="360" w:lineRule="auto"/>
        <w:jc w:val="both"/>
      </w:pPr>
      <w:r>
        <w:t>Hofstede, G. (2011) '</w:t>
      </w:r>
      <w:proofErr w:type="spellStart"/>
      <w:r>
        <w:t>Dimensionalizing</w:t>
      </w:r>
      <w:proofErr w:type="spellEnd"/>
      <w:r>
        <w:t xml:space="preserve"> cultures: The Hofstede Model in context', Online Readings in Psychology and Culture, 2(1), pp.1–26. doi:10.9707/2307-0919.1014.</w:t>
      </w:r>
    </w:p>
    <w:p w14:paraId="6EE60449" w14:textId="77777777" w:rsidR="00046C2E" w:rsidRDefault="000412EC" w:rsidP="00A5799D">
      <w:pPr>
        <w:spacing w:before="60" w:after="80" w:line="360" w:lineRule="auto"/>
        <w:jc w:val="both"/>
      </w:pPr>
      <w:r>
        <w:t xml:space="preserve">Hu, S., Li, C., Li, B., Yang, M., Wang, X., Gao, T., Xu, W., </w:t>
      </w:r>
      <w:proofErr w:type="spellStart"/>
      <w:r>
        <w:t>Dambatta</w:t>
      </w:r>
      <w:proofErr w:type="spellEnd"/>
      <w:r>
        <w:t>, Y.S., Zhou, Z. and Xu, P. (2024) 'Digital twins enabling intelligent manufacturing: From methodology to application', Intelligent and Sustainable Manufacturing, 1(1), pp.10007–10007. doi:10.35534/ism.2024.10007.</w:t>
      </w:r>
    </w:p>
    <w:p w14:paraId="093F5BF5" w14:textId="77777777" w:rsidR="00046C2E" w:rsidRDefault="000412EC" w:rsidP="00A5799D">
      <w:pPr>
        <w:spacing w:before="60" w:after="80" w:line="360" w:lineRule="auto"/>
        <w:jc w:val="both"/>
      </w:pPr>
      <w:proofErr w:type="spellStart"/>
      <w:r>
        <w:t>Iansiti</w:t>
      </w:r>
      <w:proofErr w:type="spellEnd"/>
      <w:r>
        <w:t>, M. and Lakhani, K.R. (2020) Competing in the Age of AI: Strategy and Leadership When Algorithms and Networks Run the World. Boston: Harvard Business Review Press.</w:t>
      </w:r>
    </w:p>
    <w:p w14:paraId="5EB78E29" w14:textId="77777777" w:rsidR="00046C2E" w:rsidRDefault="000412EC" w:rsidP="00A5799D">
      <w:pPr>
        <w:spacing w:before="60" w:after="80" w:line="360" w:lineRule="auto"/>
        <w:jc w:val="both"/>
      </w:pPr>
      <w:r>
        <w:t xml:space="preserve">Jobin, A., Ienca, M. and </w:t>
      </w:r>
      <w:proofErr w:type="spellStart"/>
      <w:r>
        <w:t>Vayena</w:t>
      </w:r>
      <w:proofErr w:type="spellEnd"/>
      <w:r>
        <w:t>, E. (2019) 'The global landscape of AI ethics guidelines', Nature Machine Intelligence, 1(9), pp.389–399. doi:10.1038/s42256-019-0088-2.</w:t>
      </w:r>
    </w:p>
    <w:p w14:paraId="42D591A9" w14:textId="77777777" w:rsidR="00046C2E" w:rsidRDefault="000412EC" w:rsidP="00A5799D">
      <w:pPr>
        <w:spacing w:before="60" w:after="80" w:line="360" w:lineRule="auto"/>
        <w:jc w:val="both"/>
      </w:pPr>
      <w:r>
        <w:t>Leslie, D. (2019) Understanding Artificial Intelligence Ethics and Safety: A Guide for the Responsible Design and Implementation of AI Systems in the Public Sector. London: The Alan Turing Institute. doi:10.5281/zenodo.3240529.</w:t>
      </w:r>
    </w:p>
    <w:p w14:paraId="1641E746" w14:textId="77777777" w:rsidR="00046C2E" w:rsidRDefault="000412EC" w:rsidP="00A5799D">
      <w:pPr>
        <w:spacing w:before="60" w:after="80" w:line="360" w:lineRule="auto"/>
        <w:jc w:val="both"/>
      </w:pPr>
      <w:r>
        <w:t>Liu, H., Yang, X., Politis, D., Shi, H. and Wang, L. (2025) 'Towards IT/OT integration in industry digitalization: A comprehensive survey', Computers in Industry, 167, p.104270. doi:10.1016/j.compind.2025.104270.</w:t>
      </w:r>
    </w:p>
    <w:p w14:paraId="79522AF6" w14:textId="590C7B5A" w:rsidR="00046C2E" w:rsidRDefault="000412EC" w:rsidP="00A5799D">
      <w:pPr>
        <w:spacing w:before="60" w:after="80" w:line="360" w:lineRule="auto"/>
        <w:jc w:val="both"/>
      </w:pPr>
      <w:r>
        <w:lastRenderedPageBreak/>
        <w:t xml:space="preserve">McKinsey and Company (2023) The State of AI in 2023: Generative AI's Breakout Year. New York: McKinsey Global Institute. Available at: </w:t>
      </w:r>
      <w:hyperlink r:id="rId12" w:history="1">
        <w:r w:rsidR="00A5799D" w:rsidRPr="00F96513">
          <w:rPr>
            <w:rStyle w:val="Hyperlink"/>
          </w:rPr>
          <w:t>https://www.mckinsey.com/capabilities/quantumblack/our-insights/the-state-of-ai-in-2023-generative-ais-breakout-year</w:t>
        </w:r>
      </w:hyperlink>
      <w:r w:rsidR="00A5799D">
        <w:t xml:space="preserve"> </w:t>
      </w:r>
    </w:p>
    <w:p w14:paraId="60472AF5" w14:textId="06C0CAA4" w:rsidR="00046C2E" w:rsidRDefault="000412EC" w:rsidP="00A5799D">
      <w:pPr>
        <w:spacing w:before="60" w:after="80" w:line="360" w:lineRule="auto"/>
        <w:jc w:val="both"/>
      </w:pPr>
      <w:r>
        <w:t xml:space="preserve">Microsoft Source (2024) Siemens and Microsoft Scale Industrial AI. Microsoft, Redmond. Available at: </w:t>
      </w:r>
      <w:hyperlink r:id="rId13" w:history="1">
        <w:r w:rsidR="00A5799D" w:rsidRPr="00F96513">
          <w:rPr>
            <w:rStyle w:val="Hyperlink"/>
          </w:rPr>
          <w:t>https://news.microsoft.com/source/2024/10/24/siemens-and-microsoft-scale-industrial-ai/</w:t>
        </w:r>
      </w:hyperlink>
      <w:r w:rsidR="00A5799D">
        <w:t xml:space="preserve"> </w:t>
      </w:r>
    </w:p>
    <w:p w14:paraId="2547E221" w14:textId="77777777" w:rsidR="00046C2E" w:rsidRDefault="000412EC" w:rsidP="00A5799D">
      <w:pPr>
        <w:spacing w:before="60" w:after="80" w:line="360" w:lineRule="auto"/>
        <w:jc w:val="both"/>
      </w:pPr>
      <w:proofErr w:type="spellStart"/>
      <w:r>
        <w:t>Mikalef</w:t>
      </w:r>
      <w:proofErr w:type="spellEnd"/>
      <w:r>
        <w:t xml:space="preserve">, P., Lemmer, K., Schaefer, C., Ylinen, M., </w:t>
      </w:r>
      <w:proofErr w:type="spellStart"/>
      <w:r>
        <w:t>Fjørtoft</w:t>
      </w:r>
      <w:proofErr w:type="spellEnd"/>
      <w:r>
        <w:t xml:space="preserve">, S.O., </w:t>
      </w:r>
      <w:proofErr w:type="spellStart"/>
      <w:r>
        <w:t>Torvatn</w:t>
      </w:r>
      <w:proofErr w:type="spellEnd"/>
      <w:r>
        <w:t>, H.Y., Gupta, M. and Niehaves, B. (2024) 'Responsible artificial intelligence governance: A review and research framework', Information and Management, 61(1). doi:10.1016/j.im.2023.103898.</w:t>
      </w:r>
    </w:p>
    <w:p w14:paraId="51BADFC2" w14:textId="77777777" w:rsidR="00046C2E" w:rsidRDefault="000412EC" w:rsidP="00A5799D">
      <w:pPr>
        <w:spacing w:before="60" w:after="80" w:line="360" w:lineRule="auto"/>
        <w:jc w:val="both"/>
      </w:pPr>
      <w:r>
        <w:t>Miller, R. (2023) '</w:t>
      </w:r>
      <w:proofErr w:type="spellStart"/>
      <w:r>
        <w:t>Capitalising</w:t>
      </w:r>
      <w:proofErr w:type="spellEnd"/>
      <w:r>
        <w:t xml:space="preserve"> on machine learning algorithms/techniques to enhance business decision making in macro-environments (PESTLE)', SSRN Electronic Journal. doi:10.2139/ssrn.4394639.</w:t>
      </w:r>
    </w:p>
    <w:p w14:paraId="0926F22B" w14:textId="77777777" w:rsidR="00046C2E" w:rsidRDefault="000412EC" w:rsidP="00A5799D">
      <w:pPr>
        <w:spacing w:before="60" w:after="80" w:line="360" w:lineRule="auto"/>
        <w:jc w:val="both"/>
      </w:pPr>
      <w:proofErr w:type="spellStart"/>
      <w:r>
        <w:t>Mittelstadt</w:t>
      </w:r>
      <w:proofErr w:type="spellEnd"/>
      <w:r>
        <w:t xml:space="preserve">, B.D., </w:t>
      </w:r>
      <w:proofErr w:type="spellStart"/>
      <w:r>
        <w:t>Allo</w:t>
      </w:r>
      <w:proofErr w:type="spellEnd"/>
      <w:r>
        <w:t xml:space="preserve">, P., Taddeo, M., Wachter, S. and </w:t>
      </w:r>
      <w:proofErr w:type="spellStart"/>
      <w:r>
        <w:t>Floridi</w:t>
      </w:r>
      <w:proofErr w:type="spellEnd"/>
      <w:r>
        <w:t>, L. (2016) 'The ethics of algorithms: Mapping the debate', Big Data and Society, 3(2), pp.1–21. doi:10.1177/2053951716679679.</w:t>
      </w:r>
    </w:p>
    <w:p w14:paraId="3625032F" w14:textId="77777777" w:rsidR="00046C2E" w:rsidRDefault="000412EC" w:rsidP="00A5799D">
      <w:pPr>
        <w:spacing w:before="60" w:after="80" w:line="360" w:lineRule="auto"/>
        <w:jc w:val="both"/>
      </w:pPr>
      <w:r>
        <w:t>Nguyen, P., Kim, M., Nichols, E. and Yoon, H.-S. (2025) 'AI-driven digital twins for manufacturing: A review across hierarchical manufacturing system levels', Sensors, 26(1), pp.124–124. doi:10.3390/s26010124.</w:t>
      </w:r>
    </w:p>
    <w:p w14:paraId="44F7F851" w14:textId="77777777" w:rsidR="00046C2E" w:rsidRDefault="000412EC" w:rsidP="00A5799D">
      <w:pPr>
        <w:spacing w:before="60" w:after="80" w:line="360" w:lineRule="auto"/>
        <w:jc w:val="both"/>
      </w:pPr>
      <w:r>
        <w:t xml:space="preserve">Nica, I., </w:t>
      </w:r>
      <w:proofErr w:type="spellStart"/>
      <w:r>
        <w:t>Chiriță</w:t>
      </w:r>
      <w:proofErr w:type="spellEnd"/>
      <w:r>
        <w:t>, N. and Georgescu, I. (2025) 'Triple bottom line in sustainable development: A comprehensive bibliometric analysis', Sustainability, 17(5), p.1932. doi:10.3390/su17051932.</w:t>
      </w:r>
    </w:p>
    <w:p w14:paraId="77FE17E2" w14:textId="44E31394" w:rsidR="00046C2E" w:rsidRDefault="000412EC" w:rsidP="00A5799D">
      <w:pPr>
        <w:spacing w:before="60" w:after="80" w:line="360" w:lineRule="auto"/>
        <w:jc w:val="both"/>
      </w:pPr>
      <w:r>
        <w:t xml:space="preserve">Porter, M.E. (1979) 'How competitive forces shape strategy', Harvard Business Review, 57(2), pp.137–145. Available at: </w:t>
      </w:r>
      <w:hyperlink r:id="rId14" w:history="1">
        <w:r w:rsidR="00A5799D" w:rsidRPr="00F96513">
          <w:rPr>
            <w:rStyle w:val="Hyperlink"/>
          </w:rPr>
          <w:t>https://hbr.org/1979/03/how-competitive-forces-shape-strategy</w:t>
        </w:r>
      </w:hyperlink>
      <w:r w:rsidR="00A5799D">
        <w:t xml:space="preserve"> </w:t>
      </w:r>
    </w:p>
    <w:p w14:paraId="69E73ED9" w14:textId="65A2A90D" w:rsidR="00046C2E" w:rsidRDefault="000412EC" w:rsidP="00A5799D">
      <w:pPr>
        <w:spacing w:before="60" w:after="80" w:line="360" w:lineRule="auto"/>
        <w:jc w:val="both"/>
      </w:pPr>
      <w:r>
        <w:t xml:space="preserve">PricewaterhouseCoopers (2024) EU's AI Act: What Regulators Should Know. PwC, London. Available at: </w:t>
      </w:r>
      <w:hyperlink r:id="rId15" w:history="1">
        <w:r w:rsidR="00A5799D" w:rsidRPr="00F96513">
          <w:rPr>
            <w:rStyle w:val="Hyperlink"/>
          </w:rPr>
          <w:t>https://www.pwc.com/us/en/services/consulting/cybersecurity-risk-regulatory/library/tech-regulatory-policy-developments/eu-ai-act.html</w:t>
        </w:r>
      </w:hyperlink>
      <w:r w:rsidR="00A5799D">
        <w:t xml:space="preserve"> </w:t>
      </w:r>
    </w:p>
    <w:p w14:paraId="6762ED83" w14:textId="335ADAC9" w:rsidR="00046C2E" w:rsidRDefault="000412EC" w:rsidP="00A5799D">
      <w:pPr>
        <w:spacing w:before="60" w:after="80" w:line="360" w:lineRule="auto"/>
        <w:jc w:val="both"/>
      </w:pPr>
      <w:r>
        <w:t xml:space="preserve">PwC (2019) Annual Corporate Directors Survey 2019. PwC, London. Available at: </w:t>
      </w:r>
      <w:hyperlink r:id="rId16" w:history="1">
        <w:r w:rsidR="00A5799D" w:rsidRPr="00F96513">
          <w:rPr>
            <w:rStyle w:val="Hyperlink"/>
          </w:rPr>
          <w:t>https://www.pwc.com/us/en/services/governance-insights-center/library/annual-corporate-directors-survey.html</w:t>
        </w:r>
      </w:hyperlink>
      <w:r w:rsidR="00A5799D">
        <w:t xml:space="preserve"> </w:t>
      </w:r>
    </w:p>
    <w:p w14:paraId="593E9CE5" w14:textId="77777777" w:rsidR="00046C2E" w:rsidRDefault="000412EC" w:rsidP="00A5799D">
      <w:pPr>
        <w:spacing w:before="60" w:after="80" w:line="360" w:lineRule="auto"/>
        <w:jc w:val="both"/>
      </w:pPr>
      <w:proofErr w:type="spellStart"/>
      <w:r>
        <w:t>Rajnish</w:t>
      </w:r>
      <w:proofErr w:type="spellEnd"/>
      <w:r>
        <w:t xml:space="preserve"> </w:t>
      </w:r>
      <w:proofErr w:type="spellStart"/>
      <w:r>
        <w:t>Rakholia</w:t>
      </w:r>
      <w:proofErr w:type="spellEnd"/>
      <w:r>
        <w:t>, Suárez-</w:t>
      </w:r>
      <w:proofErr w:type="spellStart"/>
      <w:r>
        <w:t>Cetrulo</w:t>
      </w:r>
      <w:proofErr w:type="spellEnd"/>
      <w:r>
        <w:t>, A.L., Singh, M. and Carbajo, R.S. (2025) 'Integrating AI and IoT for predictive maintenance in Industry 4.0 manufacturing environments: A practical approach', Information, 16(9), pp.737–737. doi:10.3390/info16090737.</w:t>
      </w:r>
    </w:p>
    <w:p w14:paraId="5215E305" w14:textId="77777777" w:rsidR="00046C2E" w:rsidRDefault="000412EC" w:rsidP="00A5799D">
      <w:pPr>
        <w:spacing w:before="60" w:after="80" w:line="360" w:lineRule="auto"/>
        <w:jc w:val="both"/>
      </w:pPr>
      <w:r>
        <w:lastRenderedPageBreak/>
        <w:t>Ramzan, F. and Recupero, D.R. (2025) 'A literature review on enhancing predictive maintenance in smart manufacturing industries: Fostering human-technology collaboration and overcoming data scarcity limitations with advanced AI models', Operations Research Forum, 6(4). doi:10.1007/s43069-025-00584-0.</w:t>
      </w:r>
    </w:p>
    <w:p w14:paraId="2CB30AE3" w14:textId="22626BB8" w:rsidR="00046C2E" w:rsidRDefault="000412EC" w:rsidP="00A5799D">
      <w:pPr>
        <w:spacing w:before="60" w:after="80" w:line="360" w:lineRule="auto"/>
        <w:jc w:val="both"/>
      </w:pPr>
      <w:r>
        <w:t xml:space="preserve">Review, H.E. (2024) 'Germany: Porter's Diamond Model — The competitive advantage of nations', </w:t>
      </w:r>
      <w:proofErr w:type="spellStart"/>
      <w:r>
        <w:t>Hivelr</w:t>
      </w:r>
      <w:proofErr w:type="spellEnd"/>
      <w:r>
        <w:t xml:space="preserve">. Available at: </w:t>
      </w:r>
      <w:hyperlink r:id="rId17" w:history="1">
        <w:r w:rsidR="00A5799D" w:rsidRPr="00F96513">
          <w:rPr>
            <w:rStyle w:val="Hyperlink"/>
          </w:rPr>
          <w:t>https://www.hivelr.com/2024/02/germany-porters-diamond-model-the-competitive-advantage-of-nations/</w:t>
        </w:r>
      </w:hyperlink>
      <w:r w:rsidR="00A5799D">
        <w:t xml:space="preserve"> </w:t>
      </w:r>
    </w:p>
    <w:p w14:paraId="6BB578A9" w14:textId="77777777" w:rsidR="00046C2E" w:rsidRDefault="000412EC" w:rsidP="00A5799D">
      <w:pPr>
        <w:spacing w:before="60" w:after="80" w:line="360" w:lineRule="auto"/>
        <w:jc w:val="both"/>
      </w:pPr>
      <w:r>
        <w:t xml:space="preserve">Rosati, R., Romeo, L., Cecchini, G., Tonetto, F., Viti, P., Mancini, A. and </w:t>
      </w:r>
      <w:proofErr w:type="spellStart"/>
      <w:r>
        <w:t>Frontoni</w:t>
      </w:r>
      <w:proofErr w:type="spellEnd"/>
      <w:r>
        <w:t>, E. (2022) 'From knowledge-based to big data analytic model: a novel IoT and machine learning based decision support system for predictive maintenance in Industry 4.0', Journal of Intelligent Manufacturing. doi:10.1007/s10845-022-01960-x.</w:t>
      </w:r>
    </w:p>
    <w:p w14:paraId="2BE2CF33" w14:textId="77777777" w:rsidR="00046C2E" w:rsidRDefault="000412EC" w:rsidP="00A5799D">
      <w:pPr>
        <w:spacing w:before="60" w:after="80" w:line="360" w:lineRule="auto"/>
        <w:jc w:val="both"/>
      </w:pPr>
      <w:r>
        <w:t>Samuels, A. (2025) 'Examining the integration of artificial intelligence in supply chain management from Industry 4.0 to 6.0: a systematic literature review', Frontiers in Artificial Intelligence, 7. doi:10.3389/frai.2024.1477044.</w:t>
      </w:r>
    </w:p>
    <w:p w14:paraId="3733AF45" w14:textId="789EFA68" w:rsidR="00046C2E" w:rsidRDefault="000412EC" w:rsidP="00A5799D">
      <w:pPr>
        <w:spacing w:before="60" w:after="80" w:line="360" w:lineRule="auto"/>
        <w:jc w:val="both"/>
      </w:pPr>
      <w:r>
        <w:t xml:space="preserve">Siemens (2024a) Siemens Achieves Strong Progress on Sustainability Targets. Press release. Available at: </w:t>
      </w:r>
      <w:hyperlink r:id="rId18" w:history="1">
        <w:r w:rsidR="00A5799D" w:rsidRPr="00F96513">
          <w:rPr>
            <w:rStyle w:val="Hyperlink"/>
          </w:rPr>
          <w:t>https://press.siemens.com/global/en/pressrelease/siemens-achieves-strong-progress-sustainability-targets</w:t>
        </w:r>
      </w:hyperlink>
      <w:r w:rsidR="00A5799D">
        <w:t xml:space="preserve"> </w:t>
      </w:r>
    </w:p>
    <w:p w14:paraId="54D7B871" w14:textId="67AAAF97" w:rsidR="00046C2E" w:rsidRDefault="000412EC" w:rsidP="00A5799D">
      <w:pPr>
        <w:spacing w:before="60" w:after="80" w:line="360" w:lineRule="auto"/>
        <w:jc w:val="both"/>
      </w:pPr>
      <w:r>
        <w:t xml:space="preserve">Siemens (2024b) Sustainability Report 2024. Siemens AG, Munich. Available at: </w:t>
      </w:r>
      <w:hyperlink r:id="rId19" w:history="1">
        <w:r w:rsidR="00A5799D" w:rsidRPr="00F96513">
          <w:rPr>
            <w:rStyle w:val="Hyperlink"/>
          </w:rPr>
          <w:t>https://assets.new.siemens.com/siemens/assets/api/uuid:32a7154d-edba-47bc-8e9b-9761617ba774/sustainability-report.pdf</w:t>
        </w:r>
      </w:hyperlink>
      <w:r w:rsidR="00A5799D">
        <w:t xml:space="preserve"> </w:t>
      </w:r>
    </w:p>
    <w:p w14:paraId="72CBA0BD" w14:textId="4618A448" w:rsidR="00046C2E" w:rsidRDefault="000412EC" w:rsidP="00A5799D">
      <w:pPr>
        <w:spacing w:before="60" w:after="80" w:line="360" w:lineRule="auto"/>
        <w:jc w:val="both"/>
      </w:pPr>
      <w:r>
        <w:t xml:space="preserve">Siemens AG (2024) Annual Financial Report for Fiscal 2024. Siemens AG, Munich. Available at: </w:t>
      </w:r>
      <w:hyperlink r:id="rId20" w:history="1">
        <w:r w:rsidR="00A5799D" w:rsidRPr="00F96513">
          <w:rPr>
            <w:rStyle w:val="Hyperlink"/>
          </w:rPr>
          <w:t>https://assets.new.siemens.com/siemens/assets/api/uuid:ae46683e-14dd-4455-a882-09d4184457c7/Annual-Financial-Report-FY2024.pdf</w:t>
        </w:r>
      </w:hyperlink>
      <w:r w:rsidR="00A5799D">
        <w:t xml:space="preserve"> </w:t>
      </w:r>
    </w:p>
    <w:p w14:paraId="08E25CC3" w14:textId="0D762365" w:rsidR="00046C2E" w:rsidRDefault="000412EC" w:rsidP="00A5799D">
      <w:pPr>
        <w:spacing w:before="60" w:after="80" w:line="360" w:lineRule="auto"/>
        <w:jc w:val="both"/>
      </w:pPr>
      <w:r>
        <w:t xml:space="preserve">Siemens AG (2025a) Siemens Accelerates Path Toward AI-Driven Industries Through Innovation and Partnerships. Press release, Hannover Messe 2025. Available at: </w:t>
      </w:r>
      <w:hyperlink r:id="rId21" w:history="1">
        <w:r w:rsidR="00A5799D" w:rsidRPr="00F96513">
          <w:rPr>
            <w:rStyle w:val="Hyperlink"/>
          </w:rPr>
          <w:t>https://press.siemens.com/global/en/pressrelease/siemens-accelerates-path-toward-ai-driven-industries-through-innovation-and</w:t>
        </w:r>
      </w:hyperlink>
      <w:r w:rsidR="00A5799D">
        <w:t xml:space="preserve"> </w:t>
      </w:r>
    </w:p>
    <w:p w14:paraId="6F0D601B" w14:textId="53C9BB50" w:rsidR="00046C2E" w:rsidRDefault="000412EC" w:rsidP="00A5799D">
      <w:pPr>
        <w:spacing w:before="60" w:after="80" w:line="360" w:lineRule="auto"/>
        <w:jc w:val="both"/>
      </w:pPr>
      <w:r>
        <w:t xml:space="preserve">Siemens AG (2025b) Sustainability Statement for Fiscal 2025. Siemens AG, Munich. Available at: </w:t>
      </w:r>
      <w:hyperlink r:id="rId22" w:history="1">
        <w:r w:rsidR="00A5799D" w:rsidRPr="00F96513">
          <w:rPr>
            <w:rStyle w:val="Hyperlink"/>
          </w:rPr>
          <w:t>https://assets.new.siemens.com/siemens/assets/api/uuid:dea0c623-1ae9-4ef0-a69a-31d8eb7b39fb/sustainability-statement.pdf</w:t>
        </w:r>
      </w:hyperlink>
      <w:r w:rsidR="00A5799D">
        <w:t xml:space="preserve"> </w:t>
      </w:r>
    </w:p>
    <w:p w14:paraId="6F2CDFA5" w14:textId="77777777" w:rsidR="00046C2E" w:rsidRDefault="000412EC" w:rsidP="00A5799D">
      <w:pPr>
        <w:spacing w:before="60" w:after="80" w:line="360" w:lineRule="auto"/>
        <w:jc w:val="both"/>
      </w:pPr>
      <w:r>
        <w:lastRenderedPageBreak/>
        <w:t xml:space="preserve">Szadeczky, T. and </w:t>
      </w:r>
      <w:proofErr w:type="spellStart"/>
      <w:r>
        <w:t>Bederna</w:t>
      </w:r>
      <w:proofErr w:type="spellEnd"/>
      <w:r>
        <w:t>, Z. (2025) 'Risk, regulation, and governance: Evaluating artificial intelligence across diverse application scenarios', Security Journal, 38(1). doi:10.1057/s41284-025-00495-z.</w:t>
      </w:r>
    </w:p>
    <w:p w14:paraId="278CB641" w14:textId="77777777" w:rsidR="00046C2E" w:rsidRDefault="000412EC" w:rsidP="00A5799D">
      <w:pPr>
        <w:spacing w:before="60" w:after="80" w:line="360" w:lineRule="auto"/>
        <w:jc w:val="both"/>
      </w:pPr>
      <w:r>
        <w:t>Tao, F., Xiao, B., Qi, Q., Cheng, J. and Ji, P. (2022) 'Digital twin modelling', Journal of Manufacturing Systems, 64, pp.372–389. doi:10.1016/j.jmsy.2022.06.015.</w:t>
      </w:r>
    </w:p>
    <w:p w14:paraId="5C389216" w14:textId="77777777" w:rsidR="00046C2E" w:rsidRDefault="000412EC" w:rsidP="00A5799D">
      <w:pPr>
        <w:spacing w:before="60" w:after="80" w:line="360" w:lineRule="auto"/>
        <w:jc w:val="both"/>
      </w:pPr>
      <w:r>
        <w:t>Teixeira, A.R., Ferreira, J.V. and Ramos, A.L. (2025) 'Intelligent supply chain management: A systematic literature review on artificial intelligence contributions', Information, 16(5), pp.399–399. doi:10.3390/info16050399.</w:t>
      </w:r>
    </w:p>
    <w:p w14:paraId="014931DC" w14:textId="2A5BFA6F" w:rsidR="00046C2E" w:rsidRDefault="000412EC" w:rsidP="00A5799D">
      <w:pPr>
        <w:spacing w:before="60" w:after="80" w:line="360" w:lineRule="auto"/>
        <w:jc w:val="both"/>
      </w:pPr>
      <w:r>
        <w:t xml:space="preserve">UK Government (2023) AI Regulation: A Pro-innovation Approach. London: Department for Science, Innovation and Technology. Available at: </w:t>
      </w:r>
      <w:hyperlink r:id="rId23" w:history="1">
        <w:r w:rsidR="00A5799D" w:rsidRPr="00F96513">
          <w:rPr>
            <w:rStyle w:val="Hyperlink"/>
          </w:rPr>
          <w:t>https://www.gov.uk/government/publications/ai-regulation-a-pro-innovation-approach</w:t>
        </w:r>
      </w:hyperlink>
      <w:r w:rsidR="00A5799D">
        <w:t xml:space="preserve"> </w:t>
      </w:r>
    </w:p>
    <w:p w14:paraId="700A6C8E" w14:textId="77777777" w:rsidR="00046C2E" w:rsidRDefault="000412EC" w:rsidP="00A5799D">
      <w:pPr>
        <w:spacing w:before="60" w:after="80" w:line="360" w:lineRule="auto"/>
        <w:jc w:val="both"/>
      </w:pPr>
      <w:r>
        <w:t>Vlados, C. (2019) 'Porter's Diamond approaches and the competitiveness web', International Journal of Business Administration, 10(5), pp.37–52. doi:10.5430/ijba.v10n5p37.</w:t>
      </w:r>
    </w:p>
    <w:p w14:paraId="5AF38729" w14:textId="77777777" w:rsidR="00046C2E" w:rsidRDefault="000412EC" w:rsidP="00A5799D">
      <w:pPr>
        <w:spacing w:before="60" w:after="80" w:line="360" w:lineRule="auto"/>
        <w:jc w:val="both"/>
      </w:pPr>
      <w:r>
        <w:t xml:space="preserve">Zaye, E. and </w:t>
      </w:r>
      <w:proofErr w:type="spellStart"/>
      <w:r>
        <w:t>Ogunyomi-Oluyomi</w:t>
      </w:r>
      <w:proofErr w:type="spellEnd"/>
      <w:r>
        <w:t>, O. (2025) 'Assessment of supply chain sustainability strategy on sustainable performance indicators: Evidence from Siemens DEGREE Framework (2019–2023)', International Journal of Supply Chain and Logistics, 9(3), pp.1–15. doi:10.47941/ijscl.2553.</w:t>
      </w:r>
    </w:p>
    <w:p w14:paraId="2725800E" w14:textId="3F7A0CF6" w:rsidR="00046C2E" w:rsidRDefault="00046C2E" w:rsidP="00A5799D">
      <w:pPr>
        <w:spacing w:line="360" w:lineRule="auto"/>
        <w:jc w:val="both"/>
      </w:pPr>
    </w:p>
    <w:sectPr w:rsidR="00046C2E" w:rsidSect="005831AE">
      <w:footerReference w:type="default" r:id="rId24"/>
      <w:pgSz w:w="11906" w:h="16838"/>
      <w:pgMar w:top="1440" w:right="1260" w:bottom="1440" w:left="1440" w:header="708" w:footer="708"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E41B636" w14:textId="77777777" w:rsidR="00F76709" w:rsidRDefault="00F76709">
      <w:r>
        <w:separator/>
      </w:r>
    </w:p>
  </w:endnote>
  <w:endnote w:type="continuationSeparator" w:id="0">
    <w:p w14:paraId="5D7E4147" w14:textId="77777777" w:rsidR="00F76709" w:rsidRDefault="00F767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altName w:val="Times New Roman"/>
    <w:charset w:val="00"/>
    <w:family w:val="swiss"/>
    <w:pitch w:val="variable"/>
    <w:sig w:usb0="20000287" w:usb1="00000003" w:usb2="00000000" w:usb3="00000000" w:csb0="0000019F" w:csb1="00000000"/>
  </w:font>
  <w:font w:name="Aptos">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26767789"/>
      <w:docPartObj>
        <w:docPartGallery w:val="Page Numbers (Bottom of Page)"/>
        <w:docPartUnique/>
      </w:docPartObj>
    </w:sdtPr>
    <w:sdtEndPr>
      <w:rPr>
        <w:noProof/>
      </w:rPr>
    </w:sdtEndPr>
    <w:sdtContent>
      <w:p w14:paraId="6EDA3C95" w14:textId="0C1DE7DA" w:rsidR="00305668" w:rsidRDefault="00305668" w:rsidP="005831AE">
        <w:pPr>
          <w:pStyle w:val="Footer"/>
          <w:jc w:val="center"/>
        </w:pPr>
        <w:r>
          <w:fldChar w:fldCharType="begin"/>
        </w:r>
        <w:r>
          <w:instrText xml:space="preserve"> PAGE   \* MERGEFORMAT </w:instrText>
        </w:r>
        <w:r>
          <w:fldChar w:fldCharType="separate"/>
        </w:r>
        <w:r w:rsidR="00CF7B13">
          <w:rPr>
            <w:noProof/>
          </w:rPr>
          <w:t>21</w:t>
        </w:r>
        <w:r>
          <w:rPr>
            <w:noProof/>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8C68E80" w14:textId="77777777" w:rsidR="00F76709" w:rsidRDefault="00F76709">
      <w:r>
        <w:separator/>
      </w:r>
    </w:p>
  </w:footnote>
  <w:footnote w:type="continuationSeparator" w:id="0">
    <w:p w14:paraId="327D4EBA" w14:textId="77777777" w:rsidR="00F76709" w:rsidRDefault="00F7670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9D5A0E"/>
    <w:multiLevelType w:val="hybridMultilevel"/>
    <w:tmpl w:val="3B521410"/>
    <w:lvl w:ilvl="0" w:tplc="F17E091E">
      <w:start w:val="1"/>
      <w:numFmt w:val="bullet"/>
      <w:lvlText w:val="•"/>
      <w:lvlJc w:val="left"/>
      <w:pPr>
        <w:ind w:left="720" w:hanging="360"/>
      </w:pPr>
    </w:lvl>
    <w:lvl w:ilvl="1" w:tplc="164259CE">
      <w:numFmt w:val="decimal"/>
      <w:lvlText w:val=""/>
      <w:lvlJc w:val="left"/>
    </w:lvl>
    <w:lvl w:ilvl="2" w:tplc="C6B23888">
      <w:numFmt w:val="decimal"/>
      <w:lvlText w:val=""/>
      <w:lvlJc w:val="left"/>
    </w:lvl>
    <w:lvl w:ilvl="3" w:tplc="0576F530">
      <w:numFmt w:val="decimal"/>
      <w:lvlText w:val=""/>
      <w:lvlJc w:val="left"/>
    </w:lvl>
    <w:lvl w:ilvl="4" w:tplc="E6A4AFAA">
      <w:numFmt w:val="decimal"/>
      <w:lvlText w:val=""/>
      <w:lvlJc w:val="left"/>
    </w:lvl>
    <w:lvl w:ilvl="5" w:tplc="C3F887B4">
      <w:numFmt w:val="decimal"/>
      <w:lvlText w:val=""/>
      <w:lvlJc w:val="left"/>
    </w:lvl>
    <w:lvl w:ilvl="6" w:tplc="8772ACD0">
      <w:numFmt w:val="decimal"/>
      <w:lvlText w:val=""/>
      <w:lvlJc w:val="left"/>
    </w:lvl>
    <w:lvl w:ilvl="7" w:tplc="46963454">
      <w:numFmt w:val="decimal"/>
      <w:lvlText w:val=""/>
      <w:lvlJc w:val="left"/>
    </w:lvl>
    <w:lvl w:ilvl="8" w:tplc="D77E8AA8">
      <w:numFmt w:val="decimal"/>
      <w:lvlText w:val=""/>
      <w:lvlJc w:val="left"/>
    </w:lvl>
  </w:abstractNum>
  <w:abstractNum w:abstractNumId="1" w15:restartNumberingAfterBreak="0">
    <w:nsid w:val="22DB562C"/>
    <w:multiLevelType w:val="hybridMultilevel"/>
    <w:tmpl w:val="65F8605A"/>
    <w:lvl w:ilvl="0" w:tplc="C5C0CF80">
      <w:start w:val="8"/>
      <w:numFmt w:val="bullet"/>
      <w:lvlText w:val="•"/>
      <w:lvlJc w:val="left"/>
      <w:pPr>
        <w:ind w:left="360" w:hanging="360"/>
      </w:pPr>
      <w:rPr>
        <w:rFonts w:ascii="Times New Roman" w:eastAsia="Times New Roman" w:hAnsi="Times New Roman" w:cs="Times New Roman"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 w15:restartNumberingAfterBreak="0">
    <w:nsid w:val="2DB70E04"/>
    <w:multiLevelType w:val="hybridMultilevel"/>
    <w:tmpl w:val="DCAEBAA4"/>
    <w:lvl w:ilvl="0" w:tplc="C5C0CF80">
      <w:start w:val="8"/>
      <w:numFmt w:val="bullet"/>
      <w:lvlText w:val="•"/>
      <w:lvlJc w:val="left"/>
      <w:pPr>
        <w:ind w:left="360" w:hanging="360"/>
      </w:pPr>
      <w:rPr>
        <w:rFonts w:ascii="Times New Roman" w:eastAsia="Times New Roman" w:hAnsi="Times New Roman" w:cs="Times New Roman"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 w15:restartNumberingAfterBreak="0">
    <w:nsid w:val="2E9B3920"/>
    <w:multiLevelType w:val="hybridMultilevel"/>
    <w:tmpl w:val="07CC663A"/>
    <w:lvl w:ilvl="0" w:tplc="C5C0CF80">
      <w:start w:val="8"/>
      <w:numFmt w:val="bullet"/>
      <w:lvlText w:val="•"/>
      <w:lvlJc w:val="left"/>
      <w:pPr>
        <w:ind w:left="1440" w:hanging="720"/>
      </w:pPr>
      <w:rPr>
        <w:rFonts w:ascii="Times New Roman" w:eastAsia="Times New Roman"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308F0FA8"/>
    <w:multiLevelType w:val="hybridMultilevel"/>
    <w:tmpl w:val="AFD6512E"/>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364283C"/>
    <w:multiLevelType w:val="hybridMultilevel"/>
    <w:tmpl w:val="A342C06C"/>
    <w:lvl w:ilvl="0" w:tplc="85800740">
      <w:start w:val="1"/>
      <w:numFmt w:val="bullet"/>
      <w:lvlText w:val="●"/>
      <w:lvlJc w:val="left"/>
      <w:pPr>
        <w:ind w:left="720" w:hanging="360"/>
      </w:pPr>
    </w:lvl>
    <w:lvl w:ilvl="1" w:tplc="88468786">
      <w:start w:val="1"/>
      <w:numFmt w:val="bullet"/>
      <w:lvlText w:val="○"/>
      <w:lvlJc w:val="left"/>
      <w:pPr>
        <w:ind w:left="1440" w:hanging="360"/>
      </w:pPr>
    </w:lvl>
    <w:lvl w:ilvl="2" w:tplc="93662306">
      <w:start w:val="1"/>
      <w:numFmt w:val="bullet"/>
      <w:lvlText w:val="■"/>
      <w:lvlJc w:val="left"/>
      <w:pPr>
        <w:ind w:left="2160" w:hanging="360"/>
      </w:pPr>
    </w:lvl>
    <w:lvl w:ilvl="3" w:tplc="1BAAA59A">
      <w:start w:val="1"/>
      <w:numFmt w:val="bullet"/>
      <w:lvlText w:val="●"/>
      <w:lvlJc w:val="left"/>
      <w:pPr>
        <w:ind w:left="2880" w:hanging="360"/>
      </w:pPr>
    </w:lvl>
    <w:lvl w:ilvl="4" w:tplc="7618D8D4">
      <w:start w:val="1"/>
      <w:numFmt w:val="bullet"/>
      <w:lvlText w:val="○"/>
      <w:lvlJc w:val="left"/>
      <w:pPr>
        <w:ind w:left="3600" w:hanging="360"/>
      </w:pPr>
    </w:lvl>
    <w:lvl w:ilvl="5" w:tplc="F3A0E5B8">
      <w:start w:val="1"/>
      <w:numFmt w:val="bullet"/>
      <w:lvlText w:val="■"/>
      <w:lvlJc w:val="left"/>
      <w:pPr>
        <w:ind w:left="4320" w:hanging="360"/>
      </w:pPr>
    </w:lvl>
    <w:lvl w:ilvl="6" w:tplc="4EBC0196">
      <w:start w:val="1"/>
      <w:numFmt w:val="bullet"/>
      <w:lvlText w:val="●"/>
      <w:lvlJc w:val="left"/>
      <w:pPr>
        <w:ind w:left="5040" w:hanging="360"/>
      </w:pPr>
    </w:lvl>
    <w:lvl w:ilvl="7" w:tplc="1FF8F5AE">
      <w:start w:val="1"/>
      <w:numFmt w:val="bullet"/>
      <w:lvlText w:val="●"/>
      <w:lvlJc w:val="left"/>
      <w:pPr>
        <w:ind w:left="5760" w:hanging="360"/>
      </w:pPr>
    </w:lvl>
    <w:lvl w:ilvl="8" w:tplc="D7903F4E">
      <w:start w:val="1"/>
      <w:numFmt w:val="bullet"/>
      <w:lvlText w:val="●"/>
      <w:lvlJc w:val="left"/>
      <w:pPr>
        <w:ind w:left="6480" w:hanging="360"/>
      </w:pPr>
    </w:lvl>
  </w:abstractNum>
  <w:abstractNum w:abstractNumId="6" w15:restartNumberingAfterBreak="0">
    <w:nsid w:val="45E11C57"/>
    <w:multiLevelType w:val="hybridMultilevel"/>
    <w:tmpl w:val="FA041542"/>
    <w:lvl w:ilvl="0" w:tplc="D2CC5C22">
      <w:start w:val="1"/>
      <w:numFmt w:val="decimal"/>
      <w:lvlText w:val="%1."/>
      <w:lvlJc w:val="left"/>
      <w:pPr>
        <w:ind w:left="720" w:hanging="360"/>
      </w:pPr>
    </w:lvl>
    <w:lvl w:ilvl="1" w:tplc="F9FA907A">
      <w:numFmt w:val="decimal"/>
      <w:lvlText w:val=""/>
      <w:lvlJc w:val="left"/>
    </w:lvl>
    <w:lvl w:ilvl="2" w:tplc="0C662A78">
      <w:numFmt w:val="decimal"/>
      <w:lvlText w:val=""/>
      <w:lvlJc w:val="left"/>
    </w:lvl>
    <w:lvl w:ilvl="3" w:tplc="C100D514">
      <w:numFmt w:val="decimal"/>
      <w:lvlText w:val=""/>
      <w:lvlJc w:val="left"/>
    </w:lvl>
    <w:lvl w:ilvl="4" w:tplc="F398918A">
      <w:numFmt w:val="decimal"/>
      <w:lvlText w:val=""/>
      <w:lvlJc w:val="left"/>
    </w:lvl>
    <w:lvl w:ilvl="5" w:tplc="BD3C50CE">
      <w:numFmt w:val="decimal"/>
      <w:lvlText w:val=""/>
      <w:lvlJc w:val="left"/>
    </w:lvl>
    <w:lvl w:ilvl="6" w:tplc="5AA01522">
      <w:numFmt w:val="decimal"/>
      <w:lvlText w:val=""/>
      <w:lvlJc w:val="left"/>
    </w:lvl>
    <w:lvl w:ilvl="7" w:tplc="23748770">
      <w:numFmt w:val="decimal"/>
      <w:lvlText w:val=""/>
      <w:lvlJc w:val="left"/>
    </w:lvl>
    <w:lvl w:ilvl="8" w:tplc="6000733E">
      <w:numFmt w:val="decimal"/>
      <w:lvlText w:val=""/>
      <w:lvlJc w:val="left"/>
    </w:lvl>
  </w:abstractNum>
  <w:abstractNum w:abstractNumId="7" w15:restartNumberingAfterBreak="0">
    <w:nsid w:val="49CF48DE"/>
    <w:multiLevelType w:val="hybridMultilevel"/>
    <w:tmpl w:val="62C4849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5F493910"/>
    <w:multiLevelType w:val="hybridMultilevel"/>
    <w:tmpl w:val="9EDAB75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9" w15:restartNumberingAfterBreak="0">
    <w:nsid w:val="7B9301F8"/>
    <w:multiLevelType w:val="hybridMultilevel"/>
    <w:tmpl w:val="F1B688BC"/>
    <w:lvl w:ilvl="0" w:tplc="C5C0CF80">
      <w:start w:val="8"/>
      <w:numFmt w:val="bullet"/>
      <w:lvlText w:val="•"/>
      <w:lvlJc w:val="left"/>
      <w:pPr>
        <w:ind w:left="1080" w:hanging="360"/>
      </w:pPr>
      <w:rPr>
        <w:rFonts w:ascii="Times New Roman" w:eastAsia="Times New Roman" w:hAnsi="Times New Roman" w:cs="Times New Roman"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0" w15:restartNumberingAfterBreak="0">
    <w:nsid w:val="7EE84E11"/>
    <w:multiLevelType w:val="hybridMultilevel"/>
    <w:tmpl w:val="67F81696"/>
    <w:lvl w:ilvl="0" w:tplc="C5C0CF80">
      <w:start w:val="8"/>
      <w:numFmt w:val="bullet"/>
      <w:lvlText w:val="•"/>
      <w:lvlJc w:val="left"/>
      <w:pPr>
        <w:ind w:left="1440" w:hanging="720"/>
      </w:pPr>
      <w:rPr>
        <w:rFonts w:ascii="Times New Roman" w:eastAsia="Times New Roman"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5"/>
    <w:lvlOverride w:ilvl="0">
      <w:startOverride w:val="1"/>
    </w:lvlOverride>
  </w:num>
  <w:num w:numId="2">
    <w:abstractNumId w:val="0"/>
    <w:lvlOverride w:ilvl="0">
      <w:startOverride w:val="1"/>
    </w:lvlOverride>
  </w:num>
  <w:num w:numId="3">
    <w:abstractNumId w:val="8"/>
  </w:num>
  <w:num w:numId="4">
    <w:abstractNumId w:val="3"/>
  </w:num>
  <w:num w:numId="5">
    <w:abstractNumId w:val="2"/>
  </w:num>
  <w:num w:numId="6">
    <w:abstractNumId w:val="7"/>
  </w:num>
  <w:num w:numId="7">
    <w:abstractNumId w:val="1"/>
  </w:num>
  <w:num w:numId="8">
    <w:abstractNumId w:val="4"/>
  </w:num>
  <w:num w:numId="9">
    <w:abstractNumId w:val="1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6C2E"/>
    <w:rsid w:val="00015DA7"/>
    <w:rsid w:val="000412EC"/>
    <w:rsid w:val="00046C2E"/>
    <w:rsid w:val="000725FF"/>
    <w:rsid w:val="000E6E68"/>
    <w:rsid w:val="00125B0D"/>
    <w:rsid w:val="00305668"/>
    <w:rsid w:val="004D41D2"/>
    <w:rsid w:val="005831AE"/>
    <w:rsid w:val="006A7D96"/>
    <w:rsid w:val="008950C6"/>
    <w:rsid w:val="00912F4D"/>
    <w:rsid w:val="00921221"/>
    <w:rsid w:val="0096372A"/>
    <w:rsid w:val="00964983"/>
    <w:rsid w:val="00A5799D"/>
    <w:rsid w:val="00AC4994"/>
    <w:rsid w:val="00BB0881"/>
    <w:rsid w:val="00BE7480"/>
    <w:rsid w:val="00CF7B13"/>
    <w:rsid w:val="00F767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60F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uiPriority w:val="9"/>
    <w:qFormat/>
    <w:pPr>
      <w:spacing w:before="360" w:after="180"/>
      <w:outlineLvl w:val="0"/>
    </w:pPr>
    <w:rPr>
      <w:rFonts w:ascii="Arial" w:eastAsia="Arial" w:hAnsi="Arial" w:cs="Arial"/>
      <w:b/>
      <w:bCs/>
      <w:color w:val="1B4332"/>
      <w:sz w:val="32"/>
      <w:szCs w:val="32"/>
    </w:rPr>
  </w:style>
  <w:style w:type="paragraph" w:styleId="Heading2">
    <w:name w:val="heading 2"/>
    <w:uiPriority w:val="9"/>
    <w:unhideWhenUsed/>
    <w:qFormat/>
    <w:pPr>
      <w:spacing w:before="260" w:after="130"/>
      <w:outlineLvl w:val="1"/>
    </w:pPr>
    <w:rPr>
      <w:rFonts w:ascii="Arial" w:eastAsia="Arial" w:hAnsi="Arial" w:cs="Arial"/>
      <w:b/>
      <w:bCs/>
      <w:color w:val="2D6A4F"/>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A5799D"/>
    <w:pPr>
      <w:tabs>
        <w:tab w:val="center" w:pos="4680"/>
        <w:tab w:val="right" w:pos="9360"/>
      </w:tabs>
    </w:pPr>
  </w:style>
  <w:style w:type="character" w:customStyle="1" w:styleId="HeaderChar">
    <w:name w:val="Header Char"/>
    <w:basedOn w:val="DefaultParagraphFont"/>
    <w:link w:val="Header"/>
    <w:uiPriority w:val="99"/>
    <w:rsid w:val="00A5799D"/>
  </w:style>
  <w:style w:type="paragraph" w:styleId="Footer">
    <w:name w:val="footer"/>
    <w:basedOn w:val="Normal"/>
    <w:link w:val="FooterChar"/>
    <w:uiPriority w:val="99"/>
    <w:unhideWhenUsed/>
    <w:rsid w:val="00A5799D"/>
    <w:pPr>
      <w:tabs>
        <w:tab w:val="center" w:pos="4680"/>
        <w:tab w:val="right" w:pos="9360"/>
      </w:tabs>
    </w:pPr>
  </w:style>
  <w:style w:type="character" w:customStyle="1" w:styleId="FooterChar">
    <w:name w:val="Footer Char"/>
    <w:basedOn w:val="DefaultParagraphFont"/>
    <w:link w:val="Footer"/>
    <w:uiPriority w:val="99"/>
    <w:rsid w:val="00A5799D"/>
  </w:style>
  <w:style w:type="character" w:customStyle="1" w:styleId="UnresolvedMention">
    <w:name w:val="Unresolved Mention"/>
    <w:basedOn w:val="DefaultParagraphFont"/>
    <w:uiPriority w:val="99"/>
    <w:semiHidden/>
    <w:unhideWhenUsed/>
    <w:rsid w:val="00A5799D"/>
    <w:rPr>
      <w:color w:val="605E5C"/>
      <w:shd w:val="clear" w:color="auto" w:fill="E1DFDD"/>
    </w:rPr>
  </w:style>
  <w:style w:type="table" w:styleId="TableGrid">
    <w:name w:val="Table Grid"/>
    <w:basedOn w:val="TableNormal"/>
    <w:uiPriority w:val="39"/>
    <w:rsid w:val="0030566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05668"/>
    <w:pPr>
      <w:keepNext/>
      <w:keepLines/>
      <w:spacing w:before="240" w:after="0" w:line="259" w:lineRule="auto"/>
      <w:outlineLvl w:val="9"/>
    </w:pPr>
    <w:rPr>
      <w:rFonts w:asciiTheme="majorHAnsi" w:eastAsiaTheme="majorEastAsia" w:hAnsiTheme="majorHAnsi" w:cstheme="majorBidi"/>
      <w:b w:val="0"/>
      <w:bCs w:val="0"/>
      <w:color w:val="0F4761" w:themeColor="accent1" w:themeShade="BF"/>
    </w:rPr>
  </w:style>
  <w:style w:type="paragraph" w:styleId="TOC1">
    <w:name w:val="toc 1"/>
    <w:basedOn w:val="Normal"/>
    <w:next w:val="Normal"/>
    <w:autoRedefine/>
    <w:uiPriority w:val="39"/>
    <w:unhideWhenUsed/>
    <w:rsid w:val="00305668"/>
    <w:pPr>
      <w:spacing w:after="100"/>
    </w:pPr>
  </w:style>
  <w:style w:type="paragraph" w:styleId="TOC2">
    <w:name w:val="toc 2"/>
    <w:basedOn w:val="Normal"/>
    <w:next w:val="Normal"/>
    <w:autoRedefine/>
    <w:uiPriority w:val="39"/>
    <w:unhideWhenUsed/>
    <w:rsid w:val="0030566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00207543.2023.2232050" TargetMode="External"/><Relationship Id="rId13" Type="http://schemas.openxmlformats.org/officeDocument/2006/relationships/hyperlink" Target="https://news.microsoft.com/source/2024/10/24/siemens-and-microsoft-scale-industrial-ai/" TargetMode="External"/><Relationship Id="rId18" Type="http://schemas.openxmlformats.org/officeDocument/2006/relationships/hyperlink" Target="https://press.siemens.com/global/en/pressrelease/siemens-achieves-strong-progress-sustainability-target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press.siemens.com/global/en/pressrelease/siemens-accelerates-path-toward-ai-driven-industries-through-innovation-and" TargetMode="External"/><Relationship Id="rId7" Type="http://schemas.openxmlformats.org/officeDocument/2006/relationships/image" Target="media/image1.png"/><Relationship Id="rId12" Type="http://schemas.openxmlformats.org/officeDocument/2006/relationships/hyperlink" Target="https://www.mckinsey.com/capabilities/quantumblack/our-insights/the-state-of-ai-in-2023-generative-ais-breakout-year" TargetMode="External"/><Relationship Id="rId17" Type="http://schemas.openxmlformats.org/officeDocument/2006/relationships/hyperlink" Target="https://www.hivelr.com/2024/02/germany-porters-diamond-model-the-competitive-advantage-of-nation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wc.com/us/en/services/governance-insights-center/library/annual-corporate-directors-survey.html" TargetMode="External"/><Relationship Id="rId20" Type="http://schemas.openxmlformats.org/officeDocument/2006/relationships/hyperlink" Target="https://assets.new.siemens.com/siemens/assets/api/uuid:ae46683e-14dd-4455-a882-09d4184457c7/Annual-Financial-Report-FY2024.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uroparl.europa.eu/topics/en/article/20230601STO93804/eu-ai-act-first-regulation-on-artificial-intelligence"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pwc.com/us/en/services/consulting/cybersecurity-risk-regulatory/library/tech-regulatory-policy-developments/eu-ai-act.html" TargetMode="External"/><Relationship Id="rId23" Type="http://schemas.openxmlformats.org/officeDocument/2006/relationships/hyperlink" Target="https://www.gov.uk/government/publications/ai-regulation-a-pro-innovation-approach" TargetMode="External"/><Relationship Id="rId10" Type="http://schemas.openxmlformats.org/officeDocument/2006/relationships/hyperlink" Target="https://eur-lex.europa.eu/legal-content/EN/TXT/?uri=OJ:L_202401689" TargetMode="External"/><Relationship Id="rId19" Type="http://schemas.openxmlformats.org/officeDocument/2006/relationships/hyperlink" Target="https://assets.new.siemens.com/siemens/assets/api/uuid:32a7154d-edba-47bc-8e9b-9761617ba774/sustainability-report.pdf" TargetMode="External"/><Relationship Id="rId4" Type="http://schemas.openxmlformats.org/officeDocument/2006/relationships/webSettings" Target="webSettings.xml"/><Relationship Id="rId9" Type="http://schemas.openxmlformats.org/officeDocument/2006/relationships/hyperlink" Target="https://digital-strategy.ec.europa.eu/en/policies/european-approach-artificial-intelligence" TargetMode="External"/><Relationship Id="rId14" Type="http://schemas.openxmlformats.org/officeDocument/2006/relationships/hyperlink" Target="https://hbr.org/1979/03/how-competitive-forces-shape-strategy" TargetMode="External"/><Relationship Id="rId22" Type="http://schemas.openxmlformats.org/officeDocument/2006/relationships/hyperlink" Target="https://assets.new.siemens.com/siemens/assets/api/uuid:dea0c623-1ae9-4ef0-a69a-31d8eb7b39fb/sustainability-statem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24</Pages>
  <Words>7513</Words>
  <Characters>42828</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2026-04-27T16:35:00Z</dcterms:created>
  <dcterms:modified xsi:type="dcterms:W3CDTF">2026-04-27T16:35:00Z</dcterms:modified>
</cp:coreProperties>
</file>