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6DF1C" w14:textId="196D8EC0" w:rsidR="00EA232C" w:rsidRDefault="000F5754" w:rsidP="000F5754">
      <w:pPr>
        <w:jc w:val="center"/>
      </w:pPr>
      <w:r>
        <w:rPr>
          <w:noProof/>
        </w:rPr>
        <w:drawing>
          <wp:inline distT="0" distB="0" distL="0" distR="0" wp14:anchorId="5CF0A4B5" wp14:editId="1FF7CD85">
            <wp:extent cx="1810385" cy="725170"/>
            <wp:effectExtent l="0" t="0" r="0" b="0"/>
            <wp:docPr id="1699106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194886E" w14:textId="77777777" w:rsidR="000F5754" w:rsidRDefault="000F5754" w:rsidP="000F5754">
      <w:pPr>
        <w:jc w:val="center"/>
      </w:pPr>
    </w:p>
    <w:p w14:paraId="4AC1C59D" w14:textId="77777777" w:rsidR="000F5754" w:rsidRDefault="000F5754" w:rsidP="000F5754">
      <w:pPr>
        <w:jc w:val="center"/>
      </w:pPr>
    </w:p>
    <w:p w14:paraId="738D6328" w14:textId="77777777" w:rsidR="000F5754" w:rsidRPr="000F5754" w:rsidRDefault="000F5754" w:rsidP="000F5754">
      <w:pPr>
        <w:spacing w:line="240" w:lineRule="auto"/>
        <w:jc w:val="center"/>
        <w:rPr>
          <w:rFonts w:ascii="Arial" w:eastAsia="Arial" w:hAnsi="Arial" w:cs="Arial"/>
          <w:b/>
          <w:color w:val="000000"/>
          <w:sz w:val="24"/>
          <w:szCs w:val="24"/>
          <w:lang w:eastAsia="en-GB"/>
        </w:rPr>
      </w:pPr>
      <w:r w:rsidRPr="000F5754">
        <w:rPr>
          <w:rFonts w:ascii="Arial" w:eastAsia="Arial" w:hAnsi="Arial" w:cs="Arial"/>
          <w:b/>
          <w:color w:val="000000"/>
          <w:sz w:val="24"/>
          <w:szCs w:val="24"/>
          <w:lang w:eastAsia="en-GB"/>
        </w:rPr>
        <w:t>Certificate of Higher Education Skills for the Workplace (Health &amp; Social Care)</w:t>
      </w:r>
    </w:p>
    <w:p w14:paraId="1221FB95" w14:textId="77777777" w:rsidR="000F5754" w:rsidRPr="000F5754" w:rsidRDefault="000F5754" w:rsidP="000F5754">
      <w:pPr>
        <w:jc w:val="center"/>
        <w:rPr>
          <w:rFonts w:ascii="Arial" w:eastAsia="Arial" w:hAnsi="Arial" w:cs="Arial"/>
          <w:b/>
          <w:color w:val="000000"/>
          <w:sz w:val="24"/>
          <w:szCs w:val="24"/>
          <w:lang w:eastAsia="en-GB"/>
        </w:rPr>
      </w:pPr>
      <w:r w:rsidRPr="000F5754">
        <w:rPr>
          <w:rFonts w:ascii="Arial" w:eastAsia="Arial" w:hAnsi="Arial" w:cs="Arial"/>
          <w:b/>
          <w:color w:val="000000"/>
          <w:sz w:val="24"/>
          <w:szCs w:val="24"/>
          <w:lang w:eastAsia="en-GB"/>
        </w:rPr>
        <w:t>Introduction to Public Health</w:t>
      </w:r>
    </w:p>
    <w:p w14:paraId="6ED3BE1F" w14:textId="77777777" w:rsidR="000F5754" w:rsidRDefault="000F5754" w:rsidP="000F5754">
      <w:pPr>
        <w:jc w:val="center"/>
        <w:rPr>
          <w:rFonts w:ascii="Arial" w:eastAsia="Arial" w:hAnsi="Arial" w:cs="Arial"/>
          <w:b/>
          <w:color w:val="000000"/>
          <w:szCs w:val="24"/>
          <w:lang w:eastAsia="en-GB"/>
        </w:rPr>
      </w:pPr>
    </w:p>
    <w:p w14:paraId="28DC425C" w14:textId="77777777" w:rsidR="000F5754" w:rsidRDefault="000F5754" w:rsidP="000F5754">
      <w:pPr>
        <w:jc w:val="center"/>
        <w:rPr>
          <w:rFonts w:ascii="Arial" w:eastAsia="Arial" w:hAnsi="Arial" w:cs="Arial"/>
          <w:b/>
          <w:color w:val="000000"/>
          <w:szCs w:val="24"/>
          <w:lang w:eastAsia="en-GB"/>
        </w:rPr>
      </w:pPr>
    </w:p>
    <w:p w14:paraId="52CEBC7E" w14:textId="30FFC8AC" w:rsidR="000F5754" w:rsidRDefault="000F5754" w:rsidP="000F5754">
      <w:pPr>
        <w:jc w:val="center"/>
      </w:pPr>
      <w:r>
        <w:rPr>
          <w:noProof/>
        </w:rPr>
        <w:drawing>
          <wp:inline distT="0" distB="0" distL="0" distR="0" wp14:anchorId="60E35B40" wp14:editId="4CECC6AF">
            <wp:extent cx="3203042" cy="2885440"/>
            <wp:effectExtent l="0" t="0" r="0" b="0"/>
            <wp:docPr id="19751448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3360" cy="2894735"/>
                    </a:xfrm>
                    <a:prstGeom prst="rect">
                      <a:avLst/>
                    </a:prstGeom>
                    <a:noFill/>
                  </pic:spPr>
                </pic:pic>
              </a:graphicData>
            </a:graphic>
          </wp:inline>
        </w:drawing>
      </w:r>
    </w:p>
    <w:p w14:paraId="371EDAB6" w14:textId="77777777" w:rsidR="000F5754" w:rsidRDefault="000F5754" w:rsidP="000F5754">
      <w:pPr>
        <w:jc w:val="center"/>
      </w:pPr>
    </w:p>
    <w:p w14:paraId="5B0ACDF7" w14:textId="77777777" w:rsidR="000F5754" w:rsidRDefault="000F5754" w:rsidP="000F5754">
      <w:pPr>
        <w:jc w:val="center"/>
        <w:rPr>
          <w:rFonts w:ascii="Arial" w:hAnsi="Arial" w:cs="Arial"/>
          <w:b/>
          <w:bCs/>
          <w:sz w:val="28"/>
          <w:szCs w:val="28"/>
        </w:rPr>
      </w:pPr>
      <w:r w:rsidRPr="0007253F">
        <w:rPr>
          <w:rFonts w:ascii="Arial" w:hAnsi="Arial" w:cs="Arial"/>
          <w:b/>
          <w:bCs/>
          <w:sz w:val="28"/>
          <w:szCs w:val="28"/>
        </w:rPr>
        <w:t>Dementia as a Public Health Issue</w:t>
      </w:r>
    </w:p>
    <w:p w14:paraId="1F341094" w14:textId="77777777" w:rsidR="000F5754" w:rsidRDefault="000F5754" w:rsidP="000F5754">
      <w:pPr>
        <w:jc w:val="center"/>
      </w:pPr>
    </w:p>
    <w:p w14:paraId="41F7CA9A" w14:textId="77777777" w:rsidR="000F5754" w:rsidRDefault="000F5754" w:rsidP="000F5754">
      <w:pPr>
        <w:jc w:val="center"/>
      </w:pPr>
    </w:p>
    <w:p w14:paraId="3F6BB44D" w14:textId="77777777" w:rsidR="000F5754" w:rsidRDefault="000F5754" w:rsidP="000F5754">
      <w:pPr>
        <w:jc w:val="center"/>
      </w:pPr>
    </w:p>
    <w:p w14:paraId="2E5C1AA8" w14:textId="77777777" w:rsidR="000F5754" w:rsidRDefault="000F5754" w:rsidP="000F5754">
      <w:pPr>
        <w:jc w:val="center"/>
      </w:pPr>
    </w:p>
    <w:p w14:paraId="59F5AE6B" w14:textId="77777777" w:rsidR="000F5754" w:rsidRDefault="000F5754" w:rsidP="000F5754"/>
    <w:p w14:paraId="56D76DD2" w14:textId="77777777" w:rsidR="000F5754" w:rsidRPr="004E6CA2" w:rsidRDefault="000F5754" w:rsidP="000F5754">
      <w:pPr>
        <w:jc w:val="both"/>
        <w:rPr>
          <w:rFonts w:ascii="Arial" w:hAnsi="Arial" w:cs="Arial"/>
        </w:rPr>
      </w:pPr>
      <w:r w:rsidRPr="004E6CA2">
        <w:rPr>
          <w:rFonts w:ascii="Arial" w:hAnsi="Arial" w:cs="Arial"/>
          <w:b/>
          <w:bCs/>
        </w:rPr>
        <w:t>Student name:</w:t>
      </w:r>
      <w:r w:rsidRPr="004E6CA2">
        <w:rPr>
          <w:rFonts w:ascii="Arial" w:hAnsi="Arial" w:cs="Arial"/>
        </w:rPr>
        <w:t xml:space="preserve"> Katherine Elizabeth Montero </w:t>
      </w:r>
      <w:r>
        <w:rPr>
          <w:rFonts w:ascii="Arial" w:hAnsi="Arial" w:cs="Arial"/>
        </w:rPr>
        <w:t>Coello</w:t>
      </w:r>
    </w:p>
    <w:p w14:paraId="219CF47F" w14:textId="77777777" w:rsidR="000F5754" w:rsidRPr="004E6CA2" w:rsidRDefault="000F5754" w:rsidP="000F5754">
      <w:pPr>
        <w:jc w:val="both"/>
        <w:rPr>
          <w:rFonts w:ascii="Arial" w:hAnsi="Arial" w:cs="Arial"/>
        </w:rPr>
      </w:pPr>
      <w:r w:rsidRPr="004E6CA2">
        <w:rPr>
          <w:rFonts w:ascii="Arial" w:hAnsi="Arial" w:cs="Arial"/>
          <w:b/>
          <w:bCs/>
        </w:rPr>
        <w:t>Student ID</w:t>
      </w:r>
      <w:r w:rsidRPr="004E6CA2">
        <w:rPr>
          <w:rFonts w:ascii="Arial" w:hAnsi="Arial" w:cs="Arial"/>
        </w:rPr>
        <w:t>: 2512506</w:t>
      </w:r>
    </w:p>
    <w:p w14:paraId="1D5C727F" w14:textId="77777777" w:rsidR="000F5754" w:rsidRDefault="000F5754" w:rsidP="000F5754">
      <w:pPr>
        <w:pStyle w:val="NormalWeb"/>
        <w:spacing w:before="200" w:beforeAutospacing="0" w:after="0" w:afterAutospacing="0" w:line="216" w:lineRule="auto"/>
        <w:jc w:val="both"/>
      </w:pPr>
      <w:r w:rsidRPr="0007253F">
        <w:rPr>
          <w:rFonts w:ascii="Arial" w:hAnsi="Arial" w:cs="Arial"/>
          <w:b/>
          <w:bCs/>
        </w:rPr>
        <w:t>Lecturer name</w:t>
      </w:r>
      <w:r w:rsidRPr="004E6CA2">
        <w:rPr>
          <w:rFonts w:ascii="Arial" w:hAnsi="Arial" w:cs="Arial"/>
        </w:rPr>
        <w:t xml:space="preserve">: </w:t>
      </w:r>
      <w:r w:rsidRPr="008900DF">
        <w:rPr>
          <w:rFonts w:ascii="Arial" w:eastAsiaTheme="minorEastAsia" w:hAnsi="Arial" w:cs="Arial"/>
          <w:color w:val="000000"/>
          <w:kern w:val="24"/>
          <w:sz w:val="22"/>
          <w:szCs w:val="22"/>
        </w:rPr>
        <w:t>Arif Ahmed</w:t>
      </w:r>
    </w:p>
    <w:p w14:paraId="7EA13B1D" w14:textId="77777777" w:rsidR="000F5754" w:rsidRDefault="000F5754" w:rsidP="000F5754">
      <w:pPr>
        <w:jc w:val="both"/>
        <w:rPr>
          <w:rFonts w:ascii="Arial" w:eastAsia="Arial" w:hAnsi="Arial" w:cs="Arial"/>
          <w:bCs/>
          <w:color w:val="000000"/>
          <w:szCs w:val="24"/>
          <w:lang w:eastAsia="en-GB"/>
        </w:rPr>
      </w:pPr>
    </w:p>
    <w:p w14:paraId="2F9088A8" w14:textId="77777777" w:rsidR="000F5754" w:rsidRDefault="000F5754" w:rsidP="000F5754"/>
    <w:p w14:paraId="45B27CC1" w14:textId="77777777" w:rsidR="000F5754" w:rsidRPr="007E5C8D" w:rsidRDefault="000F5754" w:rsidP="000F5754">
      <w:pPr>
        <w:spacing w:after="0" w:line="360" w:lineRule="auto"/>
        <w:jc w:val="both"/>
        <w:rPr>
          <w:rFonts w:ascii="Arial" w:eastAsia="Times New Roman" w:hAnsi="Arial" w:cs="Arial"/>
          <w:b/>
          <w:bCs/>
          <w:kern w:val="0"/>
          <w:lang w:eastAsia="en-GB"/>
          <w14:ligatures w14:val="none"/>
        </w:rPr>
      </w:pPr>
      <w:r w:rsidRPr="007E5C8D">
        <w:rPr>
          <w:rFonts w:ascii="Arial" w:eastAsia="Times New Roman" w:hAnsi="Arial" w:cs="Arial"/>
          <w:b/>
          <w:bCs/>
          <w:kern w:val="0"/>
          <w:lang w:eastAsia="en-GB"/>
          <w14:ligatures w14:val="none"/>
        </w:rPr>
        <w:lastRenderedPageBreak/>
        <w:t>Abstract</w:t>
      </w:r>
    </w:p>
    <w:p w14:paraId="6B68CA3B" w14:textId="77777777" w:rsidR="000F5754" w:rsidRDefault="000F5754" w:rsidP="000F5754">
      <w:pPr>
        <w:spacing w:after="0" w:line="360" w:lineRule="auto"/>
        <w:jc w:val="both"/>
        <w:rPr>
          <w:rFonts w:ascii="Arial" w:eastAsia="Times New Roman" w:hAnsi="Arial" w:cs="Arial"/>
          <w:kern w:val="0"/>
          <w:lang w:eastAsia="en-GB"/>
          <w14:ligatures w14:val="none"/>
        </w:rPr>
      </w:pPr>
      <w:r w:rsidRPr="005327C1">
        <w:rPr>
          <w:rFonts w:ascii="Arial" w:eastAsia="Times New Roman" w:hAnsi="Arial" w:cs="Arial"/>
          <w:kern w:val="0"/>
          <w:lang w:eastAsia="en-GB"/>
          <w14:ligatures w14:val="none"/>
        </w:rPr>
        <w:t>Dementia is a major public health challenge which leads to irreversible damage to memory, cognitive, language and physical functions, resulting in loss of autonomy and impacting on the individual, family, community and health and social care systems.</w:t>
      </w:r>
      <w:r>
        <w:rPr>
          <w:rFonts w:ascii="Arial" w:eastAsia="Times New Roman" w:hAnsi="Arial" w:cs="Arial"/>
          <w:kern w:val="0"/>
          <w:lang w:eastAsia="en-GB"/>
          <w14:ligatures w14:val="none"/>
        </w:rPr>
        <w:t xml:space="preserve"> </w:t>
      </w:r>
      <w:r w:rsidRPr="005327C1">
        <w:rPr>
          <w:rFonts w:ascii="Arial" w:eastAsia="Times New Roman" w:hAnsi="Arial" w:cs="Arial"/>
          <w:kern w:val="0"/>
          <w:lang w:eastAsia="en-GB"/>
          <w14:ligatures w14:val="none"/>
        </w:rPr>
        <w:t>The World Health Organisation (WHO) defines dementia as a syndrome characterised by acquired impairments in cognition, including memory and thinking, and behaviour change</w:t>
      </w:r>
      <w:r>
        <w:rPr>
          <w:rFonts w:ascii="Arial" w:eastAsia="Times New Roman" w:hAnsi="Arial" w:cs="Arial"/>
          <w:kern w:val="0"/>
          <w:lang w:eastAsia="en-GB"/>
          <w14:ligatures w14:val="none"/>
        </w:rPr>
        <w:t>.</w:t>
      </w:r>
    </w:p>
    <w:p w14:paraId="5194E8CF"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13B1CC24"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11B2F825"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58A1C92"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7E6AE69C"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26842BFD"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71D8A74"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2F16FFEE"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44DFEE2"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534F445"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5F2B91AD"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C89B11C"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56B29CC"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23077785"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1ABA2863"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EE964EE"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0D97E857"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10D3C67"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47E8FAA"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016720D8"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5D6F7CC"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E721028"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B36CC9C"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480EC89"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63F59EB"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162621E1"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0BB5CE67"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CAD2D5B"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756A3313"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DB02D63"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014ADDB1" w14:textId="77777777" w:rsidR="000F5754" w:rsidRDefault="000F5754" w:rsidP="000F5754">
      <w:pPr>
        <w:spacing w:after="0" w:line="360" w:lineRule="auto"/>
        <w:jc w:val="both"/>
        <w:rPr>
          <w:rFonts w:ascii="Arial" w:eastAsia="Times New Roman" w:hAnsi="Arial" w:cs="Arial"/>
          <w:kern w:val="0"/>
          <w:lang w:eastAsia="en-GB"/>
          <w14:ligatures w14:val="none"/>
        </w:rPr>
      </w:pPr>
    </w:p>
    <w:sdt>
      <w:sdtPr>
        <w:rPr>
          <w:rFonts w:asciiTheme="minorHAnsi" w:eastAsiaTheme="minorHAnsi" w:hAnsiTheme="minorHAnsi" w:cstheme="minorBidi"/>
          <w:color w:val="auto"/>
          <w:kern w:val="2"/>
          <w:sz w:val="22"/>
          <w:szCs w:val="22"/>
          <w:lang w:eastAsia="en-US"/>
          <w14:ligatures w14:val="standardContextual"/>
        </w:rPr>
        <w:id w:val="367418171"/>
        <w:docPartObj>
          <w:docPartGallery w:val="Table of Contents"/>
          <w:docPartUnique/>
        </w:docPartObj>
      </w:sdtPr>
      <w:sdtEndPr>
        <w:rPr>
          <w:b/>
          <w:bCs/>
        </w:rPr>
      </w:sdtEndPr>
      <w:sdtContent>
        <w:p w14:paraId="0D0AE02A" w14:textId="77777777" w:rsidR="000F5754" w:rsidRPr="000F5754" w:rsidRDefault="000F5754" w:rsidP="000F5754">
          <w:pPr>
            <w:pStyle w:val="TOCHeading"/>
            <w:jc w:val="both"/>
            <w:rPr>
              <w:color w:val="000000" w:themeColor="text1"/>
            </w:rPr>
          </w:pPr>
          <w:r w:rsidRPr="000F5754">
            <w:rPr>
              <w:color w:val="000000" w:themeColor="text1"/>
            </w:rPr>
            <w:t>Table of Contents</w:t>
          </w:r>
        </w:p>
        <w:p w14:paraId="75466852" w14:textId="434CA2CC" w:rsidR="000F5754" w:rsidRDefault="000F5754" w:rsidP="000F5754">
          <w:pPr>
            <w:pStyle w:val="TOC1"/>
            <w:tabs>
              <w:tab w:val="right" w:leader="dot" w:pos="9016"/>
            </w:tabs>
            <w:jc w:val="both"/>
            <w:rPr>
              <w:rFonts w:eastAsiaTheme="minorEastAsia"/>
              <w:noProof/>
              <w:sz w:val="24"/>
              <w:szCs w:val="24"/>
              <w:lang w:eastAsia="en-GB"/>
            </w:rPr>
          </w:pPr>
          <w:r>
            <w:fldChar w:fldCharType="begin"/>
          </w:r>
          <w:r>
            <w:instrText xml:space="preserve"> TOC \o "1-3" \h \z \u </w:instrText>
          </w:r>
          <w:r>
            <w:fldChar w:fldCharType="separate"/>
          </w:r>
          <w:hyperlink w:anchor="_Toc223884648" w:history="1">
            <w:r w:rsidRPr="008D6486">
              <w:rPr>
                <w:rStyle w:val="Hyperlink"/>
                <w:rFonts w:eastAsia="Times New Roman"/>
                <w:b/>
                <w:bCs/>
                <w:noProof/>
                <w:lang w:eastAsia="en-GB"/>
              </w:rPr>
              <w:t>Introduction</w:t>
            </w:r>
            <w:r>
              <w:rPr>
                <w:noProof/>
                <w:webHidden/>
              </w:rPr>
              <w:tab/>
            </w:r>
            <w:r>
              <w:rPr>
                <w:noProof/>
                <w:webHidden/>
              </w:rPr>
              <w:fldChar w:fldCharType="begin"/>
            </w:r>
            <w:r>
              <w:rPr>
                <w:noProof/>
                <w:webHidden/>
              </w:rPr>
              <w:instrText xml:space="preserve"> PAGEREF _Toc223884648 \h </w:instrText>
            </w:r>
            <w:r>
              <w:rPr>
                <w:noProof/>
                <w:webHidden/>
              </w:rPr>
            </w:r>
            <w:r>
              <w:rPr>
                <w:noProof/>
                <w:webHidden/>
              </w:rPr>
              <w:fldChar w:fldCharType="separate"/>
            </w:r>
            <w:r>
              <w:rPr>
                <w:noProof/>
                <w:webHidden/>
              </w:rPr>
              <w:t>4</w:t>
            </w:r>
            <w:r>
              <w:rPr>
                <w:noProof/>
                <w:webHidden/>
              </w:rPr>
              <w:fldChar w:fldCharType="end"/>
            </w:r>
          </w:hyperlink>
        </w:p>
        <w:p w14:paraId="291D136B" w14:textId="3467BADF" w:rsidR="000F5754" w:rsidRDefault="000F5754" w:rsidP="000F5754">
          <w:pPr>
            <w:pStyle w:val="TOC1"/>
            <w:tabs>
              <w:tab w:val="right" w:leader="dot" w:pos="9016"/>
            </w:tabs>
            <w:jc w:val="both"/>
            <w:rPr>
              <w:rFonts w:eastAsiaTheme="minorEastAsia"/>
              <w:noProof/>
              <w:sz w:val="24"/>
              <w:szCs w:val="24"/>
              <w:lang w:eastAsia="en-GB"/>
            </w:rPr>
          </w:pPr>
          <w:hyperlink w:anchor="_Toc223884649" w:history="1">
            <w:r>
              <w:rPr>
                <w:rStyle w:val="Hyperlink"/>
                <w:rFonts w:eastAsia="Times New Roman"/>
                <w:b/>
                <w:bCs/>
                <w:noProof/>
                <w:lang w:eastAsia="en-GB"/>
              </w:rPr>
              <w:t>Definition, Signs and Symptoms, and Levels of Incidence/Severity</w:t>
            </w:r>
            <w:r>
              <w:rPr>
                <w:rStyle w:val="Hyperlink"/>
                <w:rFonts w:eastAsia="Times New Roman"/>
                <w:b/>
                <w:bCs/>
                <w:noProof/>
                <w:lang w:eastAsia="en-GB"/>
              </w:rPr>
              <w:tab/>
              <w:t>3</w:t>
            </w:r>
          </w:hyperlink>
        </w:p>
        <w:p w14:paraId="5B7EACA3" w14:textId="10A4EB35" w:rsidR="000F5754" w:rsidRDefault="000F5754" w:rsidP="000F5754">
          <w:pPr>
            <w:pStyle w:val="TOC1"/>
            <w:tabs>
              <w:tab w:val="right" w:leader="dot" w:pos="9016"/>
            </w:tabs>
            <w:jc w:val="both"/>
            <w:rPr>
              <w:rFonts w:eastAsiaTheme="minorEastAsia"/>
              <w:noProof/>
              <w:sz w:val="24"/>
              <w:szCs w:val="24"/>
              <w:lang w:eastAsia="en-GB"/>
            </w:rPr>
          </w:pPr>
          <w:hyperlink w:anchor="_Toc223884650" w:history="1">
            <w:r w:rsidRPr="008D6486">
              <w:rPr>
                <w:rStyle w:val="Hyperlink"/>
                <w:rFonts w:eastAsia="Times New Roman"/>
                <w:b/>
                <w:bCs/>
                <w:noProof/>
                <w:lang w:eastAsia="en-GB"/>
              </w:rPr>
              <w:t>Main Body</w:t>
            </w:r>
            <w:r>
              <w:rPr>
                <w:noProof/>
                <w:webHidden/>
              </w:rPr>
              <w:tab/>
            </w:r>
            <w:r>
              <w:rPr>
                <w:noProof/>
                <w:webHidden/>
              </w:rPr>
              <w:fldChar w:fldCharType="begin"/>
            </w:r>
            <w:r>
              <w:rPr>
                <w:noProof/>
                <w:webHidden/>
              </w:rPr>
              <w:instrText xml:space="preserve"> PAGEREF _Toc223884650 \h </w:instrText>
            </w:r>
            <w:r>
              <w:rPr>
                <w:noProof/>
                <w:webHidden/>
              </w:rPr>
            </w:r>
            <w:r>
              <w:rPr>
                <w:noProof/>
                <w:webHidden/>
              </w:rPr>
              <w:fldChar w:fldCharType="separate"/>
            </w:r>
            <w:r>
              <w:rPr>
                <w:noProof/>
                <w:webHidden/>
              </w:rPr>
              <w:t>5</w:t>
            </w:r>
            <w:r>
              <w:rPr>
                <w:noProof/>
                <w:webHidden/>
              </w:rPr>
              <w:fldChar w:fldCharType="end"/>
            </w:r>
          </w:hyperlink>
        </w:p>
        <w:p w14:paraId="25B1CEF8" w14:textId="5D84EE5D" w:rsidR="000F5754" w:rsidRDefault="000F5754" w:rsidP="000F5754">
          <w:pPr>
            <w:pStyle w:val="TOC2"/>
            <w:tabs>
              <w:tab w:val="right" w:leader="dot" w:pos="9016"/>
            </w:tabs>
            <w:jc w:val="both"/>
            <w:rPr>
              <w:rFonts w:eastAsiaTheme="minorEastAsia"/>
              <w:noProof/>
              <w:sz w:val="24"/>
              <w:szCs w:val="24"/>
              <w:lang w:eastAsia="en-GB"/>
            </w:rPr>
          </w:pPr>
          <w:hyperlink w:anchor="_Toc223884651" w:history="1">
            <w:r w:rsidRPr="008D6486">
              <w:rPr>
                <w:rStyle w:val="Hyperlink"/>
                <w:noProof/>
              </w:rPr>
              <w:t>1.Approaches Used to Measure and Monitor Dementia</w:t>
            </w:r>
            <w:r>
              <w:rPr>
                <w:noProof/>
                <w:webHidden/>
              </w:rPr>
              <w:tab/>
            </w:r>
            <w:r>
              <w:rPr>
                <w:noProof/>
                <w:webHidden/>
              </w:rPr>
              <w:fldChar w:fldCharType="begin"/>
            </w:r>
            <w:r>
              <w:rPr>
                <w:noProof/>
                <w:webHidden/>
              </w:rPr>
              <w:instrText xml:space="preserve"> PAGEREF _Toc223884651 \h </w:instrText>
            </w:r>
            <w:r>
              <w:rPr>
                <w:noProof/>
                <w:webHidden/>
              </w:rPr>
            </w:r>
            <w:r>
              <w:rPr>
                <w:noProof/>
                <w:webHidden/>
              </w:rPr>
              <w:fldChar w:fldCharType="separate"/>
            </w:r>
            <w:r>
              <w:rPr>
                <w:noProof/>
                <w:webHidden/>
              </w:rPr>
              <w:t>5</w:t>
            </w:r>
            <w:r>
              <w:rPr>
                <w:noProof/>
                <w:webHidden/>
              </w:rPr>
              <w:fldChar w:fldCharType="end"/>
            </w:r>
          </w:hyperlink>
        </w:p>
        <w:p w14:paraId="315DCD32" w14:textId="4D6A35AB" w:rsidR="000F5754" w:rsidRDefault="000F5754" w:rsidP="000F5754">
          <w:pPr>
            <w:pStyle w:val="TOC2"/>
            <w:tabs>
              <w:tab w:val="right" w:leader="dot" w:pos="9016"/>
            </w:tabs>
            <w:jc w:val="both"/>
            <w:rPr>
              <w:rFonts w:eastAsiaTheme="minorEastAsia"/>
              <w:noProof/>
              <w:sz w:val="24"/>
              <w:szCs w:val="24"/>
              <w:lang w:eastAsia="en-GB"/>
            </w:rPr>
          </w:pPr>
          <w:hyperlink w:anchor="_Toc223884652" w:history="1">
            <w:r w:rsidRPr="008D6486">
              <w:rPr>
                <w:rStyle w:val="Hyperlink"/>
                <w:rFonts w:eastAsia="Times New Roman"/>
                <w:noProof/>
                <w:lang w:eastAsia="en-GB"/>
              </w:rPr>
              <w:t>2. How dementia is controlled</w:t>
            </w:r>
            <w:r>
              <w:rPr>
                <w:noProof/>
                <w:webHidden/>
              </w:rPr>
              <w:tab/>
            </w:r>
            <w:r>
              <w:rPr>
                <w:noProof/>
                <w:webHidden/>
              </w:rPr>
              <w:fldChar w:fldCharType="begin"/>
            </w:r>
            <w:r>
              <w:rPr>
                <w:noProof/>
                <w:webHidden/>
              </w:rPr>
              <w:instrText xml:space="preserve"> PAGEREF _Toc223884652 \h </w:instrText>
            </w:r>
            <w:r>
              <w:rPr>
                <w:noProof/>
                <w:webHidden/>
              </w:rPr>
            </w:r>
            <w:r>
              <w:rPr>
                <w:noProof/>
                <w:webHidden/>
              </w:rPr>
              <w:fldChar w:fldCharType="separate"/>
            </w:r>
            <w:r>
              <w:rPr>
                <w:noProof/>
                <w:webHidden/>
              </w:rPr>
              <w:t>6</w:t>
            </w:r>
            <w:r>
              <w:rPr>
                <w:noProof/>
                <w:webHidden/>
              </w:rPr>
              <w:fldChar w:fldCharType="end"/>
            </w:r>
          </w:hyperlink>
        </w:p>
        <w:p w14:paraId="7695CD7A" w14:textId="219102E3" w:rsidR="000F5754" w:rsidRDefault="000F5754" w:rsidP="000F5754">
          <w:pPr>
            <w:pStyle w:val="TOC2"/>
            <w:tabs>
              <w:tab w:val="right" w:leader="dot" w:pos="9016"/>
            </w:tabs>
            <w:jc w:val="both"/>
            <w:rPr>
              <w:rFonts w:eastAsiaTheme="minorEastAsia"/>
              <w:noProof/>
              <w:sz w:val="24"/>
              <w:szCs w:val="24"/>
              <w:lang w:eastAsia="en-GB"/>
            </w:rPr>
          </w:pPr>
          <w:hyperlink w:anchor="_Toc223884653" w:history="1">
            <w:r w:rsidRPr="008D6486">
              <w:rPr>
                <w:rStyle w:val="Hyperlink"/>
                <w:rFonts w:eastAsia="Times New Roman"/>
                <w:noProof/>
                <w:lang w:eastAsia="en-GB"/>
              </w:rPr>
              <w:t>3. Consequences of dementia on people in the community</w:t>
            </w:r>
            <w:r>
              <w:rPr>
                <w:noProof/>
                <w:webHidden/>
              </w:rPr>
              <w:tab/>
            </w:r>
            <w:r>
              <w:rPr>
                <w:noProof/>
                <w:webHidden/>
              </w:rPr>
              <w:fldChar w:fldCharType="begin"/>
            </w:r>
            <w:r>
              <w:rPr>
                <w:noProof/>
                <w:webHidden/>
              </w:rPr>
              <w:instrText xml:space="preserve"> PAGEREF _Toc223884653 \h </w:instrText>
            </w:r>
            <w:r>
              <w:rPr>
                <w:noProof/>
                <w:webHidden/>
              </w:rPr>
            </w:r>
            <w:r>
              <w:rPr>
                <w:noProof/>
                <w:webHidden/>
              </w:rPr>
              <w:fldChar w:fldCharType="separate"/>
            </w:r>
            <w:r>
              <w:rPr>
                <w:noProof/>
                <w:webHidden/>
              </w:rPr>
              <w:t>7</w:t>
            </w:r>
            <w:r>
              <w:rPr>
                <w:noProof/>
                <w:webHidden/>
              </w:rPr>
              <w:fldChar w:fldCharType="end"/>
            </w:r>
          </w:hyperlink>
        </w:p>
        <w:p w14:paraId="6BF8CB1C" w14:textId="045DE851" w:rsidR="000F5754" w:rsidRDefault="000F5754" w:rsidP="000F5754">
          <w:pPr>
            <w:pStyle w:val="TOC2"/>
            <w:tabs>
              <w:tab w:val="right" w:leader="dot" w:pos="9016"/>
            </w:tabs>
            <w:jc w:val="both"/>
            <w:rPr>
              <w:rFonts w:eastAsiaTheme="minorEastAsia"/>
              <w:noProof/>
              <w:sz w:val="24"/>
              <w:szCs w:val="24"/>
              <w:lang w:eastAsia="en-GB"/>
            </w:rPr>
          </w:pPr>
          <w:hyperlink w:anchor="_Toc223884654" w:history="1">
            <w:r w:rsidRPr="008D6486">
              <w:rPr>
                <w:rStyle w:val="Hyperlink"/>
                <w:rFonts w:eastAsia="Times New Roman"/>
                <w:noProof/>
                <w:lang w:eastAsia="en-GB"/>
              </w:rPr>
              <w:t>4. Health and social care support services required in the community</w:t>
            </w:r>
            <w:r>
              <w:rPr>
                <w:noProof/>
                <w:webHidden/>
              </w:rPr>
              <w:tab/>
            </w:r>
            <w:r>
              <w:rPr>
                <w:noProof/>
                <w:webHidden/>
              </w:rPr>
              <w:fldChar w:fldCharType="begin"/>
            </w:r>
            <w:r>
              <w:rPr>
                <w:noProof/>
                <w:webHidden/>
              </w:rPr>
              <w:instrText xml:space="preserve"> PAGEREF _Toc223884654 \h </w:instrText>
            </w:r>
            <w:r>
              <w:rPr>
                <w:noProof/>
                <w:webHidden/>
              </w:rPr>
            </w:r>
            <w:r>
              <w:rPr>
                <w:noProof/>
                <w:webHidden/>
              </w:rPr>
              <w:fldChar w:fldCharType="separate"/>
            </w:r>
            <w:r>
              <w:rPr>
                <w:noProof/>
                <w:webHidden/>
              </w:rPr>
              <w:t>7</w:t>
            </w:r>
            <w:r>
              <w:rPr>
                <w:noProof/>
                <w:webHidden/>
              </w:rPr>
              <w:fldChar w:fldCharType="end"/>
            </w:r>
          </w:hyperlink>
        </w:p>
        <w:p w14:paraId="4294F2DF" w14:textId="0BBC75CD" w:rsidR="000F5754" w:rsidRDefault="000F5754" w:rsidP="000F5754">
          <w:pPr>
            <w:pStyle w:val="TOC1"/>
            <w:tabs>
              <w:tab w:val="right" w:leader="dot" w:pos="9016"/>
            </w:tabs>
            <w:jc w:val="both"/>
            <w:rPr>
              <w:rFonts w:eastAsiaTheme="minorEastAsia"/>
              <w:noProof/>
              <w:sz w:val="24"/>
              <w:szCs w:val="24"/>
              <w:lang w:eastAsia="en-GB"/>
            </w:rPr>
          </w:pPr>
          <w:hyperlink w:anchor="_Toc223884655" w:history="1">
            <w:r w:rsidRPr="008D6486">
              <w:rPr>
                <w:rStyle w:val="Hyperlink"/>
                <w:rFonts w:eastAsia="Times New Roman"/>
                <w:b/>
                <w:bCs/>
                <w:noProof/>
                <w:lang w:eastAsia="en-GB"/>
              </w:rPr>
              <w:t>Conclusion</w:t>
            </w:r>
            <w:r>
              <w:rPr>
                <w:noProof/>
                <w:webHidden/>
              </w:rPr>
              <w:tab/>
            </w:r>
            <w:r>
              <w:rPr>
                <w:noProof/>
                <w:webHidden/>
              </w:rPr>
              <w:fldChar w:fldCharType="begin"/>
            </w:r>
            <w:r>
              <w:rPr>
                <w:noProof/>
                <w:webHidden/>
              </w:rPr>
              <w:instrText xml:space="preserve"> PAGEREF _Toc223884655 \h </w:instrText>
            </w:r>
            <w:r>
              <w:rPr>
                <w:noProof/>
                <w:webHidden/>
              </w:rPr>
            </w:r>
            <w:r>
              <w:rPr>
                <w:noProof/>
                <w:webHidden/>
              </w:rPr>
              <w:fldChar w:fldCharType="separate"/>
            </w:r>
            <w:r>
              <w:rPr>
                <w:noProof/>
                <w:webHidden/>
              </w:rPr>
              <w:t>8</w:t>
            </w:r>
            <w:r>
              <w:rPr>
                <w:noProof/>
                <w:webHidden/>
              </w:rPr>
              <w:fldChar w:fldCharType="end"/>
            </w:r>
          </w:hyperlink>
        </w:p>
        <w:p w14:paraId="67363F08" w14:textId="4D174D82" w:rsidR="000F5754" w:rsidRDefault="000F5754" w:rsidP="000F5754">
          <w:pPr>
            <w:pStyle w:val="TOC1"/>
            <w:tabs>
              <w:tab w:val="right" w:leader="dot" w:pos="9016"/>
            </w:tabs>
            <w:jc w:val="both"/>
            <w:rPr>
              <w:rFonts w:eastAsiaTheme="minorEastAsia"/>
              <w:noProof/>
              <w:sz w:val="24"/>
              <w:szCs w:val="24"/>
              <w:lang w:eastAsia="en-GB"/>
            </w:rPr>
          </w:pPr>
          <w:hyperlink w:anchor="_Toc223884656" w:history="1">
            <w:r w:rsidRPr="008D6486">
              <w:rPr>
                <w:rStyle w:val="Hyperlink"/>
                <w:rFonts w:eastAsia="Times New Roman"/>
                <w:b/>
                <w:bCs/>
                <w:noProof/>
                <w:lang w:eastAsia="en-GB"/>
              </w:rPr>
              <w:t>Reference List</w:t>
            </w:r>
            <w:r>
              <w:rPr>
                <w:noProof/>
                <w:webHidden/>
              </w:rPr>
              <w:tab/>
            </w:r>
            <w:r>
              <w:rPr>
                <w:noProof/>
                <w:webHidden/>
              </w:rPr>
              <w:fldChar w:fldCharType="begin"/>
            </w:r>
            <w:r>
              <w:rPr>
                <w:noProof/>
                <w:webHidden/>
              </w:rPr>
              <w:instrText xml:space="preserve"> PAGEREF _Toc223884656 \h </w:instrText>
            </w:r>
            <w:r>
              <w:rPr>
                <w:noProof/>
                <w:webHidden/>
              </w:rPr>
            </w:r>
            <w:r>
              <w:rPr>
                <w:noProof/>
                <w:webHidden/>
              </w:rPr>
              <w:fldChar w:fldCharType="separate"/>
            </w:r>
            <w:r>
              <w:rPr>
                <w:noProof/>
                <w:webHidden/>
              </w:rPr>
              <w:t>9</w:t>
            </w:r>
            <w:r>
              <w:rPr>
                <w:noProof/>
                <w:webHidden/>
              </w:rPr>
              <w:fldChar w:fldCharType="end"/>
            </w:r>
          </w:hyperlink>
        </w:p>
        <w:p w14:paraId="271D16EF" w14:textId="77777777" w:rsidR="000F5754" w:rsidRDefault="000F5754" w:rsidP="000F5754">
          <w:pPr>
            <w:jc w:val="both"/>
            <w:rPr>
              <w:b/>
              <w:bCs/>
            </w:rPr>
          </w:pPr>
          <w:r>
            <w:rPr>
              <w:b/>
              <w:bCs/>
            </w:rPr>
            <w:fldChar w:fldCharType="end"/>
          </w:r>
        </w:p>
      </w:sdtContent>
    </w:sdt>
    <w:p w14:paraId="76FEDBE5" w14:textId="77777777" w:rsidR="000F5754" w:rsidRDefault="000F5754" w:rsidP="000F5754">
      <w:pPr>
        <w:spacing w:after="0" w:line="360" w:lineRule="auto"/>
        <w:jc w:val="both"/>
        <w:rPr>
          <w:rFonts w:ascii="Arial" w:eastAsia="Arial" w:hAnsi="Arial" w:cs="Arial"/>
          <w:bCs/>
          <w:color w:val="000000"/>
          <w:szCs w:val="24"/>
          <w:lang w:eastAsia="en-GB"/>
        </w:rPr>
      </w:pPr>
    </w:p>
    <w:p w14:paraId="36114124" w14:textId="77777777" w:rsidR="000F5754" w:rsidRDefault="000F5754" w:rsidP="000F5754">
      <w:pPr>
        <w:spacing w:after="0" w:line="360" w:lineRule="auto"/>
        <w:jc w:val="both"/>
        <w:rPr>
          <w:rFonts w:ascii="Arial" w:eastAsia="Arial" w:hAnsi="Arial" w:cs="Arial"/>
          <w:bCs/>
          <w:color w:val="000000"/>
          <w:szCs w:val="24"/>
          <w:lang w:eastAsia="en-GB"/>
        </w:rPr>
      </w:pPr>
    </w:p>
    <w:p w14:paraId="54CD00B5" w14:textId="77777777" w:rsidR="000F5754" w:rsidRDefault="000F5754" w:rsidP="000F5754">
      <w:pPr>
        <w:spacing w:after="0" w:line="360" w:lineRule="auto"/>
        <w:jc w:val="both"/>
        <w:rPr>
          <w:rFonts w:ascii="Arial" w:eastAsia="Arial" w:hAnsi="Arial" w:cs="Arial"/>
          <w:bCs/>
          <w:color w:val="000000"/>
          <w:szCs w:val="24"/>
          <w:lang w:eastAsia="en-GB"/>
        </w:rPr>
      </w:pPr>
    </w:p>
    <w:p w14:paraId="56A5219B" w14:textId="77777777" w:rsidR="000F5754" w:rsidRDefault="000F5754" w:rsidP="000F5754">
      <w:pPr>
        <w:spacing w:after="0" w:line="360" w:lineRule="auto"/>
        <w:jc w:val="both"/>
        <w:rPr>
          <w:rFonts w:ascii="Arial" w:eastAsia="Arial" w:hAnsi="Arial" w:cs="Arial"/>
          <w:bCs/>
          <w:color w:val="000000"/>
          <w:szCs w:val="24"/>
          <w:lang w:eastAsia="en-GB"/>
        </w:rPr>
      </w:pPr>
    </w:p>
    <w:p w14:paraId="60EA9ED4" w14:textId="77777777" w:rsidR="000F5754" w:rsidRDefault="000F5754" w:rsidP="000F5754">
      <w:pPr>
        <w:spacing w:after="0" w:line="360" w:lineRule="auto"/>
        <w:jc w:val="both"/>
        <w:rPr>
          <w:rFonts w:ascii="Arial" w:eastAsia="Arial" w:hAnsi="Arial" w:cs="Arial"/>
          <w:bCs/>
          <w:color w:val="000000"/>
          <w:szCs w:val="24"/>
          <w:lang w:eastAsia="en-GB"/>
        </w:rPr>
      </w:pPr>
    </w:p>
    <w:p w14:paraId="4FF17AD6" w14:textId="77777777" w:rsidR="000F5754" w:rsidRDefault="000F5754" w:rsidP="000F5754">
      <w:pPr>
        <w:spacing w:after="0" w:line="360" w:lineRule="auto"/>
        <w:jc w:val="both"/>
        <w:rPr>
          <w:rFonts w:ascii="Arial" w:eastAsia="Arial" w:hAnsi="Arial" w:cs="Arial"/>
          <w:bCs/>
          <w:color w:val="000000"/>
          <w:szCs w:val="24"/>
          <w:lang w:eastAsia="en-GB"/>
        </w:rPr>
      </w:pPr>
    </w:p>
    <w:p w14:paraId="35FBBA92" w14:textId="77777777" w:rsidR="000F5754" w:rsidRDefault="000F5754" w:rsidP="000F5754">
      <w:pPr>
        <w:spacing w:after="0" w:line="360" w:lineRule="auto"/>
        <w:jc w:val="both"/>
        <w:rPr>
          <w:rFonts w:ascii="Arial" w:eastAsia="Arial" w:hAnsi="Arial" w:cs="Arial"/>
          <w:bCs/>
          <w:color w:val="000000"/>
          <w:szCs w:val="24"/>
          <w:lang w:eastAsia="en-GB"/>
        </w:rPr>
      </w:pPr>
    </w:p>
    <w:p w14:paraId="1E0634EE" w14:textId="77777777" w:rsidR="000F5754" w:rsidRDefault="000F5754" w:rsidP="000F5754">
      <w:pPr>
        <w:spacing w:after="0" w:line="360" w:lineRule="auto"/>
        <w:jc w:val="both"/>
        <w:rPr>
          <w:rFonts w:ascii="Arial" w:eastAsia="Arial" w:hAnsi="Arial" w:cs="Arial"/>
          <w:bCs/>
          <w:color w:val="000000"/>
          <w:szCs w:val="24"/>
          <w:lang w:eastAsia="en-GB"/>
        </w:rPr>
      </w:pPr>
    </w:p>
    <w:p w14:paraId="21E0EBAA" w14:textId="77777777" w:rsidR="000F5754" w:rsidRDefault="000F5754" w:rsidP="000F5754">
      <w:pPr>
        <w:spacing w:after="0" w:line="360" w:lineRule="auto"/>
        <w:jc w:val="both"/>
        <w:rPr>
          <w:rFonts w:ascii="Arial" w:eastAsia="Arial" w:hAnsi="Arial" w:cs="Arial"/>
          <w:bCs/>
          <w:color w:val="000000"/>
          <w:szCs w:val="24"/>
          <w:lang w:eastAsia="en-GB"/>
        </w:rPr>
      </w:pPr>
    </w:p>
    <w:p w14:paraId="22740089" w14:textId="77777777" w:rsidR="000F5754" w:rsidRDefault="000F5754" w:rsidP="000F5754">
      <w:pPr>
        <w:spacing w:after="0" w:line="360" w:lineRule="auto"/>
        <w:jc w:val="both"/>
        <w:rPr>
          <w:rFonts w:ascii="Arial" w:eastAsia="Arial" w:hAnsi="Arial" w:cs="Arial"/>
          <w:bCs/>
          <w:color w:val="000000"/>
          <w:szCs w:val="24"/>
          <w:lang w:eastAsia="en-GB"/>
        </w:rPr>
      </w:pPr>
    </w:p>
    <w:p w14:paraId="17DBDC18" w14:textId="77777777" w:rsidR="000F5754" w:rsidRDefault="000F5754" w:rsidP="000F5754">
      <w:pPr>
        <w:spacing w:after="0" w:line="360" w:lineRule="auto"/>
        <w:jc w:val="both"/>
        <w:rPr>
          <w:rFonts w:ascii="Arial" w:eastAsia="Arial" w:hAnsi="Arial" w:cs="Arial"/>
          <w:bCs/>
          <w:color w:val="000000"/>
          <w:szCs w:val="24"/>
          <w:lang w:eastAsia="en-GB"/>
        </w:rPr>
      </w:pPr>
    </w:p>
    <w:p w14:paraId="0D399D7E" w14:textId="77777777" w:rsidR="000F5754" w:rsidRDefault="000F5754" w:rsidP="000F5754">
      <w:pPr>
        <w:spacing w:after="0" w:line="360" w:lineRule="auto"/>
        <w:jc w:val="both"/>
        <w:rPr>
          <w:rFonts w:ascii="Arial" w:eastAsia="Arial" w:hAnsi="Arial" w:cs="Arial"/>
          <w:bCs/>
          <w:color w:val="000000"/>
          <w:szCs w:val="24"/>
          <w:lang w:eastAsia="en-GB"/>
        </w:rPr>
      </w:pPr>
    </w:p>
    <w:p w14:paraId="361774CD" w14:textId="77777777" w:rsidR="000F5754" w:rsidRDefault="000F5754" w:rsidP="000F5754">
      <w:pPr>
        <w:spacing w:after="0" w:line="360" w:lineRule="auto"/>
        <w:jc w:val="both"/>
        <w:rPr>
          <w:rFonts w:ascii="Arial" w:eastAsia="Arial" w:hAnsi="Arial" w:cs="Arial"/>
          <w:bCs/>
          <w:color w:val="000000"/>
          <w:szCs w:val="24"/>
          <w:lang w:eastAsia="en-GB"/>
        </w:rPr>
      </w:pPr>
    </w:p>
    <w:p w14:paraId="42909BCF" w14:textId="77777777" w:rsidR="000F5754" w:rsidRDefault="000F5754" w:rsidP="000F5754">
      <w:pPr>
        <w:spacing w:after="0" w:line="360" w:lineRule="auto"/>
        <w:jc w:val="both"/>
        <w:rPr>
          <w:rFonts w:ascii="Arial" w:eastAsia="Arial" w:hAnsi="Arial" w:cs="Arial"/>
          <w:bCs/>
          <w:color w:val="000000"/>
          <w:szCs w:val="24"/>
          <w:lang w:eastAsia="en-GB"/>
        </w:rPr>
      </w:pPr>
    </w:p>
    <w:p w14:paraId="2895415B" w14:textId="77777777" w:rsidR="000F5754" w:rsidRDefault="000F5754" w:rsidP="000F5754">
      <w:pPr>
        <w:spacing w:after="0" w:line="360" w:lineRule="auto"/>
        <w:jc w:val="both"/>
        <w:rPr>
          <w:rFonts w:ascii="Arial" w:eastAsia="Arial" w:hAnsi="Arial" w:cs="Arial"/>
          <w:bCs/>
          <w:color w:val="000000"/>
          <w:szCs w:val="24"/>
          <w:lang w:eastAsia="en-GB"/>
        </w:rPr>
      </w:pPr>
    </w:p>
    <w:p w14:paraId="6FA85B1F" w14:textId="77777777" w:rsidR="000F5754" w:rsidRDefault="000F5754" w:rsidP="000F5754">
      <w:pPr>
        <w:spacing w:after="0" w:line="360" w:lineRule="auto"/>
        <w:jc w:val="both"/>
        <w:rPr>
          <w:rFonts w:ascii="Arial" w:eastAsia="Arial" w:hAnsi="Arial" w:cs="Arial"/>
          <w:bCs/>
          <w:color w:val="000000"/>
          <w:szCs w:val="24"/>
          <w:lang w:eastAsia="en-GB"/>
        </w:rPr>
      </w:pPr>
    </w:p>
    <w:p w14:paraId="66FFFD92" w14:textId="77777777" w:rsidR="000F5754" w:rsidRDefault="000F5754" w:rsidP="000F5754">
      <w:pPr>
        <w:spacing w:after="0" w:line="360" w:lineRule="auto"/>
        <w:jc w:val="both"/>
        <w:rPr>
          <w:rFonts w:ascii="Arial" w:eastAsia="Arial" w:hAnsi="Arial" w:cs="Arial"/>
          <w:bCs/>
          <w:color w:val="000000"/>
          <w:szCs w:val="24"/>
          <w:lang w:eastAsia="en-GB"/>
        </w:rPr>
      </w:pPr>
    </w:p>
    <w:p w14:paraId="418A39BE" w14:textId="77777777" w:rsidR="000F5754" w:rsidRDefault="000F5754" w:rsidP="000F5754">
      <w:pPr>
        <w:spacing w:after="0" w:line="360" w:lineRule="auto"/>
        <w:jc w:val="both"/>
        <w:rPr>
          <w:rFonts w:ascii="Arial" w:eastAsia="Arial" w:hAnsi="Arial" w:cs="Arial"/>
          <w:bCs/>
          <w:color w:val="000000"/>
          <w:szCs w:val="24"/>
          <w:lang w:eastAsia="en-GB"/>
        </w:rPr>
      </w:pPr>
    </w:p>
    <w:p w14:paraId="2337E3A0" w14:textId="77777777" w:rsidR="000F5754" w:rsidRDefault="000F5754" w:rsidP="000F5754">
      <w:pPr>
        <w:spacing w:after="0" w:line="360" w:lineRule="auto"/>
        <w:jc w:val="both"/>
        <w:rPr>
          <w:rFonts w:ascii="Arial" w:eastAsia="Arial" w:hAnsi="Arial" w:cs="Arial"/>
          <w:bCs/>
          <w:color w:val="000000"/>
          <w:szCs w:val="24"/>
          <w:lang w:eastAsia="en-GB"/>
        </w:rPr>
      </w:pPr>
    </w:p>
    <w:p w14:paraId="30B0ED34" w14:textId="77777777" w:rsidR="000F5754" w:rsidRDefault="000F5754" w:rsidP="000F5754">
      <w:pPr>
        <w:spacing w:after="0" w:line="360" w:lineRule="auto"/>
        <w:jc w:val="both"/>
        <w:rPr>
          <w:rFonts w:ascii="Arial" w:eastAsia="Arial" w:hAnsi="Arial" w:cs="Arial"/>
          <w:bCs/>
          <w:color w:val="000000"/>
          <w:szCs w:val="24"/>
          <w:lang w:eastAsia="en-GB"/>
        </w:rPr>
      </w:pPr>
    </w:p>
    <w:p w14:paraId="2D065613" w14:textId="77777777" w:rsidR="000F5754" w:rsidRDefault="000F5754" w:rsidP="000F5754">
      <w:pPr>
        <w:spacing w:after="0" w:line="360" w:lineRule="auto"/>
        <w:jc w:val="both"/>
        <w:rPr>
          <w:rFonts w:ascii="Arial" w:eastAsia="Arial" w:hAnsi="Arial" w:cs="Arial"/>
          <w:bCs/>
          <w:color w:val="000000"/>
          <w:szCs w:val="24"/>
          <w:lang w:eastAsia="en-GB"/>
        </w:rPr>
      </w:pPr>
    </w:p>
    <w:p w14:paraId="74B80697" w14:textId="77777777" w:rsidR="000F5754" w:rsidRDefault="000F5754" w:rsidP="000F5754">
      <w:pPr>
        <w:spacing w:after="0" w:line="360" w:lineRule="auto"/>
        <w:jc w:val="both"/>
        <w:rPr>
          <w:rFonts w:ascii="Arial" w:eastAsia="Arial" w:hAnsi="Arial" w:cs="Arial"/>
          <w:bCs/>
          <w:color w:val="000000"/>
          <w:szCs w:val="24"/>
          <w:lang w:eastAsia="en-GB"/>
        </w:rPr>
      </w:pPr>
    </w:p>
    <w:p w14:paraId="3B138CBB" w14:textId="77777777" w:rsidR="000F5754" w:rsidRDefault="000F5754" w:rsidP="000F5754">
      <w:pPr>
        <w:spacing w:after="0" w:line="360" w:lineRule="auto"/>
        <w:jc w:val="both"/>
        <w:rPr>
          <w:rFonts w:ascii="Arial" w:eastAsia="Arial" w:hAnsi="Arial" w:cs="Arial"/>
          <w:bCs/>
          <w:color w:val="000000"/>
          <w:szCs w:val="24"/>
          <w:lang w:eastAsia="en-GB"/>
        </w:rPr>
      </w:pPr>
    </w:p>
    <w:p w14:paraId="5050BB67" w14:textId="77777777" w:rsidR="000F5754" w:rsidRDefault="000F5754" w:rsidP="000F5754">
      <w:pPr>
        <w:spacing w:after="0" w:line="360" w:lineRule="auto"/>
        <w:jc w:val="both"/>
        <w:rPr>
          <w:rFonts w:ascii="Arial" w:eastAsia="Arial" w:hAnsi="Arial" w:cs="Arial"/>
          <w:bCs/>
          <w:color w:val="000000"/>
          <w:szCs w:val="24"/>
          <w:lang w:eastAsia="en-GB"/>
        </w:rPr>
      </w:pPr>
    </w:p>
    <w:p w14:paraId="13223C41" w14:textId="77777777" w:rsidR="000F5754" w:rsidRDefault="000F5754" w:rsidP="000F5754">
      <w:pPr>
        <w:spacing w:after="0" w:line="360" w:lineRule="auto"/>
        <w:jc w:val="both"/>
        <w:rPr>
          <w:rFonts w:ascii="Arial" w:eastAsia="Arial" w:hAnsi="Arial" w:cs="Arial"/>
          <w:bCs/>
          <w:color w:val="000000"/>
          <w:szCs w:val="24"/>
          <w:lang w:eastAsia="en-GB"/>
        </w:rPr>
      </w:pPr>
    </w:p>
    <w:p w14:paraId="4DF77C13" w14:textId="77777777" w:rsidR="000F5754" w:rsidRPr="00E930B1" w:rsidRDefault="000F5754" w:rsidP="000F5754">
      <w:pPr>
        <w:pStyle w:val="Heading1"/>
        <w:rPr>
          <w:rFonts w:eastAsia="Times New Roman"/>
          <w:b/>
          <w:bCs/>
          <w:color w:val="000000" w:themeColor="text1"/>
          <w:sz w:val="32"/>
          <w:szCs w:val="32"/>
          <w:lang w:eastAsia="en-GB"/>
        </w:rPr>
      </w:pPr>
      <w:bookmarkStart w:id="0" w:name="_Toc223884648"/>
      <w:r w:rsidRPr="00E930B1">
        <w:rPr>
          <w:rFonts w:eastAsia="Times New Roman"/>
          <w:b/>
          <w:bCs/>
          <w:color w:val="000000" w:themeColor="text1"/>
          <w:sz w:val="32"/>
          <w:szCs w:val="32"/>
          <w:lang w:eastAsia="en-GB"/>
        </w:rPr>
        <w:lastRenderedPageBreak/>
        <w:t>Introduction</w:t>
      </w:r>
      <w:bookmarkEnd w:id="0"/>
    </w:p>
    <w:p w14:paraId="2A5FB946" w14:textId="77777777" w:rsidR="000F5754" w:rsidRPr="00B92401" w:rsidRDefault="000F5754" w:rsidP="000F5754">
      <w:pPr>
        <w:spacing w:after="0" w:line="360" w:lineRule="auto"/>
        <w:jc w:val="both"/>
        <w:rPr>
          <w:rFonts w:ascii="Arial" w:eastAsia="Times New Roman" w:hAnsi="Arial" w:cs="Arial"/>
          <w:kern w:val="0"/>
          <w:lang w:eastAsia="en-GB"/>
          <w14:ligatures w14:val="none"/>
        </w:rPr>
      </w:pPr>
      <w:r w:rsidRPr="00E930B1">
        <w:rPr>
          <w:rFonts w:ascii="Arial" w:eastAsia="Times New Roman" w:hAnsi="Arial" w:cs="Arial"/>
          <w:color w:val="000000" w:themeColor="text1"/>
          <w:kern w:val="0"/>
          <w:lang w:eastAsia="en-GB"/>
          <w14:ligatures w14:val="none"/>
        </w:rPr>
        <w:t xml:space="preserve">According to the </w:t>
      </w:r>
      <w:r w:rsidRPr="005327C1">
        <w:rPr>
          <w:rFonts w:ascii="Arial" w:eastAsia="Times New Roman" w:hAnsi="Arial" w:cs="Arial"/>
          <w:kern w:val="0"/>
          <w:lang w:eastAsia="en-GB"/>
          <w14:ligatures w14:val="none"/>
        </w:rPr>
        <w:t>WHO</w:t>
      </w:r>
      <w:r>
        <w:rPr>
          <w:rFonts w:ascii="Arial" w:eastAsia="Times New Roman" w:hAnsi="Arial" w:cs="Arial"/>
          <w:kern w:val="0"/>
          <w:lang w:eastAsia="en-GB"/>
          <w14:ligatures w14:val="none"/>
        </w:rPr>
        <w:t xml:space="preserve">, dementia </w:t>
      </w:r>
      <w:r w:rsidRPr="005327C1">
        <w:rPr>
          <w:rFonts w:ascii="Arial" w:eastAsia="Times New Roman" w:hAnsi="Arial" w:cs="Arial"/>
          <w:kern w:val="0"/>
          <w:lang w:eastAsia="en-GB"/>
          <w14:ligatures w14:val="none"/>
        </w:rPr>
        <w:t>results from a variety of specific dementing diseases and injuries affecting the brain, occurring with ageing, and is distinguished from other intellectual deficiencies by its insidious onset and persistent progression to severity. WHO</w:t>
      </w:r>
      <w:r>
        <w:rPr>
          <w:rFonts w:ascii="Arial" w:eastAsia="Times New Roman" w:hAnsi="Arial" w:cs="Arial"/>
          <w:kern w:val="0"/>
          <w:lang w:eastAsia="en-GB"/>
          <w14:ligatures w14:val="none"/>
        </w:rPr>
        <w:t xml:space="preserve"> states that </w:t>
      </w:r>
      <w:r w:rsidRPr="005327C1">
        <w:rPr>
          <w:rFonts w:ascii="Arial" w:eastAsia="Times New Roman" w:hAnsi="Arial" w:cs="Arial"/>
          <w:kern w:val="0"/>
          <w:lang w:eastAsia="en-GB"/>
          <w14:ligatures w14:val="none"/>
        </w:rPr>
        <w:t>about 57 million people worldwide live with dementia</w:t>
      </w:r>
      <w:r>
        <w:rPr>
          <w:rFonts w:ascii="Arial" w:eastAsia="Times New Roman" w:hAnsi="Arial" w:cs="Arial"/>
          <w:kern w:val="0"/>
          <w:lang w:eastAsia="en-GB"/>
          <w14:ligatures w14:val="none"/>
        </w:rPr>
        <w:t xml:space="preserve">: hence, </w:t>
      </w:r>
      <w:r w:rsidRPr="005327C1">
        <w:rPr>
          <w:rFonts w:ascii="Arial" w:eastAsia="Times New Roman" w:hAnsi="Arial" w:cs="Arial"/>
          <w:kern w:val="0"/>
          <w:lang w:eastAsia="en-GB"/>
          <w14:ligatures w14:val="none"/>
        </w:rPr>
        <w:t>almost 10 million new cases each year. Dementia has become the seventh leading cause of death globally (WHO, 2025).</w:t>
      </w:r>
      <w:r>
        <w:rPr>
          <w:rFonts w:ascii="Arial" w:eastAsia="Times New Roman" w:hAnsi="Arial" w:cs="Arial"/>
          <w:kern w:val="0"/>
          <w:lang w:eastAsia="en-GB"/>
          <w14:ligatures w14:val="none"/>
        </w:rPr>
        <w:t xml:space="preserve"> The following report will focus on dementia.</w:t>
      </w:r>
    </w:p>
    <w:p w14:paraId="35537A23" w14:textId="77777777" w:rsidR="000F5754" w:rsidRPr="000F5754" w:rsidRDefault="000F5754" w:rsidP="000F5754">
      <w:pPr>
        <w:pStyle w:val="Heading1"/>
        <w:rPr>
          <w:rFonts w:eastAsia="Times New Roman"/>
          <w:b/>
          <w:bCs/>
          <w:color w:val="000000" w:themeColor="text1"/>
          <w:sz w:val="32"/>
          <w:szCs w:val="32"/>
          <w:lang w:eastAsia="en-GB"/>
        </w:rPr>
      </w:pPr>
      <w:bookmarkStart w:id="1" w:name="_Toc223884649"/>
      <w:r w:rsidRPr="000F5754">
        <w:rPr>
          <w:rFonts w:eastAsia="Times New Roman"/>
          <w:b/>
          <w:bCs/>
          <w:color w:val="000000" w:themeColor="text1"/>
          <w:sz w:val="32"/>
          <w:szCs w:val="32"/>
          <w:lang w:eastAsia="en-GB"/>
        </w:rPr>
        <w:t>Definition, Signs and Symptoms, and Levels of Incidence/Severity</w:t>
      </w:r>
      <w:bookmarkEnd w:id="1"/>
    </w:p>
    <w:p w14:paraId="5E816409" w14:textId="5055DBEC"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Dementia is not caused by ageing or </w:t>
      </w:r>
      <w:r>
        <w:rPr>
          <w:rFonts w:ascii="Arial" w:eastAsia="Times New Roman" w:hAnsi="Arial" w:cs="Arial"/>
          <w:kern w:val="0"/>
          <w:lang w:eastAsia="en-GB"/>
          <w14:ligatures w14:val="none"/>
        </w:rPr>
        <w:t>a</w:t>
      </w:r>
      <w:r w:rsidRPr="00DB602B">
        <w:rPr>
          <w:rFonts w:ascii="Arial" w:eastAsia="Times New Roman" w:hAnsi="Arial" w:cs="Arial"/>
          <w:kern w:val="0"/>
          <w:lang w:eastAsia="en-GB"/>
          <w14:ligatures w14:val="none"/>
        </w:rPr>
        <w:t xml:space="preserve"> single disease. It can </w:t>
      </w:r>
      <w:r>
        <w:rPr>
          <w:rFonts w:ascii="Arial" w:eastAsia="Times New Roman" w:hAnsi="Arial" w:cs="Arial"/>
          <w:kern w:val="0"/>
          <w:lang w:eastAsia="en-GB"/>
          <w14:ligatures w14:val="none"/>
        </w:rPr>
        <w:t>result from</w:t>
      </w:r>
      <w:r w:rsidRPr="00DB602B">
        <w:rPr>
          <w:rFonts w:ascii="Arial" w:eastAsia="Times New Roman" w:hAnsi="Arial" w:cs="Arial"/>
          <w:kern w:val="0"/>
          <w:lang w:eastAsia="en-GB"/>
          <w14:ligatures w14:val="none"/>
        </w:rPr>
        <w:t xml:space="preserve"> several diseases and conditions, including Alzheimer’s disease, vascular dementia, dementia with Lewy bodies and frontotemporal dementia (WHO, 2025; NHS, 2023a). A syndrome characterised especially by memory impairment, cognitive decline</w:t>
      </w:r>
      <w:r>
        <w:rPr>
          <w:rFonts w:ascii="Arial" w:eastAsia="Times New Roman" w:hAnsi="Arial" w:cs="Arial"/>
          <w:kern w:val="0"/>
          <w:lang w:eastAsia="en-GB"/>
          <w14:ligatures w14:val="none"/>
        </w:rPr>
        <w:t>, and reduced activity complexity</w:t>
      </w:r>
      <w:r w:rsidRPr="00DB602B">
        <w:rPr>
          <w:rFonts w:ascii="Arial" w:eastAsia="Times New Roman" w:hAnsi="Arial" w:cs="Arial"/>
          <w:kern w:val="0"/>
          <w:lang w:eastAsia="en-GB"/>
          <w14:ligatures w14:val="none"/>
        </w:rPr>
        <w:t xml:space="preserve"> (WHO, 2025). Dementia is considered a major public health challenge, as it is associated with a high level and long duration of care and support needs.</w:t>
      </w:r>
    </w:p>
    <w:p w14:paraId="24E78683"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61200FE0" w14:textId="6F50DD8D"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The NHS recently published a list of common and early signs and symptoms of dementia that people with the condition may exhibit. Some of the symptoms listed include: - Prone to losing items such as keys and a TV </w:t>
      </w:r>
      <w:r w:rsidRPr="00DB602B">
        <w:rPr>
          <w:rFonts w:ascii="Arial" w:eastAsia="Times New Roman" w:hAnsi="Arial" w:cs="Arial"/>
          <w:kern w:val="0"/>
          <w:lang w:eastAsia="en-GB"/>
          <w14:ligatures w14:val="none"/>
        </w:rPr>
        <w:t>remote</w:t>
      </w:r>
      <w:r>
        <w:rPr>
          <w:rFonts w:ascii="Arial" w:eastAsia="Times New Roman" w:hAnsi="Arial" w:cs="Arial"/>
          <w:kern w:val="0"/>
          <w:lang w:eastAsia="en-GB"/>
          <w14:ligatures w14:val="none"/>
        </w:rPr>
        <w:t xml:space="preserve"> and</w:t>
      </w:r>
      <w:r w:rsidRPr="00DB602B">
        <w:rPr>
          <w:rFonts w:ascii="Arial" w:eastAsia="Times New Roman" w:hAnsi="Arial" w:cs="Arial"/>
          <w:kern w:val="0"/>
          <w:lang w:eastAsia="en-GB"/>
          <w14:ligatures w14:val="none"/>
        </w:rPr>
        <w:t xml:space="preserve"> finding it hard to learn and memorise new information. - Forgetting how to carry out everyday tasks like depositing money in a branch, going shopping and cleaning the house. Some other communication signs of possible early onset of dementia include: Some other possible signs of early onset dementia include anxiety and depression and feeling irritable or restless. </w:t>
      </w:r>
    </w:p>
    <w:p w14:paraId="260DFEBC"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01F23D87"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The fact that dementia symptoms develop gradually over time means that the first few signs and symptoms may be extremely hard to spot. Dementia is a global issue. The World Health Organisation (WHO) estimated that there were 57 million people living with dementia worldwide in 2021, with two-thirds of these people living in low- and middle-income countries (WHO, 2025). In England, the number of people diagnosed with dementia was 496,471 (NHS Digital, 2025a), with 65.4% of these people being aged 65 and over. As of March 2025, this figure had increased to 65.6%, and there is still work to do to meet the national ambition of 66.7% (NHS England, 2026).</w:t>
      </w:r>
    </w:p>
    <w:p w14:paraId="452F259B" w14:textId="77777777" w:rsidR="000F5754" w:rsidRPr="005055A2" w:rsidRDefault="000F5754" w:rsidP="000F5754">
      <w:pPr>
        <w:spacing w:after="0" w:line="360" w:lineRule="auto"/>
        <w:rPr>
          <w:lang w:eastAsia="en-GB"/>
        </w:rPr>
      </w:pPr>
    </w:p>
    <w:p w14:paraId="3CC282AE" w14:textId="77777777" w:rsidR="000F5754" w:rsidRPr="000F5754" w:rsidRDefault="000F5754" w:rsidP="000F5754">
      <w:pPr>
        <w:pStyle w:val="Heading1"/>
        <w:spacing w:before="0" w:after="0" w:line="360" w:lineRule="auto"/>
        <w:rPr>
          <w:rFonts w:eastAsia="Times New Roman"/>
          <w:b/>
          <w:bCs/>
          <w:color w:val="000000" w:themeColor="text1"/>
          <w:sz w:val="32"/>
          <w:szCs w:val="32"/>
          <w:lang w:eastAsia="en-GB"/>
        </w:rPr>
      </w:pPr>
      <w:bookmarkStart w:id="2" w:name="_Toc223884650"/>
      <w:r w:rsidRPr="000F5754">
        <w:rPr>
          <w:rFonts w:eastAsia="Times New Roman"/>
          <w:b/>
          <w:bCs/>
          <w:color w:val="000000" w:themeColor="text1"/>
          <w:sz w:val="32"/>
          <w:szCs w:val="32"/>
          <w:lang w:eastAsia="en-GB"/>
        </w:rPr>
        <w:lastRenderedPageBreak/>
        <w:t>Main Body</w:t>
      </w:r>
      <w:bookmarkEnd w:id="2"/>
    </w:p>
    <w:p w14:paraId="0D1C0FC0" w14:textId="77777777" w:rsidR="000F5754" w:rsidRDefault="000F5754" w:rsidP="000F5754">
      <w:pPr>
        <w:pStyle w:val="Heading2"/>
      </w:pPr>
      <w:bookmarkStart w:id="3" w:name="_Toc223884651"/>
      <w:r w:rsidRPr="000F5754">
        <w:rPr>
          <w:color w:val="000000" w:themeColor="text1"/>
        </w:rPr>
        <w:t>1. Approaches Used to Measure and Monitor Dementia</w:t>
      </w:r>
      <w:bookmarkEnd w:id="3"/>
    </w:p>
    <w:p w14:paraId="0894F79E" w14:textId="77777777" w:rsidR="000F5754" w:rsidRPr="00DB602B" w:rsidRDefault="000F5754" w:rsidP="000F5754">
      <w:pPr>
        <w:spacing w:after="0" w:line="360" w:lineRule="auto"/>
        <w:jc w:val="both"/>
        <w:rPr>
          <w:rFonts w:ascii="Arial" w:hAnsi="Arial" w:cs="Arial"/>
        </w:rPr>
      </w:pPr>
      <w:r w:rsidRPr="00DB602B">
        <w:rPr>
          <w:rFonts w:ascii="Arial" w:hAnsi="Arial" w:cs="Arial"/>
        </w:rPr>
        <w:t>Dementia can be characterised, monitored and evaluated through a variety of clinical assessments, population surveys, surveillance</w:t>
      </w:r>
      <w:r>
        <w:rPr>
          <w:rFonts w:ascii="Arial" w:hAnsi="Arial" w:cs="Arial"/>
        </w:rPr>
        <w:t xml:space="preserve"> of </w:t>
      </w:r>
      <w:r w:rsidRPr="00DB602B">
        <w:rPr>
          <w:rFonts w:ascii="Arial" w:hAnsi="Arial" w:cs="Arial"/>
        </w:rPr>
        <w:t>public health and mortality data. Several approaches will be needed, as: - Dementia is a dynamic process that occurs over many years - Different aspects of dementia may need to be measured for different purposes - Many cases will not be diagnosed in the early years of the disease.</w:t>
      </w:r>
    </w:p>
    <w:p w14:paraId="55EC2B15" w14:textId="77777777" w:rsidR="000F5754" w:rsidRPr="00DB602B" w:rsidRDefault="000F5754" w:rsidP="000F5754">
      <w:pPr>
        <w:spacing w:after="0" w:line="360" w:lineRule="auto"/>
        <w:jc w:val="both"/>
        <w:rPr>
          <w:rFonts w:ascii="Arial" w:hAnsi="Arial" w:cs="Arial"/>
        </w:rPr>
      </w:pPr>
    </w:p>
    <w:p w14:paraId="603DB7CB" w14:textId="5D56CB39" w:rsidR="000F5754" w:rsidRPr="00DB602B" w:rsidRDefault="000F5754" w:rsidP="000F5754">
      <w:pPr>
        <w:spacing w:after="0" w:line="360" w:lineRule="auto"/>
        <w:jc w:val="both"/>
        <w:rPr>
          <w:rFonts w:ascii="Arial" w:hAnsi="Arial" w:cs="Arial"/>
        </w:rPr>
      </w:pPr>
      <w:r>
        <w:rPr>
          <w:rFonts w:ascii="Arial" w:hAnsi="Arial" w:cs="Arial"/>
        </w:rPr>
        <w:t>The GP or a memory clinic makes a diagnosis</w:t>
      </w:r>
      <w:r w:rsidRPr="00DB602B">
        <w:rPr>
          <w:rFonts w:ascii="Arial" w:hAnsi="Arial" w:cs="Arial"/>
        </w:rPr>
        <w:t xml:space="preserve"> after several investigations</w:t>
      </w:r>
      <w:r>
        <w:rPr>
          <w:rFonts w:ascii="Arial" w:hAnsi="Arial" w:cs="Arial"/>
        </w:rPr>
        <w:t>, including</w:t>
      </w:r>
      <w:r w:rsidRPr="00DB602B">
        <w:rPr>
          <w:rFonts w:ascii="Arial" w:hAnsi="Arial" w:cs="Arial"/>
        </w:rPr>
        <w:t xml:space="preserve"> assessment of cognitive functions, such as memory, thinking, and problem-solving abilities. A social assessment may also be required. This is often completed with the help of family members or carers</w:t>
      </w:r>
      <w:r>
        <w:rPr>
          <w:rFonts w:ascii="Arial" w:hAnsi="Arial" w:cs="Arial"/>
        </w:rPr>
        <w:t xml:space="preserve"> to understand</w:t>
      </w:r>
      <w:r w:rsidRPr="00DB602B">
        <w:rPr>
          <w:rFonts w:ascii="Arial" w:hAnsi="Arial" w:cs="Arial"/>
        </w:rPr>
        <w:t xml:space="preserve"> behaviour and personal history.</w:t>
      </w:r>
    </w:p>
    <w:p w14:paraId="3AC0C78E" w14:textId="77777777" w:rsidR="000F5754" w:rsidRPr="00DB602B" w:rsidRDefault="000F5754" w:rsidP="000F5754">
      <w:pPr>
        <w:spacing w:after="0" w:line="360" w:lineRule="auto"/>
        <w:jc w:val="both"/>
        <w:rPr>
          <w:rFonts w:ascii="Arial" w:hAnsi="Arial" w:cs="Arial"/>
        </w:rPr>
      </w:pPr>
    </w:p>
    <w:p w14:paraId="10B46024" w14:textId="77777777" w:rsidR="000F5754" w:rsidRPr="00DB602B" w:rsidRDefault="000F5754" w:rsidP="000F5754">
      <w:pPr>
        <w:spacing w:after="0" w:line="360" w:lineRule="auto"/>
        <w:jc w:val="both"/>
        <w:rPr>
          <w:rFonts w:ascii="Arial" w:hAnsi="Arial" w:cs="Arial"/>
        </w:rPr>
      </w:pPr>
      <w:r w:rsidRPr="00DB602B">
        <w:rPr>
          <w:rFonts w:ascii="Arial" w:hAnsi="Arial" w:cs="Arial"/>
        </w:rPr>
        <w:t>According to NICE guidelines, the assessment and management of dementia should be approached systematically to support an accurate diagnosis and a tailored care plan (NICE, 2018). However, there are several factors that influence the reliability of clinical assessment, including late diagnosis, communication barriers, sensory loss, and barriers to accessing health care.</w:t>
      </w:r>
    </w:p>
    <w:p w14:paraId="72D8F87A" w14:textId="77777777" w:rsidR="000F5754" w:rsidRPr="00DB602B" w:rsidRDefault="000F5754" w:rsidP="000F5754">
      <w:pPr>
        <w:spacing w:after="0" w:line="360" w:lineRule="auto"/>
        <w:jc w:val="both"/>
        <w:rPr>
          <w:rFonts w:ascii="Arial" w:hAnsi="Arial" w:cs="Arial"/>
        </w:rPr>
      </w:pPr>
    </w:p>
    <w:p w14:paraId="08C15164" w14:textId="77777777" w:rsidR="000F5754" w:rsidRPr="00DB602B" w:rsidRDefault="000F5754" w:rsidP="000F5754">
      <w:pPr>
        <w:spacing w:after="0" w:line="360" w:lineRule="auto"/>
        <w:jc w:val="both"/>
        <w:rPr>
          <w:rFonts w:ascii="Arial" w:hAnsi="Arial" w:cs="Arial"/>
        </w:rPr>
      </w:pPr>
      <w:r w:rsidRPr="00DB602B">
        <w:rPr>
          <w:rFonts w:ascii="Arial" w:hAnsi="Arial" w:cs="Arial"/>
        </w:rPr>
        <w:t>At a national level in England, the NHS Digital Primary Care Dementia Data set is used to monitor dementia. Data collected includes diagnoses of dementia, care plan reviews and medication reviews and can be used to develop a fuller understanding of the national position and to assess the quality of health and social care services (NHS Digital, 2025a; NHS Digital, 2025b).</w:t>
      </w:r>
    </w:p>
    <w:p w14:paraId="7B5C208C" w14:textId="77777777" w:rsidR="000F5754" w:rsidRPr="00DB602B" w:rsidRDefault="000F5754" w:rsidP="000F5754">
      <w:pPr>
        <w:spacing w:after="0" w:line="360" w:lineRule="auto"/>
        <w:jc w:val="both"/>
        <w:rPr>
          <w:rFonts w:ascii="Arial" w:hAnsi="Arial" w:cs="Arial"/>
        </w:rPr>
      </w:pPr>
    </w:p>
    <w:p w14:paraId="1859960B" w14:textId="77777777" w:rsidR="000F5754" w:rsidRPr="00DB602B" w:rsidRDefault="000F5754" w:rsidP="000F5754">
      <w:pPr>
        <w:spacing w:after="0" w:line="360" w:lineRule="auto"/>
        <w:jc w:val="both"/>
        <w:rPr>
          <w:rFonts w:ascii="Arial" w:hAnsi="Arial" w:cs="Arial"/>
        </w:rPr>
      </w:pPr>
      <w:r w:rsidRPr="00DB602B">
        <w:rPr>
          <w:rFonts w:ascii="Arial" w:hAnsi="Arial" w:cs="Arial"/>
        </w:rPr>
        <w:t xml:space="preserve">More information on Population Surveillance is available in the Office for Health Improvement and Disparities (OHID) dementia profile, which examines the national and geographical trends in the prevalence of dementia in England (OHID, 2025b). Office for National Statistics (ONS) mortality data also found that dementia and Alzheimer’s disease remained the leading cause of death in England and Wales in 2024, with 68,273 deaths (ONS, 2025). </w:t>
      </w:r>
    </w:p>
    <w:p w14:paraId="3FDDEF26" w14:textId="77777777" w:rsidR="000F5754" w:rsidRDefault="000F5754" w:rsidP="000F5754">
      <w:pPr>
        <w:spacing w:after="0" w:line="360" w:lineRule="auto"/>
        <w:jc w:val="both"/>
        <w:rPr>
          <w:rFonts w:ascii="Arial" w:hAnsi="Arial" w:cs="Arial"/>
          <w:sz w:val="24"/>
          <w:szCs w:val="24"/>
        </w:rPr>
      </w:pPr>
    </w:p>
    <w:p w14:paraId="0CEC2292" w14:textId="77777777" w:rsidR="000F5754" w:rsidRPr="001A0A51" w:rsidRDefault="000F5754" w:rsidP="000F5754">
      <w:pPr>
        <w:spacing w:after="0" w:line="360" w:lineRule="auto"/>
        <w:jc w:val="both"/>
        <w:rPr>
          <w:rFonts w:ascii="Arial" w:hAnsi="Arial" w:cs="Arial"/>
          <w:sz w:val="24"/>
          <w:szCs w:val="24"/>
        </w:rPr>
      </w:pPr>
    </w:p>
    <w:p w14:paraId="402C65C3" w14:textId="77777777" w:rsidR="000F5754" w:rsidRPr="000F5754" w:rsidRDefault="000F5754" w:rsidP="000F5754">
      <w:pPr>
        <w:pStyle w:val="Heading2"/>
        <w:rPr>
          <w:rFonts w:eastAsia="Times New Roman"/>
          <w:color w:val="000000" w:themeColor="text1"/>
          <w:lang w:eastAsia="en-GB"/>
        </w:rPr>
      </w:pPr>
      <w:bookmarkStart w:id="4" w:name="_Toc223884652"/>
      <w:r w:rsidRPr="000F5754">
        <w:rPr>
          <w:rFonts w:eastAsia="Times New Roman"/>
          <w:color w:val="000000" w:themeColor="text1"/>
          <w:lang w:eastAsia="en-GB"/>
        </w:rPr>
        <w:lastRenderedPageBreak/>
        <w:t>2. How dementia is controlled</w:t>
      </w:r>
      <w:bookmarkEnd w:id="4"/>
    </w:p>
    <w:p w14:paraId="0248C555"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Dementia is not often curable, so in the field of public health, control measures focus on reducing risk factors, early and accurate diagnosis, treatment of its symptoms and the coordination of long-term care. Risk reduction is a key part of dementia control. The 2024 Lancet Commission estimated that 45% of dementia cases worldwide could be prevented or delayed if all 14 risk factors were managed at all stages of life (Livingston et al., 2024). The WHO (2025) lists the following risk factors as modifiable for dementia: tobacco and drug use, including alcohol, physical inactivity, excess body weight, raised blood pressure, diabetes, and cognitive and social depression. </w:t>
      </w:r>
    </w:p>
    <w:p w14:paraId="3CC6F90A"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br/>
        <w:t xml:space="preserve">Early diagnosis is also considered an important control and prevention measure. The NHS advises that if people are worried about their memory, they should see their GP for a check-up. They also state that ‘a diagnosis gives people and their families time to get ready for the changes they will experience and allows them to make the most of any support that can be provided’ (NHS, 2023c). </w:t>
      </w:r>
    </w:p>
    <w:p w14:paraId="384CC017"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7371F976" w14:textId="39D776F2"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b/>
          <w:bCs/>
          <w:kern w:val="0"/>
          <w:lang w:eastAsia="en-GB"/>
          <w14:ligatures w14:val="none"/>
        </w:rPr>
        <w:t>Control</w:t>
      </w:r>
      <w:r w:rsidRPr="00DB602B">
        <w:rPr>
          <w:rFonts w:ascii="Arial" w:eastAsia="Times New Roman" w:hAnsi="Arial" w:cs="Arial"/>
          <w:kern w:val="0"/>
          <w:lang w:eastAsia="en-GB"/>
          <w14:ligatures w14:val="none"/>
        </w:rPr>
        <w:t xml:space="preserve">: person-centred symptom management. This might include interventions to promote well-being and independence as suggested by NICE. An example of this is group cognitive stimulation therapy for people with mild to moderate dementia (NICE, 2018). The prescribing of antipsychotics should be considered in conjunction with a full understanding of the risks and benefits (NICE, 2018). In practice, people are managed using non-pharmacological methods to maintain control, including </w:t>
      </w:r>
      <w:r>
        <w:rPr>
          <w:rFonts w:ascii="Arial" w:eastAsia="Times New Roman" w:hAnsi="Arial" w:cs="Arial"/>
          <w:kern w:val="0"/>
          <w:lang w:eastAsia="en-GB"/>
          <w14:ligatures w14:val="none"/>
        </w:rPr>
        <w:t>daily schedules, an appropriate environment, communication aids, and stressor reduction</w:t>
      </w:r>
      <w:r w:rsidRPr="00DB602B">
        <w:rPr>
          <w:rFonts w:ascii="Arial" w:eastAsia="Times New Roman" w:hAnsi="Arial" w:cs="Arial"/>
          <w:kern w:val="0"/>
          <w:lang w:eastAsia="en-GB"/>
          <w14:ligatures w14:val="none"/>
        </w:rPr>
        <w:t>.</w:t>
      </w:r>
    </w:p>
    <w:p w14:paraId="767C0C2A"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0FEBA178"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One of the major challenges in controlling dementia is the fact that it requires continuous assessment and care. The dynamic nature of dementia is since the disease is a progressive condition, which means that individuals with the disease will undergo many changes as the years pass. This means that there will be a need to reassess the care and support provided on an ongoing basis, with regular reviews of the care package, medication, diet, fall prevention, and any other safety issues that arise, to prevent deterioration, hospital admission, and caregiver burden (NICE, 2018). </w:t>
      </w:r>
    </w:p>
    <w:p w14:paraId="5D9E35F5" w14:textId="77777777" w:rsidR="000F5754" w:rsidRDefault="000F5754" w:rsidP="000F5754">
      <w:pPr>
        <w:spacing w:after="0" w:line="240" w:lineRule="auto"/>
        <w:rPr>
          <w:rFonts w:ascii="Times New Roman" w:eastAsia="Times New Roman" w:hAnsi="Times New Roman" w:cs="Times New Roman"/>
          <w:kern w:val="0"/>
          <w:lang w:eastAsia="en-GB"/>
          <w14:ligatures w14:val="none"/>
        </w:rPr>
      </w:pPr>
    </w:p>
    <w:p w14:paraId="1988EF24" w14:textId="77777777" w:rsidR="000F5754" w:rsidRDefault="000F5754" w:rsidP="000F5754">
      <w:pPr>
        <w:spacing w:after="0" w:line="240" w:lineRule="auto"/>
        <w:rPr>
          <w:rFonts w:ascii="Times New Roman" w:eastAsia="Times New Roman" w:hAnsi="Times New Roman" w:cs="Times New Roman"/>
          <w:kern w:val="0"/>
          <w:lang w:eastAsia="en-GB"/>
          <w14:ligatures w14:val="none"/>
        </w:rPr>
      </w:pPr>
    </w:p>
    <w:p w14:paraId="354B0A93" w14:textId="77777777" w:rsidR="000F5754" w:rsidRDefault="000F5754" w:rsidP="000F5754">
      <w:pPr>
        <w:spacing w:after="0" w:line="240" w:lineRule="auto"/>
        <w:rPr>
          <w:rFonts w:ascii="Times New Roman" w:eastAsia="Times New Roman" w:hAnsi="Times New Roman" w:cs="Times New Roman"/>
          <w:kern w:val="0"/>
          <w:lang w:eastAsia="en-GB"/>
          <w14:ligatures w14:val="none"/>
        </w:rPr>
      </w:pPr>
    </w:p>
    <w:p w14:paraId="1AE182B8" w14:textId="77777777" w:rsidR="000F5754" w:rsidRPr="00DB602B" w:rsidRDefault="000F5754" w:rsidP="000F5754">
      <w:pPr>
        <w:spacing w:after="0" w:line="240" w:lineRule="auto"/>
        <w:rPr>
          <w:rFonts w:ascii="Times New Roman" w:eastAsia="Times New Roman" w:hAnsi="Times New Roman" w:cs="Times New Roman"/>
          <w:kern w:val="0"/>
          <w:lang w:eastAsia="en-GB"/>
          <w14:ligatures w14:val="none"/>
        </w:rPr>
      </w:pPr>
    </w:p>
    <w:p w14:paraId="58609419" w14:textId="77777777" w:rsidR="000F5754" w:rsidRPr="000F5754" w:rsidRDefault="000F5754" w:rsidP="000F5754">
      <w:pPr>
        <w:pStyle w:val="Heading2"/>
        <w:rPr>
          <w:rFonts w:eastAsia="Times New Roman"/>
          <w:color w:val="000000" w:themeColor="text1"/>
          <w:lang w:eastAsia="en-GB"/>
        </w:rPr>
      </w:pPr>
      <w:bookmarkStart w:id="5" w:name="_Toc223884653"/>
      <w:r w:rsidRPr="000F5754">
        <w:rPr>
          <w:rFonts w:eastAsia="Times New Roman"/>
          <w:color w:val="000000" w:themeColor="text1"/>
          <w:lang w:eastAsia="en-GB"/>
        </w:rPr>
        <w:lastRenderedPageBreak/>
        <w:t>3. Consequences of dementia on people in the community</w:t>
      </w:r>
      <w:bookmarkEnd w:id="5"/>
    </w:p>
    <w:p w14:paraId="0C1E7953"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Dementia serves as a worldwide health issue that impacts millions of individuals across the globe, while it stands as one of the primary reasons people experience disabilities and health problems and die. The WHO (2025) and NHS (2023b) report that people with dementia and their families face various challenges, which include loss of independence, communication difficulties and memory loss, cognitive decline, psychological and emotional difficulties and social isolation, and increased dependence that occurs when the disease advances. </w:t>
      </w:r>
    </w:p>
    <w:p w14:paraId="08210A65"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769882BB"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WHO provides recognition that dementia affects families through its physical, psychological, and social and economic effects on carers and their relatives, because these effects create three main outcomes, which include stress and fatigue and financial challenges. The lack of support for carers can lead to carer breakdown and hospitalisation, and early entry into long-term care.</w:t>
      </w:r>
    </w:p>
    <w:p w14:paraId="53DC290F"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401FF84B"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The existence of dementia creates health and social disadvantages for people with dementia and their relatives, together with extensive repercussions that affect health and social care systems throughout the entire community. These can range from General Practitioners and memory diagnosis and assessment of need clinics to community mental health teams, home care and respite services, hospitals and care homes NICE 2018. The Alzheimer Society projects that 1.4 million UK residents will develop dementia by the year 2040, which requires planners to examine all present-day elements.</w:t>
      </w:r>
    </w:p>
    <w:p w14:paraId="258538E7" w14:textId="77777777" w:rsidR="000F5754" w:rsidRDefault="000F5754" w:rsidP="000F5754">
      <w:pPr>
        <w:rPr>
          <w:lang w:eastAsia="en-GB"/>
        </w:rPr>
      </w:pPr>
    </w:p>
    <w:p w14:paraId="02E4BFBA" w14:textId="77777777" w:rsidR="000F5754" w:rsidRDefault="000F5754" w:rsidP="000F5754">
      <w:pPr>
        <w:rPr>
          <w:lang w:eastAsia="en-GB"/>
        </w:rPr>
      </w:pPr>
    </w:p>
    <w:p w14:paraId="1C9BF2D4" w14:textId="77777777" w:rsidR="000F5754" w:rsidRDefault="000F5754" w:rsidP="000F5754">
      <w:pPr>
        <w:pStyle w:val="Heading2"/>
        <w:rPr>
          <w:rFonts w:eastAsia="Times New Roman"/>
          <w:lang w:eastAsia="en-GB"/>
        </w:rPr>
      </w:pPr>
      <w:bookmarkStart w:id="6" w:name="_Toc223884654"/>
      <w:r w:rsidRPr="000F5754">
        <w:rPr>
          <w:rFonts w:eastAsia="Times New Roman"/>
          <w:color w:val="000000" w:themeColor="text1"/>
          <w:lang w:eastAsia="en-GB"/>
        </w:rPr>
        <w:t>4. Health and social care support services required in the community</w:t>
      </w:r>
      <w:bookmarkEnd w:id="6"/>
    </w:p>
    <w:p w14:paraId="25BF6199" w14:textId="77777777" w:rsidR="000F5754" w:rsidRPr="00DB602B" w:rsidRDefault="000F5754" w:rsidP="000F5754">
      <w:pPr>
        <w:spacing w:after="0" w:line="360" w:lineRule="auto"/>
        <w:jc w:val="both"/>
        <w:rPr>
          <w:rFonts w:ascii="Arial" w:hAnsi="Arial" w:cs="Arial"/>
          <w:lang w:eastAsia="en-GB"/>
        </w:rPr>
      </w:pPr>
      <w:r w:rsidRPr="00DB602B">
        <w:rPr>
          <w:rFonts w:ascii="Arial" w:hAnsi="Arial" w:cs="Arial"/>
          <w:lang w:eastAsia="en-GB"/>
        </w:rPr>
        <w:t>People who suffer from dementia need complete care which requires multiple specialists to work together while focusing on their individual needs. GPs enable early detection of potential dementia cases through their role in referring patients for evaluation and diagnosis, and in monitoring dementia patients after diagnosis (NHS, 2023c; NHS, 2023d). Patients require access to specialised memory services because these services deliver comprehensive assessments that help doctors determine dementia types and develop treatment plans (NICE, 2018).</w:t>
      </w:r>
    </w:p>
    <w:p w14:paraId="3A0FE600" w14:textId="77777777" w:rsidR="000F5754" w:rsidRPr="00DB602B" w:rsidRDefault="000F5754" w:rsidP="000F5754">
      <w:pPr>
        <w:spacing w:after="0" w:line="360" w:lineRule="auto"/>
        <w:jc w:val="both"/>
        <w:rPr>
          <w:rFonts w:ascii="Arial" w:hAnsi="Arial" w:cs="Arial"/>
          <w:lang w:eastAsia="en-GB"/>
        </w:rPr>
      </w:pPr>
    </w:p>
    <w:p w14:paraId="0EF7696A" w14:textId="77777777" w:rsidR="000F5754" w:rsidRPr="00DB602B" w:rsidRDefault="000F5754" w:rsidP="000F5754">
      <w:pPr>
        <w:spacing w:after="0" w:line="360" w:lineRule="auto"/>
        <w:jc w:val="both"/>
        <w:rPr>
          <w:rFonts w:ascii="Arial" w:hAnsi="Arial" w:cs="Arial"/>
          <w:lang w:eastAsia="en-GB"/>
        </w:rPr>
      </w:pPr>
      <w:r w:rsidRPr="00DB602B">
        <w:rPr>
          <w:rFonts w:ascii="Arial" w:hAnsi="Arial" w:cs="Arial"/>
          <w:lang w:eastAsia="en-GB"/>
        </w:rPr>
        <w:t>Community health services offer various programs that help people maintain their independence while preventing falls, treating communication and swallowing disorders, and ensuring their nutritional and medication needs are met (NICE, 2018).</w:t>
      </w:r>
    </w:p>
    <w:p w14:paraId="4493D210" w14:textId="77777777" w:rsidR="000F5754" w:rsidRPr="00DB602B" w:rsidRDefault="000F5754" w:rsidP="000F5754">
      <w:pPr>
        <w:spacing w:after="0" w:line="360" w:lineRule="auto"/>
        <w:jc w:val="both"/>
        <w:rPr>
          <w:rFonts w:ascii="Arial" w:hAnsi="Arial" w:cs="Arial"/>
          <w:lang w:eastAsia="en-GB"/>
        </w:rPr>
      </w:pPr>
    </w:p>
    <w:p w14:paraId="75EE7F62" w14:textId="77777777" w:rsidR="000F5754" w:rsidRPr="00DB602B" w:rsidRDefault="000F5754" w:rsidP="000F5754">
      <w:pPr>
        <w:spacing w:after="0" w:line="360" w:lineRule="auto"/>
        <w:jc w:val="both"/>
        <w:rPr>
          <w:rFonts w:ascii="Arial" w:hAnsi="Arial" w:cs="Arial"/>
          <w:lang w:eastAsia="en-GB"/>
        </w:rPr>
      </w:pPr>
      <w:r w:rsidRPr="00DB602B">
        <w:rPr>
          <w:rFonts w:ascii="Arial" w:hAnsi="Arial" w:cs="Arial"/>
          <w:lang w:eastAsia="en-GB"/>
        </w:rPr>
        <w:lastRenderedPageBreak/>
        <w:t>Social care assessment requirements exist because people need to access various services, including home care, day services, short-break respite care, and supported housing and care homes. The evolving nature of dementia requires ongoing assessments and risk evaluations because it causes changes in different areas, such as falling, wandering and maintaining continence and handling food and drugs (NICE, 2018).</w:t>
      </w:r>
    </w:p>
    <w:p w14:paraId="5999CF0E" w14:textId="77777777" w:rsidR="000F5754" w:rsidRPr="00DB602B" w:rsidRDefault="000F5754" w:rsidP="000F5754">
      <w:pPr>
        <w:spacing w:after="0" w:line="360" w:lineRule="auto"/>
        <w:jc w:val="both"/>
        <w:rPr>
          <w:rFonts w:ascii="Arial" w:hAnsi="Arial" w:cs="Arial"/>
          <w:lang w:eastAsia="en-GB"/>
        </w:rPr>
      </w:pPr>
    </w:p>
    <w:p w14:paraId="7CA9410C" w14:textId="77777777" w:rsidR="000F5754" w:rsidRPr="00DB602B" w:rsidRDefault="000F5754" w:rsidP="000F5754">
      <w:pPr>
        <w:spacing w:after="0" w:line="360" w:lineRule="auto"/>
        <w:jc w:val="both"/>
        <w:rPr>
          <w:rFonts w:ascii="Arial" w:hAnsi="Arial" w:cs="Arial"/>
          <w:lang w:eastAsia="en-GB"/>
        </w:rPr>
      </w:pPr>
      <w:r w:rsidRPr="00DB602B">
        <w:rPr>
          <w:rFonts w:ascii="Arial" w:hAnsi="Arial" w:cs="Arial"/>
          <w:lang w:eastAsia="en-GB"/>
        </w:rPr>
        <w:t>Carers need to receive care which includes assessment and information, respite and counselling and advice services. Voluntary organisations can help reduce isolation for carers while providing them with respite from their caregiving responsibilities. Palliative care planning enables caregivers to arrange appropriate medical services that fulfil the multiple needs of patients with various health conditions while maintaining their dignity and quality of life (NICE, 2018).</w:t>
      </w:r>
    </w:p>
    <w:p w14:paraId="043157F5" w14:textId="77777777" w:rsidR="000F5754" w:rsidRPr="000F5754" w:rsidRDefault="000F5754" w:rsidP="000F5754">
      <w:pPr>
        <w:pStyle w:val="Heading1"/>
        <w:rPr>
          <w:rFonts w:eastAsia="Times New Roman"/>
          <w:b/>
          <w:bCs/>
          <w:color w:val="000000" w:themeColor="text1"/>
          <w:sz w:val="32"/>
          <w:szCs w:val="32"/>
          <w:lang w:eastAsia="en-GB"/>
        </w:rPr>
      </w:pPr>
      <w:bookmarkStart w:id="7" w:name="_Toc223884655"/>
      <w:r w:rsidRPr="000F5754">
        <w:rPr>
          <w:rFonts w:eastAsia="Times New Roman"/>
          <w:b/>
          <w:bCs/>
          <w:color w:val="000000" w:themeColor="text1"/>
          <w:sz w:val="32"/>
          <w:szCs w:val="32"/>
          <w:lang w:eastAsia="en-GB"/>
        </w:rPr>
        <w:t>Conclusion</w:t>
      </w:r>
      <w:bookmarkEnd w:id="7"/>
    </w:p>
    <w:p w14:paraId="74080960" w14:textId="77777777" w:rsidR="000F5754" w:rsidRDefault="000F5754" w:rsidP="000F5754">
      <w:pPr>
        <w:spacing w:after="0" w:line="360" w:lineRule="auto"/>
        <w:jc w:val="both"/>
        <w:rPr>
          <w:rFonts w:ascii="Arial" w:eastAsia="Times New Roman" w:hAnsi="Arial" w:cs="Arial"/>
          <w:kern w:val="0"/>
          <w:lang w:eastAsia="en-GB"/>
          <w14:ligatures w14:val="none"/>
        </w:rPr>
      </w:pPr>
      <w:r w:rsidRPr="00DB602B">
        <w:rPr>
          <w:rFonts w:ascii="Arial" w:eastAsia="Times New Roman" w:hAnsi="Arial" w:cs="Arial"/>
          <w:kern w:val="0"/>
          <w:lang w:eastAsia="en-GB"/>
          <w14:ligatures w14:val="none"/>
        </w:rPr>
        <w:t xml:space="preserve">Dementia has developed into a public health crisis which affects people and caregivers, communities, and health and social care systems, while creating worldwide and UK-based effects. Dementia </w:t>
      </w:r>
      <w:r>
        <w:rPr>
          <w:rFonts w:ascii="Arial" w:eastAsia="Times New Roman" w:hAnsi="Arial" w:cs="Arial"/>
          <w:kern w:val="0"/>
          <w:lang w:eastAsia="en-GB"/>
          <w14:ligatures w14:val="none"/>
        </w:rPr>
        <w:t>is a complex</w:t>
      </w:r>
      <w:r w:rsidRPr="00DB602B">
        <w:rPr>
          <w:rFonts w:ascii="Arial" w:eastAsia="Times New Roman" w:hAnsi="Arial" w:cs="Arial"/>
          <w:kern w:val="0"/>
          <w:lang w:eastAsia="en-GB"/>
          <w14:ligatures w14:val="none"/>
        </w:rPr>
        <w:t xml:space="preserve"> medical condition which affects all three essential cognitive, behavioural, and functional capabilities of a person and creates major worldwide and UK-based health problems. England has seen higher diagnostic rates since 2016, but current numbers still fall short of national targets, suggesting that doctors continue to misdiagnose patients who need treatment. The comprehensive management of dementia will require multiple techniques, including clinical assessments, surveillance activities, tracking normal data patterns, and conducting mortality research. The condition can be managed through two main strategies: decreasing all known risk factors, initiating early diagnosis and appropriate treatment, and maintaining continuous, coordinated support for the patient. Dementia presents a challenge that affects both patients and their caregivers, requiring healthcare systems from various disciplines and sectors to work together to deliver social and health services. </w:t>
      </w:r>
    </w:p>
    <w:p w14:paraId="6A138ABE"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8A447CD"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B5E9EFA"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4E4302CF"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4E1754E"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0D7A7105"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7FE4A86"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3EE3FBF6"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1B49A98A" w14:textId="77777777" w:rsidR="000F5754" w:rsidRDefault="000F5754" w:rsidP="000F5754">
      <w:pPr>
        <w:spacing w:after="0" w:line="360" w:lineRule="auto"/>
        <w:jc w:val="both"/>
        <w:rPr>
          <w:rFonts w:ascii="Arial" w:eastAsia="Times New Roman" w:hAnsi="Arial" w:cs="Arial"/>
          <w:kern w:val="0"/>
          <w:lang w:eastAsia="en-GB"/>
          <w14:ligatures w14:val="none"/>
        </w:rPr>
      </w:pPr>
    </w:p>
    <w:p w14:paraId="635390BE" w14:textId="77777777" w:rsidR="000F5754" w:rsidRPr="000F5754" w:rsidRDefault="000F5754" w:rsidP="000F5754">
      <w:pPr>
        <w:pStyle w:val="Heading1"/>
        <w:rPr>
          <w:rFonts w:eastAsia="Times New Roman"/>
          <w:b/>
          <w:bCs/>
          <w:color w:val="000000" w:themeColor="text1"/>
          <w:sz w:val="32"/>
          <w:szCs w:val="32"/>
          <w:lang w:eastAsia="en-GB"/>
        </w:rPr>
      </w:pPr>
      <w:bookmarkStart w:id="8" w:name="_Toc223884656"/>
      <w:r w:rsidRPr="000F5754">
        <w:rPr>
          <w:rFonts w:eastAsia="Times New Roman"/>
          <w:b/>
          <w:bCs/>
          <w:color w:val="000000" w:themeColor="text1"/>
          <w:sz w:val="32"/>
          <w:szCs w:val="32"/>
          <w:lang w:eastAsia="en-GB"/>
        </w:rPr>
        <w:lastRenderedPageBreak/>
        <w:t>Reference List</w:t>
      </w:r>
      <w:bookmarkEnd w:id="8"/>
      <w:r w:rsidRPr="000F5754">
        <w:rPr>
          <w:rFonts w:eastAsia="Times New Roman"/>
          <w:b/>
          <w:bCs/>
          <w:color w:val="000000" w:themeColor="text1"/>
          <w:sz w:val="32"/>
          <w:szCs w:val="32"/>
          <w:lang w:eastAsia="en-GB"/>
        </w:rPr>
        <w:t xml:space="preserve"> </w:t>
      </w:r>
    </w:p>
    <w:p w14:paraId="17E4C149" w14:textId="77777777" w:rsidR="000F5754"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Alzheimer’s Society (</w:t>
      </w:r>
      <w:r>
        <w:rPr>
          <w:rFonts w:ascii="Times New Roman" w:eastAsia="Times New Roman" w:hAnsi="Times New Roman" w:cs="Times New Roman"/>
          <w:color w:val="000000" w:themeColor="text1"/>
          <w:kern w:val="0"/>
          <w:sz w:val="24"/>
          <w:szCs w:val="24"/>
          <w:lang w:eastAsia="en-GB"/>
          <w14:ligatures w14:val="none"/>
        </w:rPr>
        <w:t>2026</w:t>
      </w:r>
      <w:r w:rsidRPr="00AA4A91">
        <w:rPr>
          <w:rFonts w:ascii="Times New Roman" w:eastAsia="Times New Roman" w:hAnsi="Times New Roman" w:cs="Times New Roman"/>
          <w:color w:val="000000" w:themeColor="text1"/>
          <w:kern w:val="0"/>
          <w:sz w:val="24"/>
          <w:szCs w:val="24"/>
          <w:lang w:eastAsia="en-GB"/>
          <w14:ligatures w14:val="none"/>
        </w:rPr>
        <w:t xml:space="preserve">) </w:t>
      </w:r>
      <w:r w:rsidRPr="00AA4A91">
        <w:rPr>
          <w:rFonts w:ascii="Times New Roman" w:eastAsia="Times New Roman" w:hAnsi="Times New Roman" w:cs="Times New Roman"/>
          <w:i/>
          <w:iCs/>
          <w:color w:val="000000" w:themeColor="text1"/>
          <w:kern w:val="0"/>
          <w:sz w:val="24"/>
          <w:szCs w:val="24"/>
          <w:lang w:eastAsia="en-GB"/>
          <w14:ligatures w14:val="none"/>
        </w:rPr>
        <w:t>Facts for the media about dementia</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8" w:history="1">
        <w:r w:rsidRPr="00AA4A91">
          <w:rPr>
            <w:rFonts w:ascii="Times New Roman" w:eastAsia="Times New Roman" w:hAnsi="Times New Roman" w:cs="Times New Roman"/>
            <w:color w:val="000000" w:themeColor="text1"/>
            <w:kern w:val="0"/>
            <w:sz w:val="24"/>
            <w:szCs w:val="24"/>
            <w:u w:val="single"/>
            <w:lang w:eastAsia="en-GB"/>
            <w14:ligatures w14:val="none"/>
          </w:rPr>
          <w:t>https://www.alzheimers.org.uk/what-we-do/news-and-media/facts-media</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3DD7D573"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Pr>
          <w:rFonts w:ascii="Arial" w:hAnsi="Arial" w:cs="Arial"/>
          <w:color w:val="222222"/>
          <w:sz w:val="20"/>
          <w:szCs w:val="20"/>
          <w:shd w:val="clear" w:color="auto" w:fill="FFFFFF"/>
        </w:rPr>
        <w:t xml:space="preserve">Livingston, G., Huntley, J., Liu, K.Y., </w:t>
      </w:r>
      <w:proofErr w:type="spellStart"/>
      <w:r>
        <w:rPr>
          <w:rFonts w:ascii="Arial" w:hAnsi="Arial" w:cs="Arial"/>
          <w:color w:val="222222"/>
          <w:sz w:val="20"/>
          <w:szCs w:val="20"/>
          <w:shd w:val="clear" w:color="auto" w:fill="FFFFFF"/>
        </w:rPr>
        <w:t>Costafreda</w:t>
      </w:r>
      <w:proofErr w:type="spellEnd"/>
      <w:r>
        <w:rPr>
          <w:rFonts w:ascii="Arial" w:hAnsi="Arial" w:cs="Arial"/>
          <w:color w:val="222222"/>
          <w:sz w:val="20"/>
          <w:szCs w:val="20"/>
          <w:shd w:val="clear" w:color="auto" w:fill="FFFFFF"/>
        </w:rPr>
        <w:t xml:space="preserve">, S.G., </w:t>
      </w:r>
      <w:proofErr w:type="spellStart"/>
      <w:r>
        <w:rPr>
          <w:rFonts w:ascii="Arial" w:hAnsi="Arial" w:cs="Arial"/>
          <w:color w:val="222222"/>
          <w:sz w:val="20"/>
          <w:szCs w:val="20"/>
          <w:shd w:val="clear" w:color="auto" w:fill="FFFFFF"/>
        </w:rPr>
        <w:t>Selbæk</w:t>
      </w:r>
      <w:proofErr w:type="spellEnd"/>
      <w:r>
        <w:rPr>
          <w:rFonts w:ascii="Arial" w:hAnsi="Arial" w:cs="Arial"/>
          <w:color w:val="222222"/>
          <w:sz w:val="20"/>
          <w:szCs w:val="20"/>
          <w:shd w:val="clear" w:color="auto" w:fill="FFFFFF"/>
        </w:rPr>
        <w:t xml:space="preserve">, G., Alladi, S., Ames, D., Banerjee, S., Burns, A., </w:t>
      </w:r>
      <w:proofErr w:type="spellStart"/>
      <w:r>
        <w:rPr>
          <w:rFonts w:ascii="Arial" w:hAnsi="Arial" w:cs="Arial"/>
          <w:color w:val="222222"/>
          <w:sz w:val="20"/>
          <w:szCs w:val="20"/>
          <w:shd w:val="clear" w:color="auto" w:fill="FFFFFF"/>
        </w:rPr>
        <w:t>Brayne</w:t>
      </w:r>
      <w:proofErr w:type="spellEnd"/>
      <w:r>
        <w:rPr>
          <w:rFonts w:ascii="Arial" w:hAnsi="Arial" w:cs="Arial"/>
          <w:color w:val="222222"/>
          <w:sz w:val="20"/>
          <w:szCs w:val="20"/>
          <w:shd w:val="clear" w:color="auto" w:fill="FFFFFF"/>
        </w:rPr>
        <w:t>, C. and Fox, N.C., 2024. Dementia prevention, intervention, and care: 2024 report of the Lancet standing Commission.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404</w:t>
      </w:r>
      <w:r>
        <w:rPr>
          <w:rFonts w:ascii="Arial" w:hAnsi="Arial" w:cs="Arial"/>
          <w:color w:val="222222"/>
          <w:sz w:val="20"/>
          <w:szCs w:val="20"/>
          <w:shd w:val="clear" w:color="auto" w:fill="FFFFFF"/>
        </w:rPr>
        <w:t>(10452), pp.572-628.</w:t>
      </w:r>
    </w:p>
    <w:p w14:paraId="1C248501"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(2023a) </w:t>
      </w:r>
      <w:r w:rsidRPr="00AA4A91">
        <w:rPr>
          <w:rFonts w:ascii="Times New Roman" w:eastAsia="Times New Roman" w:hAnsi="Times New Roman" w:cs="Times New Roman"/>
          <w:i/>
          <w:iCs/>
          <w:color w:val="000000" w:themeColor="text1"/>
          <w:kern w:val="0"/>
          <w:sz w:val="24"/>
          <w:szCs w:val="24"/>
          <w:lang w:eastAsia="en-GB"/>
          <w14:ligatures w14:val="none"/>
        </w:rPr>
        <w:t>Dementia symptoms and diagnosis</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9" w:history="1">
        <w:r w:rsidRPr="00AA4A91">
          <w:rPr>
            <w:rFonts w:ascii="Times New Roman" w:eastAsia="Times New Roman" w:hAnsi="Times New Roman" w:cs="Times New Roman"/>
            <w:color w:val="000000" w:themeColor="text1"/>
            <w:kern w:val="0"/>
            <w:sz w:val="24"/>
            <w:szCs w:val="24"/>
            <w:u w:val="single"/>
            <w:lang w:eastAsia="en-GB"/>
            <w14:ligatures w14:val="none"/>
          </w:rPr>
          <w:t>https://www.nhs.uk/conditions/dementia/symptoms-and-diagnosis/</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400F443D"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(2023b) </w:t>
      </w:r>
      <w:r w:rsidRPr="00AA4A91">
        <w:rPr>
          <w:rFonts w:ascii="Times New Roman" w:eastAsia="Times New Roman" w:hAnsi="Times New Roman" w:cs="Times New Roman"/>
          <w:i/>
          <w:iCs/>
          <w:color w:val="000000" w:themeColor="text1"/>
          <w:kern w:val="0"/>
          <w:sz w:val="24"/>
          <w:szCs w:val="24"/>
          <w:lang w:eastAsia="en-GB"/>
          <w14:ligatures w14:val="none"/>
        </w:rPr>
        <w:t>Symptoms of dementia</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0" w:history="1">
        <w:r w:rsidRPr="00AA4A91">
          <w:rPr>
            <w:rFonts w:ascii="Times New Roman" w:eastAsia="Times New Roman" w:hAnsi="Times New Roman" w:cs="Times New Roman"/>
            <w:color w:val="000000" w:themeColor="text1"/>
            <w:kern w:val="0"/>
            <w:sz w:val="24"/>
            <w:szCs w:val="24"/>
            <w:u w:val="single"/>
            <w:lang w:eastAsia="en-GB"/>
            <w14:ligatures w14:val="none"/>
          </w:rPr>
          <w:t>https://www.nhs.uk/conditions/dementia/symptoms-and-diagnosis/symptoms/</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24B9BFF0"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(2023c) </w:t>
      </w:r>
      <w:r w:rsidRPr="00AA4A91">
        <w:rPr>
          <w:rFonts w:ascii="Times New Roman" w:eastAsia="Times New Roman" w:hAnsi="Times New Roman" w:cs="Times New Roman"/>
          <w:i/>
          <w:iCs/>
          <w:color w:val="000000" w:themeColor="text1"/>
          <w:kern w:val="0"/>
          <w:sz w:val="24"/>
          <w:szCs w:val="24"/>
          <w:lang w:eastAsia="en-GB"/>
          <w14:ligatures w14:val="none"/>
        </w:rPr>
        <w:t>How to get a dementia diagnosis</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1" w:history="1">
        <w:r w:rsidRPr="00AA4A91">
          <w:rPr>
            <w:rFonts w:ascii="Times New Roman" w:eastAsia="Times New Roman" w:hAnsi="Times New Roman" w:cs="Times New Roman"/>
            <w:color w:val="000000" w:themeColor="text1"/>
            <w:kern w:val="0"/>
            <w:sz w:val="24"/>
            <w:szCs w:val="24"/>
            <w:u w:val="single"/>
            <w:lang w:eastAsia="en-GB"/>
            <w14:ligatures w14:val="none"/>
          </w:rPr>
          <w:t>https://www.nhs.uk/conditions/dementia/symptoms-and-diagnosis/diagnosis/</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0505239F"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(2023d) </w:t>
      </w:r>
      <w:r w:rsidRPr="00AA4A91">
        <w:rPr>
          <w:rFonts w:ascii="Times New Roman" w:eastAsia="Times New Roman" w:hAnsi="Times New Roman" w:cs="Times New Roman"/>
          <w:i/>
          <w:iCs/>
          <w:color w:val="000000" w:themeColor="text1"/>
          <w:kern w:val="0"/>
          <w:sz w:val="24"/>
          <w:szCs w:val="24"/>
          <w:lang w:eastAsia="en-GB"/>
          <w14:ligatures w14:val="none"/>
        </w:rPr>
        <w:t>Tests for diagnosing dementia</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2" w:history="1">
        <w:r w:rsidRPr="00AA4A91">
          <w:rPr>
            <w:rFonts w:ascii="Times New Roman" w:eastAsia="Times New Roman" w:hAnsi="Times New Roman" w:cs="Times New Roman"/>
            <w:color w:val="000000" w:themeColor="text1"/>
            <w:kern w:val="0"/>
            <w:sz w:val="24"/>
            <w:szCs w:val="24"/>
            <w:u w:val="single"/>
            <w:lang w:eastAsia="en-GB"/>
            <w14:ligatures w14:val="none"/>
          </w:rPr>
          <w:t>https://www.nhs.uk/conditions/dementia/symptoms-and-diagnosis/tests/</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31343E8A"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England (2025a) </w:t>
      </w:r>
      <w:r w:rsidRPr="00AA4A91">
        <w:rPr>
          <w:rFonts w:ascii="Times New Roman" w:eastAsia="Times New Roman" w:hAnsi="Times New Roman" w:cs="Times New Roman"/>
          <w:i/>
          <w:iCs/>
          <w:color w:val="000000" w:themeColor="text1"/>
          <w:kern w:val="0"/>
          <w:sz w:val="24"/>
          <w:szCs w:val="24"/>
          <w:lang w:eastAsia="en-GB"/>
          <w14:ligatures w14:val="none"/>
        </w:rPr>
        <w:t>Primary Care Dementia Data, February 2025</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3" w:history="1">
        <w:r w:rsidRPr="00AA4A91">
          <w:rPr>
            <w:rFonts w:ascii="Times New Roman" w:eastAsia="Times New Roman" w:hAnsi="Times New Roman" w:cs="Times New Roman"/>
            <w:color w:val="000000" w:themeColor="text1"/>
            <w:kern w:val="0"/>
            <w:sz w:val="24"/>
            <w:szCs w:val="24"/>
            <w:u w:val="single"/>
            <w:lang w:eastAsia="en-GB"/>
            <w14:ligatures w14:val="none"/>
          </w:rPr>
          <w:t>https://digital.nhs.uk/data-and-information/publications/statistical/primary-care-dementia-data/february-2025</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hyperlink r:id="rId14" w:tooltip="Primary Care Dementia Data, February 2025" w:history="1">
        <w:r w:rsidRPr="00AA4A91">
          <w:rPr>
            <w:rFonts w:ascii="Times New Roman" w:eastAsia="Times New Roman" w:hAnsi="Times New Roman" w:cs="Times New Roman"/>
            <w:color w:val="000000" w:themeColor="text1"/>
            <w:kern w:val="0"/>
            <w:sz w:val="24"/>
            <w:szCs w:val="24"/>
            <w:u w:val="single"/>
            <w:lang w:eastAsia="en-GB"/>
            <w14:ligatures w14:val="none"/>
          </w:rPr>
          <w:t>NHS England Digital</w:t>
        </w:r>
      </w:hyperlink>
      <w:r w:rsidRPr="00AA4A91">
        <w:rPr>
          <w:rFonts w:ascii="Times New Roman" w:eastAsia="Times New Roman" w:hAnsi="Times New Roman" w:cs="Times New Roman"/>
          <w:color w:val="000000" w:themeColor="text1"/>
          <w:kern w:val="0"/>
          <w:sz w:val="24"/>
          <w:szCs w:val="24"/>
          <w:lang w:eastAsia="en-GB"/>
          <w14:ligatures w14:val="none"/>
        </w:rPr>
        <w:t>)</w:t>
      </w:r>
    </w:p>
    <w:p w14:paraId="3C4FFB51"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England (2025b) </w:t>
      </w:r>
      <w:r w:rsidRPr="00AA4A91">
        <w:rPr>
          <w:rFonts w:ascii="Times New Roman" w:eastAsia="Times New Roman" w:hAnsi="Times New Roman" w:cs="Times New Roman"/>
          <w:i/>
          <w:iCs/>
          <w:color w:val="000000" w:themeColor="text1"/>
          <w:kern w:val="0"/>
          <w:sz w:val="24"/>
          <w:szCs w:val="24"/>
          <w:lang w:eastAsia="en-GB"/>
          <w14:ligatures w14:val="none"/>
        </w:rPr>
        <w:t>Primary Care Dementia Data, March 2025</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5" w:history="1">
        <w:r w:rsidRPr="00AA4A91">
          <w:rPr>
            <w:rFonts w:ascii="Times New Roman" w:eastAsia="Times New Roman" w:hAnsi="Times New Roman" w:cs="Times New Roman"/>
            <w:color w:val="000000" w:themeColor="text1"/>
            <w:kern w:val="0"/>
            <w:sz w:val="24"/>
            <w:szCs w:val="24"/>
            <w:u w:val="single"/>
            <w:lang w:eastAsia="en-GB"/>
            <w14:ligatures w14:val="none"/>
          </w:rPr>
          <w:t>https://digital.nhs.uk/data-and-information/publications/statistical/primary-care-dementia-data/march-2025</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w:t>
      </w:r>
      <w:r>
        <w:rPr>
          <w:rFonts w:ascii="Times New Roman" w:eastAsia="Times New Roman" w:hAnsi="Times New Roman" w:cs="Times New Roman"/>
          <w:color w:val="000000" w:themeColor="text1"/>
          <w:kern w:val="0"/>
          <w:sz w:val="24"/>
          <w:szCs w:val="24"/>
          <w:lang w:eastAsia="en-GB"/>
          <w14:ligatures w14:val="none"/>
        </w:rPr>
        <w:t>3</w:t>
      </w:r>
      <w:r w:rsidRPr="00AA4A91">
        <w:rPr>
          <w:rFonts w:ascii="Times New Roman" w:eastAsia="Times New Roman" w:hAnsi="Times New Roman" w:cs="Times New Roman"/>
          <w:color w:val="000000" w:themeColor="text1"/>
          <w:kern w:val="0"/>
          <w:sz w:val="24"/>
          <w:szCs w:val="24"/>
          <w:lang w:eastAsia="en-GB"/>
          <w14:ligatures w14:val="none"/>
        </w:rPr>
        <w:t xml:space="preserve"> February 2026).</w:t>
      </w:r>
      <w:r w:rsidRPr="00AA4A91">
        <w:rPr>
          <w:rFonts w:ascii="Times New Roman" w:eastAsia="Times New Roman" w:hAnsi="Times New Roman" w:cs="Times New Roman"/>
          <w:color w:val="000000" w:themeColor="text1"/>
          <w:kern w:val="0"/>
          <w:sz w:val="24"/>
          <w:szCs w:val="24"/>
          <w:lang w:eastAsia="en-GB"/>
          <w14:ligatures w14:val="none"/>
        </w:rPr>
        <w:br/>
      </w:r>
    </w:p>
    <w:p w14:paraId="63691B54"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NHS England (2026) </w:t>
      </w:r>
      <w:r w:rsidRPr="00AA4A91">
        <w:rPr>
          <w:rFonts w:ascii="Times New Roman" w:eastAsia="Times New Roman" w:hAnsi="Times New Roman" w:cs="Times New Roman"/>
          <w:i/>
          <w:iCs/>
          <w:color w:val="000000" w:themeColor="text1"/>
          <w:kern w:val="0"/>
          <w:sz w:val="24"/>
          <w:szCs w:val="24"/>
          <w:lang w:eastAsia="en-GB"/>
          <w14:ligatures w14:val="none"/>
        </w:rPr>
        <w:t>Performance report</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6" w:history="1">
        <w:r w:rsidRPr="00AA4A91">
          <w:rPr>
            <w:rFonts w:ascii="Times New Roman" w:eastAsia="Times New Roman" w:hAnsi="Times New Roman" w:cs="Times New Roman"/>
            <w:color w:val="000000" w:themeColor="text1"/>
            <w:kern w:val="0"/>
            <w:sz w:val="24"/>
            <w:szCs w:val="24"/>
            <w:u w:val="single"/>
            <w:lang w:eastAsia="en-GB"/>
            <w14:ligatures w14:val="none"/>
          </w:rPr>
          <w:t>https://www.england.nhs.uk/long-read/performance-report-24-25/</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hyperlink r:id="rId17" w:tooltip="Performance report" w:history="1">
        <w:r w:rsidRPr="00AA4A91">
          <w:rPr>
            <w:rFonts w:ascii="Times New Roman" w:eastAsia="Times New Roman" w:hAnsi="Times New Roman" w:cs="Times New Roman"/>
            <w:color w:val="000000" w:themeColor="text1"/>
            <w:kern w:val="0"/>
            <w:sz w:val="24"/>
            <w:szCs w:val="24"/>
            <w:u w:val="single"/>
            <w:lang w:eastAsia="en-GB"/>
            <w14:ligatures w14:val="none"/>
          </w:rPr>
          <w:t>NHS England</w:t>
        </w:r>
      </w:hyperlink>
      <w:r w:rsidRPr="00AA4A91">
        <w:rPr>
          <w:rFonts w:ascii="Times New Roman" w:eastAsia="Times New Roman" w:hAnsi="Times New Roman" w:cs="Times New Roman"/>
          <w:color w:val="000000" w:themeColor="text1"/>
          <w:kern w:val="0"/>
          <w:sz w:val="24"/>
          <w:szCs w:val="24"/>
          <w:lang w:eastAsia="en-GB"/>
          <w14:ligatures w14:val="none"/>
        </w:rPr>
        <w:t>)</w:t>
      </w:r>
    </w:p>
    <w:p w14:paraId="524A5B9A"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National Institute for Health and Care Excellence (NICE) (2018) </w:t>
      </w:r>
      <w:r w:rsidRPr="00AA4A91">
        <w:rPr>
          <w:rFonts w:ascii="Times New Roman" w:eastAsia="Times New Roman" w:hAnsi="Times New Roman" w:cs="Times New Roman"/>
          <w:i/>
          <w:iCs/>
          <w:color w:val="000000" w:themeColor="text1"/>
          <w:kern w:val="0"/>
          <w:sz w:val="24"/>
          <w:szCs w:val="24"/>
          <w:lang w:eastAsia="en-GB"/>
          <w14:ligatures w14:val="none"/>
        </w:rPr>
        <w:t>Dementia: assessment, management and support for people living with dementia and their carers (NG97)</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8" w:history="1">
        <w:r w:rsidRPr="00AA4A91">
          <w:rPr>
            <w:rFonts w:ascii="Times New Roman" w:eastAsia="Times New Roman" w:hAnsi="Times New Roman" w:cs="Times New Roman"/>
            <w:color w:val="000000" w:themeColor="text1"/>
            <w:kern w:val="0"/>
            <w:sz w:val="24"/>
            <w:szCs w:val="24"/>
            <w:u w:val="single"/>
            <w:lang w:eastAsia="en-GB"/>
            <w14:ligatures w14:val="none"/>
          </w:rPr>
          <w:t>https://www.nice.org.uk/guidance/ng97</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w:t>
      </w:r>
      <w:r>
        <w:rPr>
          <w:rFonts w:ascii="Times New Roman" w:eastAsia="Times New Roman" w:hAnsi="Times New Roman" w:cs="Times New Roman"/>
          <w:color w:val="000000" w:themeColor="text1"/>
          <w:kern w:val="0"/>
          <w:sz w:val="24"/>
          <w:szCs w:val="24"/>
          <w:lang w:eastAsia="en-GB"/>
          <w14:ligatures w14:val="none"/>
        </w:rPr>
        <w:t>4</w:t>
      </w:r>
      <w:r w:rsidRPr="00AA4A91">
        <w:rPr>
          <w:rFonts w:ascii="Times New Roman" w:eastAsia="Times New Roman" w:hAnsi="Times New Roman" w:cs="Times New Roman"/>
          <w:color w:val="000000" w:themeColor="text1"/>
          <w:kern w:val="0"/>
          <w:sz w:val="24"/>
          <w:szCs w:val="24"/>
          <w:lang w:eastAsia="en-GB"/>
          <w14:ligatures w14:val="none"/>
        </w:rPr>
        <w:t xml:space="preserve"> February 2026).</w:t>
      </w:r>
    </w:p>
    <w:p w14:paraId="09A906FA"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Office for Health Improvement and Disparities (2025a) </w:t>
      </w:r>
      <w:r w:rsidRPr="00AA4A91">
        <w:rPr>
          <w:rFonts w:ascii="Times New Roman" w:eastAsia="Times New Roman" w:hAnsi="Times New Roman" w:cs="Times New Roman"/>
          <w:i/>
          <w:iCs/>
          <w:color w:val="000000" w:themeColor="text1"/>
          <w:kern w:val="0"/>
          <w:sz w:val="24"/>
          <w:szCs w:val="24"/>
          <w:lang w:eastAsia="en-GB"/>
          <w14:ligatures w14:val="none"/>
        </w:rPr>
        <w:t>Dementia profile: March 2025 update</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19" w:history="1">
        <w:r w:rsidRPr="00AA4A91">
          <w:rPr>
            <w:rFonts w:ascii="Times New Roman" w:eastAsia="Times New Roman" w:hAnsi="Times New Roman" w:cs="Times New Roman"/>
            <w:color w:val="000000" w:themeColor="text1"/>
            <w:kern w:val="0"/>
            <w:sz w:val="24"/>
            <w:szCs w:val="24"/>
            <w:u w:val="single"/>
            <w:lang w:eastAsia="en-GB"/>
            <w14:ligatures w14:val="none"/>
          </w:rPr>
          <w:t>https://www.gov.uk/government/statistics/dementia-profile-march-2025-update</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347D6B1B"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Office for Health Improvement and Disparities (2025b) </w:t>
      </w:r>
      <w:r w:rsidRPr="00AA4A91">
        <w:rPr>
          <w:rFonts w:ascii="Times New Roman" w:eastAsia="Times New Roman" w:hAnsi="Times New Roman" w:cs="Times New Roman"/>
          <w:i/>
          <w:iCs/>
          <w:color w:val="000000" w:themeColor="text1"/>
          <w:kern w:val="0"/>
          <w:sz w:val="24"/>
          <w:szCs w:val="24"/>
          <w:lang w:eastAsia="en-GB"/>
          <w14:ligatures w14:val="none"/>
        </w:rPr>
        <w:t>Dementia profile: prevalence and supporting well topics statistical commentary, March 2025</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20" w:history="1">
        <w:r w:rsidRPr="00AA4A91">
          <w:rPr>
            <w:rFonts w:ascii="Times New Roman" w:eastAsia="Times New Roman" w:hAnsi="Times New Roman" w:cs="Times New Roman"/>
            <w:color w:val="000000" w:themeColor="text1"/>
            <w:kern w:val="0"/>
            <w:sz w:val="24"/>
            <w:szCs w:val="24"/>
            <w:u w:val="single"/>
            <w:lang w:eastAsia="en-GB"/>
            <w14:ligatures w14:val="none"/>
          </w:rPr>
          <w:t>https://www.gov.uk/government/statistics/dementia-profile-march-2025-update/dementia-</w:t>
        </w:r>
        <w:r w:rsidRPr="00AA4A91">
          <w:rPr>
            <w:rFonts w:ascii="Times New Roman" w:eastAsia="Times New Roman" w:hAnsi="Times New Roman" w:cs="Times New Roman"/>
            <w:color w:val="000000" w:themeColor="text1"/>
            <w:kern w:val="0"/>
            <w:sz w:val="24"/>
            <w:szCs w:val="24"/>
            <w:u w:val="single"/>
            <w:lang w:eastAsia="en-GB"/>
            <w14:ligatures w14:val="none"/>
          </w:rPr>
          <w:lastRenderedPageBreak/>
          <w:t>profile-prevalence-and-supporting-well-topics-statistical-commentary-march-2025</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25 February 2026). </w:t>
      </w:r>
    </w:p>
    <w:p w14:paraId="4A82ACD2"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Office for National Statistics (2025) </w:t>
      </w:r>
      <w:r w:rsidRPr="00AA4A91">
        <w:rPr>
          <w:rFonts w:ascii="Times New Roman" w:eastAsia="Times New Roman" w:hAnsi="Times New Roman" w:cs="Times New Roman"/>
          <w:i/>
          <w:iCs/>
          <w:color w:val="000000" w:themeColor="text1"/>
          <w:kern w:val="0"/>
          <w:sz w:val="24"/>
          <w:szCs w:val="24"/>
          <w:lang w:eastAsia="en-GB"/>
          <w14:ligatures w14:val="none"/>
        </w:rPr>
        <w:t>Deaths registered in England and Wales: 2024</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21" w:history="1">
        <w:r w:rsidRPr="00AA4A91">
          <w:rPr>
            <w:rFonts w:ascii="Times New Roman" w:eastAsia="Times New Roman" w:hAnsi="Times New Roman" w:cs="Times New Roman"/>
            <w:color w:val="000000" w:themeColor="text1"/>
            <w:kern w:val="0"/>
            <w:sz w:val="24"/>
            <w:szCs w:val="24"/>
            <w:u w:val="single"/>
            <w:lang w:eastAsia="en-GB"/>
            <w14:ligatures w14:val="none"/>
          </w:rPr>
          <w:t>https://www.ons.gov.uk/peoplepopulationandcommunity/birthsdeathsandmarriages/deaths/bulletins/deathsregistrationsummarytables/2024</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w:t>
      </w:r>
      <w:r>
        <w:rPr>
          <w:rFonts w:ascii="Times New Roman" w:eastAsia="Times New Roman" w:hAnsi="Times New Roman" w:cs="Times New Roman"/>
          <w:color w:val="000000" w:themeColor="text1"/>
          <w:kern w:val="0"/>
          <w:sz w:val="24"/>
          <w:szCs w:val="24"/>
          <w:lang w:eastAsia="en-GB"/>
          <w14:ligatures w14:val="none"/>
        </w:rPr>
        <w:t>0</w:t>
      </w:r>
      <w:r w:rsidRPr="00AA4A91">
        <w:rPr>
          <w:rFonts w:ascii="Times New Roman" w:eastAsia="Times New Roman" w:hAnsi="Times New Roman" w:cs="Times New Roman"/>
          <w:color w:val="000000" w:themeColor="text1"/>
          <w:kern w:val="0"/>
          <w:sz w:val="24"/>
          <w:szCs w:val="24"/>
          <w:lang w:eastAsia="en-GB"/>
          <w14:ligatures w14:val="none"/>
        </w:rPr>
        <w:t xml:space="preserve"> February 2026).</w:t>
      </w:r>
    </w:p>
    <w:p w14:paraId="122CCF1B" w14:textId="77777777" w:rsidR="000F5754" w:rsidRPr="00AA4A91" w:rsidRDefault="000F5754" w:rsidP="000F5754">
      <w:pPr>
        <w:spacing w:before="100" w:beforeAutospacing="1" w:after="100" w:afterAutospacing="1" w:line="240" w:lineRule="auto"/>
        <w:rPr>
          <w:rFonts w:ascii="Times New Roman" w:eastAsia="Times New Roman" w:hAnsi="Times New Roman" w:cs="Times New Roman"/>
          <w:color w:val="000000" w:themeColor="text1"/>
          <w:kern w:val="0"/>
          <w:sz w:val="24"/>
          <w:szCs w:val="24"/>
          <w:lang w:eastAsia="en-GB"/>
          <w14:ligatures w14:val="none"/>
        </w:rPr>
      </w:pPr>
      <w:r w:rsidRPr="00AA4A91">
        <w:rPr>
          <w:rFonts w:ascii="Times New Roman" w:eastAsia="Times New Roman" w:hAnsi="Times New Roman" w:cs="Times New Roman"/>
          <w:color w:val="000000" w:themeColor="text1"/>
          <w:kern w:val="0"/>
          <w:sz w:val="24"/>
          <w:szCs w:val="24"/>
          <w:lang w:eastAsia="en-GB"/>
          <w14:ligatures w14:val="none"/>
        </w:rPr>
        <w:t xml:space="preserve">World Health Organization (2025) </w:t>
      </w:r>
      <w:r w:rsidRPr="00AA4A91">
        <w:rPr>
          <w:rFonts w:ascii="Times New Roman" w:eastAsia="Times New Roman" w:hAnsi="Times New Roman" w:cs="Times New Roman"/>
          <w:i/>
          <w:iCs/>
          <w:color w:val="000000" w:themeColor="text1"/>
          <w:kern w:val="0"/>
          <w:sz w:val="24"/>
          <w:szCs w:val="24"/>
          <w:lang w:eastAsia="en-GB"/>
          <w14:ligatures w14:val="none"/>
        </w:rPr>
        <w:t>Dementia</w:t>
      </w:r>
      <w:r w:rsidRPr="00AA4A91">
        <w:rPr>
          <w:rFonts w:ascii="Times New Roman" w:eastAsia="Times New Roman" w:hAnsi="Times New Roman" w:cs="Times New Roman"/>
          <w:color w:val="000000" w:themeColor="text1"/>
          <w:kern w:val="0"/>
          <w:sz w:val="24"/>
          <w:szCs w:val="24"/>
          <w:lang w:eastAsia="en-GB"/>
          <w14:ligatures w14:val="none"/>
        </w:rPr>
        <w:t xml:space="preserve">. Available at: </w:t>
      </w:r>
      <w:hyperlink r:id="rId22" w:history="1">
        <w:r w:rsidRPr="00AA4A91">
          <w:rPr>
            <w:rFonts w:ascii="Times New Roman" w:eastAsia="Times New Roman" w:hAnsi="Times New Roman" w:cs="Times New Roman"/>
            <w:color w:val="000000" w:themeColor="text1"/>
            <w:kern w:val="0"/>
            <w:sz w:val="24"/>
            <w:szCs w:val="24"/>
            <w:u w:val="single"/>
            <w:lang w:eastAsia="en-GB"/>
            <w14:ligatures w14:val="none"/>
          </w:rPr>
          <w:t>https://www.who.int/news-room/fact-sheets/detail/dementia</w:t>
        </w:r>
      </w:hyperlink>
      <w:r w:rsidRPr="00AA4A91">
        <w:rPr>
          <w:rFonts w:ascii="Times New Roman" w:eastAsia="Times New Roman" w:hAnsi="Times New Roman" w:cs="Times New Roman"/>
          <w:color w:val="000000" w:themeColor="text1"/>
          <w:kern w:val="0"/>
          <w:sz w:val="24"/>
          <w:szCs w:val="24"/>
          <w:lang w:eastAsia="en-GB"/>
          <w14:ligatures w14:val="none"/>
        </w:rPr>
        <w:t xml:space="preserve"> (Accessed: 2</w:t>
      </w:r>
      <w:r>
        <w:rPr>
          <w:rFonts w:ascii="Times New Roman" w:eastAsia="Times New Roman" w:hAnsi="Times New Roman" w:cs="Times New Roman"/>
          <w:color w:val="000000" w:themeColor="text1"/>
          <w:kern w:val="0"/>
          <w:sz w:val="24"/>
          <w:szCs w:val="24"/>
          <w:lang w:eastAsia="en-GB"/>
          <w14:ligatures w14:val="none"/>
        </w:rPr>
        <w:t>1</w:t>
      </w:r>
      <w:r w:rsidRPr="00AA4A91">
        <w:rPr>
          <w:rFonts w:ascii="Times New Roman" w:eastAsia="Times New Roman" w:hAnsi="Times New Roman" w:cs="Times New Roman"/>
          <w:color w:val="000000" w:themeColor="text1"/>
          <w:kern w:val="0"/>
          <w:sz w:val="24"/>
          <w:szCs w:val="24"/>
          <w:lang w:eastAsia="en-GB"/>
          <w14:ligatures w14:val="none"/>
        </w:rPr>
        <w:t xml:space="preserve"> February 2026). </w:t>
      </w:r>
    </w:p>
    <w:p w14:paraId="512DF5DE" w14:textId="77777777" w:rsidR="000F5754" w:rsidRPr="00DB602B" w:rsidRDefault="000F5754" w:rsidP="000F5754">
      <w:pPr>
        <w:spacing w:after="0" w:line="360" w:lineRule="auto"/>
        <w:jc w:val="both"/>
        <w:rPr>
          <w:rFonts w:ascii="Arial" w:eastAsia="Times New Roman" w:hAnsi="Arial" w:cs="Arial"/>
          <w:kern w:val="0"/>
          <w:lang w:eastAsia="en-GB"/>
          <w14:ligatures w14:val="none"/>
        </w:rPr>
      </w:pPr>
    </w:p>
    <w:p w14:paraId="5678350B" w14:textId="77777777" w:rsidR="000F5754" w:rsidRDefault="000F5754" w:rsidP="000F5754">
      <w:pPr>
        <w:spacing w:after="0" w:line="360" w:lineRule="auto"/>
        <w:jc w:val="both"/>
        <w:rPr>
          <w:rFonts w:ascii="Arial" w:eastAsia="Arial" w:hAnsi="Arial" w:cs="Arial"/>
          <w:bCs/>
          <w:color w:val="000000"/>
          <w:szCs w:val="24"/>
          <w:lang w:eastAsia="en-GB"/>
        </w:rPr>
      </w:pPr>
    </w:p>
    <w:p w14:paraId="2E233CA2" w14:textId="77777777" w:rsidR="000F5754" w:rsidRDefault="000F5754" w:rsidP="000F5754">
      <w:pPr>
        <w:jc w:val="center"/>
        <w:rPr>
          <w:rFonts w:ascii="Arial" w:eastAsia="Arial" w:hAnsi="Arial" w:cs="Arial"/>
          <w:bCs/>
          <w:color w:val="000000"/>
          <w:szCs w:val="24"/>
          <w:lang w:eastAsia="en-GB"/>
        </w:rPr>
      </w:pPr>
    </w:p>
    <w:p w14:paraId="3CBD34F5" w14:textId="77777777" w:rsidR="000F5754" w:rsidRDefault="000F5754" w:rsidP="000F5754"/>
    <w:p w14:paraId="16F26A4E" w14:textId="77777777" w:rsidR="000F5754" w:rsidRDefault="000F5754" w:rsidP="000F5754">
      <w:pPr>
        <w:jc w:val="center"/>
      </w:pPr>
    </w:p>
    <w:sectPr w:rsidR="000F575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FE5BB" w14:textId="77777777" w:rsidR="00787747" w:rsidRDefault="00787747" w:rsidP="000F5754">
      <w:pPr>
        <w:spacing w:after="0" w:line="240" w:lineRule="auto"/>
      </w:pPr>
      <w:r>
        <w:separator/>
      </w:r>
    </w:p>
  </w:endnote>
  <w:endnote w:type="continuationSeparator" w:id="0">
    <w:p w14:paraId="57F155E1" w14:textId="77777777" w:rsidR="00787747" w:rsidRDefault="00787747" w:rsidP="000F5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195207"/>
      <w:docPartObj>
        <w:docPartGallery w:val="Page Numbers (Bottom of Page)"/>
        <w:docPartUnique/>
      </w:docPartObj>
    </w:sdtPr>
    <w:sdtEndPr>
      <w:rPr>
        <w:noProof/>
      </w:rPr>
    </w:sdtEndPr>
    <w:sdtContent>
      <w:p w14:paraId="23CFFD1D" w14:textId="6C55E99F" w:rsidR="000F5754" w:rsidRDefault="000F57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1D975" w14:textId="77777777" w:rsidR="000F5754" w:rsidRDefault="000F5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6B938" w14:textId="77777777" w:rsidR="00787747" w:rsidRDefault="00787747" w:rsidP="000F5754">
      <w:pPr>
        <w:spacing w:after="0" w:line="240" w:lineRule="auto"/>
      </w:pPr>
      <w:r>
        <w:separator/>
      </w:r>
    </w:p>
  </w:footnote>
  <w:footnote w:type="continuationSeparator" w:id="0">
    <w:p w14:paraId="55982C8A" w14:textId="77777777" w:rsidR="00787747" w:rsidRDefault="00787747" w:rsidP="000F57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185"/>
    <w:rsid w:val="000F5754"/>
    <w:rsid w:val="002C3875"/>
    <w:rsid w:val="003B3185"/>
    <w:rsid w:val="00447036"/>
    <w:rsid w:val="0067288F"/>
    <w:rsid w:val="00787747"/>
    <w:rsid w:val="00EA2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1CF1F"/>
  <w15:chartTrackingRefBased/>
  <w15:docId w15:val="{34B1027A-213A-42A5-8A09-7B3FDE5C0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185"/>
    <w:rPr>
      <w:rFonts w:eastAsiaTheme="majorEastAsia" w:cstheme="majorBidi"/>
      <w:color w:val="272727" w:themeColor="text1" w:themeTint="D8"/>
    </w:rPr>
  </w:style>
  <w:style w:type="paragraph" w:styleId="Title">
    <w:name w:val="Title"/>
    <w:basedOn w:val="Normal"/>
    <w:next w:val="Normal"/>
    <w:link w:val="TitleChar"/>
    <w:uiPriority w:val="10"/>
    <w:qFormat/>
    <w:rsid w:val="003B3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185"/>
    <w:pPr>
      <w:spacing w:before="160"/>
      <w:jc w:val="center"/>
    </w:pPr>
    <w:rPr>
      <w:i/>
      <w:iCs/>
      <w:color w:val="404040" w:themeColor="text1" w:themeTint="BF"/>
    </w:rPr>
  </w:style>
  <w:style w:type="character" w:customStyle="1" w:styleId="QuoteChar">
    <w:name w:val="Quote Char"/>
    <w:basedOn w:val="DefaultParagraphFont"/>
    <w:link w:val="Quote"/>
    <w:uiPriority w:val="29"/>
    <w:rsid w:val="003B3185"/>
    <w:rPr>
      <w:i/>
      <w:iCs/>
      <w:color w:val="404040" w:themeColor="text1" w:themeTint="BF"/>
    </w:rPr>
  </w:style>
  <w:style w:type="paragraph" w:styleId="ListParagraph">
    <w:name w:val="List Paragraph"/>
    <w:basedOn w:val="Normal"/>
    <w:uiPriority w:val="34"/>
    <w:qFormat/>
    <w:rsid w:val="003B3185"/>
    <w:pPr>
      <w:ind w:left="720"/>
      <w:contextualSpacing/>
    </w:pPr>
  </w:style>
  <w:style w:type="character" w:styleId="IntenseEmphasis">
    <w:name w:val="Intense Emphasis"/>
    <w:basedOn w:val="DefaultParagraphFont"/>
    <w:uiPriority w:val="21"/>
    <w:qFormat/>
    <w:rsid w:val="003B3185"/>
    <w:rPr>
      <w:i/>
      <w:iCs/>
      <w:color w:val="0F4761" w:themeColor="accent1" w:themeShade="BF"/>
    </w:rPr>
  </w:style>
  <w:style w:type="paragraph" w:styleId="IntenseQuote">
    <w:name w:val="Intense Quote"/>
    <w:basedOn w:val="Normal"/>
    <w:next w:val="Normal"/>
    <w:link w:val="IntenseQuoteChar"/>
    <w:uiPriority w:val="30"/>
    <w:qFormat/>
    <w:rsid w:val="003B3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185"/>
    <w:rPr>
      <w:i/>
      <w:iCs/>
      <w:color w:val="0F4761" w:themeColor="accent1" w:themeShade="BF"/>
    </w:rPr>
  </w:style>
  <w:style w:type="character" w:styleId="IntenseReference">
    <w:name w:val="Intense Reference"/>
    <w:basedOn w:val="DefaultParagraphFont"/>
    <w:uiPriority w:val="32"/>
    <w:qFormat/>
    <w:rsid w:val="003B3185"/>
    <w:rPr>
      <w:b/>
      <w:bCs/>
      <w:smallCaps/>
      <w:color w:val="0F4761" w:themeColor="accent1" w:themeShade="BF"/>
      <w:spacing w:val="5"/>
    </w:rPr>
  </w:style>
  <w:style w:type="paragraph" w:styleId="NormalWeb">
    <w:name w:val="Normal (Web)"/>
    <w:basedOn w:val="Normal"/>
    <w:uiPriority w:val="99"/>
    <w:semiHidden/>
    <w:unhideWhenUsed/>
    <w:rsid w:val="000F57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F575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F5754"/>
    <w:pPr>
      <w:spacing w:after="100"/>
    </w:pPr>
  </w:style>
  <w:style w:type="paragraph" w:styleId="TOC2">
    <w:name w:val="toc 2"/>
    <w:basedOn w:val="Normal"/>
    <w:next w:val="Normal"/>
    <w:autoRedefine/>
    <w:uiPriority w:val="39"/>
    <w:unhideWhenUsed/>
    <w:rsid w:val="000F5754"/>
    <w:pPr>
      <w:spacing w:after="100"/>
      <w:ind w:left="220"/>
    </w:pPr>
  </w:style>
  <w:style w:type="character" w:styleId="Hyperlink">
    <w:name w:val="Hyperlink"/>
    <w:basedOn w:val="DefaultParagraphFont"/>
    <w:uiPriority w:val="99"/>
    <w:unhideWhenUsed/>
    <w:rsid w:val="000F5754"/>
    <w:rPr>
      <w:color w:val="467886" w:themeColor="hyperlink"/>
      <w:u w:val="single"/>
    </w:rPr>
  </w:style>
  <w:style w:type="paragraph" w:styleId="Header">
    <w:name w:val="header"/>
    <w:basedOn w:val="Normal"/>
    <w:link w:val="HeaderChar"/>
    <w:uiPriority w:val="99"/>
    <w:unhideWhenUsed/>
    <w:rsid w:val="000F5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754"/>
  </w:style>
  <w:style w:type="paragraph" w:styleId="Footer">
    <w:name w:val="footer"/>
    <w:basedOn w:val="Normal"/>
    <w:link w:val="FooterChar"/>
    <w:uiPriority w:val="99"/>
    <w:unhideWhenUsed/>
    <w:rsid w:val="000F5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what-we-do/news-and-media/facts-media" TargetMode="External"/><Relationship Id="rId13" Type="http://schemas.openxmlformats.org/officeDocument/2006/relationships/hyperlink" Target="https://digital.nhs.uk/data-and-information/publications/statistical/primary-care-dementia-data/february-2025" TargetMode="External"/><Relationship Id="rId18" Type="http://schemas.openxmlformats.org/officeDocument/2006/relationships/hyperlink" Target="https://www.nice.org.uk/guidance/ng97" TargetMode="External"/><Relationship Id="rId3" Type="http://schemas.openxmlformats.org/officeDocument/2006/relationships/webSettings" Target="webSettings.xml"/><Relationship Id="rId21" Type="http://schemas.openxmlformats.org/officeDocument/2006/relationships/hyperlink" Target="https://www.ons.gov.uk/peoplepopulationandcommunity/birthsdeathsandmarriages/deaths/bulletins/deathsregistrationsummarytables/2024" TargetMode="External"/><Relationship Id="rId7" Type="http://schemas.openxmlformats.org/officeDocument/2006/relationships/image" Target="media/image2.png"/><Relationship Id="rId12" Type="http://schemas.openxmlformats.org/officeDocument/2006/relationships/hyperlink" Target="https://www.nhs.uk/conditions/dementia/symptoms-and-diagnosis/tests/" TargetMode="External"/><Relationship Id="rId17" Type="http://schemas.openxmlformats.org/officeDocument/2006/relationships/hyperlink" Target="https://www.england.nhs.uk/long-read/performance-report-24-25/?utm_source=chatgpt.co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ngland.nhs.uk/long-read/performance-report-24-25/" TargetMode="External"/><Relationship Id="rId20" Type="http://schemas.openxmlformats.org/officeDocument/2006/relationships/hyperlink" Target="https://www.gov.uk/government/statistics/dementia-profile-march-2025-update/dementia-profile-prevalence-and-supporting-well-topics-statistical-commentary-march-202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hs.uk/conditions/dementia/symptoms-and-diagnosis/diagnosi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igital.nhs.uk/data-and-information/publications/statistical/primary-care-dementia-data/march-2025" TargetMode="External"/><Relationship Id="rId23" Type="http://schemas.openxmlformats.org/officeDocument/2006/relationships/footer" Target="footer1.xml"/><Relationship Id="rId10" Type="http://schemas.openxmlformats.org/officeDocument/2006/relationships/hyperlink" Target="https://www.nhs.uk/conditions/dementia/symptoms-and-diagnosis/symptoms/" TargetMode="External"/><Relationship Id="rId19" Type="http://schemas.openxmlformats.org/officeDocument/2006/relationships/hyperlink" Target="https://www.gov.uk/government/statistics/dementia-profile-march-2025-update" TargetMode="External"/><Relationship Id="rId4" Type="http://schemas.openxmlformats.org/officeDocument/2006/relationships/footnotes" Target="footnotes.xml"/><Relationship Id="rId9" Type="http://schemas.openxmlformats.org/officeDocument/2006/relationships/hyperlink" Target="https://www.nhs.uk/conditions/dementia/symptoms-and-diagnosis/" TargetMode="External"/><Relationship Id="rId14" Type="http://schemas.openxmlformats.org/officeDocument/2006/relationships/hyperlink" Target="https://digital.nhs.uk/data-and-information/publications/statistical/primary-care-dementia-data/february-2025?utm_source=chatgpt.com" TargetMode="External"/><Relationship Id="rId22"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2379</Words>
  <Characters>14917</Characters>
  <Application>Microsoft Office Word</Application>
  <DocSecurity>0</DocSecurity>
  <Lines>355</Lines>
  <Paragraphs>82</Paragraphs>
  <ScaleCrop>false</ScaleCrop>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Montero</dc:creator>
  <cp:keywords/>
  <dc:description/>
  <cp:lastModifiedBy>Katherine Montero</cp:lastModifiedBy>
  <cp:revision>2</cp:revision>
  <dcterms:created xsi:type="dcterms:W3CDTF">2026-03-24T12:59:00Z</dcterms:created>
  <dcterms:modified xsi:type="dcterms:W3CDTF">2026-03-24T13:15:00Z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9226701a-560b-4b6c-975d-5f426faa0545</vt:lpwstr>
  </property>
</Properties>
</file>