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819296" w14:textId="77777777" w:rsidR="00EE42F7" w:rsidRDefault="00EE42F7" w:rsidP="00EE42F7">
      <w:pPr>
        <w:jc w:val="center"/>
        <w:rPr>
          <w:sz w:val="32"/>
          <w:szCs w:val="32"/>
        </w:rPr>
      </w:pPr>
    </w:p>
    <w:p w14:paraId="78DC2ADF" w14:textId="0CE160A8" w:rsidR="00023019" w:rsidRPr="00EE42F7" w:rsidRDefault="00EE42F7" w:rsidP="00EE42F7">
      <w:pPr>
        <w:jc w:val="center"/>
        <w:rPr>
          <w:b/>
          <w:bCs/>
          <w:sz w:val="36"/>
          <w:szCs w:val="36"/>
        </w:rPr>
      </w:pPr>
      <w:r>
        <w:rPr>
          <w:sz w:val="32"/>
          <w:szCs w:val="32"/>
        </w:rPr>
        <w:br/>
      </w:r>
      <w:r w:rsidR="00023019" w:rsidRPr="00023019">
        <w:rPr>
          <w:sz w:val="32"/>
          <w:szCs w:val="32"/>
        </w:rPr>
        <w:t>Module</w:t>
      </w:r>
      <w:r w:rsidR="00023019" w:rsidRPr="00023019">
        <w:rPr>
          <w:sz w:val="36"/>
          <w:szCs w:val="36"/>
        </w:rPr>
        <w:t xml:space="preserve">: </w:t>
      </w:r>
      <w:r w:rsidR="00023019" w:rsidRPr="00023019">
        <w:rPr>
          <w:b/>
          <w:bCs/>
          <w:sz w:val="36"/>
          <w:szCs w:val="36"/>
        </w:rPr>
        <w:t>Coaching and Mentoring Skills in the Workplace</w:t>
      </w:r>
    </w:p>
    <w:p w14:paraId="54FD890B" w14:textId="6FDAC449" w:rsidR="00023019" w:rsidRPr="00023019" w:rsidRDefault="00023019" w:rsidP="00023019">
      <w:pPr>
        <w:jc w:val="center"/>
        <w:rPr>
          <w:b/>
          <w:bCs/>
          <w:sz w:val="36"/>
          <w:szCs w:val="36"/>
        </w:rPr>
      </w:pPr>
      <w:r w:rsidRPr="00023019">
        <w:rPr>
          <w:sz w:val="32"/>
          <w:szCs w:val="32"/>
        </w:rPr>
        <w:t>Module code:</w:t>
      </w:r>
      <w:r w:rsidRPr="00023019">
        <w:rPr>
          <w:sz w:val="36"/>
          <w:szCs w:val="36"/>
        </w:rPr>
        <w:t xml:space="preserve"> </w:t>
      </w:r>
      <w:r w:rsidRPr="00023019">
        <w:rPr>
          <w:b/>
          <w:bCs/>
          <w:sz w:val="36"/>
          <w:szCs w:val="36"/>
        </w:rPr>
        <w:t>BMSW6105</w:t>
      </w:r>
    </w:p>
    <w:p w14:paraId="05296A69" w14:textId="12711859" w:rsidR="00023019" w:rsidRPr="00023019" w:rsidRDefault="00023019" w:rsidP="00023019">
      <w:pPr>
        <w:jc w:val="center"/>
        <w:rPr>
          <w:b/>
          <w:bCs/>
          <w:sz w:val="48"/>
          <w:szCs w:val="48"/>
        </w:rPr>
      </w:pPr>
      <w:r w:rsidRPr="00023019">
        <w:rPr>
          <w:b/>
          <w:bCs/>
          <w:sz w:val="48"/>
          <w:szCs w:val="48"/>
        </w:rPr>
        <w:t>Task 3 – Written Report</w:t>
      </w:r>
    </w:p>
    <w:p w14:paraId="4D15E457" w14:textId="63CCC28D" w:rsidR="00023019" w:rsidRPr="00023019" w:rsidRDefault="00023019" w:rsidP="00023019">
      <w:pPr>
        <w:jc w:val="center"/>
        <w:rPr>
          <w:b/>
          <w:bCs/>
          <w:sz w:val="36"/>
          <w:szCs w:val="36"/>
        </w:rPr>
      </w:pPr>
      <w:r w:rsidRPr="00023019">
        <w:rPr>
          <w:sz w:val="32"/>
          <w:szCs w:val="32"/>
        </w:rPr>
        <w:t>Student name and id:</w:t>
      </w:r>
      <w:r w:rsidRPr="00023019">
        <w:rPr>
          <w:sz w:val="36"/>
          <w:szCs w:val="36"/>
        </w:rPr>
        <w:t xml:space="preserve"> </w:t>
      </w:r>
      <w:r w:rsidRPr="00023019">
        <w:rPr>
          <w:b/>
          <w:bCs/>
          <w:sz w:val="36"/>
          <w:szCs w:val="36"/>
        </w:rPr>
        <w:t>Alexandra Felicia Merauta  2121306</w:t>
      </w:r>
    </w:p>
    <w:p w14:paraId="341041A3" w14:textId="48755001" w:rsidR="00023019" w:rsidRDefault="00023019" w:rsidP="00023019">
      <w:pPr>
        <w:jc w:val="center"/>
        <w:rPr>
          <w:b/>
          <w:bCs/>
          <w:sz w:val="36"/>
          <w:szCs w:val="36"/>
        </w:rPr>
      </w:pPr>
      <w:r w:rsidRPr="00023019">
        <w:rPr>
          <w:sz w:val="32"/>
          <w:szCs w:val="32"/>
        </w:rPr>
        <w:t>Lecturere name:</w:t>
      </w:r>
      <w:r w:rsidRPr="00023019">
        <w:rPr>
          <w:sz w:val="36"/>
          <w:szCs w:val="36"/>
        </w:rPr>
        <w:t xml:space="preserve"> </w:t>
      </w:r>
      <w:r w:rsidRPr="00023019">
        <w:rPr>
          <w:b/>
          <w:bCs/>
          <w:sz w:val="36"/>
          <w:szCs w:val="36"/>
        </w:rPr>
        <w:t>Mudassar Hasan</w:t>
      </w:r>
    </w:p>
    <w:p w14:paraId="49FDF885" w14:textId="77777777" w:rsidR="00EE42F7" w:rsidRDefault="00EE42F7" w:rsidP="00023019">
      <w:pPr>
        <w:jc w:val="center"/>
        <w:rPr>
          <w:b/>
          <w:bCs/>
          <w:sz w:val="36"/>
          <w:szCs w:val="36"/>
        </w:rPr>
      </w:pPr>
    </w:p>
    <w:p w14:paraId="749B4B28" w14:textId="77777777" w:rsidR="00EE42F7" w:rsidRDefault="00EE42F7" w:rsidP="00023019">
      <w:pPr>
        <w:jc w:val="center"/>
        <w:rPr>
          <w:b/>
          <w:bCs/>
          <w:sz w:val="36"/>
          <w:szCs w:val="36"/>
        </w:rPr>
      </w:pPr>
    </w:p>
    <w:p w14:paraId="6AE81449" w14:textId="77777777" w:rsidR="00EE42F7" w:rsidRDefault="00EE42F7" w:rsidP="00023019">
      <w:pPr>
        <w:jc w:val="center"/>
        <w:rPr>
          <w:b/>
          <w:bCs/>
          <w:sz w:val="36"/>
          <w:szCs w:val="36"/>
        </w:rPr>
      </w:pPr>
    </w:p>
    <w:p w14:paraId="33C40B8A" w14:textId="77777777" w:rsidR="00EE42F7" w:rsidRDefault="00EE42F7" w:rsidP="00023019">
      <w:pPr>
        <w:jc w:val="center"/>
        <w:rPr>
          <w:b/>
          <w:bCs/>
          <w:sz w:val="36"/>
          <w:szCs w:val="36"/>
        </w:rPr>
      </w:pPr>
    </w:p>
    <w:p w14:paraId="2ACAF5C7" w14:textId="77777777" w:rsidR="00023019" w:rsidRDefault="00023019" w:rsidP="00023019">
      <w:pPr>
        <w:rPr>
          <w:rFonts w:ascii="Arial" w:hAnsi="Arial" w:cs="Arial"/>
          <w:b/>
          <w:bCs/>
        </w:rPr>
      </w:pPr>
    </w:p>
    <w:p w14:paraId="06E90A79" w14:textId="77777777" w:rsidR="00023019" w:rsidRDefault="00023019" w:rsidP="00023019">
      <w:pPr>
        <w:rPr>
          <w:rFonts w:ascii="Arial" w:hAnsi="Arial" w:cs="Arial"/>
          <w:b/>
          <w:bCs/>
        </w:rPr>
      </w:pPr>
    </w:p>
    <w:sdt>
      <w:sdtPr>
        <w:id w:val="-32875319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5AA0C1C" w14:textId="20D3BE32" w:rsidR="00DE5719" w:rsidRDefault="00DE5719">
          <w:pPr>
            <w:pStyle w:val="TOCHeading"/>
          </w:pPr>
          <w:r>
            <w:t>Table of Contents</w:t>
          </w:r>
        </w:p>
        <w:p w14:paraId="45759497" w14:textId="3B64C869" w:rsidR="00EE42F7" w:rsidRDefault="00DE571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2588721" w:history="1">
            <w:r w:rsidR="00EE42F7" w:rsidRPr="00147F73">
              <w:rPr>
                <w:rStyle w:val="Hyperlink"/>
                <w:noProof/>
              </w:rPr>
              <w:t>Introduction</w:t>
            </w:r>
            <w:r w:rsidR="00EE42F7">
              <w:rPr>
                <w:noProof/>
                <w:webHidden/>
              </w:rPr>
              <w:tab/>
            </w:r>
            <w:r w:rsidR="00EE42F7">
              <w:rPr>
                <w:noProof/>
                <w:webHidden/>
              </w:rPr>
              <w:fldChar w:fldCharType="begin"/>
            </w:r>
            <w:r w:rsidR="00EE42F7">
              <w:rPr>
                <w:noProof/>
                <w:webHidden/>
              </w:rPr>
              <w:instrText xml:space="preserve"> PAGEREF _Toc182588721 \h </w:instrText>
            </w:r>
            <w:r w:rsidR="00EE42F7">
              <w:rPr>
                <w:noProof/>
                <w:webHidden/>
              </w:rPr>
            </w:r>
            <w:r w:rsidR="00EE42F7">
              <w:rPr>
                <w:noProof/>
                <w:webHidden/>
              </w:rPr>
              <w:fldChar w:fldCharType="separate"/>
            </w:r>
            <w:r w:rsidR="00EE42F7">
              <w:rPr>
                <w:noProof/>
                <w:webHidden/>
              </w:rPr>
              <w:t>2</w:t>
            </w:r>
            <w:r w:rsidR="00EE42F7">
              <w:rPr>
                <w:noProof/>
                <w:webHidden/>
              </w:rPr>
              <w:fldChar w:fldCharType="end"/>
            </w:r>
          </w:hyperlink>
        </w:p>
        <w:p w14:paraId="4AD24331" w14:textId="63D0A44F" w:rsidR="00EE42F7" w:rsidRDefault="00EE42F7">
          <w:pPr>
            <w:pStyle w:val="TOC1"/>
            <w:tabs>
              <w:tab w:val="right" w:leader="dot" w:pos="9016"/>
            </w:tabs>
            <w:rPr>
              <w:rFonts w:eastAsiaTheme="minorEastAsia"/>
              <w:noProof/>
              <w:sz w:val="24"/>
              <w:szCs w:val="24"/>
              <w:lang w:eastAsia="en-GB"/>
            </w:rPr>
          </w:pPr>
          <w:hyperlink w:anchor="_Toc182588722" w:history="1">
            <w:r w:rsidRPr="00147F73">
              <w:rPr>
                <w:rStyle w:val="Hyperlink"/>
                <w:rFonts w:cs="Arial"/>
                <w:noProof/>
              </w:rPr>
              <w:t>Definition and Differences Between Coaching and Mentoring</w:t>
            </w:r>
            <w:r>
              <w:rPr>
                <w:noProof/>
                <w:webHidden/>
              </w:rPr>
              <w:tab/>
            </w:r>
            <w:r>
              <w:rPr>
                <w:noProof/>
                <w:webHidden/>
              </w:rPr>
              <w:fldChar w:fldCharType="begin"/>
            </w:r>
            <w:r>
              <w:rPr>
                <w:noProof/>
                <w:webHidden/>
              </w:rPr>
              <w:instrText xml:space="preserve"> PAGEREF _Toc182588722 \h </w:instrText>
            </w:r>
            <w:r>
              <w:rPr>
                <w:noProof/>
                <w:webHidden/>
              </w:rPr>
            </w:r>
            <w:r>
              <w:rPr>
                <w:noProof/>
                <w:webHidden/>
              </w:rPr>
              <w:fldChar w:fldCharType="separate"/>
            </w:r>
            <w:r>
              <w:rPr>
                <w:noProof/>
                <w:webHidden/>
              </w:rPr>
              <w:t>2</w:t>
            </w:r>
            <w:r>
              <w:rPr>
                <w:noProof/>
                <w:webHidden/>
              </w:rPr>
              <w:fldChar w:fldCharType="end"/>
            </w:r>
          </w:hyperlink>
        </w:p>
        <w:p w14:paraId="7F687C93" w14:textId="0355A0DF" w:rsidR="00EE42F7" w:rsidRDefault="00EE42F7">
          <w:pPr>
            <w:pStyle w:val="TOC2"/>
            <w:tabs>
              <w:tab w:val="right" w:leader="dot" w:pos="9016"/>
            </w:tabs>
            <w:rPr>
              <w:rFonts w:eastAsiaTheme="minorEastAsia"/>
              <w:noProof/>
              <w:sz w:val="24"/>
              <w:szCs w:val="24"/>
              <w:lang w:eastAsia="en-GB"/>
            </w:rPr>
          </w:pPr>
          <w:hyperlink w:anchor="_Toc182588723" w:history="1">
            <w:r w:rsidRPr="00147F73">
              <w:rPr>
                <w:rStyle w:val="Hyperlink"/>
                <w:rFonts w:ascii="Arial" w:hAnsi="Arial" w:cs="Arial"/>
                <w:noProof/>
                <w:lang w:eastAsia="en-GB"/>
              </w:rPr>
              <w:t>Key Differences</w:t>
            </w:r>
            <w:r>
              <w:rPr>
                <w:noProof/>
                <w:webHidden/>
              </w:rPr>
              <w:tab/>
            </w:r>
            <w:r>
              <w:rPr>
                <w:noProof/>
                <w:webHidden/>
              </w:rPr>
              <w:fldChar w:fldCharType="begin"/>
            </w:r>
            <w:r>
              <w:rPr>
                <w:noProof/>
                <w:webHidden/>
              </w:rPr>
              <w:instrText xml:space="preserve"> PAGEREF _Toc182588723 \h </w:instrText>
            </w:r>
            <w:r>
              <w:rPr>
                <w:noProof/>
                <w:webHidden/>
              </w:rPr>
            </w:r>
            <w:r>
              <w:rPr>
                <w:noProof/>
                <w:webHidden/>
              </w:rPr>
              <w:fldChar w:fldCharType="separate"/>
            </w:r>
            <w:r>
              <w:rPr>
                <w:noProof/>
                <w:webHidden/>
              </w:rPr>
              <w:t>2</w:t>
            </w:r>
            <w:r>
              <w:rPr>
                <w:noProof/>
                <w:webHidden/>
              </w:rPr>
              <w:fldChar w:fldCharType="end"/>
            </w:r>
          </w:hyperlink>
        </w:p>
        <w:p w14:paraId="66800212" w14:textId="7EA79117" w:rsidR="00EE42F7" w:rsidRDefault="00EE42F7">
          <w:pPr>
            <w:pStyle w:val="TOC2"/>
            <w:tabs>
              <w:tab w:val="right" w:leader="dot" w:pos="9016"/>
            </w:tabs>
            <w:rPr>
              <w:rFonts w:eastAsiaTheme="minorEastAsia"/>
              <w:noProof/>
              <w:sz w:val="24"/>
              <w:szCs w:val="24"/>
              <w:lang w:eastAsia="en-GB"/>
            </w:rPr>
          </w:pPr>
          <w:hyperlink w:anchor="_Toc182588724" w:history="1">
            <w:r w:rsidRPr="00147F73">
              <w:rPr>
                <w:rStyle w:val="Hyperlink"/>
                <w:rFonts w:ascii="Arial" w:eastAsia="Times New Roman" w:hAnsi="Arial" w:cs="Arial"/>
                <w:noProof/>
                <w:lang w:eastAsia="en-GB"/>
              </w:rPr>
              <w:t>Benefits of Coaching and Mentoring:</w:t>
            </w:r>
            <w:r>
              <w:rPr>
                <w:noProof/>
                <w:webHidden/>
              </w:rPr>
              <w:tab/>
            </w:r>
            <w:r>
              <w:rPr>
                <w:noProof/>
                <w:webHidden/>
              </w:rPr>
              <w:fldChar w:fldCharType="begin"/>
            </w:r>
            <w:r>
              <w:rPr>
                <w:noProof/>
                <w:webHidden/>
              </w:rPr>
              <w:instrText xml:space="preserve"> PAGEREF _Toc182588724 \h </w:instrText>
            </w:r>
            <w:r>
              <w:rPr>
                <w:noProof/>
                <w:webHidden/>
              </w:rPr>
            </w:r>
            <w:r>
              <w:rPr>
                <w:noProof/>
                <w:webHidden/>
              </w:rPr>
              <w:fldChar w:fldCharType="separate"/>
            </w:r>
            <w:r>
              <w:rPr>
                <w:noProof/>
                <w:webHidden/>
              </w:rPr>
              <w:t>2</w:t>
            </w:r>
            <w:r>
              <w:rPr>
                <w:noProof/>
                <w:webHidden/>
              </w:rPr>
              <w:fldChar w:fldCharType="end"/>
            </w:r>
          </w:hyperlink>
        </w:p>
        <w:p w14:paraId="57DC5151" w14:textId="679FC970" w:rsidR="00EE42F7" w:rsidRDefault="00EE42F7">
          <w:pPr>
            <w:pStyle w:val="TOC1"/>
            <w:tabs>
              <w:tab w:val="right" w:leader="dot" w:pos="9016"/>
            </w:tabs>
            <w:rPr>
              <w:rFonts w:eastAsiaTheme="minorEastAsia"/>
              <w:noProof/>
              <w:sz w:val="24"/>
              <w:szCs w:val="24"/>
              <w:lang w:eastAsia="en-GB"/>
            </w:rPr>
          </w:pPr>
          <w:hyperlink w:anchor="_Toc182588725" w:history="1">
            <w:r w:rsidRPr="00147F73">
              <w:rPr>
                <w:rStyle w:val="Hyperlink"/>
                <w:rFonts w:cs="Arial"/>
                <w:noProof/>
              </w:rPr>
              <w:t>Critical evaluation of the Purpose of Coaching and Mentoring withn a Workplace</w:t>
            </w:r>
            <w:r>
              <w:rPr>
                <w:noProof/>
                <w:webHidden/>
              </w:rPr>
              <w:tab/>
            </w:r>
            <w:r>
              <w:rPr>
                <w:noProof/>
                <w:webHidden/>
              </w:rPr>
              <w:fldChar w:fldCharType="begin"/>
            </w:r>
            <w:r>
              <w:rPr>
                <w:noProof/>
                <w:webHidden/>
              </w:rPr>
              <w:instrText xml:space="preserve"> PAGEREF _Toc182588725 \h </w:instrText>
            </w:r>
            <w:r>
              <w:rPr>
                <w:noProof/>
                <w:webHidden/>
              </w:rPr>
            </w:r>
            <w:r>
              <w:rPr>
                <w:noProof/>
                <w:webHidden/>
              </w:rPr>
              <w:fldChar w:fldCharType="separate"/>
            </w:r>
            <w:r>
              <w:rPr>
                <w:noProof/>
                <w:webHidden/>
              </w:rPr>
              <w:t>3</w:t>
            </w:r>
            <w:r>
              <w:rPr>
                <w:noProof/>
                <w:webHidden/>
              </w:rPr>
              <w:fldChar w:fldCharType="end"/>
            </w:r>
          </w:hyperlink>
        </w:p>
        <w:p w14:paraId="3A287607" w14:textId="27D82F77" w:rsidR="00EE42F7" w:rsidRDefault="00EE42F7">
          <w:pPr>
            <w:pStyle w:val="TOC2"/>
            <w:tabs>
              <w:tab w:val="right" w:leader="dot" w:pos="9016"/>
            </w:tabs>
            <w:rPr>
              <w:rFonts w:eastAsiaTheme="minorEastAsia"/>
              <w:noProof/>
              <w:sz w:val="24"/>
              <w:szCs w:val="24"/>
              <w:lang w:eastAsia="en-GB"/>
            </w:rPr>
          </w:pPr>
          <w:hyperlink w:anchor="_Toc182588726" w:history="1">
            <w:r w:rsidRPr="00147F73">
              <w:rPr>
                <w:rStyle w:val="Hyperlink"/>
                <w:rFonts w:ascii="Arial" w:hAnsi="Arial" w:cs="Arial"/>
                <w:noProof/>
              </w:rPr>
              <w:t>Critical Analysis of Coaching Model: GROW</w:t>
            </w:r>
            <w:r>
              <w:rPr>
                <w:noProof/>
                <w:webHidden/>
              </w:rPr>
              <w:tab/>
            </w:r>
            <w:r>
              <w:rPr>
                <w:noProof/>
                <w:webHidden/>
              </w:rPr>
              <w:fldChar w:fldCharType="begin"/>
            </w:r>
            <w:r>
              <w:rPr>
                <w:noProof/>
                <w:webHidden/>
              </w:rPr>
              <w:instrText xml:space="preserve"> PAGEREF _Toc182588726 \h </w:instrText>
            </w:r>
            <w:r>
              <w:rPr>
                <w:noProof/>
                <w:webHidden/>
              </w:rPr>
            </w:r>
            <w:r>
              <w:rPr>
                <w:noProof/>
                <w:webHidden/>
              </w:rPr>
              <w:fldChar w:fldCharType="separate"/>
            </w:r>
            <w:r>
              <w:rPr>
                <w:noProof/>
                <w:webHidden/>
              </w:rPr>
              <w:t>3</w:t>
            </w:r>
            <w:r>
              <w:rPr>
                <w:noProof/>
                <w:webHidden/>
              </w:rPr>
              <w:fldChar w:fldCharType="end"/>
            </w:r>
          </w:hyperlink>
        </w:p>
        <w:p w14:paraId="3D44D012" w14:textId="0E10F25E" w:rsidR="00EE42F7" w:rsidRDefault="00EE42F7">
          <w:pPr>
            <w:pStyle w:val="TOC2"/>
            <w:tabs>
              <w:tab w:val="right" w:leader="dot" w:pos="9016"/>
            </w:tabs>
            <w:rPr>
              <w:rFonts w:eastAsiaTheme="minorEastAsia"/>
              <w:noProof/>
              <w:sz w:val="24"/>
              <w:szCs w:val="24"/>
              <w:lang w:eastAsia="en-GB"/>
            </w:rPr>
          </w:pPr>
          <w:hyperlink w:anchor="_Toc182588727" w:history="1">
            <w:r w:rsidRPr="00147F73">
              <w:rPr>
                <w:rStyle w:val="Hyperlink"/>
                <w:rFonts w:ascii="Arial" w:hAnsi="Arial" w:cs="Arial"/>
                <w:noProof/>
              </w:rPr>
              <w:t>Critical Analysis of Mentoring Model: Johari Window</w:t>
            </w:r>
            <w:r>
              <w:rPr>
                <w:noProof/>
                <w:webHidden/>
              </w:rPr>
              <w:tab/>
            </w:r>
            <w:r>
              <w:rPr>
                <w:noProof/>
                <w:webHidden/>
              </w:rPr>
              <w:fldChar w:fldCharType="begin"/>
            </w:r>
            <w:r>
              <w:rPr>
                <w:noProof/>
                <w:webHidden/>
              </w:rPr>
              <w:instrText xml:space="preserve"> PAGEREF _Toc182588727 \h </w:instrText>
            </w:r>
            <w:r>
              <w:rPr>
                <w:noProof/>
                <w:webHidden/>
              </w:rPr>
            </w:r>
            <w:r>
              <w:rPr>
                <w:noProof/>
                <w:webHidden/>
              </w:rPr>
              <w:fldChar w:fldCharType="separate"/>
            </w:r>
            <w:r>
              <w:rPr>
                <w:noProof/>
                <w:webHidden/>
              </w:rPr>
              <w:t>4</w:t>
            </w:r>
            <w:r>
              <w:rPr>
                <w:noProof/>
                <w:webHidden/>
              </w:rPr>
              <w:fldChar w:fldCharType="end"/>
            </w:r>
          </w:hyperlink>
        </w:p>
        <w:p w14:paraId="13EF211A" w14:textId="2B4B0941" w:rsidR="00EE42F7" w:rsidRDefault="00EE42F7">
          <w:pPr>
            <w:pStyle w:val="TOC1"/>
            <w:tabs>
              <w:tab w:val="right" w:leader="dot" w:pos="9016"/>
            </w:tabs>
            <w:rPr>
              <w:rFonts w:eastAsiaTheme="minorEastAsia"/>
              <w:noProof/>
              <w:sz w:val="24"/>
              <w:szCs w:val="24"/>
              <w:lang w:eastAsia="en-GB"/>
            </w:rPr>
          </w:pPr>
          <w:hyperlink w:anchor="_Toc182588728" w:history="1">
            <w:r w:rsidRPr="00147F73">
              <w:rPr>
                <w:rStyle w:val="Hyperlink"/>
                <w:noProof/>
              </w:rPr>
              <w:t>Reflection on Practical Experiences</w:t>
            </w:r>
            <w:r>
              <w:rPr>
                <w:noProof/>
                <w:webHidden/>
              </w:rPr>
              <w:tab/>
            </w:r>
            <w:r>
              <w:rPr>
                <w:noProof/>
                <w:webHidden/>
              </w:rPr>
              <w:fldChar w:fldCharType="begin"/>
            </w:r>
            <w:r>
              <w:rPr>
                <w:noProof/>
                <w:webHidden/>
              </w:rPr>
              <w:instrText xml:space="preserve"> PAGEREF _Toc182588728 \h </w:instrText>
            </w:r>
            <w:r>
              <w:rPr>
                <w:noProof/>
                <w:webHidden/>
              </w:rPr>
            </w:r>
            <w:r>
              <w:rPr>
                <w:noProof/>
                <w:webHidden/>
              </w:rPr>
              <w:fldChar w:fldCharType="separate"/>
            </w:r>
            <w:r>
              <w:rPr>
                <w:noProof/>
                <w:webHidden/>
              </w:rPr>
              <w:t>4</w:t>
            </w:r>
            <w:r>
              <w:rPr>
                <w:noProof/>
                <w:webHidden/>
              </w:rPr>
              <w:fldChar w:fldCharType="end"/>
            </w:r>
          </w:hyperlink>
        </w:p>
        <w:p w14:paraId="57D59EC3" w14:textId="56FF05BA" w:rsidR="00EE42F7" w:rsidRDefault="00EE42F7">
          <w:pPr>
            <w:pStyle w:val="TOC2"/>
            <w:tabs>
              <w:tab w:val="right" w:leader="dot" w:pos="9016"/>
            </w:tabs>
            <w:rPr>
              <w:rFonts w:eastAsiaTheme="minorEastAsia"/>
              <w:noProof/>
              <w:sz w:val="24"/>
              <w:szCs w:val="24"/>
              <w:lang w:eastAsia="en-GB"/>
            </w:rPr>
          </w:pPr>
          <w:hyperlink w:anchor="_Toc182588729" w:history="1">
            <w:r w:rsidRPr="00147F73">
              <w:rPr>
                <w:rStyle w:val="Hyperlink"/>
                <w:rFonts w:ascii="Arial" w:eastAsia="Times New Roman" w:hAnsi="Arial" w:cs="Arial"/>
                <w:noProof/>
                <w:lang w:eastAsia="en-GB"/>
              </w:rPr>
              <w:t>Reflection on Practical 1: Coaching Using the GROW Model</w:t>
            </w:r>
            <w:r>
              <w:rPr>
                <w:noProof/>
                <w:webHidden/>
              </w:rPr>
              <w:tab/>
            </w:r>
            <w:r>
              <w:rPr>
                <w:noProof/>
                <w:webHidden/>
              </w:rPr>
              <w:fldChar w:fldCharType="begin"/>
            </w:r>
            <w:r>
              <w:rPr>
                <w:noProof/>
                <w:webHidden/>
              </w:rPr>
              <w:instrText xml:space="preserve"> PAGEREF _Toc182588729 \h </w:instrText>
            </w:r>
            <w:r>
              <w:rPr>
                <w:noProof/>
                <w:webHidden/>
              </w:rPr>
            </w:r>
            <w:r>
              <w:rPr>
                <w:noProof/>
                <w:webHidden/>
              </w:rPr>
              <w:fldChar w:fldCharType="separate"/>
            </w:r>
            <w:r>
              <w:rPr>
                <w:noProof/>
                <w:webHidden/>
              </w:rPr>
              <w:t>4</w:t>
            </w:r>
            <w:r>
              <w:rPr>
                <w:noProof/>
                <w:webHidden/>
              </w:rPr>
              <w:fldChar w:fldCharType="end"/>
            </w:r>
          </w:hyperlink>
        </w:p>
        <w:p w14:paraId="39388126" w14:textId="0C89959D" w:rsidR="00EE42F7" w:rsidRDefault="00EE42F7">
          <w:pPr>
            <w:pStyle w:val="TOC2"/>
            <w:tabs>
              <w:tab w:val="right" w:leader="dot" w:pos="9016"/>
            </w:tabs>
            <w:rPr>
              <w:rFonts w:eastAsiaTheme="minorEastAsia"/>
              <w:noProof/>
              <w:sz w:val="24"/>
              <w:szCs w:val="24"/>
              <w:lang w:eastAsia="en-GB"/>
            </w:rPr>
          </w:pPr>
          <w:hyperlink w:anchor="_Toc182588730" w:history="1">
            <w:r w:rsidRPr="00147F73">
              <w:rPr>
                <w:rStyle w:val="Hyperlink"/>
                <w:rFonts w:ascii="Arial" w:eastAsia="Times New Roman" w:hAnsi="Arial" w:cs="Arial"/>
                <w:noProof/>
                <w:lang w:eastAsia="en-GB"/>
              </w:rPr>
              <w:t>Reflection on Practical 2: Mentoring Using the Johari Window</w:t>
            </w:r>
            <w:r>
              <w:rPr>
                <w:noProof/>
                <w:webHidden/>
              </w:rPr>
              <w:tab/>
            </w:r>
            <w:r>
              <w:rPr>
                <w:noProof/>
                <w:webHidden/>
              </w:rPr>
              <w:fldChar w:fldCharType="begin"/>
            </w:r>
            <w:r>
              <w:rPr>
                <w:noProof/>
                <w:webHidden/>
              </w:rPr>
              <w:instrText xml:space="preserve"> PAGEREF _Toc182588730 \h </w:instrText>
            </w:r>
            <w:r>
              <w:rPr>
                <w:noProof/>
                <w:webHidden/>
              </w:rPr>
            </w:r>
            <w:r>
              <w:rPr>
                <w:noProof/>
                <w:webHidden/>
              </w:rPr>
              <w:fldChar w:fldCharType="separate"/>
            </w:r>
            <w:r>
              <w:rPr>
                <w:noProof/>
                <w:webHidden/>
              </w:rPr>
              <w:t>5</w:t>
            </w:r>
            <w:r>
              <w:rPr>
                <w:noProof/>
                <w:webHidden/>
              </w:rPr>
              <w:fldChar w:fldCharType="end"/>
            </w:r>
          </w:hyperlink>
        </w:p>
        <w:p w14:paraId="47BF4E45" w14:textId="5A99FD2A" w:rsidR="00EE42F7" w:rsidRDefault="00EE42F7">
          <w:pPr>
            <w:pStyle w:val="TOC1"/>
            <w:tabs>
              <w:tab w:val="right" w:leader="dot" w:pos="9016"/>
            </w:tabs>
            <w:rPr>
              <w:rFonts w:eastAsiaTheme="minorEastAsia"/>
              <w:noProof/>
              <w:sz w:val="24"/>
              <w:szCs w:val="24"/>
              <w:lang w:eastAsia="en-GB"/>
            </w:rPr>
          </w:pPr>
          <w:hyperlink w:anchor="_Toc182588731" w:history="1">
            <w:r w:rsidRPr="00147F73">
              <w:rPr>
                <w:rStyle w:val="Hyperlink"/>
                <w:rFonts w:cs="Arial"/>
                <w:noProof/>
              </w:rPr>
              <w:t>Conclusion</w:t>
            </w:r>
            <w:r>
              <w:rPr>
                <w:noProof/>
                <w:webHidden/>
              </w:rPr>
              <w:tab/>
            </w:r>
            <w:r>
              <w:rPr>
                <w:noProof/>
                <w:webHidden/>
              </w:rPr>
              <w:fldChar w:fldCharType="begin"/>
            </w:r>
            <w:r>
              <w:rPr>
                <w:noProof/>
                <w:webHidden/>
              </w:rPr>
              <w:instrText xml:space="preserve"> PAGEREF _Toc182588731 \h </w:instrText>
            </w:r>
            <w:r>
              <w:rPr>
                <w:noProof/>
                <w:webHidden/>
              </w:rPr>
            </w:r>
            <w:r>
              <w:rPr>
                <w:noProof/>
                <w:webHidden/>
              </w:rPr>
              <w:fldChar w:fldCharType="separate"/>
            </w:r>
            <w:r>
              <w:rPr>
                <w:noProof/>
                <w:webHidden/>
              </w:rPr>
              <w:t>5</w:t>
            </w:r>
            <w:r>
              <w:rPr>
                <w:noProof/>
                <w:webHidden/>
              </w:rPr>
              <w:fldChar w:fldCharType="end"/>
            </w:r>
          </w:hyperlink>
        </w:p>
        <w:p w14:paraId="112A8124" w14:textId="3F848589" w:rsidR="00EE42F7" w:rsidRDefault="00EE42F7">
          <w:pPr>
            <w:pStyle w:val="TOC1"/>
            <w:tabs>
              <w:tab w:val="right" w:leader="dot" w:pos="9016"/>
            </w:tabs>
            <w:rPr>
              <w:rFonts w:eastAsiaTheme="minorEastAsia"/>
              <w:noProof/>
              <w:sz w:val="24"/>
              <w:szCs w:val="24"/>
              <w:lang w:eastAsia="en-GB"/>
            </w:rPr>
          </w:pPr>
          <w:hyperlink w:anchor="_Toc182588732" w:history="1">
            <w:r w:rsidRPr="00147F73">
              <w:rPr>
                <w:rStyle w:val="Hyperlink"/>
                <w:noProof/>
              </w:rPr>
              <w:t>References</w:t>
            </w:r>
            <w:r>
              <w:rPr>
                <w:noProof/>
                <w:webHidden/>
              </w:rPr>
              <w:tab/>
            </w:r>
            <w:r>
              <w:rPr>
                <w:noProof/>
                <w:webHidden/>
              </w:rPr>
              <w:fldChar w:fldCharType="begin"/>
            </w:r>
            <w:r>
              <w:rPr>
                <w:noProof/>
                <w:webHidden/>
              </w:rPr>
              <w:instrText xml:space="preserve"> PAGEREF _Toc182588732 \h </w:instrText>
            </w:r>
            <w:r>
              <w:rPr>
                <w:noProof/>
                <w:webHidden/>
              </w:rPr>
            </w:r>
            <w:r>
              <w:rPr>
                <w:noProof/>
                <w:webHidden/>
              </w:rPr>
              <w:fldChar w:fldCharType="separate"/>
            </w:r>
            <w:r>
              <w:rPr>
                <w:noProof/>
                <w:webHidden/>
              </w:rPr>
              <w:t>5</w:t>
            </w:r>
            <w:r>
              <w:rPr>
                <w:noProof/>
                <w:webHidden/>
              </w:rPr>
              <w:fldChar w:fldCharType="end"/>
            </w:r>
          </w:hyperlink>
        </w:p>
        <w:p w14:paraId="779F6469" w14:textId="26A8EDEA" w:rsidR="00DE5719" w:rsidRDefault="00DE5719">
          <w:r>
            <w:rPr>
              <w:b/>
              <w:bCs/>
              <w:noProof/>
            </w:rPr>
            <w:fldChar w:fldCharType="end"/>
          </w:r>
        </w:p>
      </w:sdtContent>
    </w:sdt>
    <w:p w14:paraId="76DC9F6B" w14:textId="77777777" w:rsidR="00023019" w:rsidRDefault="00023019" w:rsidP="00023019">
      <w:pPr>
        <w:rPr>
          <w:rFonts w:ascii="Arial" w:hAnsi="Arial" w:cs="Arial"/>
          <w:b/>
          <w:bCs/>
        </w:rPr>
      </w:pPr>
    </w:p>
    <w:p w14:paraId="176E7F2B" w14:textId="77777777" w:rsidR="00023019" w:rsidRDefault="00023019" w:rsidP="00023019">
      <w:pPr>
        <w:rPr>
          <w:rFonts w:ascii="Arial" w:hAnsi="Arial" w:cs="Arial"/>
          <w:b/>
          <w:bCs/>
        </w:rPr>
      </w:pPr>
    </w:p>
    <w:p w14:paraId="5592EB90" w14:textId="69FEDF66" w:rsidR="00023019" w:rsidRPr="006F5B08" w:rsidRDefault="00023019" w:rsidP="00DE5719">
      <w:pPr>
        <w:pStyle w:val="Heading1"/>
        <w:rPr>
          <w:sz w:val="32"/>
          <w:szCs w:val="32"/>
        </w:rPr>
      </w:pPr>
      <w:bookmarkStart w:id="0" w:name="_Toc182588721"/>
      <w:r w:rsidRPr="006F5B08">
        <w:rPr>
          <w:sz w:val="32"/>
          <w:szCs w:val="32"/>
        </w:rPr>
        <w:t>Introduction</w:t>
      </w:r>
      <w:bookmarkEnd w:id="0"/>
    </w:p>
    <w:p w14:paraId="5321681B" w14:textId="77777777" w:rsidR="00126C66" w:rsidRPr="006F5B08" w:rsidRDefault="00126C66" w:rsidP="00126C66">
      <w:pPr>
        <w:pStyle w:val="NormalWeb"/>
        <w:rPr>
          <w:rFonts w:ascii="Arial" w:hAnsi="Arial" w:cs="Arial"/>
          <w:sz w:val="22"/>
          <w:szCs w:val="22"/>
        </w:rPr>
      </w:pPr>
      <w:r w:rsidRPr="006F5B08">
        <w:rPr>
          <w:rFonts w:ascii="Arial" w:hAnsi="Arial" w:cs="Arial"/>
          <w:sz w:val="22"/>
          <w:szCs w:val="22"/>
        </w:rPr>
        <w:t xml:space="preserve">The aim of this report is to reflect on and critically analyze my experiences in coaching and mentoring, using the </w:t>
      </w:r>
      <w:r w:rsidRPr="006F5B08">
        <w:rPr>
          <w:rStyle w:val="Strong"/>
          <w:rFonts w:ascii="Arial" w:eastAsiaTheme="majorEastAsia" w:hAnsi="Arial" w:cs="Arial"/>
          <w:sz w:val="22"/>
          <w:szCs w:val="22"/>
        </w:rPr>
        <w:t>GROW model</w:t>
      </w:r>
      <w:r w:rsidRPr="006F5B08">
        <w:rPr>
          <w:rFonts w:ascii="Arial" w:hAnsi="Arial" w:cs="Arial"/>
          <w:sz w:val="22"/>
          <w:szCs w:val="22"/>
        </w:rPr>
        <w:t xml:space="preserve"> for coaching and the </w:t>
      </w:r>
      <w:r w:rsidRPr="006F5B08">
        <w:rPr>
          <w:rStyle w:val="Strong"/>
          <w:rFonts w:ascii="Arial" w:eastAsiaTheme="majorEastAsia" w:hAnsi="Arial" w:cs="Arial"/>
          <w:sz w:val="22"/>
          <w:szCs w:val="22"/>
        </w:rPr>
        <w:t>Johari Window</w:t>
      </w:r>
      <w:r w:rsidRPr="006F5B08">
        <w:rPr>
          <w:rFonts w:ascii="Arial" w:hAnsi="Arial" w:cs="Arial"/>
          <w:sz w:val="22"/>
          <w:szCs w:val="22"/>
        </w:rPr>
        <w:t xml:space="preserve"> for mentoring. Coaching and mentoring are widely recognized methods for helping individuals achieve their potential, yet they differ significantly in purpose, structure, and approach.</w:t>
      </w:r>
    </w:p>
    <w:p w14:paraId="43A3BAE9" w14:textId="77777777" w:rsidR="00126C66" w:rsidRPr="006F5B08" w:rsidRDefault="00126C66" w:rsidP="00126C66">
      <w:pPr>
        <w:pStyle w:val="NormalWeb"/>
        <w:rPr>
          <w:rFonts w:ascii="Arial" w:hAnsi="Arial" w:cs="Arial"/>
          <w:sz w:val="22"/>
          <w:szCs w:val="22"/>
        </w:rPr>
      </w:pPr>
      <w:r w:rsidRPr="006F5B08">
        <w:rPr>
          <w:rFonts w:ascii="Arial" w:hAnsi="Arial" w:cs="Arial"/>
          <w:sz w:val="22"/>
          <w:szCs w:val="22"/>
        </w:rPr>
        <w:t>Coaching is defined as a collaborative process where a coach facilitates the coachee’s exploration of their goals and helps them devise strategies to achieve them (Whitmore, 2009). In contrast, mentoring focuses on transferring knowledge, skills, and experience from a mentor to a mentee to foster professional and personal growth (Kram, 1985). This report employs a reflective approach using Gibbs’ Reflective Cycle (1988) to examine my coaching and mentoring sessions, offering insights into their impact on my practice and development.</w:t>
      </w:r>
    </w:p>
    <w:p w14:paraId="7B465415" w14:textId="77777777" w:rsidR="00126C66" w:rsidRPr="006F5B08" w:rsidRDefault="00126C66" w:rsidP="00126C66">
      <w:pPr>
        <w:pStyle w:val="NormalWeb"/>
        <w:rPr>
          <w:rFonts w:ascii="Arial" w:hAnsi="Arial" w:cs="Arial"/>
          <w:sz w:val="22"/>
          <w:szCs w:val="22"/>
        </w:rPr>
      </w:pPr>
      <w:r w:rsidRPr="006F5B08">
        <w:rPr>
          <w:rFonts w:ascii="Arial" w:hAnsi="Arial" w:cs="Arial"/>
          <w:sz w:val="22"/>
          <w:szCs w:val="22"/>
        </w:rPr>
        <w:t>I will begin by defining and comparing coaching and mentoring, supported by relevant literature. Subsequently, the purpose and benefits of coaching and mentoring in the workplace will be critically evaluated. Following this, I will analyze the GROW model as a coaching framework and the Johari Window as a mentoring tool. Finally, I will reflect on my practical experiences and conclude with lessons for future practice.</w:t>
      </w:r>
    </w:p>
    <w:p w14:paraId="3FE62BEB" w14:textId="7293B986" w:rsidR="00126C66" w:rsidRPr="006F5B08" w:rsidRDefault="00126C66" w:rsidP="00126C66">
      <w:pPr>
        <w:pStyle w:val="Heading1"/>
        <w:rPr>
          <w:rFonts w:cs="Arial"/>
          <w:sz w:val="32"/>
          <w:szCs w:val="32"/>
        </w:rPr>
      </w:pPr>
      <w:bookmarkStart w:id="1" w:name="_Toc182588722"/>
      <w:r w:rsidRPr="006F5B08">
        <w:rPr>
          <w:rFonts w:cs="Arial"/>
          <w:sz w:val="32"/>
          <w:szCs w:val="32"/>
        </w:rPr>
        <w:t>Definition and Differences Between Coaching and Mentoring</w:t>
      </w:r>
      <w:bookmarkEnd w:id="1"/>
    </w:p>
    <w:p w14:paraId="4612A0A6" w14:textId="6AE7FA5D" w:rsidR="00126C66" w:rsidRPr="006F5B08" w:rsidRDefault="00126C66" w:rsidP="00126C66">
      <w:pPr>
        <w:pStyle w:val="NormalWeb"/>
        <w:rPr>
          <w:rFonts w:ascii="Arial" w:hAnsi="Arial" w:cs="Arial"/>
          <w:sz w:val="22"/>
          <w:szCs w:val="22"/>
        </w:rPr>
      </w:pPr>
      <w:r w:rsidRPr="006F5B08">
        <w:rPr>
          <w:rFonts w:ascii="Arial" w:hAnsi="Arial" w:cs="Arial"/>
          <w:sz w:val="22"/>
          <w:szCs w:val="22"/>
        </w:rPr>
        <w:t>Definition and Differences Between Coaching and Ment</w:t>
      </w:r>
      <w:r w:rsidRPr="006F5B08">
        <w:rPr>
          <w:rFonts w:ascii="Arial" w:hAnsi="Arial" w:cs="Arial"/>
          <w:sz w:val="22"/>
          <w:szCs w:val="22"/>
        </w:rPr>
        <w:t xml:space="preserve"> </w:t>
      </w:r>
      <w:r w:rsidRPr="006F5B08">
        <w:rPr>
          <w:rFonts w:ascii="Arial" w:hAnsi="Arial" w:cs="Arial"/>
          <w:sz w:val="22"/>
          <w:szCs w:val="22"/>
        </w:rPr>
        <w:t>Coaching and mentoring are complementary yet distinct developmental approaches. Coaching is defined as a structured process aimed at achieving specific objectives, often facilitated through frameworks such as the GROW model (Goal, Reality, Options, Way Forward) (Whitmore, 2009). It focuses on empowering the coachee to explore solutions and take responsibility for their progress. In contrast, mentoring is a relational process where an experienced mentor provides guidance and shares insights to support the mentee’s long-term development (Kram, 1985).</w:t>
      </w:r>
    </w:p>
    <w:p w14:paraId="53A9ED53" w14:textId="77777777" w:rsidR="00126C66" w:rsidRPr="00126C66" w:rsidRDefault="00126C66" w:rsidP="00126C66">
      <w:pPr>
        <w:spacing w:before="100" w:beforeAutospacing="1" w:after="100" w:afterAutospacing="1" w:line="240" w:lineRule="auto"/>
        <w:rPr>
          <w:rFonts w:ascii="Arial" w:eastAsia="Times New Roman" w:hAnsi="Arial" w:cs="Arial"/>
          <w:kern w:val="0"/>
          <w:lang w:eastAsia="en-GB"/>
          <w14:ligatures w14:val="none"/>
        </w:rPr>
      </w:pPr>
      <w:bookmarkStart w:id="2" w:name="_Toc182588723"/>
      <w:r w:rsidRPr="00126C66">
        <w:rPr>
          <w:rStyle w:val="Heading2Char"/>
          <w:rFonts w:ascii="Arial" w:hAnsi="Arial" w:cs="Arial"/>
          <w:sz w:val="22"/>
          <w:szCs w:val="22"/>
          <w:lang w:eastAsia="en-GB"/>
        </w:rPr>
        <w:t>Key Differences</w:t>
      </w:r>
      <w:bookmarkEnd w:id="2"/>
      <w:r w:rsidRPr="00126C66">
        <w:rPr>
          <w:rFonts w:ascii="Arial" w:eastAsia="Times New Roman" w:hAnsi="Arial" w:cs="Arial"/>
          <w:kern w:val="0"/>
          <w:lang w:eastAsia="en-GB"/>
          <w14:ligatures w14:val="none"/>
        </w:rPr>
        <w:t>:</w:t>
      </w:r>
    </w:p>
    <w:p w14:paraId="39026E02" w14:textId="77777777" w:rsidR="00126C66" w:rsidRPr="00126C66" w:rsidRDefault="00126C66" w:rsidP="00126C66">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126C66">
        <w:rPr>
          <w:rFonts w:ascii="Arial" w:eastAsia="Times New Roman" w:hAnsi="Arial" w:cs="Arial"/>
          <w:b/>
          <w:bCs/>
          <w:kern w:val="0"/>
          <w:lang w:eastAsia="en-GB"/>
          <w14:ligatures w14:val="none"/>
        </w:rPr>
        <w:t>Duration</w:t>
      </w:r>
      <w:r w:rsidRPr="00126C66">
        <w:rPr>
          <w:rFonts w:ascii="Arial" w:eastAsia="Times New Roman" w:hAnsi="Arial" w:cs="Arial"/>
          <w:kern w:val="0"/>
          <w:lang w:eastAsia="en-GB"/>
          <w14:ligatures w14:val="none"/>
        </w:rPr>
        <w:t>: Mentoring is typically long-term, spanning months or even years, whereas coaching is short-term, often focused on immediate challenges.</w:t>
      </w:r>
    </w:p>
    <w:p w14:paraId="2D4308F0" w14:textId="77777777" w:rsidR="00126C66" w:rsidRPr="00126C66" w:rsidRDefault="00126C66" w:rsidP="00126C66">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126C66">
        <w:rPr>
          <w:rFonts w:ascii="Arial" w:eastAsia="Times New Roman" w:hAnsi="Arial" w:cs="Arial"/>
          <w:b/>
          <w:bCs/>
          <w:kern w:val="0"/>
          <w:lang w:eastAsia="en-GB"/>
          <w14:ligatures w14:val="none"/>
        </w:rPr>
        <w:t>Structure</w:t>
      </w:r>
      <w:r w:rsidRPr="00126C66">
        <w:rPr>
          <w:rFonts w:ascii="Arial" w:eastAsia="Times New Roman" w:hAnsi="Arial" w:cs="Arial"/>
          <w:kern w:val="0"/>
          <w:lang w:eastAsia="en-GB"/>
          <w14:ligatures w14:val="none"/>
        </w:rPr>
        <w:t>: Coaching follows a structured process, often with formal frameworks. Mentoring is more flexible and informal.</w:t>
      </w:r>
    </w:p>
    <w:p w14:paraId="7FBA9A3A" w14:textId="77777777" w:rsidR="00126C66" w:rsidRPr="00126C66" w:rsidRDefault="00126C66" w:rsidP="00126C66">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126C66">
        <w:rPr>
          <w:rFonts w:ascii="Arial" w:eastAsia="Times New Roman" w:hAnsi="Arial" w:cs="Arial"/>
          <w:b/>
          <w:bCs/>
          <w:kern w:val="0"/>
          <w:lang w:eastAsia="en-GB"/>
          <w14:ligatures w14:val="none"/>
        </w:rPr>
        <w:t>Directive vs. Non-directive</w:t>
      </w:r>
      <w:r w:rsidRPr="00126C66">
        <w:rPr>
          <w:rFonts w:ascii="Arial" w:eastAsia="Times New Roman" w:hAnsi="Arial" w:cs="Arial"/>
          <w:kern w:val="0"/>
          <w:lang w:eastAsia="en-GB"/>
          <w14:ligatures w14:val="none"/>
        </w:rPr>
        <w:t>: Coaching is non-directive, emphasizing the coachee’s autonomy. Mentoring, however, involves more directive input, with mentors sharing expertise to guide the mentee.</w:t>
      </w:r>
    </w:p>
    <w:p w14:paraId="34BBA85E" w14:textId="77777777" w:rsidR="00126C66" w:rsidRPr="00126C66" w:rsidRDefault="00126C66" w:rsidP="00126C66">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126C66">
        <w:rPr>
          <w:rFonts w:ascii="Arial" w:eastAsia="Times New Roman" w:hAnsi="Arial" w:cs="Arial"/>
          <w:b/>
          <w:bCs/>
          <w:kern w:val="0"/>
          <w:lang w:eastAsia="en-GB"/>
          <w14:ligatures w14:val="none"/>
        </w:rPr>
        <w:t>Focus</w:t>
      </w:r>
      <w:r w:rsidRPr="00126C66">
        <w:rPr>
          <w:rFonts w:ascii="Arial" w:eastAsia="Times New Roman" w:hAnsi="Arial" w:cs="Arial"/>
          <w:kern w:val="0"/>
          <w:lang w:eastAsia="en-GB"/>
          <w14:ligatures w14:val="none"/>
        </w:rPr>
        <w:t>: Coaching is performance-driven, addressing specific tasks or skills. Mentoring is development-driven, fostering broader personal and professional growth.</w:t>
      </w:r>
    </w:p>
    <w:p w14:paraId="1E36FD62" w14:textId="77777777" w:rsidR="00126C66" w:rsidRPr="00126C66" w:rsidRDefault="00126C66" w:rsidP="00126C66">
      <w:pPr>
        <w:spacing w:before="100" w:beforeAutospacing="1" w:after="100" w:afterAutospacing="1" w:line="240" w:lineRule="auto"/>
        <w:rPr>
          <w:rFonts w:ascii="Arial" w:eastAsia="Times New Roman" w:hAnsi="Arial" w:cs="Arial"/>
          <w:kern w:val="0"/>
          <w:lang w:eastAsia="en-GB"/>
          <w14:ligatures w14:val="none"/>
        </w:rPr>
      </w:pPr>
      <w:r w:rsidRPr="00126C66">
        <w:rPr>
          <w:rFonts w:ascii="Arial" w:eastAsia="Times New Roman" w:hAnsi="Arial" w:cs="Arial"/>
          <w:kern w:val="0"/>
          <w:lang w:eastAsia="en-GB"/>
          <w14:ligatures w14:val="none"/>
        </w:rPr>
        <w:t>Despite these differences, both approaches share overlapping skills, such as active listening, effective questioning, and fostering trust. Both contribute to employee development, engagement, and retention when implemented effectively in organizations.</w:t>
      </w:r>
    </w:p>
    <w:p w14:paraId="3EA36D45" w14:textId="77777777" w:rsidR="00126C66" w:rsidRPr="006F5B08" w:rsidRDefault="00126C66" w:rsidP="00126C66">
      <w:pPr>
        <w:pStyle w:val="Heading2"/>
        <w:rPr>
          <w:rFonts w:ascii="Arial" w:eastAsia="Times New Roman" w:hAnsi="Arial" w:cs="Arial"/>
          <w:sz w:val="22"/>
          <w:szCs w:val="22"/>
          <w:lang w:eastAsia="en-GB"/>
        </w:rPr>
      </w:pPr>
      <w:bookmarkStart w:id="3" w:name="_Toc182588724"/>
      <w:r w:rsidRPr="006F5B08">
        <w:rPr>
          <w:rFonts w:ascii="Arial" w:eastAsia="Times New Roman" w:hAnsi="Arial" w:cs="Arial"/>
          <w:sz w:val="22"/>
          <w:szCs w:val="22"/>
          <w:lang w:eastAsia="en-GB"/>
        </w:rPr>
        <w:lastRenderedPageBreak/>
        <w:t>Benefits of Coaching and Mentoring:</w:t>
      </w:r>
      <w:bookmarkEnd w:id="3"/>
    </w:p>
    <w:p w14:paraId="1EA3D3A6" w14:textId="77777777" w:rsidR="00126C66" w:rsidRPr="00126C66" w:rsidRDefault="00126C66" w:rsidP="00126C66">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126C66">
        <w:rPr>
          <w:rFonts w:ascii="Arial" w:eastAsia="Times New Roman" w:hAnsi="Arial" w:cs="Arial"/>
          <w:b/>
          <w:bCs/>
          <w:kern w:val="0"/>
          <w:lang w:eastAsia="en-GB"/>
          <w14:ligatures w14:val="none"/>
        </w:rPr>
        <w:t>Learning and Development</w:t>
      </w:r>
      <w:r w:rsidRPr="00126C66">
        <w:rPr>
          <w:rFonts w:ascii="Arial" w:eastAsia="Times New Roman" w:hAnsi="Arial" w:cs="Arial"/>
          <w:kern w:val="0"/>
          <w:lang w:eastAsia="en-GB"/>
          <w14:ligatures w14:val="none"/>
        </w:rPr>
        <w:t>: Both approaches facilitate skill acquisition and self-awareness.</w:t>
      </w:r>
    </w:p>
    <w:p w14:paraId="0DFB4A25" w14:textId="77777777" w:rsidR="00126C66" w:rsidRPr="00126C66" w:rsidRDefault="00126C66" w:rsidP="00126C66">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126C66">
        <w:rPr>
          <w:rFonts w:ascii="Arial" w:eastAsia="Times New Roman" w:hAnsi="Arial" w:cs="Arial"/>
          <w:b/>
          <w:bCs/>
          <w:kern w:val="0"/>
          <w:lang w:eastAsia="en-GB"/>
          <w14:ligatures w14:val="none"/>
        </w:rPr>
        <w:t>Employee Engagement</w:t>
      </w:r>
      <w:r w:rsidRPr="00126C66">
        <w:rPr>
          <w:rFonts w:ascii="Arial" w:eastAsia="Times New Roman" w:hAnsi="Arial" w:cs="Arial"/>
          <w:kern w:val="0"/>
          <w:lang w:eastAsia="en-GB"/>
          <w14:ligatures w14:val="none"/>
        </w:rPr>
        <w:t>: Enhanced job satisfaction and retention are linked to effective coaching and mentoring programs.</w:t>
      </w:r>
    </w:p>
    <w:p w14:paraId="7C5821D0" w14:textId="77777777" w:rsidR="00126C66" w:rsidRPr="00126C66" w:rsidRDefault="00126C66" w:rsidP="00126C66">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126C66">
        <w:rPr>
          <w:rFonts w:ascii="Arial" w:eastAsia="Times New Roman" w:hAnsi="Arial" w:cs="Arial"/>
          <w:b/>
          <w:bCs/>
          <w:kern w:val="0"/>
          <w:lang w:eastAsia="en-GB"/>
          <w14:ligatures w14:val="none"/>
        </w:rPr>
        <w:t>Organizational Performance</w:t>
      </w:r>
      <w:r w:rsidRPr="00126C66">
        <w:rPr>
          <w:rFonts w:ascii="Arial" w:eastAsia="Times New Roman" w:hAnsi="Arial" w:cs="Arial"/>
          <w:kern w:val="0"/>
          <w:lang w:eastAsia="en-GB"/>
          <w14:ligatures w14:val="none"/>
        </w:rPr>
        <w:t>: They improve overall workplace performance by developing talent and fostering a supportive culture.</w:t>
      </w:r>
    </w:p>
    <w:p w14:paraId="5C16277D" w14:textId="77777777" w:rsidR="00126C66" w:rsidRPr="00126C66" w:rsidRDefault="00126C66" w:rsidP="00126C66">
      <w:pPr>
        <w:spacing w:before="100" w:beforeAutospacing="1" w:after="100" w:afterAutospacing="1" w:line="240" w:lineRule="auto"/>
        <w:rPr>
          <w:rFonts w:ascii="Arial" w:eastAsia="Times New Roman" w:hAnsi="Arial" w:cs="Arial"/>
          <w:kern w:val="0"/>
          <w:lang w:eastAsia="en-GB"/>
          <w14:ligatures w14:val="none"/>
        </w:rPr>
      </w:pPr>
      <w:r w:rsidRPr="00126C66">
        <w:rPr>
          <w:rFonts w:ascii="Arial" w:eastAsia="Times New Roman" w:hAnsi="Arial" w:cs="Arial"/>
          <w:kern w:val="0"/>
          <w:lang w:eastAsia="en-GB"/>
          <w14:ligatures w14:val="none"/>
        </w:rPr>
        <w:t>These benefits demonstrate the complementary nature of coaching and mentoring in workplace development initiatives.</w:t>
      </w:r>
    </w:p>
    <w:p w14:paraId="666991DC" w14:textId="77777777" w:rsidR="00126C66" w:rsidRPr="006F5B08" w:rsidRDefault="00126C66" w:rsidP="00126C66">
      <w:pPr>
        <w:rPr>
          <w:rFonts w:ascii="Arial" w:hAnsi="Arial" w:cs="Arial"/>
        </w:rPr>
      </w:pPr>
    </w:p>
    <w:p w14:paraId="62E09F34" w14:textId="253825F7" w:rsidR="00126C66" w:rsidRPr="006F5B08" w:rsidRDefault="00126C66" w:rsidP="00126C66">
      <w:pPr>
        <w:rPr>
          <w:rFonts w:ascii="Arial" w:hAnsi="Arial" w:cs="Arial"/>
        </w:rPr>
      </w:pPr>
    </w:p>
    <w:p w14:paraId="4E296549" w14:textId="3C07922D" w:rsidR="00DE5719" w:rsidRDefault="00DE5719" w:rsidP="00DE5719">
      <w:pPr>
        <w:pStyle w:val="Heading1"/>
        <w:rPr>
          <w:rFonts w:cs="Arial"/>
          <w:sz w:val="32"/>
          <w:szCs w:val="32"/>
        </w:rPr>
      </w:pPr>
      <w:bookmarkStart w:id="4" w:name="_Toc182588725"/>
      <w:r w:rsidRPr="006F5B08">
        <w:rPr>
          <w:rFonts w:cs="Arial"/>
          <w:sz w:val="32"/>
          <w:szCs w:val="32"/>
        </w:rPr>
        <w:t>Critical evaluation of the Purpose of Coaching and Mentoring withn a Workplace</w:t>
      </w:r>
      <w:bookmarkEnd w:id="4"/>
    </w:p>
    <w:p w14:paraId="7AF5150B" w14:textId="77777777" w:rsidR="00237641" w:rsidRDefault="00237641" w:rsidP="00237641">
      <w:pPr>
        <w:pStyle w:val="NormalWeb"/>
      </w:pPr>
      <w:r>
        <w:t>Coaching and mentoring serve distinct yet complementary purposes in the workplace. Coaching focuses on performance enhancement and achieving specific objectives, making it ideal for addressing skill gaps and leadership development (Whitmore, 2009). In contrast, mentoring emphasizes personal and professional growth, fostering long-term development and career progression (Kram, 1985).</w:t>
      </w:r>
    </w:p>
    <w:p w14:paraId="27354614" w14:textId="77777777" w:rsidR="00237641" w:rsidRDefault="00237641" w:rsidP="00237641">
      <w:pPr>
        <w:pStyle w:val="NormalWeb"/>
      </w:pPr>
      <w:r>
        <w:t>In leadership training, coaching enhances decision-making and problem-solving skills, while mentoring nurtures a pipeline of future leaders by imparting organizational knowledge. Both approaches contribute to a positive workplace culture, improving employee engagement, retention, and productivity.</w:t>
      </w:r>
    </w:p>
    <w:p w14:paraId="66A0CCF2" w14:textId="77777777" w:rsidR="00237641" w:rsidRPr="00237641" w:rsidRDefault="00237641" w:rsidP="00237641">
      <w:pPr>
        <w:rPr>
          <w:rFonts w:ascii="Arial" w:hAnsi="Arial" w:cs="Arial"/>
        </w:rPr>
      </w:pPr>
    </w:p>
    <w:p w14:paraId="65E21AD6" w14:textId="3DC38E35" w:rsidR="006F5B08" w:rsidRPr="006F5B08" w:rsidRDefault="006F5B08" w:rsidP="006F5B08">
      <w:pPr>
        <w:pStyle w:val="Heading2"/>
        <w:rPr>
          <w:rFonts w:ascii="Arial" w:hAnsi="Arial" w:cs="Arial"/>
          <w:sz w:val="22"/>
          <w:szCs w:val="22"/>
        </w:rPr>
      </w:pPr>
      <w:bookmarkStart w:id="5" w:name="_Toc182588726"/>
      <w:r w:rsidRPr="006F5B08">
        <w:rPr>
          <w:rFonts w:ascii="Arial" w:hAnsi="Arial" w:cs="Arial"/>
          <w:sz w:val="22"/>
          <w:szCs w:val="22"/>
        </w:rPr>
        <w:t>Critical Analysis of Coaching Model: GROW</w:t>
      </w:r>
      <w:bookmarkEnd w:id="5"/>
    </w:p>
    <w:p w14:paraId="72F174E3" w14:textId="77777777" w:rsidR="006F5B08" w:rsidRPr="006F5B08" w:rsidRDefault="006F5B08" w:rsidP="006F5B08">
      <w:p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 xml:space="preserve">The </w:t>
      </w:r>
      <w:r w:rsidRPr="006F5B08">
        <w:rPr>
          <w:rFonts w:ascii="Arial" w:eastAsia="Times New Roman" w:hAnsi="Arial" w:cs="Arial"/>
          <w:b/>
          <w:bCs/>
          <w:kern w:val="0"/>
          <w:lang w:eastAsia="en-GB"/>
          <w14:ligatures w14:val="none"/>
        </w:rPr>
        <w:t>GROW model</w:t>
      </w:r>
      <w:r w:rsidRPr="006F5B08">
        <w:rPr>
          <w:rFonts w:ascii="Arial" w:eastAsia="Times New Roman" w:hAnsi="Arial" w:cs="Arial"/>
          <w:kern w:val="0"/>
          <w:lang w:eastAsia="en-GB"/>
          <w14:ligatures w14:val="none"/>
        </w:rPr>
        <w:t>, developed by Sir John Whitmore, is a popular coaching framework designed to guide structured and goal-oriented conversations. It consists of four stages:</w:t>
      </w:r>
    </w:p>
    <w:p w14:paraId="341E199C" w14:textId="77777777" w:rsidR="006F5B08" w:rsidRPr="006F5B08" w:rsidRDefault="006F5B08" w:rsidP="006F5B08">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Goal</w:t>
      </w:r>
      <w:r w:rsidRPr="006F5B08">
        <w:rPr>
          <w:rFonts w:ascii="Arial" w:eastAsia="Times New Roman" w:hAnsi="Arial" w:cs="Arial"/>
          <w:kern w:val="0"/>
          <w:lang w:eastAsia="en-GB"/>
          <w14:ligatures w14:val="none"/>
        </w:rPr>
        <w:t>: Identifying the desired outcome.</w:t>
      </w:r>
    </w:p>
    <w:p w14:paraId="01C933F1" w14:textId="77777777" w:rsidR="006F5B08" w:rsidRPr="006F5B08" w:rsidRDefault="006F5B08" w:rsidP="006F5B08">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Reality</w:t>
      </w:r>
      <w:r w:rsidRPr="006F5B08">
        <w:rPr>
          <w:rFonts w:ascii="Arial" w:eastAsia="Times New Roman" w:hAnsi="Arial" w:cs="Arial"/>
          <w:kern w:val="0"/>
          <w:lang w:eastAsia="en-GB"/>
          <w14:ligatures w14:val="none"/>
        </w:rPr>
        <w:t>: Understanding the current situation and challenges.</w:t>
      </w:r>
    </w:p>
    <w:p w14:paraId="1EDA55DB" w14:textId="77777777" w:rsidR="006F5B08" w:rsidRPr="006F5B08" w:rsidRDefault="006F5B08" w:rsidP="006F5B08">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Options</w:t>
      </w:r>
      <w:r w:rsidRPr="006F5B08">
        <w:rPr>
          <w:rFonts w:ascii="Arial" w:eastAsia="Times New Roman" w:hAnsi="Arial" w:cs="Arial"/>
          <w:kern w:val="0"/>
          <w:lang w:eastAsia="en-GB"/>
          <w14:ligatures w14:val="none"/>
        </w:rPr>
        <w:t>: Exploring potential strategies and solutions.</w:t>
      </w:r>
    </w:p>
    <w:p w14:paraId="391C79F8" w14:textId="77777777" w:rsidR="006F5B08" w:rsidRPr="006F5B08" w:rsidRDefault="006F5B08" w:rsidP="006F5B08">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Way Forward</w:t>
      </w:r>
      <w:r w:rsidRPr="006F5B08">
        <w:rPr>
          <w:rFonts w:ascii="Arial" w:eastAsia="Times New Roman" w:hAnsi="Arial" w:cs="Arial"/>
          <w:kern w:val="0"/>
          <w:lang w:eastAsia="en-GB"/>
          <w14:ligatures w14:val="none"/>
        </w:rPr>
        <w:t>: Defining actionable steps to achieve the goal.</w:t>
      </w:r>
    </w:p>
    <w:p w14:paraId="147FED8C" w14:textId="77777777" w:rsidR="006F5B08" w:rsidRPr="006F5B08" w:rsidRDefault="006F5B08" w:rsidP="006F5B08">
      <w:p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Advantages</w:t>
      </w:r>
      <w:r w:rsidRPr="006F5B08">
        <w:rPr>
          <w:rFonts w:ascii="Arial" w:eastAsia="Times New Roman" w:hAnsi="Arial" w:cs="Arial"/>
          <w:kern w:val="0"/>
          <w:lang w:eastAsia="en-GB"/>
          <w14:ligatures w14:val="none"/>
        </w:rPr>
        <w:t>:</w:t>
      </w:r>
    </w:p>
    <w:p w14:paraId="0AC8CE28" w14:textId="77777777" w:rsidR="006F5B08" w:rsidRPr="006F5B08" w:rsidRDefault="006F5B08" w:rsidP="006F5B08">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The model is simple and adaptable across various contexts, making it accessible to coaches and coachees alike.</w:t>
      </w:r>
    </w:p>
    <w:p w14:paraId="54999425" w14:textId="77777777" w:rsidR="006F5B08" w:rsidRPr="006F5B08" w:rsidRDefault="006F5B08" w:rsidP="006F5B08">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It fosters accountability and encourages the coachee to take ownership of their goals.</w:t>
      </w:r>
    </w:p>
    <w:p w14:paraId="22D53173" w14:textId="77777777" w:rsidR="006F5B08" w:rsidRPr="006F5B08" w:rsidRDefault="006F5B08" w:rsidP="006F5B08">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Its structured approach aligns with workplace performance and skill development needs.</w:t>
      </w:r>
    </w:p>
    <w:p w14:paraId="67D6D2BB" w14:textId="77777777" w:rsidR="006F5B08" w:rsidRPr="006F5B08" w:rsidRDefault="006F5B08" w:rsidP="006F5B08">
      <w:p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Disadvantages</w:t>
      </w:r>
      <w:r w:rsidRPr="006F5B08">
        <w:rPr>
          <w:rFonts w:ascii="Arial" w:eastAsia="Times New Roman" w:hAnsi="Arial" w:cs="Arial"/>
          <w:kern w:val="0"/>
          <w:lang w:eastAsia="en-GB"/>
          <w14:ligatures w14:val="none"/>
        </w:rPr>
        <w:t>:</w:t>
      </w:r>
    </w:p>
    <w:p w14:paraId="375F347D" w14:textId="77777777" w:rsidR="006F5B08" w:rsidRPr="006F5B08" w:rsidRDefault="006F5B08" w:rsidP="006F5B08">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lastRenderedPageBreak/>
        <w:t>Over-reliance on structure may limit creativity or deeper exploration of underlying issues.</w:t>
      </w:r>
    </w:p>
    <w:p w14:paraId="5A6D701B" w14:textId="77777777" w:rsidR="006F5B08" w:rsidRPr="006F5B08" w:rsidRDefault="006F5B08" w:rsidP="006F5B08">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It requires the coach to possess strong facilitation skills to ask meaningful, open-ended questions.</w:t>
      </w:r>
    </w:p>
    <w:p w14:paraId="3372ADB3" w14:textId="77777777" w:rsidR="006F5B08" w:rsidRPr="006F5B08" w:rsidRDefault="006F5B08" w:rsidP="006F5B08">
      <w:p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In practice, the GROW model is highly effective for performance appraisals and leadership coaching, where clear goals are paramount. For example, in one of my sessions, the GROW model helped a coachee identify obstacles in completing a project and create actionable solutions.</w:t>
      </w:r>
    </w:p>
    <w:p w14:paraId="5A990ADE" w14:textId="77777777" w:rsidR="006F5B08" w:rsidRPr="006F5B08" w:rsidRDefault="006F5B08" w:rsidP="006F5B08">
      <w:pPr>
        <w:rPr>
          <w:rFonts w:ascii="Arial" w:hAnsi="Arial" w:cs="Arial"/>
        </w:rPr>
      </w:pPr>
    </w:p>
    <w:p w14:paraId="0EAF3EF8" w14:textId="3697D399" w:rsidR="006F5B08" w:rsidRPr="006F5B08" w:rsidRDefault="006F5B08" w:rsidP="006F5B08">
      <w:pPr>
        <w:pStyle w:val="Heading2"/>
        <w:rPr>
          <w:rFonts w:ascii="Arial" w:hAnsi="Arial" w:cs="Arial"/>
          <w:sz w:val="22"/>
          <w:szCs w:val="22"/>
        </w:rPr>
      </w:pPr>
      <w:bookmarkStart w:id="6" w:name="_Toc182588727"/>
      <w:r w:rsidRPr="006F5B08">
        <w:rPr>
          <w:rFonts w:ascii="Arial" w:hAnsi="Arial" w:cs="Arial"/>
          <w:sz w:val="22"/>
          <w:szCs w:val="22"/>
        </w:rPr>
        <w:t>Critical Analysis of Mentoring Model: Johari Window</w:t>
      </w:r>
      <w:bookmarkEnd w:id="6"/>
    </w:p>
    <w:p w14:paraId="3C9D5D3B" w14:textId="77777777" w:rsidR="006F5B08" w:rsidRPr="006F5B08" w:rsidRDefault="006F5B08" w:rsidP="006F5B08">
      <w:p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 xml:space="preserve">The </w:t>
      </w:r>
      <w:r w:rsidRPr="006F5B08">
        <w:rPr>
          <w:rFonts w:ascii="Arial" w:eastAsia="Times New Roman" w:hAnsi="Arial" w:cs="Arial"/>
          <w:b/>
          <w:bCs/>
          <w:kern w:val="0"/>
          <w:lang w:eastAsia="en-GB"/>
          <w14:ligatures w14:val="none"/>
        </w:rPr>
        <w:t>Johari Window</w:t>
      </w:r>
      <w:r w:rsidRPr="006F5B08">
        <w:rPr>
          <w:rFonts w:ascii="Arial" w:eastAsia="Times New Roman" w:hAnsi="Arial" w:cs="Arial"/>
          <w:kern w:val="0"/>
          <w:lang w:eastAsia="en-GB"/>
          <w14:ligatures w14:val="none"/>
        </w:rPr>
        <w:t>, created by Luft and Ingham (1955), is a tool for enhancing self-awareness and communication in mentoring relationships. It divides self-awareness into four quadrants:</w:t>
      </w:r>
    </w:p>
    <w:p w14:paraId="7C0E7FF7" w14:textId="77777777" w:rsidR="006F5B08" w:rsidRPr="006F5B08" w:rsidRDefault="006F5B08" w:rsidP="006F5B08">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Open Area</w:t>
      </w:r>
      <w:r w:rsidRPr="006F5B08">
        <w:rPr>
          <w:rFonts w:ascii="Arial" w:eastAsia="Times New Roman" w:hAnsi="Arial" w:cs="Arial"/>
          <w:kern w:val="0"/>
          <w:lang w:eastAsia="en-GB"/>
          <w14:ligatures w14:val="none"/>
        </w:rPr>
        <w:t>: Information known to both the individual and others.</w:t>
      </w:r>
    </w:p>
    <w:p w14:paraId="53501746" w14:textId="77777777" w:rsidR="006F5B08" w:rsidRPr="006F5B08" w:rsidRDefault="006F5B08" w:rsidP="006F5B08">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Hidden Area</w:t>
      </w:r>
      <w:r w:rsidRPr="006F5B08">
        <w:rPr>
          <w:rFonts w:ascii="Arial" w:eastAsia="Times New Roman" w:hAnsi="Arial" w:cs="Arial"/>
          <w:kern w:val="0"/>
          <w:lang w:eastAsia="en-GB"/>
          <w14:ligatures w14:val="none"/>
        </w:rPr>
        <w:t>: Information known to the individual but hidden from others.</w:t>
      </w:r>
    </w:p>
    <w:p w14:paraId="4299ABAD" w14:textId="77777777" w:rsidR="006F5B08" w:rsidRPr="006F5B08" w:rsidRDefault="006F5B08" w:rsidP="006F5B08">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Blind Area</w:t>
      </w:r>
      <w:r w:rsidRPr="006F5B08">
        <w:rPr>
          <w:rFonts w:ascii="Arial" w:eastAsia="Times New Roman" w:hAnsi="Arial" w:cs="Arial"/>
          <w:kern w:val="0"/>
          <w:lang w:eastAsia="en-GB"/>
          <w14:ligatures w14:val="none"/>
        </w:rPr>
        <w:t>: Information unknown to the individual but evident to others.</w:t>
      </w:r>
    </w:p>
    <w:p w14:paraId="1C5BDE1F" w14:textId="77777777" w:rsidR="006F5B08" w:rsidRPr="006F5B08" w:rsidRDefault="006F5B08" w:rsidP="006F5B08">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Unknown Area</w:t>
      </w:r>
      <w:r w:rsidRPr="006F5B08">
        <w:rPr>
          <w:rFonts w:ascii="Arial" w:eastAsia="Times New Roman" w:hAnsi="Arial" w:cs="Arial"/>
          <w:kern w:val="0"/>
          <w:lang w:eastAsia="en-GB"/>
          <w14:ligatures w14:val="none"/>
        </w:rPr>
        <w:t>: Information unknown to both the individual and others.</w:t>
      </w:r>
    </w:p>
    <w:p w14:paraId="0B650FAD" w14:textId="77777777" w:rsidR="006F5B08" w:rsidRPr="006F5B08" w:rsidRDefault="006F5B08" w:rsidP="006F5B08">
      <w:p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Advantages</w:t>
      </w:r>
      <w:r w:rsidRPr="006F5B08">
        <w:rPr>
          <w:rFonts w:ascii="Arial" w:eastAsia="Times New Roman" w:hAnsi="Arial" w:cs="Arial"/>
          <w:kern w:val="0"/>
          <w:lang w:eastAsia="en-GB"/>
          <w14:ligatures w14:val="none"/>
        </w:rPr>
        <w:t>:</w:t>
      </w:r>
    </w:p>
    <w:p w14:paraId="3F170D1B" w14:textId="77777777" w:rsidR="006F5B08" w:rsidRPr="006F5B08" w:rsidRDefault="006F5B08" w:rsidP="006F5B08">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Encourages open communication and trust between mentor and mentee.</w:t>
      </w:r>
    </w:p>
    <w:p w14:paraId="725E938E" w14:textId="77777777" w:rsidR="006F5B08" w:rsidRPr="006F5B08" w:rsidRDefault="006F5B08" w:rsidP="006F5B08">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Facilitates feedback and personal development by identifying blind spots.</w:t>
      </w:r>
    </w:p>
    <w:p w14:paraId="314FAB1E" w14:textId="77777777" w:rsidR="006F5B08" w:rsidRPr="006F5B08" w:rsidRDefault="006F5B08" w:rsidP="006F5B08">
      <w:p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b/>
          <w:bCs/>
          <w:kern w:val="0"/>
          <w:lang w:eastAsia="en-GB"/>
          <w14:ligatures w14:val="none"/>
        </w:rPr>
        <w:t>Disadvantages</w:t>
      </w:r>
      <w:r w:rsidRPr="006F5B08">
        <w:rPr>
          <w:rFonts w:ascii="Arial" w:eastAsia="Times New Roman" w:hAnsi="Arial" w:cs="Arial"/>
          <w:kern w:val="0"/>
          <w:lang w:eastAsia="en-GB"/>
          <w14:ligatures w14:val="none"/>
        </w:rPr>
        <w:t>:</w:t>
      </w:r>
    </w:p>
    <w:p w14:paraId="5864738A" w14:textId="77777777" w:rsidR="006F5B08" w:rsidRPr="006F5B08" w:rsidRDefault="006F5B08" w:rsidP="006F5B08">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Its abstract nature may require additional tools or explanations for practical application.</w:t>
      </w:r>
    </w:p>
    <w:p w14:paraId="20B16694" w14:textId="77777777" w:rsidR="006F5B08" w:rsidRPr="006F5B08" w:rsidRDefault="006F5B08" w:rsidP="006F5B08">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It depends heavily on the mentee’s willingness to disclose and receive feedback.</w:t>
      </w:r>
    </w:p>
    <w:p w14:paraId="50B8EF64" w14:textId="77777777" w:rsidR="006F5B08" w:rsidRPr="006F5B08" w:rsidRDefault="006F5B08" w:rsidP="006F5B08">
      <w:pPr>
        <w:spacing w:before="100" w:beforeAutospacing="1" w:after="100" w:afterAutospacing="1" w:line="240" w:lineRule="auto"/>
        <w:rPr>
          <w:rFonts w:ascii="Arial" w:eastAsia="Times New Roman" w:hAnsi="Arial" w:cs="Arial"/>
          <w:kern w:val="0"/>
          <w:lang w:eastAsia="en-GB"/>
          <w14:ligatures w14:val="none"/>
        </w:rPr>
      </w:pPr>
      <w:r w:rsidRPr="006F5B08">
        <w:rPr>
          <w:rFonts w:ascii="Arial" w:eastAsia="Times New Roman" w:hAnsi="Arial" w:cs="Arial"/>
          <w:kern w:val="0"/>
          <w:lang w:eastAsia="en-GB"/>
          <w14:ligatures w14:val="none"/>
        </w:rPr>
        <w:t>In my mentoring session, the Johari Window helped a mentee recognize their blind spots in communication and encouraged open feedback to address challenges. This enhanced their confidence and performance in team interactions.</w:t>
      </w:r>
    </w:p>
    <w:p w14:paraId="48526CA7" w14:textId="20164A97" w:rsidR="006F5B08" w:rsidRDefault="00237641" w:rsidP="00237641">
      <w:pPr>
        <w:pStyle w:val="Heading1"/>
        <w:rPr>
          <w:sz w:val="32"/>
          <w:szCs w:val="32"/>
        </w:rPr>
      </w:pPr>
      <w:bookmarkStart w:id="7" w:name="_Toc182588728"/>
      <w:r w:rsidRPr="00237641">
        <w:rPr>
          <w:sz w:val="32"/>
          <w:szCs w:val="32"/>
        </w:rPr>
        <w:t>Reflection on Practical Experiences</w:t>
      </w:r>
      <w:bookmarkEnd w:id="7"/>
    </w:p>
    <w:p w14:paraId="0B7DEF30" w14:textId="77777777" w:rsidR="00237641" w:rsidRPr="00237641" w:rsidRDefault="00237641" w:rsidP="00237641">
      <w:pPr>
        <w:pStyle w:val="Heading2"/>
        <w:rPr>
          <w:rFonts w:ascii="Arial" w:eastAsia="Times New Roman" w:hAnsi="Arial" w:cs="Arial"/>
          <w:sz w:val="22"/>
          <w:szCs w:val="22"/>
          <w:lang w:eastAsia="en-GB"/>
        </w:rPr>
      </w:pPr>
      <w:bookmarkStart w:id="8" w:name="_Toc182588729"/>
      <w:r w:rsidRPr="00237641">
        <w:rPr>
          <w:rFonts w:ascii="Arial" w:eastAsia="Times New Roman" w:hAnsi="Arial" w:cs="Arial"/>
          <w:sz w:val="22"/>
          <w:szCs w:val="22"/>
          <w:lang w:eastAsia="en-GB"/>
        </w:rPr>
        <w:t>Reflection on Practical 1: Coaching Using the GROW Model</w:t>
      </w:r>
      <w:bookmarkEnd w:id="8"/>
    </w:p>
    <w:p w14:paraId="794DAC85" w14:textId="77777777" w:rsidR="00237641" w:rsidRPr="00237641" w:rsidRDefault="00237641" w:rsidP="00237641">
      <w:pPr>
        <w:spacing w:before="100" w:beforeAutospacing="1" w:after="100" w:afterAutospacing="1" w:line="240" w:lineRule="auto"/>
        <w:rPr>
          <w:rFonts w:ascii="Arial" w:eastAsia="Times New Roman" w:hAnsi="Arial" w:cs="Arial"/>
          <w:kern w:val="0"/>
          <w:lang w:eastAsia="en-GB"/>
          <w14:ligatures w14:val="none"/>
        </w:rPr>
      </w:pPr>
      <w:r w:rsidRPr="00237641">
        <w:rPr>
          <w:rFonts w:ascii="Arial" w:eastAsia="Times New Roman" w:hAnsi="Arial" w:cs="Arial"/>
          <w:kern w:val="0"/>
          <w:lang w:eastAsia="en-GB"/>
          <w14:ligatures w14:val="none"/>
        </w:rPr>
        <w:t>Using Gibbs’ Reflective Cycle, I reflected on my first coaching session:</w:t>
      </w:r>
    </w:p>
    <w:p w14:paraId="33E07157" w14:textId="77777777" w:rsidR="00237641" w:rsidRPr="00237641" w:rsidRDefault="00237641" w:rsidP="00237641">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237641">
        <w:rPr>
          <w:rFonts w:ascii="Arial" w:eastAsia="Times New Roman" w:hAnsi="Arial" w:cs="Arial"/>
          <w:b/>
          <w:bCs/>
          <w:kern w:val="0"/>
          <w:lang w:eastAsia="en-GB"/>
          <w14:ligatures w14:val="none"/>
        </w:rPr>
        <w:t>Description</w:t>
      </w:r>
      <w:r w:rsidRPr="00237641">
        <w:rPr>
          <w:rFonts w:ascii="Arial" w:eastAsia="Times New Roman" w:hAnsi="Arial" w:cs="Arial"/>
          <w:kern w:val="0"/>
          <w:lang w:eastAsia="en-GB"/>
          <w14:ligatures w14:val="none"/>
        </w:rPr>
        <w:t>: The session aimed to help a coachee identify obstacles in meeting project deadlines.</w:t>
      </w:r>
    </w:p>
    <w:p w14:paraId="4468D65F" w14:textId="77777777" w:rsidR="00237641" w:rsidRPr="00237641" w:rsidRDefault="00237641" w:rsidP="00237641">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237641">
        <w:rPr>
          <w:rFonts w:ascii="Arial" w:eastAsia="Times New Roman" w:hAnsi="Arial" w:cs="Arial"/>
          <w:b/>
          <w:bCs/>
          <w:kern w:val="0"/>
          <w:lang w:eastAsia="en-GB"/>
          <w14:ligatures w14:val="none"/>
        </w:rPr>
        <w:t>Feelings</w:t>
      </w:r>
      <w:r w:rsidRPr="00237641">
        <w:rPr>
          <w:rFonts w:ascii="Arial" w:eastAsia="Times New Roman" w:hAnsi="Arial" w:cs="Arial"/>
          <w:kern w:val="0"/>
          <w:lang w:eastAsia="en-GB"/>
          <w14:ligatures w14:val="none"/>
        </w:rPr>
        <w:t>: Initially, I felt nervous but confident in the structure provided by the GROW model.</w:t>
      </w:r>
    </w:p>
    <w:p w14:paraId="04F4C418" w14:textId="77777777" w:rsidR="00237641" w:rsidRPr="00237641" w:rsidRDefault="00237641" w:rsidP="00237641">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237641">
        <w:rPr>
          <w:rFonts w:ascii="Arial" w:eastAsia="Times New Roman" w:hAnsi="Arial" w:cs="Arial"/>
          <w:b/>
          <w:bCs/>
          <w:kern w:val="0"/>
          <w:lang w:eastAsia="en-GB"/>
          <w14:ligatures w14:val="none"/>
        </w:rPr>
        <w:t>Evaluation</w:t>
      </w:r>
      <w:r w:rsidRPr="00237641">
        <w:rPr>
          <w:rFonts w:ascii="Arial" w:eastAsia="Times New Roman" w:hAnsi="Arial" w:cs="Arial"/>
          <w:kern w:val="0"/>
          <w:lang w:eastAsia="en-GB"/>
          <w14:ligatures w14:val="none"/>
        </w:rPr>
        <w:t>: The structured questions helped the coachee clarify their goals and identify actionable solutions. However, I realized I needed to improve my active listening skills.</w:t>
      </w:r>
    </w:p>
    <w:p w14:paraId="3D138E6E" w14:textId="77777777" w:rsidR="00237641" w:rsidRPr="00237641" w:rsidRDefault="00237641" w:rsidP="00237641">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237641">
        <w:rPr>
          <w:rFonts w:ascii="Arial" w:eastAsia="Times New Roman" w:hAnsi="Arial" w:cs="Arial"/>
          <w:b/>
          <w:bCs/>
          <w:kern w:val="0"/>
          <w:lang w:eastAsia="en-GB"/>
          <w14:ligatures w14:val="none"/>
        </w:rPr>
        <w:t>Analysis</w:t>
      </w:r>
      <w:r w:rsidRPr="00237641">
        <w:rPr>
          <w:rFonts w:ascii="Arial" w:eastAsia="Times New Roman" w:hAnsi="Arial" w:cs="Arial"/>
          <w:kern w:val="0"/>
          <w:lang w:eastAsia="en-GB"/>
          <w14:ligatures w14:val="none"/>
        </w:rPr>
        <w:t>: The GROW model’s structure was effective, but I could explore deeper emotional barriers in future sessions.</w:t>
      </w:r>
    </w:p>
    <w:p w14:paraId="324BF744" w14:textId="77777777" w:rsidR="00237641" w:rsidRPr="00237641" w:rsidRDefault="00237641" w:rsidP="00237641">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237641">
        <w:rPr>
          <w:rFonts w:ascii="Arial" w:eastAsia="Times New Roman" w:hAnsi="Arial" w:cs="Arial"/>
          <w:b/>
          <w:bCs/>
          <w:kern w:val="0"/>
          <w:lang w:eastAsia="en-GB"/>
          <w14:ligatures w14:val="none"/>
        </w:rPr>
        <w:lastRenderedPageBreak/>
        <w:t>Action Plan</w:t>
      </w:r>
      <w:r w:rsidRPr="00237641">
        <w:rPr>
          <w:rFonts w:ascii="Arial" w:eastAsia="Times New Roman" w:hAnsi="Arial" w:cs="Arial"/>
          <w:kern w:val="0"/>
          <w:lang w:eastAsia="en-GB"/>
          <w14:ligatures w14:val="none"/>
        </w:rPr>
        <w:t>: I plan to develop stronger facilitation skills and incorporate follow-up strategies.</w:t>
      </w:r>
    </w:p>
    <w:p w14:paraId="2759B55C" w14:textId="77777777" w:rsidR="00237641" w:rsidRPr="00237641" w:rsidRDefault="00237641" w:rsidP="00237641">
      <w:pPr>
        <w:pStyle w:val="Heading2"/>
        <w:rPr>
          <w:rFonts w:ascii="Arial" w:eastAsia="Times New Roman" w:hAnsi="Arial" w:cs="Arial"/>
          <w:sz w:val="22"/>
          <w:szCs w:val="22"/>
          <w:lang w:eastAsia="en-GB"/>
        </w:rPr>
      </w:pPr>
      <w:bookmarkStart w:id="9" w:name="_Toc182588730"/>
      <w:r w:rsidRPr="00237641">
        <w:rPr>
          <w:rFonts w:ascii="Arial" w:eastAsia="Times New Roman" w:hAnsi="Arial" w:cs="Arial"/>
          <w:sz w:val="22"/>
          <w:szCs w:val="22"/>
          <w:lang w:eastAsia="en-GB"/>
        </w:rPr>
        <w:t>Reflection on Practical 2: Mentoring Using the Johari Window</w:t>
      </w:r>
      <w:bookmarkEnd w:id="9"/>
    </w:p>
    <w:p w14:paraId="378F531A" w14:textId="77777777" w:rsidR="00237641" w:rsidRPr="00237641" w:rsidRDefault="00237641" w:rsidP="00237641">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237641">
        <w:rPr>
          <w:rFonts w:ascii="Arial" w:eastAsia="Times New Roman" w:hAnsi="Arial" w:cs="Arial"/>
          <w:b/>
          <w:bCs/>
          <w:kern w:val="0"/>
          <w:lang w:eastAsia="en-GB"/>
          <w14:ligatures w14:val="none"/>
        </w:rPr>
        <w:t>Description</w:t>
      </w:r>
      <w:r w:rsidRPr="00237641">
        <w:rPr>
          <w:rFonts w:ascii="Arial" w:eastAsia="Times New Roman" w:hAnsi="Arial" w:cs="Arial"/>
          <w:kern w:val="0"/>
          <w:lang w:eastAsia="en-GB"/>
          <w14:ligatures w14:val="none"/>
        </w:rPr>
        <w:t>: I guided a mentee in identifying communication challenges using the Johari Window.</w:t>
      </w:r>
    </w:p>
    <w:p w14:paraId="1073EDA1" w14:textId="77777777" w:rsidR="00237641" w:rsidRPr="00237641" w:rsidRDefault="00237641" w:rsidP="00237641">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237641">
        <w:rPr>
          <w:rFonts w:ascii="Arial" w:eastAsia="Times New Roman" w:hAnsi="Arial" w:cs="Arial"/>
          <w:b/>
          <w:bCs/>
          <w:kern w:val="0"/>
          <w:lang w:eastAsia="en-GB"/>
          <w14:ligatures w14:val="none"/>
        </w:rPr>
        <w:t>Feelings</w:t>
      </w:r>
      <w:r w:rsidRPr="00237641">
        <w:rPr>
          <w:rFonts w:ascii="Arial" w:eastAsia="Times New Roman" w:hAnsi="Arial" w:cs="Arial"/>
          <w:kern w:val="0"/>
          <w:lang w:eastAsia="en-GB"/>
          <w14:ligatures w14:val="none"/>
        </w:rPr>
        <w:t>: I felt more confident in this session due to prior feedback.</w:t>
      </w:r>
    </w:p>
    <w:p w14:paraId="4A700384" w14:textId="77777777" w:rsidR="00237641" w:rsidRPr="00237641" w:rsidRDefault="00237641" w:rsidP="00237641">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237641">
        <w:rPr>
          <w:rFonts w:ascii="Arial" w:eastAsia="Times New Roman" w:hAnsi="Arial" w:cs="Arial"/>
          <w:b/>
          <w:bCs/>
          <w:kern w:val="0"/>
          <w:lang w:eastAsia="en-GB"/>
          <w14:ligatures w14:val="none"/>
        </w:rPr>
        <w:t>Evaluation</w:t>
      </w:r>
      <w:r w:rsidRPr="00237641">
        <w:rPr>
          <w:rFonts w:ascii="Arial" w:eastAsia="Times New Roman" w:hAnsi="Arial" w:cs="Arial"/>
          <w:kern w:val="0"/>
          <w:lang w:eastAsia="en-GB"/>
          <w14:ligatures w14:val="none"/>
        </w:rPr>
        <w:t>: The tool helped foster openness and trust, though the mentee was initially hesitant to share their hidden areas.</w:t>
      </w:r>
    </w:p>
    <w:p w14:paraId="4643CA7A" w14:textId="77777777" w:rsidR="00237641" w:rsidRPr="00237641" w:rsidRDefault="00237641" w:rsidP="00237641">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237641">
        <w:rPr>
          <w:rFonts w:ascii="Arial" w:eastAsia="Times New Roman" w:hAnsi="Arial" w:cs="Arial"/>
          <w:b/>
          <w:bCs/>
          <w:kern w:val="0"/>
          <w:lang w:eastAsia="en-GB"/>
          <w14:ligatures w14:val="none"/>
        </w:rPr>
        <w:t>Analysis</w:t>
      </w:r>
      <w:r w:rsidRPr="00237641">
        <w:rPr>
          <w:rFonts w:ascii="Arial" w:eastAsia="Times New Roman" w:hAnsi="Arial" w:cs="Arial"/>
          <w:kern w:val="0"/>
          <w:lang w:eastAsia="en-GB"/>
          <w14:ligatures w14:val="none"/>
        </w:rPr>
        <w:t>: Trust-building was key, and I realized the importance of creating a safe environment.</w:t>
      </w:r>
    </w:p>
    <w:p w14:paraId="31BB76E6" w14:textId="77777777" w:rsidR="00237641" w:rsidRPr="00237641" w:rsidRDefault="00237641" w:rsidP="00237641">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237641">
        <w:rPr>
          <w:rFonts w:ascii="Arial" w:eastAsia="Times New Roman" w:hAnsi="Arial" w:cs="Arial"/>
          <w:b/>
          <w:bCs/>
          <w:kern w:val="0"/>
          <w:lang w:eastAsia="en-GB"/>
          <w14:ligatures w14:val="none"/>
        </w:rPr>
        <w:t>Action Plan</w:t>
      </w:r>
      <w:r w:rsidRPr="00237641">
        <w:rPr>
          <w:rFonts w:ascii="Arial" w:eastAsia="Times New Roman" w:hAnsi="Arial" w:cs="Arial"/>
          <w:kern w:val="0"/>
          <w:lang w:eastAsia="en-GB"/>
          <w14:ligatures w14:val="none"/>
        </w:rPr>
        <w:t>: I aim to incorporate more ice-breaking activities to facilitate trust in future mentoring sessions.</w:t>
      </w:r>
    </w:p>
    <w:p w14:paraId="05579E50" w14:textId="77777777" w:rsidR="00237641" w:rsidRPr="00237641" w:rsidRDefault="00237641" w:rsidP="00237641"/>
    <w:p w14:paraId="00C9B55A" w14:textId="2A8EEB5E" w:rsidR="006F5B08" w:rsidRDefault="006F5B08" w:rsidP="006F5B08">
      <w:pPr>
        <w:pStyle w:val="Heading1"/>
        <w:rPr>
          <w:rFonts w:cs="Arial"/>
          <w:sz w:val="32"/>
          <w:szCs w:val="32"/>
        </w:rPr>
      </w:pPr>
      <w:bookmarkStart w:id="10" w:name="_Toc182588731"/>
      <w:r w:rsidRPr="006F5B08">
        <w:rPr>
          <w:rFonts w:cs="Arial"/>
          <w:sz w:val="32"/>
          <w:szCs w:val="32"/>
        </w:rPr>
        <w:t>Conclusion</w:t>
      </w:r>
      <w:bookmarkEnd w:id="10"/>
      <w:r w:rsidRPr="006F5B08">
        <w:rPr>
          <w:rFonts w:cs="Arial"/>
          <w:sz w:val="32"/>
          <w:szCs w:val="32"/>
        </w:rPr>
        <w:t xml:space="preserve"> </w:t>
      </w:r>
    </w:p>
    <w:p w14:paraId="27EEAAA1" w14:textId="77777777" w:rsidR="00237641" w:rsidRPr="00237641" w:rsidRDefault="00237641" w:rsidP="00237641">
      <w:pPr>
        <w:pStyle w:val="NormalWeb"/>
        <w:rPr>
          <w:rFonts w:ascii="Arial" w:hAnsi="Arial" w:cs="Arial"/>
          <w:sz w:val="22"/>
          <w:szCs w:val="22"/>
        </w:rPr>
      </w:pPr>
      <w:r>
        <w:t xml:space="preserve">In conclusion, this report has critically examined coaching and mentoring, focusing on their definitions, purposes, and the application of specific models. Coaching, exemplified by the </w:t>
      </w:r>
      <w:r w:rsidRPr="00237641">
        <w:rPr>
          <w:rFonts w:ascii="Arial" w:hAnsi="Arial" w:cs="Arial"/>
          <w:sz w:val="22"/>
          <w:szCs w:val="22"/>
        </w:rPr>
        <w:t>GROW model, empowers individuals through structured goal setting and exploration, while mentoring, demonstrated through the Johari Window, fosters long-term personal and professional development by enhancing self-awareness and communication. Although distinct in their focus and methods, both approaches complement one another and contribute significantly to workplace development by improving individual performance, organizational culture, and employee engagement.</w:t>
      </w:r>
    </w:p>
    <w:p w14:paraId="0A14A973" w14:textId="77777777" w:rsidR="00237641" w:rsidRPr="00237641" w:rsidRDefault="00237641" w:rsidP="00237641">
      <w:pPr>
        <w:pStyle w:val="NormalWeb"/>
        <w:rPr>
          <w:rFonts w:ascii="Arial" w:hAnsi="Arial" w:cs="Arial"/>
          <w:sz w:val="22"/>
          <w:szCs w:val="22"/>
        </w:rPr>
      </w:pPr>
      <w:r w:rsidRPr="00237641">
        <w:rPr>
          <w:rFonts w:ascii="Arial" w:hAnsi="Arial" w:cs="Arial"/>
          <w:sz w:val="22"/>
          <w:szCs w:val="22"/>
        </w:rPr>
        <w:t>The reflective application of Gibbs’ Cycle has allowed me to assess my coaching and mentoring practices. Through coaching, I gained insights into facilitating structured and goal-oriented discussions, which are essential for empowering employees to take ownership of their progress. In mentoring, the emphasis on trust-building and self-discovery, as highlighted by the Johari Window, reinforced the importance of creating safe environments for mentees to grow. Both experiences underscored the critical skills required, including active listening, effective questioning, and fostering trust.</w:t>
      </w:r>
    </w:p>
    <w:p w14:paraId="55B554C7" w14:textId="77777777" w:rsidR="00237641" w:rsidRPr="00237641" w:rsidRDefault="00237641" w:rsidP="00237641">
      <w:pPr>
        <w:pStyle w:val="NormalWeb"/>
        <w:rPr>
          <w:rFonts w:ascii="Arial" w:hAnsi="Arial" w:cs="Arial"/>
          <w:sz w:val="22"/>
          <w:szCs w:val="22"/>
        </w:rPr>
      </w:pPr>
      <w:r w:rsidRPr="00237641">
        <w:rPr>
          <w:rFonts w:ascii="Arial" w:hAnsi="Arial" w:cs="Arial"/>
          <w:sz w:val="22"/>
          <w:szCs w:val="22"/>
        </w:rPr>
        <w:t>Looking forward, I will integrate the lessons learned from these sessions to enhance my professional practice. I intend to adopt a blended approach, using coaching techniques to foster autonomy and mentoring strategies to provide guidance and context-specific knowledge. By refining my facilitation and feedback skills, I aim to contribute more effectively to individual and organizational growth, thereby fostering a culture of continuous development in my workplace.</w:t>
      </w:r>
    </w:p>
    <w:p w14:paraId="1A55A220" w14:textId="77777777" w:rsidR="00237641" w:rsidRPr="00237641" w:rsidRDefault="00237641" w:rsidP="00237641"/>
    <w:p w14:paraId="1DF4107E" w14:textId="5AAB21BF" w:rsidR="00126C66" w:rsidRPr="00EE42F7" w:rsidRDefault="00126C66" w:rsidP="00EE42F7">
      <w:pPr>
        <w:pStyle w:val="Heading1"/>
        <w:rPr>
          <w:sz w:val="32"/>
          <w:szCs w:val="32"/>
        </w:rPr>
      </w:pPr>
      <w:bookmarkStart w:id="11" w:name="_Toc182588732"/>
      <w:r w:rsidRPr="00EE42F7">
        <w:rPr>
          <w:sz w:val="32"/>
          <w:szCs w:val="32"/>
        </w:rPr>
        <w:t>References</w:t>
      </w:r>
      <w:bookmarkEnd w:id="11"/>
      <w:r w:rsidRPr="00EE42F7">
        <w:rPr>
          <w:sz w:val="32"/>
          <w:szCs w:val="32"/>
        </w:rPr>
        <w:t xml:space="preserve"> </w:t>
      </w:r>
    </w:p>
    <w:p w14:paraId="33FD0FB7" w14:textId="1B9D25DF"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Gibbs, G. (1988). </w:t>
      </w:r>
      <w:r w:rsidRPr="00EE42F7">
        <w:rPr>
          <w:rFonts w:ascii="Times New Roman" w:eastAsia="Times New Roman" w:hAnsi="Times New Roman" w:cs="Times New Roman"/>
          <w:i/>
          <w:iCs/>
          <w:kern w:val="0"/>
          <w:sz w:val="24"/>
          <w:szCs w:val="24"/>
          <w:lang w:eastAsia="en-GB"/>
          <w14:ligatures w14:val="none"/>
        </w:rPr>
        <w:t>Learning by Doing: A Guide to Teaching and Learning Methods</w:t>
      </w:r>
      <w:r w:rsidRPr="00EE42F7">
        <w:rPr>
          <w:rFonts w:ascii="Times New Roman" w:eastAsia="Times New Roman" w:hAnsi="Times New Roman" w:cs="Times New Roman"/>
          <w:kern w:val="0"/>
          <w:sz w:val="24"/>
          <w:szCs w:val="24"/>
          <w:lang w:eastAsia="en-GB"/>
          <w14:ligatures w14:val="none"/>
        </w:rPr>
        <w:t>. Oxford: Further Education Unit.</w:t>
      </w:r>
    </w:p>
    <w:p w14:paraId="66FDAEA4" w14:textId="23CC61BE" w:rsidR="00EE42F7" w:rsidRPr="00EE42F7" w:rsidRDefault="00EE42F7"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Arial" w:hAnsi="Arial" w:cs="Arial"/>
          <w:color w:val="222222"/>
          <w:sz w:val="20"/>
          <w:szCs w:val="20"/>
          <w:shd w:val="clear" w:color="auto" w:fill="FFFFFF"/>
        </w:rPr>
        <w:t>Connor, M. and Pokora, J., 2017. </w:t>
      </w:r>
      <w:r w:rsidRPr="00EE42F7">
        <w:rPr>
          <w:rFonts w:ascii="Arial" w:hAnsi="Arial" w:cs="Arial"/>
          <w:i/>
          <w:iCs/>
          <w:color w:val="222222"/>
          <w:sz w:val="20"/>
          <w:szCs w:val="20"/>
          <w:shd w:val="clear" w:color="auto" w:fill="FFFFFF"/>
        </w:rPr>
        <w:t>Coaching and mentoring at work: Developing effective practice: Developing effective practice</w:t>
      </w:r>
      <w:r w:rsidRPr="00EE42F7">
        <w:rPr>
          <w:rFonts w:ascii="Arial" w:hAnsi="Arial" w:cs="Arial"/>
          <w:color w:val="222222"/>
          <w:sz w:val="20"/>
          <w:szCs w:val="20"/>
          <w:shd w:val="clear" w:color="auto" w:fill="FFFFFF"/>
        </w:rPr>
        <w:t>. McGraw-Hill Education (UK).</w:t>
      </w:r>
    </w:p>
    <w:p w14:paraId="0E50B760" w14:textId="462B2EA4"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lastRenderedPageBreak/>
        <w:t xml:space="preserve">Whitmore, J. (2009). </w:t>
      </w:r>
      <w:r w:rsidRPr="00EE42F7">
        <w:rPr>
          <w:rFonts w:ascii="Times New Roman" w:eastAsia="Times New Roman" w:hAnsi="Times New Roman" w:cs="Times New Roman"/>
          <w:i/>
          <w:iCs/>
          <w:kern w:val="0"/>
          <w:sz w:val="24"/>
          <w:szCs w:val="24"/>
          <w:lang w:eastAsia="en-GB"/>
          <w14:ligatures w14:val="none"/>
        </w:rPr>
        <w:t>Coaching for Performance: Growing People, Performance, and Purpose</w:t>
      </w:r>
      <w:r w:rsidRPr="00EE42F7">
        <w:rPr>
          <w:rFonts w:ascii="Times New Roman" w:eastAsia="Times New Roman" w:hAnsi="Times New Roman" w:cs="Times New Roman"/>
          <w:kern w:val="0"/>
          <w:sz w:val="24"/>
          <w:szCs w:val="24"/>
          <w:lang w:eastAsia="en-GB"/>
          <w14:ligatures w14:val="none"/>
        </w:rPr>
        <w:t>. 4th ed. London: Nicholas Brealey Publishing.</w:t>
      </w:r>
    </w:p>
    <w:p w14:paraId="499793D3" w14:textId="022FC3B3"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Kram, K.E. (1985). </w:t>
      </w:r>
      <w:r w:rsidRPr="00EE42F7">
        <w:rPr>
          <w:rFonts w:ascii="Times New Roman" w:eastAsia="Times New Roman" w:hAnsi="Times New Roman" w:cs="Times New Roman"/>
          <w:i/>
          <w:iCs/>
          <w:kern w:val="0"/>
          <w:sz w:val="24"/>
          <w:szCs w:val="24"/>
          <w:lang w:eastAsia="en-GB"/>
          <w14:ligatures w14:val="none"/>
        </w:rPr>
        <w:t>Mentoring at Work: Developmental Relationships in Organizational Life</w:t>
      </w:r>
      <w:r w:rsidRPr="00EE42F7">
        <w:rPr>
          <w:rFonts w:ascii="Times New Roman" w:eastAsia="Times New Roman" w:hAnsi="Times New Roman" w:cs="Times New Roman"/>
          <w:kern w:val="0"/>
          <w:sz w:val="24"/>
          <w:szCs w:val="24"/>
          <w:lang w:eastAsia="en-GB"/>
          <w14:ligatures w14:val="none"/>
        </w:rPr>
        <w:t>. Glenview: Scott Foresman.</w:t>
      </w:r>
    </w:p>
    <w:p w14:paraId="570ED719" w14:textId="50BA253C"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Luft, J. and Ingham, H. (1955). The Johari Window: A Graphic Model of Interpersonal Awareness. </w:t>
      </w:r>
      <w:r w:rsidRPr="00EE42F7">
        <w:rPr>
          <w:rFonts w:ascii="Times New Roman" w:eastAsia="Times New Roman" w:hAnsi="Times New Roman" w:cs="Times New Roman"/>
          <w:i/>
          <w:iCs/>
          <w:kern w:val="0"/>
          <w:sz w:val="24"/>
          <w:szCs w:val="24"/>
          <w:lang w:eastAsia="en-GB"/>
          <w14:ligatures w14:val="none"/>
        </w:rPr>
        <w:t>Proceedings of the Western Training Laboratory in Group Development</w:t>
      </w:r>
      <w:r w:rsidRPr="00EE42F7">
        <w:rPr>
          <w:rFonts w:ascii="Times New Roman" w:eastAsia="Times New Roman" w:hAnsi="Times New Roman" w:cs="Times New Roman"/>
          <w:kern w:val="0"/>
          <w:sz w:val="24"/>
          <w:szCs w:val="24"/>
          <w:lang w:eastAsia="en-GB"/>
          <w14:ligatures w14:val="none"/>
        </w:rPr>
        <w:t>, Los Angeles: UCLA.</w:t>
      </w:r>
    </w:p>
    <w:p w14:paraId="6F5EC4ED" w14:textId="00965A08"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Passmore, J. (2016). </w:t>
      </w:r>
      <w:r w:rsidRPr="00EE42F7">
        <w:rPr>
          <w:rFonts w:ascii="Times New Roman" w:eastAsia="Times New Roman" w:hAnsi="Times New Roman" w:cs="Times New Roman"/>
          <w:i/>
          <w:iCs/>
          <w:kern w:val="0"/>
          <w:sz w:val="24"/>
          <w:szCs w:val="24"/>
          <w:lang w:eastAsia="en-GB"/>
          <w14:ligatures w14:val="none"/>
        </w:rPr>
        <w:t>Excellence in Coaching: The Industry Guide</w:t>
      </w:r>
      <w:r w:rsidRPr="00EE42F7">
        <w:rPr>
          <w:rFonts w:ascii="Times New Roman" w:eastAsia="Times New Roman" w:hAnsi="Times New Roman" w:cs="Times New Roman"/>
          <w:kern w:val="0"/>
          <w:sz w:val="24"/>
          <w:szCs w:val="24"/>
          <w:lang w:eastAsia="en-GB"/>
          <w14:ligatures w14:val="none"/>
        </w:rPr>
        <w:t>. London: Kogan Page.</w:t>
      </w:r>
    </w:p>
    <w:p w14:paraId="21B5B90D" w14:textId="643696EF"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Cox, E., Bachkirova, T. and Clutterbuck, D. (2018). </w:t>
      </w:r>
      <w:r w:rsidRPr="00EE42F7">
        <w:rPr>
          <w:rFonts w:ascii="Times New Roman" w:eastAsia="Times New Roman" w:hAnsi="Times New Roman" w:cs="Times New Roman"/>
          <w:i/>
          <w:iCs/>
          <w:kern w:val="0"/>
          <w:sz w:val="24"/>
          <w:szCs w:val="24"/>
          <w:lang w:eastAsia="en-GB"/>
          <w14:ligatures w14:val="none"/>
        </w:rPr>
        <w:t>The Complete Handbook of Coaching</w:t>
      </w:r>
      <w:r w:rsidRPr="00EE42F7">
        <w:rPr>
          <w:rFonts w:ascii="Times New Roman" w:eastAsia="Times New Roman" w:hAnsi="Times New Roman" w:cs="Times New Roman"/>
          <w:kern w:val="0"/>
          <w:sz w:val="24"/>
          <w:szCs w:val="24"/>
          <w:lang w:eastAsia="en-GB"/>
          <w14:ligatures w14:val="none"/>
        </w:rPr>
        <w:t>. 3rd ed. London: SAGE Publications.</w:t>
      </w:r>
    </w:p>
    <w:p w14:paraId="5388F26D" w14:textId="3A1F087B"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Grant, A.M. (2014). </w:t>
      </w:r>
      <w:r w:rsidRPr="00EE42F7">
        <w:rPr>
          <w:rFonts w:ascii="Times New Roman" w:eastAsia="Times New Roman" w:hAnsi="Times New Roman" w:cs="Times New Roman"/>
          <w:i/>
          <w:iCs/>
          <w:kern w:val="0"/>
          <w:sz w:val="24"/>
          <w:szCs w:val="24"/>
          <w:lang w:eastAsia="en-GB"/>
          <w14:ligatures w14:val="none"/>
        </w:rPr>
        <w:t>The Efficacy of Executive Coaching in Times of Organizational Change</w:t>
      </w:r>
      <w:r w:rsidRPr="00EE42F7">
        <w:rPr>
          <w:rFonts w:ascii="Times New Roman" w:eastAsia="Times New Roman" w:hAnsi="Times New Roman" w:cs="Times New Roman"/>
          <w:kern w:val="0"/>
          <w:sz w:val="24"/>
          <w:szCs w:val="24"/>
          <w:lang w:eastAsia="en-GB"/>
          <w14:ligatures w14:val="none"/>
        </w:rPr>
        <w:t xml:space="preserve">. </w:t>
      </w:r>
      <w:r w:rsidRPr="00EE42F7">
        <w:rPr>
          <w:rFonts w:ascii="Times New Roman" w:eastAsia="Times New Roman" w:hAnsi="Times New Roman" w:cs="Times New Roman"/>
          <w:i/>
          <w:iCs/>
          <w:kern w:val="0"/>
          <w:sz w:val="24"/>
          <w:szCs w:val="24"/>
          <w:lang w:eastAsia="en-GB"/>
          <w14:ligatures w14:val="none"/>
        </w:rPr>
        <w:t>Journal of Change Management</w:t>
      </w:r>
      <w:r w:rsidRPr="00EE42F7">
        <w:rPr>
          <w:rFonts w:ascii="Times New Roman" w:eastAsia="Times New Roman" w:hAnsi="Times New Roman" w:cs="Times New Roman"/>
          <w:kern w:val="0"/>
          <w:sz w:val="24"/>
          <w:szCs w:val="24"/>
          <w:lang w:eastAsia="en-GB"/>
          <w14:ligatures w14:val="none"/>
        </w:rPr>
        <w:t>, 14(2), pp.258-280.</w:t>
      </w:r>
    </w:p>
    <w:p w14:paraId="47C91D1C" w14:textId="634CAE99"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Hawkins, P. and Smith, N. (2013). </w:t>
      </w:r>
      <w:r w:rsidRPr="00EE42F7">
        <w:rPr>
          <w:rFonts w:ascii="Times New Roman" w:eastAsia="Times New Roman" w:hAnsi="Times New Roman" w:cs="Times New Roman"/>
          <w:i/>
          <w:iCs/>
          <w:kern w:val="0"/>
          <w:sz w:val="24"/>
          <w:szCs w:val="24"/>
          <w:lang w:eastAsia="en-GB"/>
          <w14:ligatures w14:val="none"/>
        </w:rPr>
        <w:t>Coaching, Mentoring and Organizational Consultancy: Supervision and Development</w:t>
      </w:r>
      <w:r w:rsidRPr="00EE42F7">
        <w:rPr>
          <w:rFonts w:ascii="Times New Roman" w:eastAsia="Times New Roman" w:hAnsi="Times New Roman" w:cs="Times New Roman"/>
          <w:kern w:val="0"/>
          <w:sz w:val="24"/>
          <w:szCs w:val="24"/>
          <w:lang w:eastAsia="en-GB"/>
          <w14:ligatures w14:val="none"/>
        </w:rPr>
        <w:t>. 2nd ed. London: McGraw-Hill Education.</w:t>
      </w:r>
    </w:p>
    <w:p w14:paraId="096E8907" w14:textId="32D16147"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Megginson, D. and Clutterbuck, D. (2005). </w:t>
      </w:r>
      <w:r w:rsidRPr="00EE42F7">
        <w:rPr>
          <w:rFonts w:ascii="Times New Roman" w:eastAsia="Times New Roman" w:hAnsi="Times New Roman" w:cs="Times New Roman"/>
          <w:i/>
          <w:iCs/>
          <w:kern w:val="0"/>
          <w:sz w:val="24"/>
          <w:szCs w:val="24"/>
          <w:lang w:eastAsia="en-GB"/>
          <w14:ligatures w14:val="none"/>
        </w:rPr>
        <w:t>Techniques for Coaching and Mentoring</w:t>
      </w:r>
      <w:r w:rsidRPr="00EE42F7">
        <w:rPr>
          <w:rFonts w:ascii="Times New Roman" w:eastAsia="Times New Roman" w:hAnsi="Times New Roman" w:cs="Times New Roman"/>
          <w:kern w:val="0"/>
          <w:sz w:val="24"/>
          <w:szCs w:val="24"/>
          <w:lang w:eastAsia="en-GB"/>
          <w14:ligatures w14:val="none"/>
        </w:rPr>
        <w:t>. Oxford: Elsevier Butterworth-Heinemann.</w:t>
      </w:r>
    </w:p>
    <w:p w14:paraId="708B7A74" w14:textId="47D16C43"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Rogers, J. (2016). </w:t>
      </w:r>
      <w:r w:rsidRPr="00EE42F7">
        <w:rPr>
          <w:rFonts w:ascii="Times New Roman" w:eastAsia="Times New Roman" w:hAnsi="Times New Roman" w:cs="Times New Roman"/>
          <w:i/>
          <w:iCs/>
          <w:kern w:val="0"/>
          <w:sz w:val="24"/>
          <w:szCs w:val="24"/>
          <w:lang w:eastAsia="en-GB"/>
          <w14:ligatures w14:val="none"/>
        </w:rPr>
        <w:t>Coaching Skills: A Handbook</w:t>
      </w:r>
      <w:r w:rsidRPr="00EE42F7">
        <w:rPr>
          <w:rFonts w:ascii="Times New Roman" w:eastAsia="Times New Roman" w:hAnsi="Times New Roman" w:cs="Times New Roman"/>
          <w:kern w:val="0"/>
          <w:sz w:val="24"/>
          <w:szCs w:val="24"/>
          <w:lang w:eastAsia="en-GB"/>
          <w14:ligatures w14:val="none"/>
        </w:rPr>
        <w:t>. 4th ed. Maidenhead: McGraw-Hill Education.</w:t>
      </w:r>
    </w:p>
    <w:p w14:paraId="31E594B9" w14:textId="5039147E"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Garvey, B., Stokes, P. and Megginson, D. (2017). </w:t>
      </w:r>
      <w:r w:rsidRPr="00EE42F7">
        <w:rPr>
          <w:rFonts w:ascii="Times New Roman" w:eastAsia="Times New Roman" w:hAnsi="Times New Roman" w:cs="Times New Roman"/>
          <w:i/>
          <w:iCs/>
          <w:kern w:val="0"/>
          <w:sz w:val="24"/>
          <w:szCs w:val="24"/>
          <w:lang w:eastAsia="en-GB"/>
          <w14:ligatures w14:val="none"/>
        </w:rPr>
        <w:t>Coaching and Mentoring: Theory and Practice</w:t>
      </w:r>
      <w:r w:rsidRPr="00EE42F7">
        <w:rPr>
          <w:rFonts w:ascii="Times New Roman" w:eastAsia="Times New Roman" w:hAnsi="Times New Roman" w:cs="Times New Roman"/>
          <w:kern w:val="0"/>
          <w:sz w:val="24"/>
          <w:szCs w:val="24"/>
          <w:lang w:eastAsia="en-GB"/>
          <w14:ligatures w14:val="none"/>
        </w:rPr>
        <w:t>. 3rd ed. London: SAGE Publications.</w:t>
      </w:r>
    </w:p>
    <w:p w14:paraId="4F875C4A" w14:textId="1A17407D"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Stober, D.R. and Grant, A.M. (2006). </w:t>
      </w:r>
      <w:r w:rsidRPr="00EE42F7">
        <w:rPr>
          <w:rFonts w:ascii="Times New Roman" w:eastAsia="Times New Roman" w:hAnsi="Times New Roman" w:cs="Times New Roman"/>
          <w:i/>
          <w:iCs/>
          <w:kern w:val="0"/>
          <w:sz w:val="24"/>
          <w:szCs w:val="24"/>
          <w:lang w:eastAsia="en-GB"/>
          <w14:ligatures w14:val="none"/>
        </w:rPr>
        <w:t>Evidence-Based Coaching Handbook: Putting Best Practices to Work for Your Clients</w:t>
      </w:r>
      <w:r w:rsidRPr="00EE42F7">
        <w:rPr>
          <w:rFonts w:ascii="Times New Roman" w:eastAsia="Times New Roman" w:hAnsi="Times New Roman" w:cs="Times New Roman"/>
          <w:kern w:val="0"/>
          <w:sz w:val="24"/>
          <w:szCs w:val="24"/>
          <w:lang w:eastAsia="en-GB"/>
          <w14:ligatures w14:val="none"/>
        </w:rPr>
        <w:t>. Hoboken, NJ: Wiley.</w:t>
      </w:r>
    </w:p>
    <w:p w14:paraId="16EC6FFB" w14:textId="71E01A50"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Bluckert, P. (2006). </w:t>
      </w:r>
      <w:r w:rsidRPr="00EE42F7">
        <w:rPr>
          <w:rFonts w:ascii="Times New Roman" w:eastAsia="Times New Roman" w:hAnsi="Times New Roman" w:cs="Times New Roman"/>
          <w:i/>
          <w:iCs/>
          <w:kern w:val="0"/>
          <w:sz w:val="24"/>
          <w:szCs w:val="24"/>
          <w:lang w:eastAsia="en-GB"/>
          <w14:ligatures w14:val="none"/>
        </w:rPr>
        <w:t>Psychological Dimensions of Executive Coaching</w:t>
      </w:r>
      <w:r w:rsidRPr="00EE42F7">
        <w:rPr>
          <w:rFonts w:ascii="Times New Roman" w:eastAsia="Times New Roman" w:hAnsi="Times New Roman" w:cs="Times New Roman"/>
          <w:kern w:val="0"/>
          <w:sz w:val="24"/>
          <w:szCs w:val="24"/>
          <w:lang w:eastAsia="en-GB"/>
          <w14:ligatures w14:val="none"/>
        </w:rPr>
        <w:t>. Maidenhead: Open University Press.</w:t>
      </w:r>
    </w:p>
    <w:p w14:paraId="0790B5A5" w14:textId="484A3238" w:rsidR="00237641" w:rsidRPr="00EE42F7" w:rsidRDefault="00237641" w:rsidP="00EE42F7">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EE42F7">
        <w:rPr>
          <w:rFonts w:ascii="Times New Roman" w:eastAsia="Times New Roman" w:hAnsi="Times New Roman" w:cs="Times New Roman"/>
          <w:kern w:val="0"/>
          <w:sz w:val="24"/>
          <w:szCs w:val="24"/>
          <w:lang w:eastAsia="en-GB"/>
          <w14:ligatures w14:val="none"/>
        </w:rPr>
        <w:t xml:space="preserve">Clutterbuck, D. (2008). </w:t>
      </w:r>
      <w:r w:rsidRPr="00EE42F7">
        <w:rPr>
          <w:rFonts w:ascii="Times New Roman" w:eastAsia="Times New Roman" w:hAnsi="Times New Roman" w:cs="Times New Roman"/>
          <w:i/>
          <w:iCs/>
          <w:kern w:val="0"/>
          <w:sz w:val="24"/>
          <w:szCs w:val="24"/>
          <w:lang w:eastAsia="en-GB"/>
          <w14:ligatures w14:val="none"/>
        </w:rPr>
        <w:t>Coaching the Team at Work</w:t>
      </w:r>
      <w:r w:rsidRPr="00EE42F7">
        <w:rPr>
          <w:rFonts w:ascii="Times New Roman" w:eastAsia="Times New Roman" w:hAnsi="Times New Roman" w:cs="Times New Roman"/>
          <w:kern w:val="0"/>
          <w:sz w:val="24"/>
          <w:szCs w:val="24"/>
          <w:lang w:eastAsia="en-GB"/>
          <w14:ligatures w14:val="none"/>
        </w:rPr>
        <w:t>. London: Nicholas Brealey Publishing.</w:t>
      </w:r>
    </w:p>
    <w:p w14:paraId="363FD0EA" w14:textId="57CB14E6" w:rsidR="00237641" w:rsidRPr="00237641" w:rsidRDefault="00237641" w:rsidP="00EE42F7">
      <w:pPr>
        <w:pStyle w:val="ListParagraph"/>
        <w:numPr>
          <w:ilvl w:val="0"/>
          <w:numId w:val="11"/>
        </w:numPr>
      </w:pPr>
      <w:r w:rsidRPr="00EE42F7">
        <w:rPr>
          <w:rFonts w:ascii="Times New Roman" w:eastAsia="Times New Roman" w:hAnsi="Times New Roman" w:cs="Times New Roman"/>
          <w:kern w:val="0"/>
          <w:sz w:val="24"/>
          <w:szCs w:val="24"/>
          <w:lang w:eastAsia="en-GB"/>
          <w14:ligatures w14:val="none"/>
        </w:rPr>
        <w:t xml:space="preserve">Peterson, D.B. and Hicks, M.D. (1996). </w:t>
      </w:r>
      <w:r w:rsidRPr="00EE42F7">
        <w:rPr>
          <w:rFonts w:ascii="Times New Roman" w:eastAsia="Times New Roman" w:hAnsi="Times New Roman" w:cs="Times New Roman"/>
          <w:i/>
          <w:iCs/>
          <w:kern w:val="0"/>
          <w:sz w:val="24"/>
          <w:szCs w:val="24"/>
          <w:lang w:eastAsia="en-GB"/>
          <w14:ligatures w14:val="none"/>
        </w:rPr>
        <w:t>Leader as Coach: Strategies for Coaching and Developing Others</w:t>
      </w:r>
      <w:r w:rsidRPr="00EE42F7">
        <w:rPr>
          <w:rFonts w:ascii="Times New Roman" w:eastAsia="Times New Roman" w:hAnsi="Times New Roman" w:cs="Times New Roman"/>
          <w:kern w:val="0"/>
          <w:sz w:val="24"/>
          <w:szCs w:val="24"/>
          <w:lang w:eastAsia="en-GB"/>
          <w14:ligatures w14:val="none"/>
        </w:rPr>
        <w:t>. Minneapolis: Personnel Decisions.</w:t>
      </w:r>
    </w:p>
    <w:p w14:paraId="1387F764" w14:textId="77777777" w:rsidR="00023019" w:rsidRPr="006F5B08" w:rsidRDefault="00023019" w:rsidP="00023019">
      <w:pPr>
        <w:jc w:val="center"/>
        <w:rPr>
          <w:rFonts w:ascii="Arial" w:hAnsi="Arial" w:cs="Arial"/>
          <w:b/>
          <w:bCs/>
        </w:rPr>
      </w:pPr>
    </w:p>
    <w:p w14:paraId="0FB507DD" w14:textId="77777777" w:rsidR="00023019" w:rsidRPr="006F5B08" w:rsidRDefault="00023019" w:rsidP="00023019">
      <w:pPr>
        <w:jc w:val="center"/>
        <w:rPr>
          <w:rFonts w:ascii="Arial" w:hAnsi="Arial" w:cs="Arial"/>
          <w:b/>
          <w:bCs/>
        </w:rPr>
      </w:pPr>
    </w:p>
    <w:p w14:paraId="7B61DF2C" w14:textId="77777777" w:rsidR="00023019" w:rsidRPr="006F5B08" w:rsidRDefault="00023019" w:rsidP="00023019">
      <w:pPr>
        <w:jc w:val="center"/>
        <w:rPr>
          <w:rFonts w:ascii="Arial" w:hAnsi="Arial" w:cs="Arial"/>
        </w:rPr>
      </w:pPr>
    </w:p>
    <w:sectPr w:rsidR="00023019" w:rsidRPr="006F5B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654A1"/>
    <w:multiLevelType w:val="multilevel"/>
    <w:tmpl w:val="F9DAD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B76C6D"/>
    <w:multiLevelType w:val="multilevel"/>
    <w:tmpl w:val="AFD03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4050AE"/>
    <w:multiLevelType w:val="multilevel"/>
    <w:tmpl w:val="BD46A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4C2E9D"/>
    <w:multiLevelType w:val="hybridMultilevel"/>
    <w:tmpl w:val="2F009E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1DF15DC"/>
    <w:multiLevelType w:val="multilevel"/>
    <w:tmpl w:val="9F7E1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197883"/>
    <w:multiLevelType w:val="multilevel"/>
    <w:tmpl w:val="3AF65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D40629"/>
    <w:multiLevelType w:val="multilevel"/>
    <w:tmpl w:val="27822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F80138"/>
    <w:multiLevelType w:val="hybridMultilevel"/>
    <w:tmpl w:val="EEC6BF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11242B"/>
    <w:multiLevelType w:val="multilevel"/>
    <w:tmpl w:val="99C6D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CF0B74"/>
    <w:multiLevelType w:val="multilevel"/>
    <w:tmpl w:val="184C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1B3385"/>
    <w:multiLevelType w:val="multilevel"/>
    <w:tmpl w:val="4964F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A76E0D"/>
    <w:multiLevelType w:val="multilevel"/>
    <w:tmpl w:val="78E42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2803298">
    <w:abstractNumId w:val="5"/>
  </w:num>
  <w:num w:numId="2" w16cid:durableId="38477193">
    <w:abstractNumId w:val="8"/>
  </w:num>
  <w:num w:numId="3" w16cid:durableId="2067336040">
    <w:abstractNumId w:val="2"/>
  </w:num>
  <w:num w:numId="4" w16cid:durableId="631711705">
    <w:abstractNumId w:val="4"/>
  </w:num>
  <w:num w:numId="5" w16cid:durableId="1411777115">
    <w:abstractNumId w:val="6"/>
  </w:num>
  <w:num w:numId="6" w16cid:durableId="664893494">
    <w:abstractNumId w:val="11"/>
  </w:num>
  <w:num w:numId="7" w16cid:durableId="1808158394">
    <w:abstractNumId w:val="0"/>
  </w:num>
  <w:num w:numId="8" w16cid:durableId="507406725">
    <w:abstractNumId w:val="9"/>
  </w:num>
  <w:num w:numId="9" w16cid:durableId="980960172">
    <w:abstractNumId w:val="1"/>
  </w:num>
  <w:num w:numId="10" w16cid:durableId="922573219">
    <w:abstractNumId w:val="10"/>
  </w:num>
  <w:num w:numId="11" w16cid:durableId="117376752">
    <w:abstractNumId w:val="7"/>
  </w:num>
  <w:num w:numId="12" w16cid:durableId="176998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804"/>
    <w:rsid w:val="00023019"/>
    <w:rsid w:val="00032804"/>
    <w:rsid w:val="00126C66"/>
    <w:rsid w:val="00237641"/>
    <w:rsid w:val="004F128A"/>
    <w:rsid w:val="006F5B08"/>
    <w:rsid w:val="0090308A"/>
    <w:rsid w:val="009557E5"/>
    <w:rsid w:val="00B1010A"/>
    <w:rsid w:val="00DE5719"/>
    <w:rsid w:val="00EE4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D90D1"/>
  <w15:chartTrackingRefBased/>
  <w15:docId w15:val="{73EA60F4-924C-49C3-BBAD-0CCFD020E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8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28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28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28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28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28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28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28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28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8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28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28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28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28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28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28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28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2804"/>
    <w:rPr>
      <w:rFonts w:eastAsiaTheme="majorEastAsia" w:cstheme="majorBidi"/>
      <w:color w:val="272727" w:themeColor="text1" w:themeTint="D8"/>
    </w:rPr>
  </w:style>
  <w:style w:type="paragraph" w:styleId="Title">
    <w:name w:val="Title"/>
    <w:basedOn w:val="Normal"/>
    <w:next w:val="Normal"/>
    <w:link w:val="TitleChar"/>
    <w:uiPriority w:val="10"/>
    <w:qFormat/>
    <w:rsid w:val="000328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8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28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28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2804"/>
    <w:pPr>
      <w:spacing w:before="160"/>
      <w:jc w:val="center"/>
    </w:pPr>
    <w:rPr>
      <w:i/>
      <w:iCs/>
      <w:color w:val="404040" w:themeColor="text1" w:themeTint="BF"/>
    </w:rPr>
  </w:style>
  <w:style w:type="character" w:customStyle="1" w:styleId="QuoteChar">
    <w:name w:val="Quote Char"/>
    <w:basedOn w:val="DefaultParagraphFont"/>
    <w:link w:val="Quote"/>
    <w:uiPriority w:val="29"/>
    <w:rsid w:val="00032804"/>
    <w:rPr>
      <w:i/>
      <w:iCs/>
      <w:color w:val="404040" w:themeColor="text1" w:themeTint="BF"/>
    </w:rPr>
  </w:style>
  <w:style w:type="paragraph" w:styleId="ListParagraph">
    <w:name w:val="List Paragraph"/>
    <w:basedOn w:val="Normal"/>
    <w:uiPriority w:val="34"/>
    <w:qFormat/>
    <w:rsid w:val="00032804"/>
    <w:pPr>
      <w:ind w:left="720"/>
      <w:contextualSpacing/>
    </w:pPr>
  </w:style>
  <w:style w:type="character" w:styleId="IntenseEmphasis">
    <w:name w:val="Intense Emphasis"/>
    <w:basedOn w:val="DefaultParagraphFont"/>
    <w:uiPriority w:val="21"/>
    <w:qFormat/>
    <w:rsid w:val="00032804"/>
    <w:rPr>
      <w:i/>
      <w:iCs/>
      <w:color w:val="0F4761" w:themeColor="accent1" w:themeShade="BF"/>
    </w:rPr>
  </w:style>
  <w:style w:type="paragraph" w:styleId="IntenseQuote">
    <w:name w:val="Intense Quote"/>
    <w:basedOn w:val="Normal"/>
    <w:next w:val="Normal"/>
    <w:link w:val="IntenseQuoteChar"/>
    <w:uiPriority w:val="30"/>
    <w:qFormat/>
    <w:rsid w:val="000328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2804"/>
    <w:rPr>
      <w:i/>
      <w:iCs/>
      <w:color w:val="0F4761" w:themeColor="accent1" w:themeShade="BF"/>
    </w:rPr>
  </w:style>
  <w:style w:type="character" w:styleId="IntenseReference">
    <w:name w:val="Intense Reference"/>
    <w:basedOn w:val="DefaultParagraphFont"/>
    <w:uiPriority w:val="32"/>
    <w:qFormat/>
    <w:rsid w:val="00032804"/>
    <w:rPr>
      <w:b/>
      <w:bCs/>
      <w:smallCaps/>
      <w:color w:val="0F4761" w:themeColor="accent1" w:themeShade="BF"/>
      <w:spacing w:val="5"/>
    </w:rPr>
  </w:style>
  <w:style w:type="paragraph" w:styleId="TOCHeading">
    <w:name w:val="TOC Heading"/>
    <w:basedOn w:val="Heading1"/>
    <w:next w:val="Normal"/>
    <w:uiPriority w:val="39"/>
    <w:unhideWhenUsed/>
    <w:qFormat/>
    <w:rsid w:val="00DE571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E5719"/>
    <w:pPr>
      <w:spacing w:after="100"/>
    </w:pPr>
  </w:style>
  <w:style w:type="character" w:styleId="Hyperlink">
    <w:name w:val="Hyperlink"/>
    <w:basedOn w:val="DefaultParagraphFont"/>
    <w:uiPriority w:val="99"/>
    <w:unhideWhenUsed/>
    <w:rsid w:val="00DE5719"/>
    <w:rPr>
      <w:color w:val="467886" w:themeColor="hyperlink"/>
      <w:u w:val="single"/>
    </w:rPr>
  </w:style>
  <w:style w:type="paragraph" w:styleId="NormalWeb">
    <w:name w:val="Normal (Web)"/>
    <w:basedOn w:val="Normal"/>
    <w:uiPriority w:val="99"/>
    <w:semiHidden/>
    <w:unhideWhenUsed/>
    <w:rsid w:val="00126C6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26C66"/>
    <w:rPr>
      <w:b/>
      <w:bCs/>
    </w:rPr>
  </w:style>
  <w:style w:type="paragraph" w:styleId="TOC2">
    <w:name w:val="toc 2"/>
    <w:basedOn w:val="Normal"/>
    <w:next w:val="Normal"/>
    <w:autoRedefine/>
    <w:uiPriority w:val="39"/>
    <w:unhideWhenUsed/>
    <w:rsid w:val="00126C6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829586">
      <w:bodyDiv w:val="1"/>
      <w:marLeft w:val="0"/>
      <w:marRight w:val="0"/>
      <w:marTop w:val="0"/>
      <w:marBottom w:val="0"/>
      <w:divBdr>
        <w:top w:val="none" w:sz="0" w:space="0" w:color="auto"/>
        <w:left w:val="none" w:sz="0" w:space="0" w:color="auto"/>
        <w:bottom w:val="none" w:sz="0" w:space="0" w:color="auto"/>
        <w:right w:val="none" w:sz="0" w:space="0" w:color="auto"/>
      </w:divBdr>
    </w:div>
    <w:div w:id="435175240">
      <w:bodyDiv w:val="1"/>
      <w:marLeft w:val="0"/>
      <w:marRight w:val="0"/>
      <w:marTop w:val="0"/>
      <w:marBottom w:val="0"/>
      <w:divBdr>
        <w:top w:val="none" w:sz="0" w:space="0" w:color="auto"/>
        <w:left w:val="none" w:sz="0" w:space="0" w:color="auto"/>
        <w:bottom w:val="none" w:sz="0" w:space="0" w:color="auto"/>
        <w:right w:val="none" w:sz="0" w:space="0" w:color="auto"/>
      </w:divBdr>
    </w:div>
    <w:div w:id="1001395987">
      <w:bodyDiv w:val="1"/>
      <w:marLeft w:val="0"/>
      <w:marRight w:val="0"/>
      <w:marTop w:val="0"/>
      <w:marBottom w:val="0"/>
      <w:divBdr>
        <w:top w:val="none" w:sz="0" w:space="0" w:color="auto"/>
        <w:left w:val="none" w:sz="0" w:space="0" w:color="auto"/>
        <w:bottom w:val="none" w:sz="0" w:space="0" w:color="auto"/>
        <w:right w:val="none" w:sz="0" w:space="0" w:color="auto"/>
      </w:divBdr>
    </w:div>
    <w:div w:id="1292633104">
      <w:bodyDiv w:val="1"/>
      <w:marLeft w:val="0"/>
      <w:marRight w:val="0"/>
      <w:marTop w:val="0"/>
      <w:marBottom w:val="0"/>
      <w:divBdr>
        <w:top w:val="none" w:sz="0" w:space="0" w:color="auto"/>
        <w:left w:val="none" w:sz="0" w:space="0" w:color="auto"/>
        <w:bottom w:val="none" w:sz="0" w:space="0" w:color="auto"/>
        <w:right w:val="none" w:sz="0" w:space="0" w:color="auto"/>
      </w:divBdr>
    </w:div>
    <w:div w:id="1471630484">
      <w:bodyDiv w:val="1"/>
      <w:marLeft w:val="0"/>
      <w:marRight w:val="0"/>
      <w:marTop w:val="0"/>
      <w:marBottom w:val="0"/>
      <w:divBdr>
        <w:top w:val="none" w:sz="0" w:space="0" w:color="auto"/>
        <w:left w:val="none" w:sz="0" w:space="0" w:color="auto"/>
        <w:bottom w:val="none" w:sz="0" w:space="0" w:color="auto"/>
        <w:right w:val="none" w:sz="0" w:space="0" w:color="auto"/>
      </w:divBdr>
    </w:div>
    <w:div w:id="1564834279">
      <w:bodyDiv w:val="1"/>
      <w:marLeft w:val="0"/>
      <w:marRight w:val="0"/>
      <w:marTop w:val="0"/>
      <w:marBottom w:val="0"/>
      <w:divBdr>
        <w:top w:val="none" w:sz="0" w:space="0" w:color="auto"/>
        <w:left w:val="none" w:sz="0" w:space="0" w:color="auto"/>
        <w:bottom w:val="none" w:sz="0" w:space="0" w:color="auto"/>
        <w:right w:val="none" w:sz="0" w:space="0" w:color="auto"/>
      </w:divBdr>
    </w:div>
    <w:div w:id="1894268515">
      <w:bodyDiv w:val="1"/>
      <w:marLeft w:val="0"/>
      <w:marRight w:val="0"/>
      <w:marTop w:val="0"/>
      <w:marBottom w:val="0"/>
      <w:divBdr>
        <w:top w:val="none" w:sz="0" w:space="0" w:color="auto"/>
        <w:left w:val="none" w:sz="0" w:space="0" w:color="auto"/>
        <w:bottom w:val="none" w:sz="0" w:space="0" w:color="auto"/>
        <w:right w:val="none" w:sz="0" w:space="0" w:color="auto"/>
      </w:divBdr>
    </w:div>
    <w:div w:id="194604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8AA8ED-D8B0-4DE8-B972-9DB8DA9D7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6</Pages>
  <Words>1940</Words>
  <Characters>11063</Characters>
  <Application>Microsoft Office Word</Application>
  <DocSecurity>0</DocSecurity>
  <Lines>245</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Felicia Merauta</dc:creator>
  <cp:keywords/>
  <dc:description/>
  <cp:lastModifiedBy>Alexandra Felicia Merauta</cp:lastModifiedBy>
  <cp:revision>3</cp:revision>
  <dcterms:created xsi:type="dcterms:W3CDTF">2024-11-15T08:26:00Z</dcterms:created>
  <dcterms:modified xsi:type="dcterms:W3CDTF">2024-11-15T18:47:00Z</dcterms:modified>
</cp:coreProperties>
</file>