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E1BA7" w14:textId="77777777" w:rsidR="00B50FC7" w:rsidRPr="00F80AE5" w:rsidRDefault="00B50FC7" w:rsidP="00F80AE5">
      <w:pPr>
        <w:rPr>
          <w:rFonts w:cs="Times New Roman"/>
          <w:noProof/>
          <w:sz w:val="32"/>
          <w:szCs w:val="32"/>
        </w:rPr>
      </w:pPr>
    </w:p>
    <w:p w14:paraId="6247ACBC" w14:textId="77777777" w:rsidR="00B50FC7" w:rsidRPr="00F80AE5" w:rsidRDefault="00B50FC7" w:rsidP="00F80AE5">
      <w:pPr>
        <w:jc w:val="center"/>
        <w:rPr>
          <w:rFonts w:cs="Times New Roman"/>
          <w:noProof/>
          <w:sz w:val="32"/>
          <w:szCs w:val="32"/>
        </w:rPr>
      </w:pPr>
      <w:r w:rsidRPr="00F80AE5">
        <w:rPr>
          <w:rFonts w:cs="Times New Roman"/>
          <w:b/>
          <w:noProof/>
        </w:rPr>
        <w:drawing>
          <wp:inline distT="0" distB="0" distL="0" distR="0" wp14:anchorId="7CA5F1A5" wp14:editId="0534316B">
            <wp:extent cx="2876550" cy="952500"/>
            <wp:effectExtent l="0" t="0" r="0" b="0"/>
            <wp:docPr id="195654891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952500"/>
                    </a:xfrm>
                    <a:prstGeom prst="rect">
                      <a:avLst/>
                    </a:prstGeom>
                    <a:noFill/>
                    <a:ln>
                      <a:noFill/>
                    </a:ln>
                  </pic:spPr>
                </pic:pic>
              </a:graphicData>
            </a:graphic>
          </wp:inline>
        </w:drawing>
      </w:r>
    </w:p>
    <w:p w14:paraId="72BA84AE" w14:textId="77777777" w:rsidR="00B50FC7" w:rsidRPr="00F80AE5" w:rsidRDefault="00B50FC7" w:rsidP="00F80AE5">
      <w:pPr>
        <w:jc w:val="center"/>
        <w:rPr>
          <w:rFonts w:cs="Times New Roman"/>
          <w:noProof/>
          <w:sz w:val="32"/>
          <w:szCs w:val="32"/>
        </w:rPr>
      </w:pPr>
    </w:p>
    <w:p w14:paraId="788105FD" w14:textId="315B5E55" w:rsidR="00B50FC7" w:rsidRPr="00F80AE5" w:rsidRDefault="00B50FC7" w:rsidP="00F80AE5">
      <w:pPr>
        <w:jc w:val="center"/>
        <w:rPr>
          <w:rFonts w:cs="Times New Roman"/>
          <w:b/>
          <w:bCs/>
          <w:noProof/>
          <w:sz w:val="32"/>
          <w:szCs w:val="32"/>
        </w:rPr>
      </w:pPr>
      <w:r w:rsidRPr="00F80AE5">
        <w:rPr>
          <w:rFonts w:cs="Times New Roman"/>
          <w:b/>
          <w:bCs/>
          <w:noProof/>
          <w:sz w:val="32"/>
          <w:szCs w:val="32"/>
        </w:rPr>
        <w:t>Assignment Title: Assignment 2: Feasibility Plan</w:t>
      </w:r>
      <w:r w:rsidRPr="00F80AE5">
        <w:rPr>
          <w:rFonts w:cs="Times New Roman"/>
          <w:b/>
          <w:bCs/>
          <w:noProof/>
          <w:sz w:val="32"/>
          <w:szCs w:val="32"/>
        </w:rPr>
        <w:br/>
        <w:t xml:space="preserve">for </w:t>
      </w:r>
      <w:r w:rsidRPr="00F80AE5">
        <w:rPr>
          <w:rFonts w:cs="Times New Roman"/>
          <w:b/>
          <w:bCs/>
          <w:i/>
          <w:iCs/>
          <w:noProof/>
          <w:sz w:val="32"/>
          <w:szCs w:val="32"/>
        </w:rPr>
        <w:t>UK Wellness Adventure Expo 2025</w:t>
      </w:r>
    </w:p>
    <w:p w14:paraId="08CFA1A4" w14:textId="77777777" w:rsidR="00B50FC7" w:rsidRPr="00F80AE5" w:rsidRDefault="00B50FC7" w:rsidP="00F80AE5">
      <w:pPr>
        <w:jc w:val="center"/>
        <w:rPr>
          <w:rFonts w:cs="Times New Roman"/>
          <w:b/>
          <w:bCs/>
          <w:noProof/>
          <w:sz w:val="32"/>
          <w:szCs w:val="32"/>
        </w:rPr>
      </w:pPr>
    </w:p>
    <w:p w14:paraId="2078C541" w14:textId="77777777" w:rsidR="00B50FC7" w:rsidRPr="00F80AE5" w:rsidRDefault="00B50FC7" w:rsidP="00F80AE5">
      <w:pPr>
        <w:jc w:val="center"/>
        <w:rPr>
          <w:rFonts w:cs="Times New Roman"/>
          <w:b/>
          <w:bCs/>
          <w:noProof/>
          <w:sz w:val="32"/>
          <w:szCs w:val="32"/>
        </w:rPr>
      </w:pPr>
      <w:r w:rsidRPr="00F80AE5">
        <w:rPr>
          <w:rFonts w:cs="Times New Roman"/>
          <w:b/>
          <w:bCs/>
          <w:noProof/>
          <w:sz w:val="32"/>
          <w:szCs w:val="32"/>
        </w:rPr>
        <w:t>Module: International Meetings Management for the Hotel Industry</w:t>
      </w:r>
    </w:p>
    <w:p w14:paraId="54341CB0" w14:textId="77777777" w:rsidR="00B50FC7" w:rsidRPr="00F80AE5" w:rsidRDefault="00B50FC7" w:rsidP="00F80AE5">
      <w:pPr>
        <w:jc w:val="center"/>
        <w:rPr>
          <w:rFonts w:cs="Times New Roman"/>
          <w:b/>
          <w:bCs/>
          <w:noProof/>
          <w:sz w:val="32"/>
          <w:szCs w:val="32"/>
        </w:rPr>
      </w:pPr>
      <w:r w:rsidRPr="00F80AE5">
        <w:rPr>
          <w:rFonts w:cs="Times New Roman"/>
          <w:b/>
          <w:bCs/>
          <w:noProof/>
          <w:sz w:val="32"/>
          <w:szCs w:val="32"/>
        </w:rPr>
        <w:t>Module code: BMIH6007</w:t>
      </w:r>
    </w:p>
    <w:p w14:paraId="6E3D701D" w14:textId="77777777" w:rsidR="00B50FC7" w:rsidRPr="00F80AE5" w:rsidRDefault="00B50FC7" w:rsidP="00F80AE5">
      <w:pPr>
        <w:jc w:val="center"/>
        <w:rPr>
          <w:rFonts w:cs="Times New Roman"/>
          <w:b/>
          <w:bCs/>
          <w:noProof/>
          <w:sz w:val="32"/>
          <w:szCs w:val="32"/>
        </w:rPr>
      </w:pPr>
    </w:p>
    <w:p w14:paraId="4603031E" w14:textId="77777777" w:rsidR="00B50FC7" w:rsidRPr="00F80AE5" w:rsidRDefault="00B50FC7" w:rsidP="00F80AE5">
      <w:pPr>
        <w:jc w:val="center"/>
        <w:rPr>
          <w:rFonts w:cs="Times New Roman"/>
          <w:b/>
          <w:bCs/>
          <w:noProof/>
          <w:sz w:val="32"/>
          <w:szCs w:val="32"/>
        </w:rPr>
      </w:pPr>
      <w:r w:rsidRPr="00F80AE5">
        <w:rPr>
          <w:rFonts w:cs="Times New Roman"/>
          <w:b/>
          <w:bCs/>
          <w:noProof/>
          <w:sz w:val="32"/>
          <w:szCs w:val="32"/>
        </w:rPr>
        <w:t>Lecturer: Kathryn Flynn</w:t>
      </w:r>
    </w:p>
    <w:p w14:paraId="7C9B7607" w14:textId="77777777" w:rsidR="00B50FC7" w:rsidRPr="00F80AE5" w:rsidRDefault="00B50FC7" w:rsidP="00F80AE5">
      <w:pPr>
        <w:jc w:val="center"/>
        <w:rPr>
          <w:rFonts w:cs="Times New Roman"/>
          <w:b/>
          <w:bCs/>
          <w:noProof/>
          <w:sz w:val="32"/>
          <w:szCs w:val="32"/>
        </w:rPr>
      </w:pPr>
    </w:p>
    <w:p w14:paraId="730BEC77" w14:textId="77777777" w:rsidR="00B50FC7" w:rsidRPr="00F80AE5" w:rsidRDefault="00B50FC7" w:rsidP="00F80AE5">
      <w:pPr>
        <w:jc w:val="center"/>
        <w:rPr>
          <w:rFonts w:cs="Times New Roman"/>
          <w:b/>
          <w:bCs/>
          <w:noProof/>
          <w:sz w:val="32"/>
          <w:szCs w:val="32"/>
        </w:rPr>
      </w:pPr>
      <w:r w:rsidRPr="00F80AE5">
        <w:rPr>
          <w:rFonts w:cs="Times New Roman"/>
          <w:b/>
          <w:bCs/>
          <w:noProof/>
          <w:sz w:val="32"/>
          <w:szCs w:val="32"/>
        </w:rPr>
        <w:t>Prepared by:</w:t>
      </w:r>
    </w:p>
    <w:p w14:paraId="2B7B903C" w14:textId="77777777" w:rsidR="00B50FC7" w:rsidRPr="00F80AE5" w:rsidRDefault="00B50FC7" w:rsidP="00F80AE5">
      <w:pPr>
        <w:jc w:val="center"/>
        <w:rPr>
          <w:rFonts w:cs="Times New Roman"/>
          <w:b/>
          <w:bCs/>
          <w:noProof/>
          <w:sz w:val="28"/>
          <w:szCs w:val="28"/>
        </w:rPr>
      </w:pPr>
      <w:r w:rsidRPr="00F80AE5">
        <w:rPr>
          <w:rFonts w:cs="Times New Roman"/>
          <w:b/>
          <w:bCs/>
          <w:noProof/>
          <w:sz w:val="28"/>
          <w:szCs w:val="28"/>
        </w:rPr>
        <w:t>Zakia Sultana Rahman</w:t>
      </w:r>
    </w:p>
    <w:p w14:paraId="3E592324" w14:textId="77777777" w:rsidR="00B50FC7" w:rsidRPr="00F80AE5" w:rsidRDefault="00B50FC7" w:rsidP="00F80AE5">
      <w:pPr>
        <w:jc w:val="center"/>
        <w:rPr>
          <w:rFonts w:cs="Times New Roman"/>
          <w:b/>
          <w:bCs/>
          <w:noProof/>
          <w:sz w:val="28"/>
          <w:szCs w:val="28"/>
        </w:rPr>
      </w:pPr>
      <w:r w:rsidRPr="00F80AE5">
        <w:rPr>
          <w:rFonts w:cs="Times New Roman"/>
          <w:b/>
          <w:bCs/>
          <w:noProof/>
          <w:sz w:val="28"/>
          <w:szCs w:val="28"/>
        </w:rPr>
        <w:t>Student ID: 2211724</w:t>
      </w:r>
    </w:p>
    <w:p w14:paraId="1F19840D" w14:textId="56F86229" w:rsidR="00B50FC7" w:rsidRPr="00F80AE5" w:rsidRDefault="00B50FC7" w:rsidP="00F80AE5">
      <w:pPr>
        <w:jc w:val="center"/>
        <w:rPr>
          <w:rFonts w:cs="Times New Roman"/>
          <w:b/>
          <w:bCs/>
          <w:noProof/>
          <w:sz w:val="28"/>
          <w:szCs w:val="28"/>
        </w:rPr>
      </w:pPr>
      <w:r w:rsidRPr="00F80AE5">
        <w:rPr>
          <w:rFonts w:cs="Times New Roman"/>
          <w:b/>
          <w:bCs/>
          <w:noProof/>
          <w:sz w:val="28"/>
          <w:szCs w:val="28"/>
        </w:rPr>
        <w:t>Word Count:</w:t>
      </w:r>
      <w:r w:rsidR="00C30112">
        <w:rPr>
          <w:rFonts w:cs="Times New Roman"/>
          <w:b/>
          <w:bCs/>
          <w:noProof/>
          <w:sz w:val="28"/>
          <w:szCs w:val="28"/>
        </w:rPr>
        <w:t xml:space="preserve"> 2583</w:t>
      </w:r>
    </w:p>
    <w:p w14:paraId="3B5BAFB9" w14:textId="77777777" w:rsidR="00E256D5" w:rsidRPr="00F80AE5" w:rsidRDefault="00E256D5" w:rsidP="00F80AE5">
      <w:pPr>
        <w:rPr>
          <w:rFonts w:cs="Times New Roman"/>
          <w:noProof/>
        </w:rPr>
      </w:pPr>
    </w:p>
    <w:p w14:paraId="2724DD77" w14:textId="1D05EAE3" w:rsidR="001D0634" w:rsidRPr="00F80AE5" w:rsidRDefault="00E256D5" w:rsidP="00F80AE5">
      <w:pPr>
        <w:rPr>
          <w:rFonts w:cs="Times New Roman"/>
          <w:noProof/>
        </w:rPr>
      </w:pPr>
      <w:r w:rsidRPr="00F80AE5">
        <w:rPr>
          <w:rFonts w:cs="Times New Roman"/>
          <w:noProof/>
        </w:rPr>
        <w:br w:type="page"/>
      </w:r>
    </w:p>
    <w:p w14:paraId="16B364F3" w14:textId="2D3B6EF5" w:rsidR="001D0634" w:rsidRPr="00F80AE5" w:rsidRDefault="001D0634" w:rsidP="00F80AE5">
      <w:pPr>
        <w:rPr>
          <w:rFonts w:cs="Times New Roman"/>
          <w:b/>
          <w:bCs/>
          <w:noProof/>
          <w:color w:val="002060"/>
        </w:rPr>
      </w:pPr>
      <w:r w:rsidRPr="00F80AE5">
        <w:rPr>
          <w:rFonts w:cs="Times New Roman"/>
          <w:b/>
          <w:bCs/>
          <w:noProof/>
          <w:color w:val="002060"/>
          <w:sz w:val="32"/>
          <w:szCs w:val="32"/>
        </w:rPr>
        <w:lastRenderedPageBreak/>
        <w:t>Table</w:t>
      </w:r>
      <w:r w:rsidRPr="00F80AE5">
        <w:rPr>
          <w:rFonts w:cs="Times New Roman"/>
          <w:b/>
          <w:bCs/>
          <w:noProof/>
          <w:color w:val="002060"/>
        </w:rPr>
        <w:t xml:space="preserve"> </w:t>
      </w:r>
      <w:r w:rsidRPr="00F80AE5">
        <w:rPr>
          <w:rFonts w:cs="Times New Roman"/>
          <w:b/>
          <w:bCs/>
          <w:noProof/>
          <w:color w:val="002060"/>
          <w:sz w:val="32"/>
          <w:szCs w:val="32"/>
        </w:rPr>
        <w:t>of</w:t>
      </w:r>
      <w:r w:rsidRPr="00F80AE5">
        <w:rPr>
          <w:rFonts w:cs="Times New Roman"/>
          <w:b/>
          <w:bCs/>
          <w:noProof/>
          <w:color w:val="002060"/>
        </w:rPr>
        <w:t xml:space="preserve"> </w:t>
      </w:r>
      <w:r w:rsidRPr="00F80AE5">
        <w:rPr>
          <w:rFonts w:cs="Times New Roman"/>
          <w:b/>
          <w:bCs/>
          <w:noProof/>
          <w:color w:val="002060"/>
          <w:sz w:val="32"/>
          <w:szCs w:val="32"/>
        </w:rPr>
        <w:t>Content</w:t>
      </w:r>
      <w:r w:rsidRPr="00F80AE5">
        <w:rPr>
          <w:rFonts w:cs="Times New Roman"/>
          <w:b/>
          <w:bCs/>
          <w:noProof/>
          <w:color w:val="002060"/>
        </w:rPr>
        <w:t xml:space="preserve"> </w:t>
      </w:r>
    </w:p>
    <w:sdt>
      <w:sdtPr>
        <w:rPr>
          <w:rFonts w:cs="Times New Roman"/>
          <w:noProof/>
        </w:rPr>
        <w:id w:val="129762532"/>
        <w:docPartObj>
          <w:docPartGallery w:val="Table of Contents"/>
          <w:docPartUnique/>
        </w:docPartObj>
      </w:sdtPr>
      <w:sdtContent>
        <w:p w14:paraId="622088E9" w14:textId="15C03387" w:rsidR="00F95E33" w:rsidRPr="00F80AE5" w:rsidRDefault="060F863A" w:rsidP="00F80AE5">
          <w:pPr>
            <w:pStyle w:val="TOC1"/>
            <w:tabs>
              <w:tab w:val="right" w:leader="dot" w:pos="9350"/>
            </w:tabs>
            <w:rPr>
              <w:rFonts w:cs="Times New Roman"/>
              <w:noProof/>
              <w:lang w:eastAsia="en-GB"/>
            </w:rPr>
          </w:pPr>
          <w:r w:rsidRPr="00F80AE5">
            <w:rPr>
              <w:rFonts w:cs="Times New Roman"/>
              <w:noProof/>
            </w:rPr>
            <w:fldChar w:fldCharType="begin"/>
          </w:r>
          <w:r w:rsidRPr="00F80AE5">
            <w:rPr>
              <w:rFonts w:cs="Times New Roman"/>
              <w:noProof/>
            </w:rPr>
            <w:instrText>TOC \o \z \u \h</w:instrText>
          </w:r>
          <w:r w:rsidRPr="00F80AE5">
            <w:rPr>
              <w:rFonts w:cs="Times New Roman"/>
              <w:noProof/>
            </w:rPr>
            <w:fldChar w:fldCharType="separate"/>
          </w:r>
          <w:hyperlink w:anchor="_Toc190198938" w:history="1">
            <w:r w:rsidR="00F95E33" w:rsidRPr="00F80AE5">
              <w:rPr>
                <w:rStyle w:val="Hyperlink"/>
                <w:rFonts w:cs="Times New Roman"/>
                <w:noProof/>
              </w:rPr>
              <w:t>Introduction</w:t>
            </w:r>
            <w:r w:rsidR="00F95E33" w:rsidRPr="00F80AE5">
              <w:rPr>
                <w:rFonts w:cs="Times New Roman"/>
                <w:noProof/>
                <w:webHidden/>
              </w:rPr>
              <w:tab/>
            </w:r>
            <w:r w:rsidR="00F95E33" w:rsidRPr="00F80AE5">
              <w:rPr>
                <w:rFonts w:cs="Times New Roman"/>
                <w:noProof/>
                <w:webHidden/>
              </w:rPr>
              <w:fldChar w:fldCharType="begin"/>
            </w:r>
            <w:r w:rsidR="00F95E33" w:rsidRPr="00F80AE5">
              <w:rPr>
                <w:rFonts w:cs="Times New Roman"/>
                <w:noProof/>
                <w:webHidden/>
              </w:rPr>
              <w:instrText xml:space="preserve"> PAGEREF _Toc190198938 \h </w:instrText>
            </w:r>
            <w:r w:rsidR="00F95E33" w:rsidRPr="00F80AE5">
              <w:rPr>
                <w:rFonts w:cs="Times New Roman"/>
                <w:noProof/>
                <w:webHidden/>
              </w:rPr>
            </w:r>
            <w:r w:rsidR="00F95E33" w:rsidRPr="00F80AE5">
              <w:rPr>
                <w:rFonts w:cs="Times New Roman"/>
                <w:noProof/>
                <w:webHidden/>
              </w:rPr>
              <w:fldChar w:fldCharType="separate"/>
            </w:r>
            <w:r w:rsidR="00F95E33" w:rsidRPr="00F80AE5">
              <w:rPr>
                <w:rFonts w:cs="Times New Roman"/>
                <w:noProof/>
                <w:webHidden/>
              </w:rPr>
              <w:t>3</w:t>
            </w:r>
            <w:r w:rsidR="00F95E33" w:rsidRPr="00F80AE5">
              <w:rPr>
                <w:rFonts w:cs="Times New Roman"/>
                <w:noProof/>
                <w:webHidden/>
              </w:rPr>
              <w:fldChar w:fldCharType="end"/>
            </w:r>
          </w:hyperlink>
        </w:p>
        <w:p w14:paraId="15313B2C" w14:textId="00823372" w:rsidR="00F95E33" w:rsidRPr="00F80AE5" w:rsidRDefault="00F95E33" w:rsidP="00F80AE5">
          <w:pPr>
            <w:pStyle w:val="TOC1"/>
            <w:tabs>
              <w:tab w:val="right" w:leader="dot" w:pos="9350"/>
            </w:tabs>
            <w:rPr>
              <w:rFonts w:cs="Times New Roman"/>
              <w:noProof/>
              <w:lang w:eastAsia="en-GB"/>
            </w:rPr>
          </w:pPr>
          <w:hyperlink w:anchor="_Toc190198939" w:history="1">
            <w:r w:rsidRPr="00F80AE5">
              <w:rPr>
                <w:rStyle w:val="Hyperlink"/>
                <w:rFonts w:cs="Times New Roman"/>
                <w:noProof/>
              </w:rPr>
              <w:t>The Event Cycle</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_Toc190198939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4</w:t>
            </w:r>
            <w:r w:rsidRPr="00F80AE5">
              <w:rPr>
                <w:rFonts w:cs="Times New Roman"/>
                <w:noProof/>
                <w:webHidden/>
              </w:rPr>
              <w:fldChar w:fldCharType="end"/>
            </w:r>
          </w:hyperlink>
        </w:p>
        <w:p w14:paraId="1CB7C960" w14:textId="07ADAD5D" w:rsidR="00F95E33" w:rsidRPr="00F80AE5" w:rsidRDefault="00F95E33" w:rsidP="00F80AE5">
          <w:pPr>
            <w:pStyle w:val="TOC1"/>
            <w:tabs>
              <w:tab w:val="right" w:leader="dot" w:pos="9350"/>
            </w:tabs>
            <w:rPr>
              <w:rFonts w:cs="Times New Roman"/>
              <w:noProof/>
              <w:lang w:eastAsia="en-GB"/>
            </w:rPr>
          </w:pPr>
          <w:hyperlink w:anchor="_Toc190198940" w:history="1">
            <w:r w:rsidRPr="00F80AE5">
              <w:rPr>
                <w:rStyle w:val="Hyperlink"/>
                <w:rFonts w:eastAsia="Times New Roman" w:cs="Times New Roman"/>
                <w:noProof/>
              </w:rPr>
              <w:t>Event Concept</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_Toc190198940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5</w:t>
            </w:r>
            <w:r w:rsidRPr="00F80AE5">
              <w:rPr>
                <w:rFonts w:cs="Times New Roman"/>
                <w:noProof/>
                <w:webHidden/>
              </w:rPr>
              <w:fldChar w:fldCharType="end"/>
            </w:r>
          </w:hyperlink>
        </w:p>
        <w:p w14:paraId="51B518CD" w14:textId="7DA116BC" w:rsidR="00F95E33" w:rsidRPr="00F80AE5" w:rsidRDefault="00F95E33" w:rsidP="00F80AE5">
          <w:pPr>
            <w:pStyle w:val="TOC1"/>
            <w:tabs>
              <w:tab w:val="right" w:leader="dot" w:pos="9350"/>
            </w:tabs>
            <w:rPr>
              <w:rFonts w:cs="Times New Roman"/>
              <w:noProof/>
              <w:lang w:eastAsia="en-GB"/>
            </w:rPr>
          </w:pPr>
          <w:hyperlink w:anchor="_Toc190198941" w:history="1">
            <w:r w:rsidRPr="00F80AE5">
              <w:rPr>
                <w:rStyle w:val="Hyperlink"/>
                <w:rFonts w:eastAsia="Times New Roman" w:cs="Times New Roman"/>
                <w:noProof/>
              </w:rPr>
              <w:t>Aim and Objectives of the Event</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_Toc190198941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6</w:t>
            </w:r>
            <w:r w:rsidRPr="00F80AE5">
              <w:rPr>
                <w:rFonts w:cs="Times New Roman"/>
                <w:noProof/>
                <w:webHidden/>
              </w:rPr>
              <w:fldChar w:fldCharType="end"/>
            </w:r>
          </w:hyperlink>
        </w:p>
        <w:p w14:paraId="2B8561C4" w14:textId="29A14996" w:rsidR="00F95E33" w:rsidRPr="00F80AE5" w:rsidRDefault="00F95E33" w:rsidP="00F80AE5">
          <w:pPr>
            <w:pStyle w:val="TOC1"/>
            <w:tabs>
              <w:tab w:val="right" w:leader="dot" w:pos="9350"/>
            </w:tabs>
            <w:rPr>
              <w:rFonts w:cs="Times New Roman"/>
              <w:noProof/>
              <w:lang w:eastAsia="en-GB"/>
            </w:rPr>
          </w:pPr>
          <w:hyperlink w:anchor="_Toc190198942" w:history="1">
            <w:r w:rsidRPr="00F80AE5">
              <w:rPr>
                <w:rStyle w:val="Hyperlink"/>
                <w:rFonts w:eastAsia="Times New Roman" w:cs="Times New Roman"/>
                <w:noProof/>
              </w:rPr>
              <w:t>Event Management</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_Toc190198942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7</w:t>
            </w:r>
            <w:r w:rsidRPr="00F80AE5">
              <w:rPr>
                <w:rFonts w:cs="Times New Roman"/>
                <w:noProof/>
                <w:webHidden/>
              </w:rPr>
              <w:fldChar w:fldCharType="end"/>
            </w:r>
          </w:hyperlink>
        </w:p>
        <w:p w14:paraId="37046842" w14:textId="43109B92" w:rsidR="00F95E33" w:rsidRPr="00F80AE5" w:rsidRDefault="00F95E33" w:rsidP="00F80AE5">
          <w:pPr>
            <w:pStyle w:val="TOC1"/>
            <w:tabs>
              <w:tab w:val="right" w:leader="dot" w:pos="9350"/>
            </w:tabs>
            <w:rPr>
              <w:rFonts w:cs="Times New Roman"/>
              <w:noProof/>
              <w:lang w:eastAsia="en-GB"/>
            </w:rPr>
          </w:pPr>
          <w:hyperlink w:anchor="_Toc190198943" w:history="1">
            <w:r w:rsidRPr="00F80AE5">
              <w:rPr>
                <w:rStyle w:val="Hyperlink"/>
                <w:rFonts w:cs="Times New Roman"/>
                <w:noProof/>
              </w:rPr>
              <w:t>Budget</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_Toc190198943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8</w:t>
            </w:r>
            <w:r w:rsidRPr="00F80AE5">
              <w:rPr>
                <w:rFonts w:cs="Times New Roman"/>
                <w:noProof/>
                <w:webHidden/>
              </w:rPr>
              <w:fldChar w:fldCharType="end"/>
            </w:r>
          </w:hyperlink>
        </w:p>
        <w:p w14:paraId="3F206D77" w14:textId="4FA8625F" w:rsidR="00F95E33" w:rsidRPr="00F80AE5" w:rsidRDefault="00F95E33" w:rsidP="00F80AE5">
          <w:pPr>
            <w:pStyle w:val="TOC1"/>
            <w:tabs>
              <w:tab w:val="right" w:leader="dot" w:pos="9350"/>
            </w:tabs>
            <w:rPr>
              <w:rFonts w:cs="Times New Roman"/>
              <w:noProof/>
              <w:lang w:eastAsia="en-GB"/>
            </w:rPr>
          </w:pPr>
          <w:hyperlink w:anchor="_Toc190198944" w:history="1">
            <w:r w:rsidRPr="00F80AE5">
              <w:rPr>
                <w:rStyle w:val="Hyperlink"/>
                <w:rFonts w:cs="Times New Roman"/>
                <w:noProof/>
              </w:rPr>
              <w:t>Industry Analysis</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_Toc190198944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9</w:t>
            </w:r>
            <w:r w:rsidRPr="00F80AE5">
              <w:rPr>
                <w:rFonts w:cs="Times New Roman"/>
                <w:noProof/>
                <w:webHidden/>
              </w:rPr>
              <w:fldChar w:fldCharType="end"/>
            </w:r>
          </w:hyperlink>
        </w:p>
        <w:p w14:paraId="5A143EA1" w14:textId="20A11997" w:rsidR="00F95E33" w:rsidRPr="00F80AE5" w:rsidRDefault="00F95E33" w:rsidP="00F80AE5">
          <w:pPr>
            <w:pStyle w:val="TOC1"/>
            <w:tabs>
              <w:tab w:val="right" w:leader="dot" w:pos="9350"/>
            </w:tabs>
            <w:rPr>
              <w:rFonts w:cs="Times New Roman"/>
              <w:noProof/>
              <w:lang w:eastAsia="en-GB"/>
            </w:rPr>
          </w:pPr>
          <w:hyperlink w:anchor="_Toc190198945" w:history="1">
            <w:r w:rsidRPr="00F80AE5">
              <w:rPr>
                <w:rStyle w:val="Hyperlink"/>
                <w:rFonts w:cs="Times New Roman"/>
                <w:noProof/>
              </w:rPr>
              <w:t>Situational Analysis</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_Toc190198945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9</w:t>
            </w:r>
            <w:r w:rsidRPr="00F80AE5">
              <w:rPr>
                <w:rFonts w:cs="Times New Roman"/>
                <w:noProof/>
                <w:webHidden/>
              </w:rPr>
              <w:fldChar w:fldCharType="end"/>
            </w:r>
          </w:hyperlink>
        </w:p>
        <w:p w14:paraId="55B37C81" w14:textId="227118D0" w:rsidR="00F95E33" w:rsidRPr="00F80AE5" w:rsidRDefault="00F95E33" w:rsidP="00F80AE5">
          <w:pPr>
            <w:pStyle w:val="TOC1"/>
            <w:tabs>
              <w:tab w:val="right" w:leader="dot" w:pos="9350"/>
            </w:tabs>
            <w:rPr>
              <w:rFonts w:cs="Times New Roman"/>
              <w:noProof/>
              <w:lang w:eastAsia="en-GB"/>
            </w:rPr>
          </w:pPr>
          <w:hyperlink w:anchor="_Toc190198946" w:history="1">
            <w:r w:rsidRPr="00F80AE5">
              <w:rPr>
                <w:rStyle w:val="Hyperlink"/>
                <w:rFonts w:cs="Times New Roman"/>
                <w:noProof/>
              </w:rPr>
              <w:t>Conclusion</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_Toc190198946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11</w:t>
            </w:r>
            <w:r w:rsidRPr="00F80AE5">
              <w:rPr>
                <w:rFonts w:cs="Times New Roman"/>
                <w:noProof/>
                <w:webHidden/>
              </w:rPr>
              <w:fldChar w:fldCharType="end"/>
            </w:r>
          </w:hyperlink>
        </w:p>
        <w:p w14:paraId="61BC4EC8" w14:textId="2CEDB685" w:rsidR="00F95E33" w:rsidRPr="00F80AE5" w:rsidRDefault="00F95E33" w:rsidP="00F80AE5">
          <w:pPr>
            <w:pStyle w:val="TOC1"/>
            <w:tabs>
              <w:tab w:val="right" w:leader="dot" w:pos="9350"/>
            </w:tabs>
            <w:rPr>
              <w:rFonts w:cs="Times New Roman"/>
              <w:noProof/>
              <w:lang w:eastAsia="en-GB"/>
            </w:rPr>
          </w:pPr>
          <w:hyperlink w:anchor="_Toc190198947" w:history="1">
            <w:r w:rsidRPr="00F80AE5">
              <w:rPr>
                <w:rStyle w:val="Hyperlink"/>
                <w:rFonts w:eastAsia="Times New Roman" w:cs="Times New Roman"/>
                <w:noProof/>
              </w:rPr>
              <w:t>Reference list</w:t>
            </w:r>
            <w:r w:rsidRPr="00F80AE5">
              <w:rPr>
                <w:rFonts w:cs="Times New Roman"/>
                <w:noProof/>
                <w:webHidden/>
              </w:rPr>
              <w:tab/>
            </w:r>
            <w:r w:rsidRPr="00F80AE5">
              <w:rPr>
                <w:rFonts w:cs="Times New Roman"/>
                <w:noProof/>
                <w:webHidden/>
              </w:rPr>
              <w:fldChar w:fldCharType="begin"/>
            </w:r>
            <w:r w:rsidRPr="00F80AE5">
              <w:rPr>
                <w:rFonts w:cs="Times New Roman"/>
                <w:noProof/>
                <w:webHidden/>
              </w:rPr>
              <w:instrText xml:space="preserve"> PAGEREF _Toc190198947 \h </w:instrText>
            </w:r>
            <w:r w:rsidRPr="00F80AE5">
              <w:rPr>
                <w:rFonts w:cs="Times New Roman"/>
                <w:noProof/>
                <w:webHidden/>
              </w:rPr>
            </w:r>
            <w:r w:rsidRPr="00F80AE5">
              <w:rPr>
                <w:rFonts w:cs="Times New Roman"/>
                <w:noProof/>
                <w:webHidden/>
              </w:rPr>
              <w:fldChar w:fldCharType="separate"/>
            </w:r>
            <w:r w:rsidRPr="00F80AE5">
              <w:rPr>
                <w:rFonts w:cs="Times New Roman"/>
                <w:noProof/>
                <w:webHidden/>
              </w:rPr>
              <w:t>12</w:t>
            </w:r>
            <w:r w:rsidRPr="00F80AE5">
              <w:rPr>
                <w:rFonts w:cs="Times New Roman"/>
                <w:noProof/>
                <w:webHidden/>
              </w:rPr>
              <w:fldChar w:fldCharType="end"/>
            </w:r>
          </w:hyperlink>
        </w:p>
        <w:p w14:paraId="74B6F85E" w14:textId="10273A68" w:rsidR="060F863A" w:rsidRPr="00F80AE5" w:rsidRDefault="060F863A" w:rsidP="00F80AE5">
          <w:pPr>
            <w:pStyle w:val="TOC1"/>
            <w:tabs>
              <w:tab w:val="right" w:leader="dot" w:pos="9360"/>
            </w:tabs>
            <w:rPr>
              <w:rStyle w:val="Hyperlink"/>
              <w:rFonts w:cs="Times New Roman"/>
              <w:noProof/>
            </w:rPr>
          </w:pPr>
          <w:r w:rsidRPr="00F80AE5">
            <w:rPr>
              <w:rFonts w:cs="Times New Roman"/>
              <w:noProof/>
            </w:rPr>
            <w:fldChar w:fldCharType="end"/>
          </w:r>
        </w:p>
      </w:sdtContent>
    </w:sdt>
    <w:p w14:paraId="49858B25" w14:textId="77777777" w:rsidR="001D0634" w:rsidRPr="00F80AE5" w:rsidRDefault="001D0634" w:rsidP="00F80AE5">
      <w:pPr>
        <w:rPr>
          <w:rFonts w:cs="Times New Roman"/>
          <w:noProof/>
        </w:rPr>
      </w:pPr>
    </w:p>
    <w:p w14:paraId="345F9742" w14:textId="362E7D97" w:rsidR="001D0634" w:rsidRPr="00F80AE5" w:rsidRDefault="001D0634" w:rsidP="00F80AE5">
      <w:pPr>
        <w:rPr>
          <w:rFonts w:cs="Times New Roman"/>
          <w:noProof/>
        </w:rPr>
      </w:pPr>
    </w:p>
    <w:p w14:paraId="4AE0936D" w14:textId="77777777" w:rsidR="005C6E41" w:rsidRPr="00F80AE5" w:rsidRDefault="005C6E41" w:rsidP="00F80AE5">
      <w:pPr>
        <w:rPr>
          <w:rFonts w:cs="Times New Roman"/>
          <w:noProof/>
        </w:rPr>
      </w:pPr>
    </w:p>
    <w:p w14:paraId="106ED720" w14:textId="77777777" w:rsidR="005C6E41" w:rsidRPr="00F80AE5" w:rsidRDefault="005C6E41" w:rsidP="00F80AE5">
      <w:pPr>
        <w:rPr>
          <w:rFonts w:cs="Times New Roman"/>
          <w:noProof/>
        </w:rPr>
      </w:pPr>
      <w:r w:rsidRPr="00F80AE5">
        <w:rPr>
          <w:rFonts w:cs="Times New Roman"/>
          <w:noProof/>
        </w:rPr>
        <w:br w:type="page"/>
      </w:r>
    </w:p>
    <w:p w14:paraId="287E29FD" w14:textId="77777777" w:rsidR="005C6E41" w:rsidRPr="00F80AE5" w:rsidRDefault="005C6E41" w:rsidP="00F80AE5">
      <w:pPr>
        <w:pStyle w:val="Heading1"/>
        <w:rPr>
          <w:rFonts w:cs="Times New Roman"/>
          <w:noProof/>
        </w:rPr>
      </w:pPr>
      <w:bookmarkStart w:id="0" w:name="_Toc190198938"/>
      <w:r w:rsidRPr="00F80AE5">
        <w:rPr>
          <w:rFonts w:cs="Times New Roman"/>
          <w:noProof/>
        </w:rPr>
        <w:lastRenderedPageBreak/>
        <w:t>Introduction</w:t>
      </w:r>
      <w:bookmarkEnd w:id="0"/>
      <w:r w:rsidRPr="00F80AE5">
        <w:rPr>
          <w:rFonts w:cs="Times New Roman"/>
          <w:noProof/>
        </w:rPr>
        <w:t xml:space="preserve"> </w:t>
      </w:r>
    </w:p>
    <w:p w14:paraId="0B1D987E" w14:textId="77777777" w:rsidR="005C6E41" w:rsidRPr="00F80AE5" w:rsidRDefault="005C6E41" w:rsidP="00F80AE5">
      <w:pPr>
        <w:rPr>
          <w:rFonts w:cs="Times New Roman"/>
          <w:noProof/>
        </w:rPr>
      </w:pPr>
      <w:r w:rsidRPr="00F80AE5">
        <w:rPr>
          <w:rFonts w:cs="Times New Roman"/>
          <w:noProof/>
        </w:rPr>
        <w:t xml:space="preserve">The report provides a detailed overview of the UK Wellness Adventure Expo 2025. The event aims to focus on the Equality, Diversity, and Inclusion (EDI) aspects within the hospitality industry. The theme of the event includes wellness practices with adventure-based experiences. In September 2025, the event will take place in the Lake District National Park. It is a UNESCO-designated area and it is suitable for such an event because the place has beautiful landscapes and robust outdoor heritage. There will be immense opportunities for wellness enthusiasts, and people who have interests in adventure tourism (Fox et al., 2014). The event will create a platform for both domestic and international tourists to exchange their wellness practices and ensure equality, diversity, and inclusion in the industry. In recent trends and research, it was evident that the MICE (Meetings, Incentives, Conferences, and Exhibitions) industry of the UK has achieved significant growth. The industry will reach $142.5 billion by 2030 (Grandview Research, 2024). The author will apply relevant event theories to prepare the strategic planning and perform a feasibility study on the UK Wellness Adventure Expo 2025. At first, the event cycle will be explained. Secondly, the details of the event will be explained. Finally, a situational analysis will be conducted. </w:t>
      </w:r>
    </w:p>
    <w:p w14:paraId="096FDB7D" w14:textId="77777777" w:rsidR="005C6E41" w:rsidRPr="00F80AE5" w:rsidRDefault="005C6E41" w:rsidP="00F80AE5">
      <w:pPr>
        <w:rPr>
          <w:rFonts w:cs="Times New Roman"/>
          <w:noProof/>
        </w:rPr>
      </w:pPr>
    </w:p>
    <w:p w14:paraId="2344095A" w14:textId="77777777" w:rsidR="005C6E41" w:rsidRPr="00F80AE5" w:rsidRDefault="005C6E41" w:rsidP="00F80AE5">
      <w:pPr>
        <w:rPr>
          <w:rFonts w:cs="Times New Roman"/>
          <w:noProof/>
        </w:rPr>
      </w:pPr>
    </w:p>
    <w:p w14:paraId="04278B5B" w14:textId="77777777" w:rsidR="005C6E41" w:rsidRPr="00F80AE5" w:rsidRDefault="005C6E41" w:rsidP="00F80AE5">
      <w:pPr>
        <w:rPr>
          <w:rFonts w:cs="Times New Roman"/>
          <w:noProof/>
        </w:rPr>
      </w:pPr>
      <w:r w:rsidRPr="00F80AE5">
        <w:rPr>
          <w:rFonts w:cs="Times New Roman"/>
          <w:noProof/>
        </w:rPr>
        <w:t> </w:t>
      </w:r>
    </w:p>
    <w:p w14:paraId="4F53BD91" w14:textId="77777777" w:rsidR="009818DA" w:rsidRPr="00F80AE5" w:rsidRDefault="009818DA" w:rsidP="00F80AE5">
      <w:pPr>
        <w:rPr>
          <w:rFonts w:cs="Times New Roman"/>
          <w:noProof/>
        </w:rPr>
      </w:pPr>
    </w:p>
    <w:p w14:paraId="391B89AA" w14:textId="77777777" w:rsidR="009818DA" w:rsidRPr="00F80AE5" w:rsidRDefault="009818DA" w:rsidP="00F80AE5">
      <w:pPr>
        <w:rPr>
          <w:rFonts w:cs="Times New Roman"/>
          <w:noProof/>
        </w:rPr>
      </w:pPr>
      <w:r w:rsidRPr="00F80AE5">
        <w:rPr>
          <w:rFonts w:cs="Times New Roman"/>
          <w:noProof/>
        </w:rPr>
        <w:br w:type="page"/>
      </w:r>
    </w:p>
    <w:p w14:paraId="7C19C45F" w14:textId="486501C1" w:rsidR="005C6E41" w:rsidRPr="00F80AE5" w:rsidRDefault="005C6E41" w:rsidP="00F80AE5">
      <w:pPr>
        <w:pStyle w:val="Heading1"/>
        <w:rPr>
          <w:rFonts w:cs="Times New Roman"/>
          <w:noProof/>
        </w:rPr>
      </w:pPr>
      <w:bookmarkStart w:id="1" w:name="_Toc190198939"/>
      <w:r w:rsidRPr="00F80AE5">
        <w:rPr>
          <w:rFonts w:cs="Times New Roman"/>
          <w:noProof/>
        </w:rPr>
        <w:lastRenderedPageBreak/>
        <w:t>The Event Cycle</w:t>
      </w:r>
      <w:bookmarkEnd w:id="1"/>
    </w:p>
    <w:p w14:paraId="0B0512D8" w14:textId="4FE3F3E1" w:rsidR="00E256D5" w:rsidRPr="00F80AE5" w:rsidRDefault="005C6E41" w:rsidP="00F80AE5">
      <w:pPr>
        <w:rPr>
          <w:rFonts w:cs="Times New Roman"/>
          <w:noProof/>
        </w:rPr>
      </w:pPr>
      <w:r w:rsidRPr="00F80AE5">
        <w:rPr>
          <w:rFonts w:cs="Times New Roman"/>
          <w:noProof/>
        </w:rPr>
        <w:t>An event cycle is a framework that outlines the entire process of an event from the conceptualisation to the execution and evaluation of the event planning</w:t>
      </w:r>
      <w:r w:rsidR="0000608B" w:rsidRPr="00F80AE5">
        <w:rPr>
          <w:rFonts w:cs="Times New Roman"/>
          <w:noProof/>
        </w:rPr>
        <w:t xml:space="preserve"> (</w:t>
      </w:r>
      <w:r w:rsidR="0000608B" w:rsidRPr="00F80AE5">
        <w:rPr>
          <w:rFonts w:cs="Times New Roman"/>
          <w:noProof/>
        </w:rPr>
        <w:t>Bladen</w:t>
      </w:r>
      <w:r w:rsidR="0000608B" w:rsidRPr="00F80AE5">
        <w:rPr>
          <w:rFonts w:cs="Times New Roman"/>
          <w:noProof/>
        </w:rPr>
        <w:t xml:space="preserve"> et al., 2022)</w:t>
      </w:r>
      <w:r w:rsidRPr="00F80AE5">
        <w:rPr>
          <w:rFonts w:cs="Times New Roman"/>
          <w:noProof/>
        </w:rPr>
        <w:t xml:space="preserve">. The systematic process plays a crucial role in making an event successful and achieving its goals and objectives. The steps in an event are interconnected and they are dependent on each other. The management of an event has some strategic objectives which are translated into several operational activities and based on the feedback from the operational activities, future initiatives are taken (Holmes and Ali-Knight, 2017). The vision and mission of an event are reflected in the event cycle. The planning stage constitutes a detailed series of activities in which logistics, stakeholder engagement, and risk aspects are considered. In the execution stage, the management outlines how the plans should be delivered and the event would be organised. It mainly considers the operational elements. In the end, the evaluation stage explores the outcome of the event. Feedback and performance data can provide important insights into the execution and achievement of the event’s goals and objectives. The </w:t>
      </w:r>
      <w:r w:rsidR="00BB091D" w:rsidRPr="00F80AE5">
        <w:rPr>
          <w:rFonts w:cs="Times New Roman"/>
          <w:noProof/>
        </w:rPr>
        <w:t>EMBOK model</w:t>
      </w:r>
      <w:r w:rsidRPr="00F80AE5">
        <w:rPr>
          <w:rFonts w:cs="Times New Roman"/>
          <w:noProof/>
        </w:rPr>
        <w:t xml:space="preserve"> of the event cycle is applied to the UK Wellness Adventure Expo 2025. The first stage of the cycle is Initiation. In this stage, the concept and idea of the event are generated. This particular event is based on the combination of wellness, adventure, and EDI. Before creating the event concept, comprehensive market research was conducted to evaluate the market demand for wellness, adventure, and EDI in tourism. The event ideas have been validated by the market trend and increasing demand for wellness and adventure tourism in the UK MICE industry. The second stage is planning. The management of the event plans for various aspects of the event. The requirements and specifications are determined here. For the UK Wellness Adventure Expo 2025, planning is made for different operational aspects such as resource allocations, logistics, marketing, and sustainability practices. The event also plans to promote EDI through its activities. The unpredictable weather in the UK may disrupt the event activities. Hence, a risk management plan should also be included and the schedules must be flexible. The next stage of the event is implementation. At this stage, the practical delivery of the expo is implemented (EMBOK, 2019). The event manager should coordinate with the different teams so that event activities are executed successfully. Activities such as Yoga, guided hikes, and nutrition workshops in dynamic outdoor settings are the key components and attractions of the event. In addition, a contingency plan will also be implemented if there is any uncertain situation that can affect the event operations. The final stage of the event cycle is closure. The event manager </w:t>
      </w:r>
      <w:r w:rsidRPr="00F80AE5">
        <w:rPr>
          <w:rFonts w:cs="Times New Roman"/>
          <w:noProof/>
        </w:rPr>
        <w:lastRenderedPageBreak/>
        <w:t>will utilise event data to make decisions on the event performance. Considering feedback and evaluation, the manager will develop new knowledge that can be applied to the next event. This way the event cycle will be applied to various events in the MICE industry. The management must ensure that event objectives and goals are achieved in the closure stage. The gaps are to be identified by evaluation if there are any (Getz and Page, 2019).</w:t>
      </w:r>
    </w:p>
    <w:p w14:paraId="3F60BBD3" w14:textId="4D83EDAE" w:rsidR="00E256D5" w:rsidRPr="00F80AE5" w:rsidRDefault="00EC1C86" w:rsidP="00F80AE5">
      <w:pPr>
        <w:jc w:val="center"/>
        <w:rPr>
          <w:rFonts w:cs="Times New Roman"/>
          <w:noProof/>
        </w:rPr>
      </w:pPr>
      <w:r w:rsidRPr="00F80AE5">
        <w:rPr>
          <w:rFonts w:eastAsia="Times New Roman" w:cs="Times New Roman"/>
          <w:noProof/>
          <w:kern w:val="0"/>
        </w:rPr>
        <w:drawing>
          <wp:inline distT="0" distB="0" distL="0" distR="0" wp14:anchorId="6860EB6B" wp14:editId="16A972EE">
            <wp:extent cx="4419600" cy="1857375"/>
            <wp:effectExtent l="0" t="0" r="0" b="9525"/>
            <wp:docPr id="1195796284"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96284" name="Picture 1" descr="A diagram of a proces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419600" cy="1857375"/>
                    </a:xfrm>
                    <a:prstGeom prst="rect">
                      <a:avLst/>
                    </a:prstGeom>
                  </pic:spPr>
                </pic:pic>
              </a:graphicData>
            </a:graphic>
          </wp:inline>
        </w:drawing>
      </w:r>
    </w:p>
    <w:p w14:paraId="50BABE58" w14:textId="0A0A3DC7" w:rsidR="00EC1C86" w:rsidRPr="00F80AE5" w:rsidRDefault="00EC1C86" w:rsidP="00F80AE5">
      <w:pPr>
        <w:rPr>
          <w:rFonts w:eastAsia="Times New Roman" w:cs="Times New Roman"/>
          <w:noProof/>
          <w:kern w:val="0"/>
          <w14:ligatures w14:val="none"/>
        </w:rPr>
      </w:pPr>
      <w:r w:rsidRPr="00F80AE5">
        <w:rPr>
          <w:rFonts w:eastAsia="Times New Roman" w:cs="Times New Roman"/>
          <w:noProof/>
          <w:kern w:val="0"/>
          <w:szCs w:val="30"/>
          <w:lang w:bidi="bn-IN"/>
        </w:rPr>
        <mc:AlternateContent>
          <mc:Choice Requires="wps">
            <w:drawing>
              <wp:inline distT="0" distB="0" distL="0" distR="0" wp14:anchorId="45F0BA88" wp14:editId="28192C43">
                <wp:extent cx="5981700" cy="657225"/>
                <wp:effectExtent l="0" t="0" r="19050" b="28575"/>
                <wp:docPr id="798929086" name="Text Box 1"/>
                <wp:cNvGraphicFramePr/>
                <a:graphic xmlns:a="http://schemas.openxmlformats.org/drawingml/2006/main">
                  <a:graphicData uri="http://schemas.microsoft.com/office/word/2010/wordprocessingShape">
                    <wps:wsp>
                      <wps:cNvSpPr txBox="1"/>
                      <wps:spPr>
                        <a:xfrm>
                          <a:off x="0" y="0"/>
                          <a:ext cx="5981700" cy="657225"/>
                        </a:xfrm>
                        <a:prstGeom prst="rect">
                          <a:avLst/>
                        </a:prstGeom>
                        <a:noFill/>
                        <a:ln w="6350">
                          <a:solidFill>
                            <a:prstClr val="black"/>
                          </a:solidFill>
                        </a:ln>
                      </wps:spPr>
                      <wps:txbx>
                        <w:txbxContent>
                          <w:p w14:paraId="27250CD0" w14:textId="77777777" w:rsidR="00EC1C86" w:rsidRPr="00EC1C86" w:rsidRDefault="00EC1C86" w:rsidP="00EC1C86">
                            <w:pPr>
                              <w:spacing w:line="240" w:lineRule="auto"/>
                              <w:jc w:val="center"/>
                            </w:pPr>
                            <w:r w:rsidRPr="00EC1C86">
                              <w:t xml:space="preserve">Figure 1: Event Cycle </w:t>
                            </w:r>
                          </w:p>
                          <w:p w14:paraId="53694F0B" w14:textId="77777777" w:rsidR="00EC1C86" w:rsidRPr="00EC1C86" w:rsidRDefault="00EC1C86" w:rsidP="00EC1C86">
                            <w:pPr>
                              <w:spacing w:line="240" w:lineRule="auto"/>
                              <w:jc w:val="center"/>
                            </w:pPr>
                            <w:r w:rsidRPr="00EC1C86">
                              <w:t>Source: (EMBOK,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5F0BA88" id="_x0000_t202" coordsize="21600,21600" o:spt="202" path="m,l,21600r21600,l21600,xe">
                <v:stroke joinstyle="miter"/>
                <v:path gradientshapeok="t" o:connecttype="rect"/>
              </v:shapetype>
              <v:shape id="Text Box 1" o:spid="_x0000_s1026" type="#_x0000_t202" style="width:471pt;height:5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" filled="f" strokeweight=".5pt">
                <v:textbox>
                  <w:txbxContent>
                    <w:p w14:paraId="27250CD0" w14:textId="77777777" w:rsidR="00EC1C86" w:rsidRPr="00EC1C86" w:rsidRDefault="00EC1C86" w:rsidP="00EC1C86">
                      <w:pPr>
                        <w:spacing w:line="240" w:lineRule="auto"/>
                        <w:jc w:val="center"/>
                      </w:pPr>
                      <w:r w:rsidRPr="00EC1C86">
                        <w:t xml:space="preserve">Figure 1: Event Cycle </w:t>
                      </w:r>
                    </w:p>
                    <w:p w14:paraId="53694F0B" w14:textId="77777777" w:rsidR="00EC1C86" w:rsidRPr="00EC1C86" w:rsidRDefault="00EC1C86" w:rsidP="00EC1C86">
                      <w:pPr>
                        <w:spacing w:line="240" w:lineRule="auto"/>
                        <w:jc w:val="center"/>
                      </w:pPr>
                      <w:r w:rsidRPr="00EC1C86">
                        <w:t>Source: (EMBOK, 2019)</w:t>
                      </w:r>
                    </w:p>
                  </w:txbxContent>
                </v:textbox>
                <w10:anchorlock/>
              </v:shape>
            </w:pict>
          </mc:Fallback>
        </mc:AlternateContent>
      </w:r>
    </w:p>
    <w:p w14:paraId="39F0E896" w14:textId="7D340BEF" w:rsidR="00564AF0" w:rsidRPr="00F80AE5" w:rsidRDefault="006F757F" w:rsidP="00F80AE5">
      <w:pPr>
        <w:rPr>
          <w:rFonts w:cs="Times New Roman"/>
          <w:noProof/>
        </w:rPr>
      </w:pPr>
      <w:r w:rsidRPr="00F80AE5">
        <w:rPr>
          <w:rFonts w:eastAsia="Times New Roman" w:cs="Times New Roman"/>
          <w:noProof/>
          <w:kern w:val="0"/>
          <w14:ligatures w14:val="none"/>
        </w:rPr>
        <w:t>The event framework is effective in</w:t>
      </w:r>
      <w:r w:rsidR="0065609C" w:rsidRPr="00F80AE5">
        <w:rPr>
          <w:rFonts w:eastAsia="Times New Roman" w:cs="Times New Roman"/>
          <w:noProof/>
          <w:kern w:val="0"/>
          <w14:ligatures w14:val="none"/>
        </w:rPr>
        <w:t xml:space="preserve"> achieving event goals and objectives. It can continuously improve the event delivery and </w:t>
      </w:r>
      <w:r w:rsidR="00FA2673" w:rsidRPr="00F80AE5">
        <w:rPr>
          <w:rFonts w:eastAsia="Times New Roman" w:cs="Times New Roman"/>
          <w:noProof/>
          <w:kern w:val="0"/>
          <w14:ligatures w14:val="none"/>
        </w:rPr>
        <w:t xml:space="preserve">idea in dynamic settings. </w:t>
      </w:r>
    </w:p>
    <w:p w14:paraId="21BA2D52" w14:textId="77777777" w:rsidR="00D4000A" w:rsidRPr="00F80AE5" w:rsidRDefault="00D4000A" w:rsidP="00F80AE5">
      <w:pPr>
        <w:pStyle w:val="Heading1"/>
        <w:divId w:val="492717316"/>
        <w:rPr>
          <w:rFonts w:eastAsia="Times New Roman" w:cs="Times New Roman"/>
          <w:noProof/>
        </w:rPr>
      </w:pPr>
      <w:bookmarkStart w:id="2" w:name="_Toc190198940"/>
      <w:r w:rsidRPr="00F80AE5">
        <w:rPr>
          <w:rFonts w:eastAsia="Times New Roman" w:cs="Times New Roman"/>
          <w:noProof/>
        </w:rPr>
        <w:t>Event Concept</w:t>
      </w:r>
      <w:bookmarkEnd w:id="2"/>
      <w:r w:rsidRPr="00F80AE5">
        <w:rPr>
          <w:rFonts w:eastAsia="Times New Roman" w:cs="Times New Roman"/>
          <w:noProof/>
        </w:rPr>
        <w:t xml:space="preserve"> </w:t>
      </w:r>
    </w:p>
    <w:p w14:paraId="7E69555D" w14:textId="77777777" w:rsidR="00D4000A" w:rsidRPr="00F80AE5" w:rsidRDefault="00D4000A" w:rsidP="00F80AE5">
      <w:p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The UK Wellness Adventure Expo 2025 will offer a blend of wellness, adventure, and inclusivity. The event day’s itinerary has been structured in the following way to provide a better understanding of the event:</w:t>
      </w:r>
    </w:p>
    <w:p w14:paraId="29FCC1EE" w14:textId="77A19A9E" w:rsidR="00D4000A" w:rsidRPr="00F80AE5" w:rsidRDefault="00D4000A" w:rsidP="00F80AE5">
      <w:pPr>
        <w:pStyle w:val="ListParagraph"/>
        <w:numPr>
          <w:ilvl w:val="0"/>
          <w:numId w:val="12"/>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Morning Session: The morning session will be between 8 am to 11 am. Delegates are expected to arrive at the venue and have their breakfast at this time. The breakfast should be prepared with locally sourced ingredients and nutritious ingredients. A brief introduction will be delivered to explain the EDI theme of the event and the expo’s strategic Experts will guide the attendees to participate in the yoga sessions and meditation activities (Getz and Page, 2019). </w:t>
      </w:r>
    </w:p>
    <w:p w14:paraId="60A88593" w14:textId="2CA0F683" w:rsidR="00D4000A" w:rsidRPr="00F80AE5" w:rsidRDefault="00D4000A" w:rsidP="00F80AE5">
      <w:pPr>
        <w:pStyle w:val="ListParagraph"/>
        <w:numPr>
          <w:ilvl w:val="0"/>
          <w:numId w:val="12"/>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lastRenderedPageBreak/>
        <w:t xml:space="preserve">Mid-morning Session: The session will last from 11 am to 1 pm. The attendees can observe the scenic trail within the park. They will be encouraged to participate in hiking. Expert and experienced guides will deliver their speeches on various wellness narratives. It will offer an experiential learning opportunity to everyone. </w:t>
      </w:r>
    </w:p>
    <w:p w14:paraId="3C19487F" w14:textId="1314BA8A" w:rsidR="00D4000A" w:rsidRPr="00F80AE5" w:rsidRDefault="00D4000A" w:rsidP="00F80AE5">
      <w:pPr>
        <w:pStyle w:val="ListParagraph"/>
        <w:numPr>
          <w:ilvl w:val="0"/>
          <w:numId w:val="12"/>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Lunch and Exhibition: The session will start at 1 pm and close at 3 pm. The event attendees can take their lunch from eco-friendly food stalls and local brands (Fox et al., 2014). The exhibition will encourage local businesses to showcase their wellness products. </w:t>
      </w:r>
    </w:p>
    <w:p w14:paraId="30FEFFC9" w14:textId="79789E55" w:rsidR="00D4000A" w:rsidRPr="00F80AE5" w:rsidRDefault="00D4000A" w:rsidP="00F80AE5">
      <w:pPr>
        <w:pStyle w:val="ListParagraph"/>
        <w:numPr>
          <w:ilvl w:val="0"/>
          <w:numId w:val="12"/>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Afternoon Session: This session will start at 3 pm and end at 5:30 pm. EDI changes, challenges, best practices, wellness trends, and adventure tourism activities will be the key topics of the seminars, workshops, and presentations at the event. </w:t>
      </w:r>
    </w:p>
    <w:p w14:paraId="568EB308" w14:textId="7C364375" w:rsidR="00D4000A" w:rsidRPr="00F80AE5" w:rsidRDefault="00D4000A" w:rsidP="00F80AE5">
      <w:pPr>
        <w:pStyle w:val="ListParagraph"/>
        <w:numPr>
          <w:ilvl w:val="0"/>
          <w:numId w:val="12"/>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Evening Session: The evening session will end at 7 pm. Event attendees will take their dinner in this session. They can share their dialogues and experiences in an inclusive and collaborative setting. The change requirements and adjustments can be identified through open discussions (Kolb, 2021). </w:t>
      </w:r>
    </w:p>
    <w:p w14:paraId="3B7721E8" w14:textId="77777777" w:rsidR="00D4000A" w:rsidRPr="00F80AE5" w:rsidRDefault="00D4000A" w:rsidP="00F80AE5">
      <w:pPr>
        <w:pStyle w:val="Heading1"/>
        <w:divId w:val="492717316"/>
        <w:rPr>
          <w:rFonts w:eastAsia="Times New Roman" w:cs="Times New Roman"/>
          <w:noProof/>
        </w:rPr>
      </w:pPr>
      <w:bookmarkStart w:id="3" w:name="_Toc190198941"/>
      <w:r w:rsidRPr="00F80AE5">
        <w:rPr>
          <w:rFonts w:eastAsia="Times New Roman" w:cs="Times New Roman"/>
          <w:noProof/>
        </w:rPr>
        <w:t>Aim and Objectives of the Event</w:t>
      </w:r>
      <w:bookmarkEnd w:id="3"/>
    </w:p>
    <w:p w14:paraId="645C9F9D" w14:textId="77777777" w:rsidR="00D4000A" w:rsidRPr="00F80AE5" w:rsidRDefault="00D4000A" w:rsidP="00F80AE5">
      <w:p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The UK Wellness Adventure Expo 2025 aims to create an inclusive and transformative platform for wellness and adventure. It will ensure that the personal well-being of the people can be achieved and EDI aspects are promoted in the MICE industry. The SMART objectives of the event are given below:</w:t>
      </w:r>
    </w:p>
    <w:p w14:paraId="50643E2C" w14:textId="660EDAAE" w:rsidR="00D4000A" w:rsidRPr="00F80AE5" w:rsidRDefault="00D4000A" w:rsidP="00F80AE5">
      <w:pPr>
        <w:pStyle w:val="ListParagraph"/>
        <w:numPr>
          <w:ilvl w:val="0"/>
          <w:numId w:val="11"/>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The event will be highly engaging and participative which will be reflected in the 85% satisfaction rate in the post-event survey. </w:t>
      </w:r>
    </w:p>
    <w:p w14:paraId="30B20CA8" w14:textId="7930B23A" w:rsidR="00D4000A" w:rsidRPr="00F80AE5" w:rsidRDefault="00D4000A" w:rsidP="00F80AE5">
      <w:pPr>
        <w:pStyle w:val="ListParagraph"/>
        <w:numPr>
          <w:ilvl w:val="0"/>
          <w:numId w:val="11"/>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It will strengthen the local economy by partnering with at least 20 local businesses by August 2025</w:t>
      </w:r>
      <w:r w:rsidR="00DA7B02" w:rsidRPr="00F80AE5">
        <w:rPr>
          <w:rFonts w:eastAsia="Times New Roman" w:cs="Times New Roman"/>
          <w:noProof/>
          <w:kern w:val="0"/>
          <w14:ligatures w14:val="none"/>
        </w:rPr>
        <w:t>.</w:t>
      </w:r>
      <w:r w:rsidRPr="00F80AE5">
        <w:rPr>
          <w:rFonts w:eastAsia="Times New Roman" w:cs="Times New Roman"/>
          <w:noProof/>
          <w:kern w:val="0"/>
          <w14:ligatures w14:val="none"/>
        </w:rPr>
        <w:t xml:space="preserve"> </w:t>
      </w:r>
    </w:p>
    <w:p w14:paraId="3B6AE626" w14:textId="1B680FD2" w:rsidR="00D4000A" w:rsidRPr="00F80AE5" w:rsidRDefault="00D4000A" w:rsidP="00F80AE5">
      <w:pPr>
        <w:pStyle w:val="ListParagraph"/>
        <w:numPr>
          <w:ilvl w:val="0"/>
          <w:numId w:val="11"/>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The event will promote EDI by structuring its activities as inclusive and participative by people of all backgrounds and social classes (Fox et al., 2014).</w:t>
      </w:r>
    </w:p>
    <w:p w14:paraId="0F0C0318" w14:textId="77777777" w:rsidR="00D4000A" w:rsidRPr="00F80AE5" w:rsidRDefault="00D4000A" w:rsidP="00F80AE5">
      <w:pPr>
        <w:pStyle w:val="Heading1"/>
        <w:divId w:val="492717316"/>
        <w:rPr>
          <w:rFonts w:eastAsia="Times New Roman" w:cs="Times New Roman"/>
          <w:noProof/>
        </w:rPr>
      </w:pPr>
      <w:bookmarkStart w:id="4" w:name="_Toc190198942"/>
      <w:r w:rsidRPr="00F80AE5">
        <w:rPr>
          <w:rFonts w:eastAsia="Times New Roman" w:cs="Times New Roman"/>
          <w:noProof/>
        </w:rPr>
        <w:lastRenderedPageBreak/>
        <w:t>Event Management</w:t>
      </w:r>
      <w:bookmarkEnd w:id="4"/>
      <w:r w:rsidRPr="00F80AE5">
        <w:rPr>
          <w:rFonts w:eastAsia="Times New Roman" w:cs="Times New Roman"/>
          <w:noProof/>
        </w:rPr>
        <w:t xml:space="preserve"> </w:t>
      </w:r>
    </w:p>
    <w:p w14:paraId="5ADF678A" w14:textId="77777777" w:rsidR="00D4000A" w:rsidRPr="00F80AE5" w:rsidRDefault="00D4000A" w:rsidP="00F80AE5">
      <w:p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Event management refers to the systematic planning, organising, resourcing, and controlling of various activities such as event operations, project management, and marketing. These three core event management areas for the expo are explained below:</w:t>
      </w:r>
    </w:p>
    <w:p w14:paraId="4793FF56" w14:textId="2172A10C" w:rsidR="00D4000A" w:rsidRPr="00F80AE5" w:rsidRDefault="00D4000A" w:rsidP="00F80AE5">
      <w:pPr>
        <w:pStyle w:val="ListParagraph"/>
        <w:numPr>
          <w:ilvl w:val="0"/>
          <w:numId w:val="10"/>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Event Operations: For event operations, an effective and functioning team will be developed. They are responsible for health and safety compliance for the delegates, coordination among other teams, and logistic support to other areas of the event. The team will help delegates to complete their registration and complete equipment setups. To accomplish all these tasks, they are required to have certain skills and technical knowledge. They must be able to handle digital check-in, AV systems, transportation applications, and knowledge of sustainability practices (Ding et al., 2018). They should be able to manage risks by making quick responses. </w:t>
      </w:r>
    </w:p>
    <w:p w14:paraId="13B756CB" w14:textId="50D2D2FD" w:rsidR="00D4000A" w:rsidRPr="00F80AE5" w:rsidRDefault="00D4000A" w:rsidP="00F80AE5">
      <w:pPr>
        <w:pStyle w:val="ListParagraph"/>
        <w:numPr>
          <w:ilvl w:val="0"/>
          <w:numId w:val="10"/>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Project Management: To make the event successful, strategic planning must be made based on the event concept. A project management team will be there to support activities such as budgeting, scheduling, stakeholder engagement, and contingency planning to address risks. The employees within the team must have strong negotiation skills as they are often responsible for making contracts with different suppliers and businesses (Meredith and Mantel, 2012). They should be able to operate different project management tools and software to execute the plan successfully. Technical skills are essential for graduates to enhance their employability in the MICE industry. The project management team should have time management skills because they have to complete different tasks within the deadline. Moreover, a comprehensive understanding of EDI practices will provide them with a competitive advantage in the job role. Employees need to enhance their knowledge of working within an inclusive environment (Sisson and Adams, 2013). </w:t>
      </w:r>
    </w:p>
    <w:p w14:paraId="13223E86" w14:textId="2095A097" w:rsidR="00305755" w:rsidRPr="00F80AE5" w:rsidRDefault="00D4000A" w:rsidP="00F80AE5">
      <w:pPr>
        <w:pStyle w:val="ListParagraph"/>
        <w:numPr>
          <w:ilvl w:val="0"/>
          <w:numId w:val="10"/>
        </w:numPr>
        <w:spacing w:before="100" w:beforeAutospacing="1" w:after="100" w:afterAutospacing="1"/>
        <w:divId w:val="492717316"/>
        <w:rPr>
          <w:rFonts w:eastAsia="Times New Roman" w:cs="Times New Roman"/>
          <w:noProof/>
          <w:kern w:val="0"/>
          <w14:ligatures w14:val="none"/>
        </w:rPr>
      </w:pPr>
      <w:r w:rsidRPr="00F80AE5">
        <w:rPr>
          <w:rFonts w:eastAsia="Times New Roman" w:cs="Times New Roman"/>
          <w:noProof/>
          <w:kern w:val="0"/>
          <w14:ligatures w14:val="none"/>
        </w:rPr>
        <w:t xml:space="preserve">Marketing and Communication: Without the marketing department, the event is less likely to achieve success and its objectives. Marketing and communication activities are essential in increasing the reach of the event concept. Both domestic and international tourists are attracted through the marketing and communication channels. The event manager will utilise both digital and traditional marketing channels to reach its target audiences (Preston, 2012). The marketing managers will create eye-catching flyers and billboards to promote the event. They </w:t>
      </w:r>
      <w:r w:rsidRPr="00F80AE5">
        <w:rPr>
          <w:rFonts w:eastAsia="Times New Roman" w:cs="Times New Roman"/>
          <w:noProof/>
          <w:kern w:val="0"/>
          <w14:ligatures w14:val="none"/>
        </w:rPr>
        <w:lastRenderedPageBreak/>
        <w:t>will use social media platforms such as Facebook, Instagram, and Twitter to engage with the target audiences regularly. These platforms are highly effective in making targeting ads. By sharing engaging content such as videos on wellness retreats, adventures, and EDI environments, the management can keep its audience continuously engaged with the event (Harb et al., 2019). They may consider developing an event website and utilising SEO techniques to enhance their marketing efforts. Data analytics and digital platform usage can shape the decision-making for event managers. Because they can make informed decisions that are more effective in achieving the goals and objectives of the event. To accomplish all the marketing tasks, employees should have experience in working in a marketing team and the technical skills to operate digital platforms (Wise and Harris, 2017).</w:t>
      </w:r>
    </w:p>
    <w:p w14:paraId="303D5426" w14:textId="3A0CABA9" w:rsidR="00163F40" w:rsidRPr="00F80AE5" w:rsidRDefault="00305755" w:rsidP="00F80AE5">
      <w:pPr>
        <w:pStyle w:val="Heading1"/>
        <w:rPr>
          <w:rFonts w:cs="Times New Roman"/>
          <w:noProof/>
        </w:rPr>
      </w:pPr>
      <w:bookmarkStart w:id="5" w:name="_Toc190198943"/>
      <w:r w:rsidRPr="00F80AE5">
        <w:rPr>
          <w:rFonts w:cs="Times New Roman"/>
          <w:noProof/>
        </w:rPr>
        <w:t>Budget</w:t>
      </w:r>
      <w:bookmarkEnd w:id="5"/>
      <w:r w:rsidRPr="00F80AE5">
        <w:rPr>
          <w:rFonts w:cs="Times New Roman"/>
          <w:noProof/>
        </w:rPr>
        <w:t xml:space="preserve"> </w:t>
      </w:r>
    </w:p>
    <w:p w14:paraId="667901FD" w14:textId="347783A0" w:rsidR="00305755" w:rsidRPr="00F80AE5" w:rsidRDefault="0095014C" w:rsidP="00F80AE5">
      <w:pPr>
        <w:rPr>
          <w:rFonts w:cs="Times New Roman"/>
          <w:noProof/>
        </w:rPr>
      </w:pPr>
      <w:r w:rsidRPr="00F80AE5">
        <w:rPr>
          <w:rFonts w:cs="Times New Roman"/>
          <w:noProof/>
        </w:rPr>
        <w:t xml:space="preserve">A budget is a financial plan for the event. In this plan, </w:t>
      </w:r>
      <w:r w:rsidR="009879DD" w:rsidRPr="00F80AE5">
        <w:rPr>
          <w:rFonts w:cs="Times New Roman"/>
          <w:noProof/>
        </w:rPr>
        <w:t>the sources of income and expenditure are identified</w:t>
      </w:r>
      <w:r w:rsidR="00954751" w:rsidRPr="00F80AE5">
        <w:rPr>
          <w:rFonts w:cs="Times New Roman"/>
          <w:noProof/>
        </w:rPr>
        <w:t xml:space="preserve">. </w:t>
      </w:r>
      <w:r w:rsidR="00A515EC" w:rsidRPr="00F80AE5">
        <w:rPr>
          <w:rFonts w:cs="Times New Roman"/>
          <w:noProof/>
        </w:rPr>
        <w:t xml:space="preserve">The budget for the expo is provided below: </w:t>
      </w:r>
    </w:p>
    <w:tbl>
      <w:tblPr>
        <w:tblStyle w:val="GridTable1Light-Accent4"/>
        <w:tblW w:w="0" w:type="auto"/>
        <w:tblLook w:val="04A0" w:firstRow="1" w:lastRow="0" w:firstColumn="1" w:lastColumn="0" w:noHBand="0" w:noVBand="1"/>
      </w:tblPr>
      <w:tblGrid>
        <w:gridCol w:w="2337"/>
        <w:gridCol w:w="2337"/>
        <w:gridCol w:w="2338"/>
        <w:gridCol w:w="2338"/>
      </w:tblGrid>
      <w:tr w:rsidR="000243B1" w:rsidRPr="00F80AE5" w14:paraId="7C848768" w14:textId="77777777" w:rsidTr="00BA1D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24145B6" w14:textId="4392103E" w:rsidR="000243B1" w:rsidRPr="00F80AE5" w:rsidRDefault="001B0C1A" w:rsidP="00F80AE5">
            <w:pPr>
              <w:jc w:val="center"/>
              <w:rPr>
                <w:rFonts w:cs="Times New Roman"/>
                <w:noProof/>
              </w:rPr>
            </w:pPr>
            <w:r w:rsidRPr="00F80AE5">
              <w:rPr>
                <w:rFonts w:cs="Times New Roman"/>
                <w:noProof/>
              </w:rPr>
              <w:t>Costs</w:t>
            </w:r>
          </w:p>
        </w:tc>
        <w:tc>
          <w:tcPr>
            <w:tcW w:w="2337" w:type="dxa"/>
          </w:tcPr>
          <w:p w14:paraId="5D1C3C6B" w14:textId="527065EE" w:rsidR="000243B1" w:rsidRPr="00F80AE5" w:rsidRDefault="001B0C1A" w:rsidP="00F80AE5">
            <w:pPr>
              <w:jc w:val="center"/>
              <w:cnfStyle w:val="100000000000" w:firstRow="1"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Amount £</w:t>
            </w:r>
          </w:p>
        </w:tc>
        <w:tc>
          <w:tcPr>
            <w:tcW w:w="2338" w:type="dxa"/>
          </w:tcPr>
          <w:p w14:paraId="1F46C4E4" w14:textId="619853D9" w:rsidR="000243B1" w:rsidRPr="00F80AE5" w:rsidRDefault="001B0C1A" w:rsidP="00F80AE5">
            <w:pPr>
              <w:jc w:val="center"/>
              <w:cnfStyle w:val="100000000000" w:firstRow="1"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Revenue</w:t>
            </w:r>
          </w:p>
        </w:tc>
        <w:tc>
          <w:tcPr>
            <w:tcW w:w="2338" w:type="dxa"/>
          </w:tcPr>
          <w:p w14:paraId="78FC2781" w14:textId="2BD58FCA" w:rsidR="000243B1" w:rsidRPr="00F80AE5" w:rsidRDefault="001B0C1A" w:rsidP="00F80AE5">
            <w:pPr>
              <w:jc w:val="center"/>
              <w:cnfStyle w:val="100000000000" w:firstRow="1"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Amount</w:t>
            </w:r>
          </w:p>
        </w:tc>
      </w:tr>
      <w:tr w:rsidR="000243B1" w:rsidRPr="00F80AE5" w14:paraId="13260F71"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034B9141" w14:textId="418D4554" w:rsidR="000243B1" w:rsidRPr="00F80AE5" w:rsidRDefault="005E0913" w:rsidP="00F80AE5">
            <w:pPr>
              <w:rPr>
                <w:rFonts w:cs="Times New Roman"/>
                <w:noProof/>
              </w:rPr>
            </w:pPr>
            <w:r w:rsidRPr="00F80AE5">
              <w:rPr>
                <w:rFonts w:cs="Times New Roman"/>
                <w:noProof/>
              </w:rPr>
              <w:t xml:space="preserve">Venue &amp; permit </w:t>
            </w:r>
          </w:p>
        </w:tc>
        <w:tc>
          <w:tcPr>
            <w:tcW w:w="2337" w:type="dxa"/>
          </w:tcPr>
          <w:p w14:paraId="05101075" w14:textId="1286FDBE" w:rsidR="000243B1" w:rsidRPr="00F80AE5" w:rsidRDefault="005E0913"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25000</w:t>
            </w:r>
          </w:p>
        </w:tc>
        <w:tc>
          <w:tcPr>
            <w:tcW w:w="2338" w:type="dxa"/>
          </w:tcPr>
          <w:p w14:paraId="54540191" w14:textId="1AD3584A" w:rsidR="000243B1" w:rsidRPr="00F80AE5" w:rsidRDefault="009816D5"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Ticket sales</w:t>
            </w:r>
          </w:p>
        </w:tc>
        <w:tc>
          <w:tcPr>
            <w:tcW w:w="2338" w:type="dxa"/>
          </w:tcPr>
          <w:p w14:paraId="35CCF6D5" w14:textId="1CF40AD8" w:rsidR="000243B1" w:rsidRPr="00F80AE5" w:rsidRDefault="003345F8"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130000</w:t>
            </w:r>
          </w:p>
        </w:tc>
      </w:tr>
      <w:tr w:rsidR="000243B1" w:rsidRPr="00F80AE5" w14:paraId="1822B08D"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362B0F29" w14:textId="4EC08E54" w:rsidR="000243B1" w:rsidRPr="00F80AE5" w:rsidRDefault="008B55EC" w:rsidP="00F80AE5">
            <w:pPr>
              <w:rPr>
                <w:rFonts w:cs="Times New Roman"/>
                <w:noProof/>
              </w:rPr>
            </w:pPr>
            <w:r w:rsidRPr="00F80AE5">
              <w:rPr>
                <w:rFonts w:cs="Times New Roman"/>
                <w:noProof/>
              </w:rPr>
              <w:t>Catering &amp; vendor fee</w:t>
            </w:r>
          </w:p>
        </w:tc>
        <w:tc>
          <w:tcPr>
            <w:tcW w:w="2337" w:type="dxa"/>
          </w:tcPr>
          <w:p w14:paraId="2CF158B6" w14:textId="48CFDAEE" w:rsidR="000243B1" w:rsidRPr="00F80AE5" w:rsidRDefault="008B55EC"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20000</w:t>
            </w:r>
          </w:p>
        </w:tc>
        <w:tc>
          <w:tcPr>
            <w:tcW w:w="2338" w:type="dxa"/>
          </w:tcPr>
          <w:p w14:paraId="41E4F62A" w14:textId="04671E02" w:rsidR="000243B1" w:rsidRPr="00F80AE5" w:rsidRDefault="00FC4560"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Vendor fees</w:t>
            </w:r>
          </w:p>
        </w:tc>
        <w:tc>
          <w:tcPr>
            <w:tcW w:w="2338" w:type="dxa"/>
          </w:tcPr>
          <w:p w14:paraId="07C47E01" w14:textId="44A36DBD" w:rsidR="000243B1" w:rsidRPr="00F80AE5" w:rsidRDefault="00947CA1"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30000</w:t>
            </w:r>
          </w:p>
        </w:tc>
      </w:tr>
      <w:tr w:rsidR="000243B1" w:rsidRPr="00F80AE5" w14:paraId="6F021B2E"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05DBCFF1" w14:textId="5D8E4366" w:rsidR="000243B1" w:rsidRPr="00F80AE5" w:rsidRDefault="00D038BE" w:rsidP="00F80AE5">
            <w:pPr>
              <w:rPr>
                <w:rFonts w:cs="Times New Roman"/>
                <w:noProof/>
              </w:rPr>
            </w:pPr>
            <w:r w:rsidRPr="00F80AE5">
              <w:rPr>
                <w:rFonts w:cs="Times New Roman"/>
                <w:noProof/>
              </w:rPr>
              <w:t xml:space="preserve">Marketing </w:t>
            </w:r>
          </w:p>
        </w:tc>
        <w:tc>
          <w:tcPr>
            <w:tcW w:w="2337" w:type="dxa"/>
          </w:tcPr>
          <w:p w14:paraId="5CC5054D" w14:textId="3EA0D115" w:rsidR="000243B1" w:rsidRPr="00F80AE5" w:rsidRDefault="003A1944"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10000</w:t>
            </w:r>
          </w:p>
        </w:tc>
        <w:tc>
          <w:tcPr>
            <w:tcW w:w="2338" w:type="dxa"/>
          </w:tcPr>
          <w:p w14:paraId="0D693005" w14:textId="52C5241A" w:rsidR="000243B1" w:rsidRPr="00F80AE5" w:rsidRDefault="00452C6E"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Sponsorship</w:t>
            </w:r>
          </w:p>
        </w:tc>
        <w:tc>
          <w:tcPr>
            <w:tcW w:w="2338" w:type="dxa"/>
          </w:tcPr>
          <w:p w14:paraId="1763E984" w14:textId="378BCD76" w:rsidR="000243B1" w:rsidRPr="00F80AE5" w:rsidRDefault="00452C6E"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50000</w:t>
            </w:r>
          </w:p>
        </w:tc>
      </w:tr>
      <w:tr w:rsidR="000243B1" w:rsidRPr="00F80AE5" w14:paraId="5EF27763"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3ED9B6B0" w14:textId="048F6997" w:rsidR="000243B1" w:rsidRPr="00F80AE5" w:rsidRDefault="00A635FB" w:rsidP="00F80AE5">
            <w:pPr>
              <w:rPr>
                <w:rFonts w:cs="Times New Roman"/>
                <w:noProof/>
              </w:rPr>
            </w:pPr>
            <w:r w:rsidRPr="00F80AE5">
              <w:rPr>
                <w:rFonts w:cs="Times New Roman"/>
                <w:noProof/>
              </w:rPr>
              <w:t xml:space="preserve">Staffing </w:t>
            </w:r>
          </w:p>
        </w:tc>
        <w:tc>
          <w:tcPr>
            <w:tcW w:w="2337" w:type="dxa"/>
          </w:tcPr>
          <w:p w14:paraId="414244E5" w14:textId="170C41E4" w:rsidR="000243B1" w:rsidRPr="00F80AE5" w:rsidRDefault="00A635FB"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15000</w:t>
            </w:r>
          </w:p>
        </w:tc>
        <w:tc>
          <w:tcPr>
            <w:tcW w:w="2338" w:type="dxa"/>
          </w:tcPr>
          <w:p w14:paraId="2659DF8F" w14:textId="7006D7A1" w:rsidR="000243B1" w:rsidRPr="00F80AE5" w:rsidRDefault="00FC2E54" w:rsidP="00F80AE5">
            <w:pPr>
              <w:jc w:val="center"/>
              <w:cnfStyle w:val="000000000000" w:firstRow="0" w:lastRow="0" w:firstColumn="0" w:lastColumn="0" w:oddVBand="0" w:evenVBand="0" w:oddHBand="0" w:evenHBand="0" w:firstRowFirstColumn="0" w:firstRowLastColumn="0" w:lastRowFirstColumn="0" w:lastRowLastColumn="0"/>
              <w:rPr>
                <w:rFonts w:cs="Times New Roman"/>
                <w:b/>
                <w:bCs/>
                <w:noProof/>
              </w:rPr>
            </w:pPr>
            <w:r w:rsidRPr="00F80AE5">
              <w:rPr>
                <w:rFonts w:cs="Times New Roman"/>
                <w:b/>
                <w:bCs/>
                <w:noProof/>
              </w:rPr>
              <w:t>Total revenue</w:t>
            </w:r>
          </w:p>
        </w:tc>
        <w:tc>
          <w:tcPr>
            <w:tcW w:w="2338" w:type="dxa"/>
          </w:tcPr>
          <w:p w14:paraId="60E226AC" w14:textId="469459A1" w:rsidR="000243B1" w:rsidRPr="00F80AE5" w:rsidRDefault="00B874A5"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210000</w:t>
            </w:r>
          </w:p>
        </w:tc>
      </w:tr>
      <w:tr w:rsidR="000243B1" w:rsidRPr="00F80AE5" w14:paraId="14938B79"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16DB082E" w14:textId="5E2A6177" w:rsidR="000243B1" w:rsidRPr="00F80AE5" w:rsidRDefault="006A753E" w:rsidP="00F80AE5">
            <w:pPr>
              <w:rPr>
                <w:rFonts w:cs="Times New Roman"/>
                <w:noProof/>
              </w:rPr>
            </w:pPr>
            <w:r w:rsidRPr="00F80AE5">
              <w:rPr>
                <w:rFonts w:cs="Times New Roman"/>
                <w:noProof/>
              </w:rPr>
              <w:t xml:space="preserve">Technologies </w:t>
            </w:r>
          </w:p>
        </w:tc>
        <w:tc>
          <w:tcPr>
            <w:tcW w:w="2337" w:type="dxa"/>
          </w:tcPr>
          <w:p w14:paraId="6BD57FCF" w14:textId="4318EBA5" w:rsidR="000243B1" w:rsidRPr="00F80AE5" w:rsidRDefault="006A753E"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10000</w:t>
            </w:r>
          </w:p>
        </w:tc>
        <w:tc>
          <w:tcPr>
            <w:tcW w:w="2338" w:type="dxa"/>
          </w:tcPr>
          <w:p w14:paraId="789523C1" w14:textId="77777777" w:rsidR="000243B1" w:rsidRPr="00F80AE5" w:rsidRDefault="000243B1"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p>
        </w:tc>
        <w:tc>
          <w:tcPr>
            <w:tcW w:w="2338" w:type="dxa"/>
          </w:tcPr>
          <w:p w14:paraId="0C899130" w14:textId="77777777" w:rsidR="000243B1" w:rsidRPr="00F80AE5" w:rsidRDefault="000243B1"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p>
        </w:tc>
      </w:tr>
      <w:tr w:rsidR="000243B1" w:rsidRPr="00F80AE5" w14:paraId="7C19D292"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7B5A5ACC" w14:textId="7F74C390" w:rsidR="000243B1" w:rsidRPr="00F80AE5" w:rsidRDefault="002D20FD" w:rsidP="00F80AE5">
            <w:pPr>
              <w:rPr>
                <w:rFonts w:cs="Times New Roman"/>
                <w:noProof/>
              </w:rPr>
            </w:pPr>
            <w:r w:rsidRPr="00F80AE5">
              <w:rPr>
                <w:rFonts w:cs="Times New Roman"/>
                <w:noProof/>
              </w:rPr>
              <w:t xml:space="preserve">Miscellaneous </w:t>
            </w:r>
          </w:p>
        </w:tc>
        <w:tc>
          <w:tcPr>
            <w:tcW w:w="2337" w:type="dxa"/>
          </w:tcPr>
          <w:p w14:paraId="545A4D01" w14:textId="7AD3921D" w:rsidR="000243B1" w:rsidRPr="00F80AE5" w:rsidRDefault="002D20FD"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10000</w:t>
            </w:r>
          </w:p>
        </w:tc>
        <w:tc>
          <w:tcPr>
            <w:tcW w:w="2338" w:type="dxa"/>
          </w:tcPr>
          <w:p w14:paraId="2748F3CF" w14:textId="77777777" w:rsidR="000243B1" w:rsidRPr="00F80AE5" w:rsidRDefault="000243B1"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p>
        </w:tc>
        <w:tc>
          <w:tcPr>
            <w:tcW w:w="2338" w:type="dxa"/>
          </w:tcPr>
          <w:p w14:paraId="34BE1AE0" w14:textId="77777777" w:rsidR="000243B1" w:rsidRPr="00F80AE5" w:rsidRDefault="000243B1"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p>
        </w:tc>
      </w:tr>
      <w:tr w:rsidR="000243B1" w:rsidRPr="00F80AE5" w14:paraId="696B0835" w14:textId="77777777" w:rsidTr="00BA1D12">
        <w:tc>
          <w:tcPr>
            <w:cnfStyle w:val="001000000000" w:firstRow="0" w:lastRow="0" w:firstColumn="1" w:lastColumn="0" w:oddVBand="0" w:evenVBand="0" w:oddHBand="0" w:evenHBand="0" w:firstRowFirstColumn="0" w:firstRowLastColumn="0" w:lastRowFirstColumn="0" w:lastRowLastColumn="0"/>
            <w:tcW w:w="2337" w:type="dxa"/>
          </w:tcPr>
          <w:p w14:paraId="05B02B05" w14:textId="6AA90EEF" w:rsidR="000243B1" w:rsidRPr="00F80AE5" w:rsidRDefault="002D20FD" w:rsidP="00F80AE5">
            <w:pPr>
              <w:rPr>
                <w:rFonts w:cs="Times New Roman"/>
                <w:noProof/>
              </w:rPr>
            </w:pPr>
            <w:r w:rsidRPr="00F80AE5">
              <w:rPr>
                <w:rFonts w:cs="Times New Roman"/>
                <w:noProof/>
              </w:rPr>
              <w:t>Total costs</w:t>
            </w:r>
          </w:p>
        </w:tc>
        <w:tc>
          <w:tcPr>
            <w:tcW w:w="2337" w:type="dxa"/>
          </w:tcPr>
          <w:p w14:paraId="526F1B95" w14:textId="088D9080" w:rsidR="000243B1" w:rsidRPr="00F80AE5" w:rsidRDefault="008B0771"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90000</w:t>
            </w:r>
          </w:p>
        </w:tc>
        <w:tc>
          <w:tcPr>
            <w:tcW w:w="2338" w:type="dxa"/>
          </w:tcPr>
          <w:p w14:paraId="0B8208E3" w14:textId="518B21B1" w:rsidR="000243B1" w:rsidRPr="00F80AE5" w:rsidRDefault="00B874A5" w:rsidP="00F80AE5">
            <w:pPr>
              <w:jc w:val="center"/>
              <w:cnfStyle w:val="000000000000" w:firstRow="0" w:lastRow="0" w:firstColumn="0" w:lastColumn="0" w:oddVBand="0" w:evenVBand="0" w:oddHBand="0" w:evenHBand="0" w:firstRowFirstColumn="0" w:firstRowLastColumn="0" w:lastRowFirstColumn="0" w:lastRowLastColumn="0"/>
              <w:rPr>
                <w:rFonts w:cs="Times New Roman"/>
                <w:b/>
                <w:bCs/>
                <w:noProof/>
              </w:rPr>
            </w:pPr>
            <w:r w:rsidRPr="00F80AE5">
              <w:rPr>
                <w:rFonts w:cs="Times New Roman"/>
                <w:b/>
                <w:bCs/>
                <w:noProof/>
              </w:rPr>
              <w:t>Net income</w:t>
            </w:r>
          </w:p>
        </w:tc>
        <w:tc>
          <w:tcPr>
            <w:tcW w:w="2338" w:type="dxa"/>
          </w:tcPr>
          <w:p w14:paraId="169B9335" w14:textId="7FB636CC" w:rsidR="000243B1" w:rsidRPr="00F80AE5" w:rsidRDefault="00EF45C0" w:rsidP="00F80AE5">
            <w:pPr>
              <w:jc w:val="center"/>
              <w:cnfStyle w:val="000000000000" w:firstRow="0" w:lastRow="0" w:firstColumn="0" w:lastColumn="0" w:oddVBand="0" w:evenVBand="0" w:oddHBand="0" w:evenHBand="0" w:firstRowFirstColumn="0" w:firstRowLastColumn="0" w:lastRowFirstColumn="0" w:lastRowLastColumn="0"/>
              <w:rPr>
                <w:rFonts w:cs="Times New Roman"/>
                <w:noProof/>
              </w:rPr>
            </w:pPr>
            <w:r w:rsidRPr="00F80AE5">
              <w:rPr>
                <w:rFonts w:cs="Times New Roman"/>
                <w:noProof/>
              </w:rPr>
              <w:t>120000</w:t>
            </w:r>
          </w:p>
        </w:tc>
      </w:tr>
    </w:tbl>
    <w:p w14:paraId="3DD452BD" w14:textId="4D46C011" w:rsidR="00C04BDB" w:rsidRPr="00F80AE5" w:rsidRDefault="00AA76C8" w:rsidP="00F80AE5">
      <w:pPr>
        <w:rPr>
          <w:rFonts w:cs="Times New Roman"/>
          <w:noProof/>
        </w:rPr>
      </w:pPr>
      <w:r w:rsidRPr="00F80AE5">
        <w:rPr>
          <w:rFonts w:cs="Times New Roman"/>
          <w:noProof/>
        </w:rPr>
        <w:t xml:space="preserve">The cost benefit analysis will be applied to make </w:t>
      </w:r>
      <w:r w:rsidR="00584F48" w:rsidRPr="00F80AE5">
        <w:rPr>
          <w:rFonts w:cs="Times New Roman"/>
          <w:noProof/>
        </w:rPr>
        <w:t>any decisions for the event. Any activities that the management undertake must ex</w:t>
      </w:r>
      <w:r w:rsidR="00D0187C" w:rsidRPr="00F80AE5">
        <w:rPr>
          <w:rFonts w:cs="Times New Roman"/>
          <w:noProof/>
        </w:rPr>
        <w:t xml:space="preserve">ceed in financial benefits from the costs so that the event </w:t>
      </w:r>
      <w:r w:rsidR="000D4E5D" w:rsidRPr="00F80AE5">
        <w:rPr>
          <w:rFonts w:cs="Times New Roman"/>
          <w:noProof/>
        </w:rPr>
        <w:t xml:space="preserve">remains profitable. The budget shows that the financial success of the event is highly dependent on ticket sales. </w:t>
      </w:r>
      <w:r w:rsidR="001F097C" w:rsidRPr="00F80AE5">
        <w:rPr>
          <w:rFonts w:cs="Times New Roman"/>
          <w:noProof/>
        </w:rPr>
        <w:t xml:space="preserve">The event also relies on sponsorship funds. </w:t>
      </w:r>
      <w:r w:rsidR="00C04BDB" w:rsidRPr="00F80AE5">
        <w:rPr>
          <w:rFonts w:cs="Times New Roman"/>
          <w:noProof/>
        </w:rPr>
        <w:t>To raise funds from these sources, the management must ensure successful marketing and communication activities</w:t>
      </w:r>
      <w:r w:rsidR="00B31002" w:rsidRPr="00F80AE5">
        <w:rPr>
          <w:rFonts w:cs="Times New Roman"/>
          <w:noProof/>
        </w:rPr>
        <w:t xml:space="preserve"> (O’Toole, 2011)</w:t>
      </w:r>
      <w:r w:rsidR="00C04BDB" w:rsidRPr="00F80AE5">
        <w:rPr>
          <w:rFonts w:cs="Times New Roman"/>
          <w:noProof/>
        </w:rPr>
        <w:t xml:space="preserve">. </w:t>
      </w:r>
    </w:p>
    <w:p w14:paraId="28191633" w14:textId="77777777" w:rsidR="0060388B" w:rsidRPr="00F80AE5" w:rsidRDefault="0060388B" w:rsidP="00F80AE5">
      <w:pPr>
        <w:pStyle w:val="Heading1"/>
        <w:rPr>
          <w:rFonts w:cs="Times New Roman"/>
          <w:noProof/>
        </w:rPr>
      </w:pPr>
      <w:bookmarkStart w:id="6" w:name="_Toc190198944"/>
      <w:r w:rsidRPr="00F80AE5">
        <w:rPr>
          <w:rFonts w:cs="Times New Roman"/>
          <w:noProof/>
        </w:rPr>
        <w:lastRenderedPageBreak/>
        <w:t>Industry Analysis</w:t>
      </w:r>
      <w:bookmarkEnd w:id="6"/>
      <w:r w:rsidRPr="00F80AE5">
        <w:rPr>
          <w:rFonts w:cs="Times New Roman"/>
          <w:noProof/>
        </w:rPr>
        <w:t xml:space="preserve"> </w:t>
      </w:r>
    </w:p>
    <w:p w14:paraId="64739360" w14:textId="55B89F73" w:rsidR="0060388B" w:rsidRPr="00F80AE5" w:rsidRDefault="0060388B" w:rsidP="00F80AE5">
      <w:pPr>
        <w:rPr>
          <w:rFonts w:cs="Times New Roman"/>
          <w:noProof/>
        </w:rPr>
      </w:pPr>
      <w:r w:rsidRPr="00F80AE5">
        <w:rPr>
          <w:rFonts w:cs="Times New Roman"/>
          <w:noProof/>
        </w:rPr>
        <w:t>The MICE industry has undergone several changes and transformations due to the changing trends and issues. The changing trends and emerging issues within the industry can influence event operations. The UK Wellness Adventure Expo 2025 is also influenced by several factors. One of the most important trends in the MICE industry is the hybrid and virtual components usage. As the COVID-19 pandemic disrupted the normal lifestyle of the people, businesses adapted to digital solutions. The use of hybrid and virtual components facilitated to organise of meetings and events virtually (M. Kanade and K. Savale, 2023). Although the expo is mainly designed for in-person sessions, still there are scopes for making it suitable for virtual experiences. Audiences who are unable to participate in the event will be able to watch a livestream of the key sessions. Online question-and-answer sessions will make the event more engaging. Another important issue in the MICE industry is the implications of EDI. Several research has found that EDI in events can improve the satisfaction and engagement of the attendees at a significant level. EDI practices indicate that businesses have become more socially responsible and committed to positively contributing to society (Dashper and Finkel, 2020). In the UK Wellness Adventure Expo 2025, the EDI theme is kept at the cent</w:t>
      </w:r>
      <w:r w:rsidR="00EB3F12" w:rsidRPr="00F80AE5">
        <w:rPr>
          <w:rFonts w:cs="Times New Roman"/>
          <w:noProof/>
        </w:rPr>
        <w:t>re</w:t>
      </w:r>
      <w:r w:rsidRPr="00F80AE5">
        <w:rPr>
          <w:rFonts w:cs="Times New Roman"/>
          <w:noProof/>
        </w:rPr>
        <w:t xml:space="preserve">. Event activities, decorations, and facilities are designed to promote EDI. The rising inflation rate and living costs in the UK have influenced people to be more cautious in their spending (British Chambers, 2024). In addition, the cost pressure influenced businesses to stay within tight budgets. The expo’s budget shows that it heavily relies on ticket sales. To minimize risks, the management may consider diversifying the sources of revenue. The use of AI and digital tools has also been noticed in the MICE industry. To provide services, AI tools are highly effective. Advanced data analytics and support systems help managers make informed decisions (Hur, Lee and Kim, 2022). </w:t>
      </w:r>
    </w:p>
    <w:p w14:paraId="40E9AB5B" w14:textId="77777777" w:rsidR="0060388B" w:rsidRPr="00F80AE5" w:rsidRDefault="0060388B" w:rsidP="00F80AE5">
      <w:pPr>
        <w:pStyle w:val="Heading1"/>
        <w:rPr>
          <w:rFonts w:cs="Times New Roman"/>
          <w:noProof/>
        </w:rPr>
      </w:pPr>
      <w:bookmarkStart w:id="7" w:name="_Toc190198945"/>
      <w:r w:rsidRPr="00F80AE5">
        <w:rPr>
          <w:rFonts w:cs="Times New Roman"/>
          <w:noProof/>
        </w:rPr>
        <w:t>Situational Analysis</w:t>
      </w:r>
      <w:bookmarkEnd w:id="7"/>
      <w:r w:rsidRPr="00F80AE5">
        <w:rPr>
          <w:rFonts w:cs="Times New Roman"/>
          <w:noProof/>
        </w:rPr>
        <w:t xml:space="preserve"> </w:t>
      </w:r>
    </w:p>
    <w:p w14:paraId="5F5FA7F6" w14:textId="77777777" w:rsidR="0060388B" w:rsidRPr="00F80AE5" w:rsidRDefault="0060388B" w:rsidP="00F80AE5">
      <w:pPr>
        <w:rPr>
          <w:rFonts w:cs="Times New Roman"/>
          <w:noProof/>
        </w:rPr>
      </w:pPr>
      <w:r w:rsidRPr="00F80AE5">
        <w:rPr>
          <w:rFonts w:cs="Times New Roman"/>
          <w:noProof/>
        </w:rPr>
        <w:t>The situational analysis and cultural considerations are explained and applied at the expo in the following way:</w:t>
      </w:r>
    </w:p>
    <w:p w14:paraId="73BB6367" w14:textId="77777777" w:rsidR="0060388B" w:rsidRPr="00F80AE5" w:rsidRDefault="0060388B" w:rsidP="00F80AE5">
      <w:pPr>
        <w:rPr>
          <w:rFonts w:cs="Times New Roman"/>
          <w:i/>
          <w:iCs/>
          <w:noProof/>
          <w:u w:val="single"/>
        </w:rPr>
      </w:pPr>
      <w:r w:rsidRPr="00F80AE5">
        <w:rPr>
          <w:rFonts w:cs="Times New Roman"/>
          <w:i/>
          <w:iCs/>
          <w:noProof/>
          <w:u w:val="single"/>
        </w:rPr>
        <w:t>PESTEL Analysis</w:t>
      </w:r>
    </w:p>
    <w:p w14:paraId="76E15ADA" w14:textId="77777777" w:rsidR="0060388B" w:rsidRPr="00F80AE5" w:rsidRDefault="0060388B" w:rsidP="00F80AE5">
      <w:pPr>
        <w:rPr>
          <w:rFonts w:cs="Times New Roman"/>
          <w:noProof/>
        </w:rPr>
      </w:pPr>
      <w:r w:rsidRPr="00F80AE5">
        <w:rPr>
          <w:rFonts w:cs="Times New Roman"/>
          <w:noProof/>
        </w:rPr>
        <w:lastRenderedPageBreak/>
        <w:t xml:space="preserve">PESTEL is a strategic framework that explores political, environmental, social, technological, economic, and legal factors. </w:t>
      </w:r>
    </w:p>
    <w:p w14:paraId="3E6767BD" w14:textId="51CB8D23" w:rsidR="0060388B" w:rsidRPr="00F80AE5" w:rsidRDefault="0060388B" w:rsidP="00F80AE5">
      <w:pPr>
        <w:pStyle w:val="ListParagraph"/>
        <w:numPr>
          <w:ilvl w:val="0"/>
          <w:numId w:val="18"/>
        </w:numPr>
        <w:rPr>
          <w:rFonts w:cs="Times New Roman"/>
          <w:noProof/>
        </w:rPr>
      </w:pPr>
      <w:r w:rsidRPr="00F80AE5">
        <w:rPr>
          <w:rFonts w:cs="Times New Roman"/>
          <w:noProof/>
        </w:rPr>
        <w:t xml:space="preserve">Political Factor: The UK has a stable political environment. The stability positively impacts the MICE industry. The UK government has implemented several policies to promote UK tourism and support public health. For instance, the global health framework promotes the well-being of the people and it aligns with the expo’s objectives (Gov.uk, 2025). </w:t>
      </w:r>
    </w:p>
    <w:p w14:paraId="200391F5" w14:textId="4EA4E391" w:rsidR="0060388B" w:rsidRPr="00F80AE5" w:rsidRDefault="0060388B" w:rsidP="00F80AE5">
      <w:pPr>
        <w:pStyle w:val="ListParagraph"/>
        <w:numPr>
          <w:ilvl w:val="0"/>
          <w:numId w:val="17"/>
        </w:numPr>
        <w:rPr>
          <w:rFonts w:cs="Times New Roman"/>
          <w:noProof/>
        </w:rPr>
      </w:pPr>
      <w:r w:rsidRPr="00F80AE5">
        <w:rPr>
          <w:rFonts w:cs="Times New Roman"/>
          <w:noProof/>
        </w:rPr>
        <w:t>Economic Factor: The recent COVID-19 pandemic has impacted the UK economy significantly. Economic downturns and rising cost of living reduced customers’ spending in the industry</w:t>
      </w:r>
      <w:r w:rsidR="00DA7B02" w:rsidRPr="00F80AE5">
        <w:rPr>
          <w:rFonts w:cs="Times New Roman"/>
          <w:noProof/>
        </w:rPr>
        <w:t xml:space="preserve"> </w:t>
      </w:r>
      <w:r w:rsidR="00DA7B02" w:rsidRPr="00F80AE5">
        <w:rPr>
          <w:rFonts w:cs="Times New Roman"/>
          <w:noProof/>
        </w:rPr>
        <w:t>(British Chambers, 2024)</w:t>
      </w:r>
      <w:r w:rsidRPr="00F80AE5">
        <w:rPr>
          <w:rFonts w:cs="Times New Roman"/>
          <w:noProof/>
        </w:rPr>
        <w:t>. Hence, businesses must consider the economic conditions before planning and budgeting for any events</w:t>
      </w:r>
      <w:r w:rsidR="00DA7B02" w:rsidRPr="00F80AE5">
        <w:rPr>
          <w:rFonts w:cs="Times New Roman"/>
          <w:noProof/>
        </w:rPr>
        <w:t>.</w:t>
      </w:r>
    </w:p>
    <w:p w14:paraId="440324BE" w14:textId="4663BB6B" w:rsidR="0060388B" w:rsidRPr="00F80AE5" w:rsidRDefault="0060388B" w:rsidP="00F80AE5">
      <w:pPr>
        <w:pStyle w:val="ListParagraph"/>
        <w:numPr>
          <w:ilvl w:val="0"/>
          <w:numId w:val="16"/>
        </w:numPr>
        <w:rPr>
          <w:rFonts w:cs="Times New Roman"/>
          <w:noProof/>
        </w:rPr>
      </w:pPr>
      <w:r w:rsidRPr="00F80AE5">
        <w:rPr>
          <w:rFonts w:cs="Times New Roman"/>
          <w:noProof/>
        </w:rPr>
        <w:t xml:space="preserve">Social Factor: The UK is culturally enriched because there are people from different cultural backgrounds. EDI theme in the event is crucial to adapt the event in such a diverse culture. In addition, research on social factors of the UK people shows that they have become more health conscious. They like to accept wellness products. The expo can meet their expectations by offering in-person experiences. Considering the cultural sensitivity of the UK, the event must be a culturally inclusive place (Fox et al., 2014). </w:t>
      </w:r>
    </w:p>
    <w:p w14:paraId="47A56477" w14:textId="11A133EF" w:rsidR="0060388B" w:rsidRPr="00F80AE5" w:rsidRDefault="0060388B" w:rsidP="00F80AE5">
      <w:pPr>
        <w:pStyle w:val="ListParagraph"/>
        <w:numPr>
          <w:ilvl w:val="0"/>
          <w:numId w:val="15"/>
        </w:numPr>
        <w:rPr>
          <w:rFonts w:cs="Times New Roman"/>
          <w:noProof/>
        </w:rPr>
      </w:pPr>
      <w:r w:rsidRPr="00F80AE5">
        <w:rPr>
          <w:rFonts w:cs="Times New Roman"/>
          <w:noProof/>
        </w:rPr>
        <w:t xml:space="preserve">Technological Factor: The UK is a technological leader in the world. All the latest and innovative technologies are available here. AI, big data analytics, AV, and other latest technologies have influenced the activities of events in the MICE industry (Sufi, 2022). </w:t>
      </w:r>
    </w:p>
    <w:p w14:paraId="2F0C0219" w14:textId="0BA5FB05" w:rsidR="0060388B" w:rsidRPr="00F80AE5" w:rsidRDefault="0060388B" w:rsidP="00F80AE5">
      <w:pPr>
        <w:pStyle w:val="ListParagraph"/>
        <w:numPr>
          <w:ilvl w:val="0"/>
          <w:numId w:val="14"/>
        </w:numPr>
        <w:rPr>
          <w:rFonts w:cs="Times New Roman"/>
          <w:noProof/>
        </w:rPr>
      </w:pPr>
      <w:r w:rsidRPr="00F80AE5">
        <w:rPr>
          <w:rFonts w:cs="Times New Roman"/>
          <w:noProof/>
        </w:rPr>
        <w:t xml:space="preserve">Environmental Factors: The UK people are becoming more environmentally conscious. Most people have recognised the urgency of sustainability practices to protect the environment. Planning for adopting sustainability practices in the expo aligns with the research findings. Minimising the environmental impacts of the event activities can ensure the wellbeing of all and it also increases satisfaction among the event attendees (Ashraf et al., 2020).  </w:t>
      </w:r>
    </w:p>
    <w:p w14:paraId="7AB93CE4" w14:textId="3235141B" w:rsidR="0060388B" w:rsidRPr="00F80AE5" w:rsidRDefault="0060388B" w:rsidP="00F80AE5">
      <w:pPr>
        <w:pStyle w:val="ListParagraph"/>
        <w:numPr>
          <w:ilvl w:val="0"/>
          <w:numId w:val="13"/>
        </w:numPr>
        <w:rPr>
          <w:rFonts w:cs="Times New Roman"/>
          <w:noProof/>
        </w:rPr>
      </w:pPr>
      <w:r w:rsidRPr="00F80AE5">
        <w:rPr>
          <w:rFonts w:cs="Times New Roman"/>
          <w:noProof/>
        </w:rPr>
        <w:t xml:space="preserve">Legal Factors: Businesses and organisations within the UK need to comply with the relevant laws and regulations. While organising the expo, the management should comply with the health and safety regulations, GDPR for protecting the privacy of the attendees, and accessibility standards. </w:t>
      </w:r>
    </w:p>
    <w:p w14:paraId="2F61DF6E" w14:textId="77777777" w:rsidR="0060388B" w:rsidRPr="00F80AE5" w:rsidRDefault="0060388B" w:rsidP="00F80AE5">
      <w:pPr>
        <w:pStyle w:val="Heading1"/>
        <w:rPr>
          <w:rFonts w:cs="Times New Roman"/>
          <w:noProof/>
        </w:rPr>
      </w:pPr>
      <w:bookmarkStart w:id="8" w:name="_Toc190198946"/>
      <w:r w:rsidRPr="00F80AE5">
        <w:rPr>
          <w:rFonts w:cs="Times New Roman"/>
          <w:noProof/>
        </w:rPr>
        <w:lastRenderedPageBreak/>
        <w:t>Conclusion</w:t>
      </w:r>
      <w:bookmarkEnd w:id="8"/>
      <w:r w:rsidRPr="00F80AE5">
        <w:rPr>
          <w:rFonts w:cs="Times New Roman"/>
          <w:noProof/>
        </w:rPr>
        <w:t xml:space="preserve"> </w:t>
      </w:r>
    </w:p>
    <w:p w14:paraId="77C7B8C4" w14:textId="58C54851" w:rsidR="0060388B" w:rsidRPr="00F80AE5" w:rsidRDefault="0060388B" w:rsidP="00F80AE5">
      <w:pPr>
        <w:rPr>
          <w:rFonts w:cs="Times New Roman"/>
          <w:noProof/>
        </w:rPr>
      </w:pPr>
      <w:r w:rsidRPr="00F80AE5">
        <w:rPr>
          <w:rFonts w:cs="Times New Roman"/>
          <w:noProof/>
        </w:rPr>
        <w:t>The UK Wellness Adventure Expo 2025 offers activities such as yoga, meditation, and wellness practices. It keeps the EDI theme at the centre of all activities. The event is economically profitable and it is viable as there is increasing demand for wellness and adventure events in the UK. However, economic pressure and the changing tastes and preferences of the people should be considered while structuring the event’s activities. The management should make the plan flexible so that uncertainties or any sudden changes can be implemented.</w:t>
      </w:r>
    </w:p>
    <w:p w14:paraId="0B0E7946" w14:textId="77777777" w:rsidR="0060388B" w:rsidRPr="00F80AE5" w:rsidRDefault="0060388B" w:rsidP="00F80AE5">
      <w:pPr>
        <w:rPr>
          <w:rFonts w:cs="Times New Roman"/>
          <w:noProof/>
        </w:rPr>
      </w:pPr>
    </w:p>
    <w:p w14:paraId="0A81CF08" w14:textId="77777777" w:rsidR="0060388B" w:rsidRPr="00F80AE5" w:rsidRDefault="0060388B" w:rsidP="00F80AE5">
      <w:pPr>
        <w:rPr>
          <w:rFonts w:cs="Times New Roman"/>
          <w:noProof/>
        </w:rPr>
      </w:pPr>
    </w:p>
    <w:p w14:paraId="4E4F038E" w14:textId="7742D696" w:rsidR="00DC5950" w:rsidRPr="00F80AE5" w:rsidRDefault="00DC5950" w:rsidP="00F80AE5">
      <w:pPr>
        <w:rPr>
          <w:rFonts w:cs="Times New Roman"/>
          <w:noProof/>
        </w:rPr>
      </w:pPr>
    </w:p>
    <w:p w14:paraId="6B31A8EE" w14:textId="77777777" w:rsidR="00936EEC" w:rsidRPr="00F80AE5" w:rsidRDefault="00936EEC" w:rsidP="00F80AE5">
      <w:pPr>
        <w:rPr>
          <w:rFonts w:cs="Times New Roman"/>
          <w:noProof/>
        </w:rPr>
      </w:pPr>
      <w:r w:rsidRPr="00F80AE5">
        <w:rPr>
          <w:rFonts w:cs="Times New Roman"/>
          <w:noProof/>
        </w:rPr>
        <w:br w:type="page"/>
      </w:r>
    </w:p>
    <w:p w14:paraId="63384DE6" w14:textId="77777777" w:rsidR="00936EEC" w:rsidRPr="00F80AE5" w:rsidRDefault="00936EEC" w:rsidP="00F80AE5">
      <w:pPr>
        <w:pStyle w:val="Heading1"/>
        <w:divId w:val="766384636"/>
        <w:rPr>
          <w:rFonts w:eastAsia="Times New Roman" w:cs="Times New Roman"/>
          <w:noProof/>
        </w:rPr>
      </w:pPr>
      <w:bookmarkStart w:id="9" w:name="_Toc190198947"/>
      <w:r w:rsidRPr="00F80AE5">
        <w:rPr>
          <w:rFonts w:eastAsia="Times New Roman" w:cs="Times New Roman"/>
          <w:noProof/>
        </w:rPr>
        <w:lastRenderedPageBreak/>
        <w:t>Reference list</w:t>
      </w:r>
      <w:bookmarkEnd w:id="9"/>
    </w:p>
    <w:p w14:paraId="5BD3261B"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Ashraf, M.S., Akhtar, N., Ashraf, R.U., Hou, F., Junaid, M. and Kirmani, S.A.A. (2020). Traveling Responsibly to Ecofriendly Destinations: an Individual-Level Cross-Cultural Comparison between the United Kingdom and China. </w:t>
      </w:r>
      <w:r w:rsidRPr="00F80AE5">
        <w:rPr>
          <w:rFonts w:eastAsia="Times New Roman" w:cs="Times New Roman"/>
          <w:i/>
          <w:iCs/>
          <w:noProof/>
          <w:kern w:val="0"/>
          <w14:ligatures w14:val="none"/>
        </w:rPr>
        <w:t>Sustainability</w:t>
      </w:r>
      <w:r w:rsidRPr="00F80AE5">
        <w:rPr>
          <w:rFonts w:eastAsia="Times New Roman" w:cs="Times New Roman"/>
          <w:noProof/>
          <w:kern w:val="0"/>
          <w14:ligatures w14:val="none"/>
        </w:rPr>
        <w:t xml:space="preserve">, 12(8), p.3248. </w:t>
      </w:r>
    </w:p>
    <w:p w14:paraId="4E69C2DC" w14:textId="77777777" w:rsidR="00BB091D" w:rsidRPr="00F80AE5" w:rsidRDefault="00BB091D" w:rsidP="00F80AE5">
      <w:pPr>
        <w:spacing w:after="240"/>
        <w:divId w:val="1526627454"/>
        <w:rPr>
          <w:rFonts w:eastAsia="Times New Roman" w:cs="Times New Roman"/>
          <w:noProof/>
          <w:kern w:val="0"/>
          <w14:ligatures w14:val="none"/>
        </w:rPr>
      </w:pPr>
      <w:r w:rsidRPr="0000608B">
        <w:rPr>
          <w:rFonts w:eastAsia="Times New Roman" w:cs="Times New Roman"/>
          <w:noProof/>
          <w:kern w:val="0"/>
          <w:lang w:eastAsia="en-GB"/>
          <w14:ligatures w14:val="none"/>
        </w:rPr>
        <w:t>Bladen, C., Kennell, J., Abson, E. and Wilde, N.</w:t>
      </w:r>
      <w:r w:rsidRPr="00F80AE5">
        <w:rPr>
          <w:rFonts w:eastAsia="Times New Roman" w:cs="Times New Roman"/>
          <w:noProof/>
          <w:kern w:val="0"/>
          <w:lang w:eastAsia="en-GB"/>
          <w14:ligatures w14:val="none"/>
        </w:rPr>
        <w:t xml:space="preserve"> (</w:t>
      </w:r>
      <w:r w:rsidRPr="0000608B">
        <w:rPr>
          <w:rFonts w:eastAsia="Times New Roman" w:cs="Times New Roman"/>
          <w:noProof/>
          <w:kern w:val="0"/>
          <w:lang w:eastAsia="en-GB"/>
          <w14:ligatures w14:val="none"/>
        </w:rPr>
        <w:t>2022</w:t>
      </w:r>
      <w:r w:rsidRPr="00F80AE5">
        <w:rPr>
          <w:rFonts w:eastAsia="Times New Roman" w:cs="Times New Roman"/>
          <w:noProof/>
          <w:kern w:val="0"/>
          <w:lang w:eastAsia="en-GB"/>
          <w14:ligatures w14:val="none"/>
        </w:rPr>
        <w:t>)</w:t>
      </w:r>
      <w:r w:rsidRPr="0000608B">
        <w:rPr>
          <w:rFonts w:eastAsia="Times New Roman" w:cs="Times New Roman"/>
          <w:noProof/>
          <w:kern w:val="0"/>
          <w:lang w:eastAsia="en-GB"/>
          <w14:ligatures w14:val="none"/>
        </w:rPr>
        <w:t xml:space="preserve">. </w:t>
      </w:r>
      <w:r w:rsidRPr="0000608B">
        <w:rPr>
          <w:rFonts w:eastAsia="Times New Roman" w:cs="Times New Roman"/>
          <w:i/>
          <w:iCs/>
          <w:noProof/>
          <w:kern w:val="0"/>
          <w:lang w:eastAsia="en-GB"/>
          <w14:ligatures w14:val="none"/>
        </w:rPr>
        <w:t>Events management: An introduction</w:t>
      </w:r>
      <w:r w:rsidRPr="0000608B">
        <w:rPr>
          <w:rFonts w:eastAsia="Times New Roman" w:cs="Times New Roman"/>
          <w:noProof/>
          <w:kern w:val="0"/>
          <w:lang w:eastAsia="en-GB"/>
          <w14:ligatures w14:val="none"/>
        </w:rPr>
        <w:t>. Routledge.</w:t>
      </w:r>
    </w:p>
    <w:p w14:paraId="4A653EB9"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British Chambers (2024). </w:t>
      </w:r>
      <w:r w:rsidRPr="00F80AE5">
        <w:rPr>
          <w:rFonts w:eastAsia="Times New Roman" w:cs="Times New Roman"/>
          <w:i/>
          <w:iCs/>
          <w:noProof/>
          <w:kern w:val="0"/>
          <w14:ligatures w14:val="none"/>
        </w:rPr>
        <w:t>Government Action Needed to Boost Vital £32bn Visitor Economy  - British Chambers of Commerce</w:t>
      </w:r>
      <w:r w:rsidRPr="00F80AE5">
        <w:rPr>
          <w:rFonts w:eastAsia="Times New Roman" w:cs="Times New Roman"/>
          <w:noProof/>
          <w:kern w:val="0"/>
          <w14:ligatures w14:val="none"/>
        </w:rPr>
        <w:t>. [online] British Chambers of Commerce. Available at: https://www.britishchambers.org.uk/news/2024/10/government-action-needed-to-boost-vital-32bn-visitor-economy/ [Accessed 10 Feb. 2025].</w:t>
      </w:r>
    </w:p>
    <w:p w14:paraId="29242004"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Dashper, K. and Finkel, R. (2020). Accessibility, diversity, and Inclusion in the UK Meetings Industry. </w:t>
      </w:r>
      <w:r w:rsidRPr="00F80AE5">
        <w:rPr>
          <w:rFonts w:eastAsia="Times New Roman" w:cs="Times New Roman"/>
          <w:i/>
          <w:iCs/>
          <w:noProof/>
          <w:kern w:val="0"/>
          <w14:ligatures w14:val="none"/>
        </w:rPr>
        <w:t>Journal of Convention &amp; Event Tourism</w:t>
      </w:r>
      <w:r w:rsidRPr="00F80AE5">
        <w:rPr>
          <w:rFonts w:eastAsia="Times New Roman" w:cs="Times New Roman"/>
          <w:noProof/>
          <w:kern w:val="0"/>
          <w14:ligatures w14:val="none"/>
        </w:rPr>
        <w:t xml:space="preserve">, [online] 21(4), pp.1–25. </w:t>
      </w:r>
    </w:p>
    <w:p w14:paraId="69ED0700"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Ding, L., Lam, H.K.S., Cheng, T.C.E. and Zhou, H. (2018). A Review of short-term Event Studies in Operations and Supply Chain Management. </w:t>
      </w:r>
      <w:r w:rsidRPr="00F80AE5">
        <w:rPr>
          <w:rFonts w:eastAsia="Times New Roman" w:cs="Times New Roman"/>
          <w:i/>
          <w:iCs/>
          <w:noProof/>
          <w:kern w:val="0"/>
          <w14:ligatures w14:val="none"/>
        </w:rPr>
        <w:t>International Journal of Production Economics</w:t>
      </w:r>
      <w:r w:rsidRPr="00F80AE5">
        <w:rPr>
          <w:rFonts w:eastAsia="Times New Roman" w:cs="Times New Roman"/>
          <w:noProof/>
          <w:kern w:val="0"/>
          <w14:ligatures w14:val="none"/>
        </w:rPr>
        <w:t xml:space="preserve">, 200, pp.329–342. </w:t>
      </w:r>
    </w:p>
    <w:p w14:paraId="45328B21"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EMBOK (2019). </w:t>
      </w:r>
      <w:r w:rsidRPr="00F80AE5">
        <w:rPr>
          <w:rFonts w:eastAsia="Times New Roman" w:cs="Times New Roman"/>
          <w:i/>
          <w:iCs/>
          <w:noProof/>
          <w:kern w:val="0"/>
          <w14:ligatures w14:val="none"/>
        </w:rPr>
        <w:t>EMBOK - Event Management Body of Knowledge - Phases</w:t>
      </w:r>
      <w:r w:rsidRPr="00F80AE5">
        <w:rPr>
          <w:rFonts w:eastAsia="Times New Roman" w:cs="Times New Roman"/>
          <w:noProof/>
          <w:kern w:val="0"/>
          <w14:ligatures w14:val="none"/>
        </w:rPr>
        <w:t>. [online] Embok.org. Available at: https://www.embok.org/index.php/phases-page [Accessed 10 Feb. 2025].</w:t>
      </w:r>
    </w:p>
    <w:p w14:paraId="3F103BB1"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Fox, D., Gouthro, M.B., Morakabati, Y. and Brackstone, J. (2014). </w:t>
      </w:r>
      <w:r w:rsidRPr="00F80AE5">
        <w:rPr>
          <w:rFonts w:eastAsia="Times New Roman" w:cs="Times New Roman"/>
          <w:i/>
          <w:iCs/>
          <w:noProof/>
          <w:kern w:val="0"/>
          <w14:ligatures w14:val="none"/>
        </w:rPr>
        <w:t>Doing Events Research : from Theory to Practice</w:t>
      </w:r>
      <w:r w:rsidRPr="00F80AE5">
        <w:rPr>
          <w:rFonts w:eastAsia="Times New Roman" w:cs="Times New Roman"/>
          <w:noProof/>
          <w:kern w:val="0"/>
          <w14:ligatures w14:val="none"/>
        </w:rPr>
        <w:t>. London: Routledge, Taylor &amp; Francis Group.</w:t>
      </w:r>
    </w:p>
    <w:p w14:paraId="6CCED2CF"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Getz, D. and Page, S.J. (2019). </w:t>
      </w:r>
      <w:r w:rsidRPr="00F80AE5">
        <w:rPr>
          <w:rFonts w:eastAsia="Times New Roman" w:cs="Times New Roman"/>
          <w:i/>
          <w:iCs/>
          <w:noProof/>
          <w:kern w:val="0"/>
          <w14:ligatures w14:val="none"/>
        </w:rPr>
        <w:t>Event Studies : theory, Research and Policy for Planned Events</w:t>
      </w:r>
      <w:r w:rsidRPr="00F80AE5">
        <w:rPr>
          <w:rFonts w:eastAsia="Times New Roman" w:cs="Times New Roman"/>
          <w:noProof/>
          <w:kern w:val="0"/>
          <w14:ligatures w14:val="none"/>
        </w:rPr>
        <w:t>. 4th ed. London: Routledge.</w:t>
      </w:r>
    </w:p>
    <w:p w14:paraId="557A4369"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Gov.uk (2025). </w:t>
      </w:r>
      <w:r w:rsidRPr="00F80AE5">
        <w:rPr>
          <w:rFonts w:eastAsia="Times New Roman" w:cs="Times New Roman"/>
          <w:i/>
          <w:iCs/>
          <w:noProof/>
          <w:kern w:val="0"/>
          <w14:ligatures w14:val="none"/>
        </w:rPr>
        <w:t>Global Health Framework: Working Together Towards a Healthier World</w:t>
      </w:r>
      <w:r w:rsidRPr="00F80AE5">
        <w:rPr>
          <w:rFonts w:eastAsia="Times New Roman" w:cs="Times New Roman"/>
          <w:noProof/>
          <w:kern w:val="0"/>
          <w14:ligatures w14:val="none"/>
        </w:rPr>
        <w:t>. [online] GOV.UK. Available at: https://www.gov.uk/government/publications/global-health-framework-working-together-towards-a-healthier-world [Accessed 10 Feb. 2025].</w:t>
      </w:r>
    </w:p>
    <w:p w14:paraId="4E7908DB"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lastRenderedPageBreak/>
        <w:t xml:space="preserve">Grandview Research (2024). </w:t>
      </w:r>
      <w:r w:rsidRPr="00F80AE5">
        <w:rPr>
          <w:rFonts w:eastAsia="Times New Roman" w:cs="Times New Roman"/>
          <w:i/>
          <w:iCs/>
          <w:noProof/>
          <w:kern w:val="0"/>
          <w14:ligatures w14:val="none"/>
        </w:rPr>
        <w:t>UK Virtual Events Market Size &amp; Outlook, 2030</w:t>
      </w:r>
      <w:r w:rsidRPr="00F80AE5">
        <w:rPr>
          <w:rFonts w:eastAsia="Times New Roman" w:cs="Times New Roman"/>
          <w:noProof/>
          <w:kern w:val="0"/>
          <w14:ligatures w14:val="none"/>
        </w:rPr>
        <w:t>. [online] Grandviewresearch.com. Available at: https://www.grandviewresearch.com/horizon/outlook/virtual-events-market/uk [Accessed 10 Feb. 2025].</w:t>
      </w:r>
    </w:p>
    <w:p w14:paraId="1455A11D"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Harb, A.A., Fowler, D., Chang, H.J. (Julie), Blum, S.C. and Alakaleek, W. (2019). Social Media as a Marketing Tool for Events. </w:t>
      </w:r>
      <w:r w:rsidRPr="00F80AE5">
        <w:rPr>
          <w:rFonts w:eastAsia="Times New Roman" w:cs="Times New Roman"/>
          <w:i/>
          <w:iCs/>
          <w:noProof/>
          <w:kern w:val="0"/>
          <w14:ligatures w14:val="none"/>
        </w:rPr>
        <w:t>Journal of Hospitality and Tourism Technology</w:t>
      </w:r>
      <w:r w:rsidRPr="00F80AE5">
        <w:rPr>
          <w:rFonts w:eastAsia="Times New Roman" w:cs="Times New Roman"/>
          <w:noProof/>
          <w:kern w:val="0"/>
          <w14:ligatures w14:val="none"/>
        </w:rPr>
        <w:t>, 10(1), pp.28–44.</w:t>
      </w:r>
    </w:p>
    <w:p w14:paraId="34128A10"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Holmes, K. and Ali-Knight, J. (2017). The Event and Festival Life Cycle – Developing a New Model for a New Context. </w:t>
      </w:r>
      <w:r w:rsidRPr="00F80AE5">
        <w:rPr>
          <w:rFonts w:eastAsia="Times New Roman" w:cs="Times New Roman"/>
          <w:i/>
          <w:iCs/>
          <w:noProof/>
          <w:kern w:val="0"/>
          <w14:ligatures w14:val="none"/>
        </w:rPr>
        <w:t>International Journal of Contemporary Hospitality Management</w:t>
      </w:r>
      <w:r w:rsidRPr="00F80AE5">
        <w:rPr>
          <w:rFonts w:eastAsia="Times New Roman" w:cs="Times New Roman"/>
          <w:noProof/>
          <w:kern w:val="0"/>
          <w14:ligatures w14:val="none"/>
        </w:rPr>
        <w:t xml:space="preserve">, 29(3), pp.986–1004. </w:t>
      </w:r>
    </w:p>
    <w:p w14:paraId="464747F3"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Hur, D., Lee, S. and Kim, H. (2022). Are We Ready for MICE 5.0? an Investigation of Technology Use in the MICE Industry Using Social Media Big Data. </w:t>
      </w:r>
      <w:r w:rsidRPr="00F80AE5">
        <w:rPr>
          <w:rFonts w:eastAsia="Times New Roman" w:cs="Times New Roman"/>
          <w:i/>
          <w:iCs/>
          <w:noProof/>
          <w:kern w:val="0"/>
          <w14:ligatures w14:val="none"/>
        </w:rPr>
        <w:t>Tourism Management Perspectives</w:t>
      </w:r>
      <w:r w:rsidRPr="00F80AE5">
        <w:rPr>
          <w:rFonts w:eastAsia="Times New Roman" w:cs="Times New Roman"/>
          <w:noProof/>
          <w:kern w:val="0"/>
          <w14:ligatures w14:val="none"/>
        </w:rPr>
        <w:t xml:space="preserve">, 43, p.100991. </w:t>
      </w:r>
    </w:p>
    <w:p w14:paraId="37A021B3"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Kolb, B.M. (2021). </w:t>
      </w:r>
      <w:r w:rsidRPr="00F80AE5">
        <w:rPr>
          <w:rFonts w:eastAsia="Times New Roman" w:cs="Times New Roman"/>
          <w:i/>
          <w:iCs/>
          <w:noProof/>
          <w:kern w:val="0"/>
          <w14:ligatures w14:val="none"/>
        </w:rPr>
        <w:t>Event Management for the Tourism and Hospitality Industries</w:t>
      </w:r>
      <w:r w:rsidRPr="00F80AE5">
        <w:rPr>
          <w:rFonts w:eastAsia="Times New Roman" w:cs="Times New Roman"/>
          <w:noProof/>
          <w:kern w:val="0"/>
          <w14:ligatures w14:val="none"/>
        </w:rPr>
        <w:t>. Routledge.</w:t>
      </w:r>
    </w:p>
    <w:p w14:paraId="1539A380"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M. Kanade, Dr.T. and K. Savale, Dr.T. (2023). Reshaping the Future of Mice Tourism Post-Covid-19: Challenges and Opportunities. </w:t>
      </w:r>
      <w:r w:rsidRPr="00F80AE5">
        <w:rPr>
          <w:rFonts w:eastAsia="Times New Roman" w:cs="Times New Roman"/>
          <w:i/>
          <w:iCs/>
          <w:noProof/>
          <w:kern w:val="0"/>
          <w14:ligatures w14:val="none"/>
        </w:rPr>
        <w:t>European Economic Letters (EEL)</w:t>
      </w:r>
      <w:r w:rsidRPr="00F80AE5">
        <w:rPr>
          <w:rFonts w:eastAsia="Times New Roman" w:cs="Times New Roman"/>
          <w:noProof/>
          <w:kern w:val="0"/>
          <w14:ligatures w14:val="none"/>
        </w:rPr>
        <w:t xml:space="preserve">, [online] 13(5), pp.1737–1751. </w:t>
      </w:r>
    </w:p>
    <w:p w14:paraId="5F422650"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Meredith, J.R. and Mantel, S.J. (2012). </w:t>
      </w:r>
      <w:r w:rsidRPr="00F80AE5">
        <w:rPr>
          <w:rFonts w:eastAsia="Times New Roman" w:cs="Times New Roman"/>
          <w:i/>
          <w:iCs/>
          <w:noProof/>
          <w:kern w:val="0"/>
          <w14:ligatures w14:val="none"/>
        </w:rPr>
        <w:t>Project Management : a Managerial Approach</w:t>
      </w:r>
      <w:r w:rsidRPr="00F80AE5">
        <w:rPr>
          <w:rFonts w:eastAsia="Times New Roman" w:cs="Times New Roman"/>
          <w:noProof/>
          <w:kern w:val="0"/>
          <w14:ligatures w14:val="none"/>
        </w:rPr>
        <w:t>. 8th ed. Hoboken, Nj: Wiley.</w:t>
      </w:r>
    </w:p>
    <w:p w14:paraId="07C4A97A"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O’Toole, W. (2011). </w:t>
      </w:r>
      <w:r w:rsidRPr="00F80AE5">
        <w:rPr>
          <w:rFonts w:eastAsia="Times New Roman" w:cs="Times New Roman"/>
          <w:i/>
          <w:iCs/>
          <w:noProof/>
          <w:kern w:val="0"/>
          <w14:ligatures w14:val="none"/>
        </w:rPr>
        <w:t>Event feasibility.</w:t>
      </w:r>
      <w:r w:rsidRPr="00F80AE5">
        <w:rPr>
          <w:rFonts w:eastAsia="Times New Roman" w:cs="Times New Roman"/>
          <w:noProof/>
          <w:kern w:val="0"/>
          <w14:ligatures w14:val="none"/>
        </w:rPr>
        <w:t xml:space="preserve"> Butterworth-Heinemann.</w:t>
      </w:r>
    </w:p>
    <w:p w14:paraId="1EA65BB4"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Preston, C. (2012). </w:t>
      </w:r>
      <w:r w:rsidRPr="00F80AE5">
        <w:rPr>
          <w:rFonts w:eastAsia="Times New Roman" w:cs="Times New Roman"/>
          <w:i/>
          <w:iCs/>
          <w:noProof/>
          <w:kern w:val="0"/>
          <w14:ligatures w14:val="none"/>
        </w:rPr>
        <w:t>Event Marketing : How to Successfully Promote events, festivals, conventions, and Expositions</w:t>
      </w:r>
      <w:r w:rsidRPr="00F80AE5">
        <w:rPr>
          <w:rFonts w:eastAsia="Times New Roman" w:cs="Times New Roman"/>
          <w:noProof/>
          <w:kern w:val="0"/>
          <w14:ligatures w14:val="none"/>
        </w:rPr>
        <w:t>. 2nd ed. Hoboken: John Wiley &amp; Sons.</w:t>
      </w:r>
    </w:p>
    <w:p w14:paraId="6F18CC93"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Sisson, L.G. and Adams, A.R. (2013). Essential Hospitality Management Competencies: the Importance of Soft Skills. </w:t>
      </w:r>
      <w:r w:rsidRPr="00F80AE5">
        <w:rPr>
          <w:rFonts w:eastAsia="Times New Roman" w:cs="Times New Roman"/>
          <w:i/>
          <w:iCs/>
          <w:noProof/>
          <w:kern w:val="0"/>
          <w14:ligatures w14:val="none"/>
        </w:rPr>
        <w:t>Journal of Hospitality &amp; Tourism Education</w:t>
      </w:r>
      <w:r w:rsidRPr="00F80AE5">
        <w:rPr>
          <w:rFonts w:eastAsia="Times New Roman" w:cs="Times New Roman"/>
          <w:noProof/>
          <w:kern w:val="0"/>
          <w14:ligatures w14:val="none"/>
        </w:rPr>
        <w:t>, 25(3), pp.131–145.</w:t>
      </w:r>
    </w:p>
    <w:p w14:paraId="256D087C"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t xml:space="preserve">Sufi, F.K. (2022). AI-GlobalEvents: a Software for analyzing, Identifying and Explaining Global Events with Artificial Intelligence. </w:t>
      </w:r>
      <w:r w:rsidRPr="00F80AE5">
        <w:rPr>
          <w:rFonts w:eastAsia="Times New Roman" w:cs="Times New Roman"/>
          <w:i/>
          <w:iCs/>
          <w:noProof/>
          <w:kern w:val="0"/>
          <w14:ligatures w14:val="none"/>
        </w:rPr>
        <w:t>Software Impacts</w:t>
      </w:r>
      <w:r w:rsidRPr="00F80AE5">
        <w:rPr>
          <w:rFonts w:eastAsia="Times New Roman" w:cs="Times New Roman"/>
          <w:noProof/>
          <w:kern w:val="0"/>
          <w14:ligatures w14:val="none"/>
        </w:rPr>
        <w:t xml:space="preserve">, 11, p.100218. </w:t>
      </w:r>
    </w:p>
    <w:p w14:paraId="62EB31DF" w14:textId="77777777" w:rsidR="00BB091D" w:rsidRPr="00F80AE5" w:rsidRDefault="00BB091D" w:rsidP="00F80AE5">
      <w:pPr>
        <w:spacing w:after="240"/>
        <w:divId w:val="1526627454"/>
        <w:rPr>
          <w:rFonts w:eastAsia="Times New Roman" w:cs="Times New Roman"/>
          <w:noProof/>
          <w:kern w:val="0"/>
          <w14:ligatures w14:val="none"/>
        </w:rPr>
      </w:pPr>
      <w:r w:rsidRPr="00F80AE5">
        <w:rPr>
          <w:rFonts w:eastAsia="Times New Roman" w:cs="Times New Roman"/>
          <w:noProof/>
          <w:kern w:val="0"/>
          <w14:ligatures w14:val="none"/>
        </w:rPr>
        <w:lastRenderedPageBreak/>
        <w:t xml:space="preserve">Wise, N. and Harris, J. (2017). </w:t>
      </w:r>
      <w:r w:rsidRPr="00F80AE5">
        <w:rPr>
          <w:rFonts w:eastAsia="Times New Roman" w:cs="Times New Roman"/>
          <w:i/>
          <w:iCs/>
          <w:noProof/>
          <w:kern w:val="0"/>
          <w14:ligatures w14:val="none"/>
        </w:rPr>
        <w:t>Sport, Events, Tourism and Regeneration</w:t>
      </w:r>
      <w:r w:rsidRPr="00F80AE5">
        <w:rPr>
          <w:rFonts w:eastAsia="Times New Roman" w:cs="Times New Roman"/>
          <w:noProof/>
          <w:kern w:val="0"/>
          <w14:ligatures w14:val="none"/>
        </w:rPr>
        <w:t>. Routledge.</w:t>
      </w:r>
    </w:p>
    <w:sectPr w:rsidR="00BB091D" w:rsidRPr="00F80AE5">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623FE" w14:textId="77777777" w:rsidR="00FA093A" w:rsidRDefault="00FA093A" w:rsidP="00936EEC">
      <w:pPr>
        <w:spacing w:after="0" w:line="240" w:lineRule="auto"/>
      </w:pPr>
      <w:r>
        <w:separator/>
      </w:r>
    </w:p>
  </w:endnote>
  <w:endnote w:type="continuationSeparator" w:id="0">
    <w:p w14:paraId="0B3A5666" w14:textId="77777777" w:rsidR="00FA093A" w:rsidRDefault="00FA093A" w:rsidP="00936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6955419"/>
      <w:docPartObj>
        <w:docPartGallery w:val="Page Numbers (Bottom of Page)"/>
        <w:docPartUnique/>
      </w:docPartObj>
    </w:sdtPr>
    <w:sdtContent>
      <w:p w14:paraId="3554D214" w14:textId="7604DBFA" w:rsidR="00936EEC" w:rsidRDefault="00936EEC" w:rsidP="00482E4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D09F7D" w14:textId="77777777" w:rsidR="00936EEC" w:rsidRDefault="00936EEC" w:rsidP="00936EE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3378415"/>
      <w:docPartObj>
        <w:docPartGallery w:val="Page Numbers (Bottom of Page)"/>
        <w:docPartUnique/>
      </w:docPartObj>
    </w:sdtPr>
    <w:sdtContent>
      <w:p w14:paraId="36CEE936" w14:textId="5765D47A" w:rsidR="00936EEC" w:rsidRDefault="00936EEC" w:rsidP="00482E4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0861C67D" w14:textId="77777777" w:rsidR="00936EEC" w:rsidRDefault="00936EEC" w:rsidP="00936EE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718CF" w14:textId="77777777" w:rsidR="00FA093A" w:rsidRDefault="00FA093A" w:rsidP="00936EEC">
      <w:pPr>
        <w:spacing w:after="0" w:line="240" w:lineRule="auto"/>
      </w:pPr>
      <w:r>
        <w:separator/>
      </w:r>
    </w:p>
  </w:footnote>
  <w:footnote w:type="continuationSeparator" w:id="0">
    <w:p w14:paraId="067091D0" w14:textId="77777777" w:rsidR="00FA093A" w:rsidRDefault="00FA093A" w:rsidP="00936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502BF"/>
    <w:multiLevelType w:val="hybridMultilevel"/>
    <w:tmpl w:val="FE082080"/>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6309E"/>
    <w:multiLevelType w:val="hybridMultilevel"/>
    <w:tmpl w:val="BC20CD68"/>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E4561E"/>
    <w:multiLevelType w:val="hybridMultilevel"/>
    <w:tmpl w:val="BF22FBCA"/>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6B5E41"/>
    <w:multiLevelType w:val="hybridMultilevel"/>
    <w:tmpl w:val="710C7D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A696189"/>
    <w:multiLevelType w:val="hybridMultilevel"/>
    <w:tmpl w:val="15DAC53E"/>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7D762A"/>
    <w:multiLevelType w:val="hybridMultilevel"/>
    <w:tmpl w:val="3E46909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39773B"/>
    <w:multiLevelType w:val="hybridMultilevel"/>
    <w:tmpl w:val="CBCA7EEE"/>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0C3495"/>
    <w:multiLevelType w:val="hybridMultilevel"/>
    <w:tmpl w:val="DEDEA4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DF80774"/>
    <w:multiLevelType w:val="hybridMultilevel"/>
    <w:tmpl w:val="AC12AEB4"/>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EF576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C34754"/>
    <w:multiLevelType w:val="hybridMultilevel"/>
    <w:tmpl w:val="C9B843EA"/>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E096B9E"/>
    <w:multiLevelType w:val="hybridMultilevel"/>
    <w:tmpl w:val="BE2C1EEE"/>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332EE2"/>
    <w:multiLevelType w:val="hybridMultilevel"/>
    <w:tmpl w:val="994A3F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524B5B22"/>
    <w:multiLevelType w:val="hybridMultilevel"/>
    <w:tmpl w:val="577C9D8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2A139C1"/>
    <w:multiLevelType w:val="hybridMultilevel"/>
    <w:tmpl w:val="DD42C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293CBE"/>
    <w:multiLevelType w:val="hybridMultilevel"/>
    <w:tmpl w:val="EB0494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69BD58AF"/>
    <w:multiLevelType w:val="hybridMultilevel"/>
    <w:tmpl w:val="008A1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FB51AB"/>
    <w:multiLevelType w:val="hybridMultilevel"/>
    <w:tmpl w:val="BEF2CB46"/>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013C56"/>
    <w:multiLevelType w:val="hybridMultilevel"/>
    <w:tmpl w:val="DC7077B4"/>
    <w:lvl w:ilvl="0" w:tplc="FFFFFFFF">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1271657">
    <w:abstractNumId w:val="9"/>
  </w:num>
  <w:num w:numId="2" w16cid:durableId="1037774702">
    <w:abstractNumId w:val="15"/>
  </w:num>
  <w:num w:numId="3" w16cid:durableId="705985548">
    <w:abstractNumId w:val="7"/>
  </w:num>
  <w:num w:numId="4" w16cid:durableId="1804807713">
    <w:abstractNumId w:val="12"/>
  </w:num>
  <w:num w:numId="5" w16cid:durableId="113452902">
    <w:abstractNumId w:val="5"/>
  </w:num>
  <w:num w:numId="6" w16cid:durableId="696733297">
    <w:abstractNumId w:val="4"/>
  </w:num>
  <w:num w:numId="7" w16cid:durableId="392702492">
    <w:abstractNumId w:val="8"/>
  </w:num>
  <w:num w:numId="8" w16cid:durableId="1387294644">
    <w:abstractNumId w:val="3"/>
  </w:num>
  <w:num w:numId="9" w16cid:durableId="1108699084">
    <w:abstractNumId w:val="14"/>
  </w:num>
  <w:num w:numId="10" w16cid:durableId="672269971">
    <w:abstractNumId w:val="10"/>
  </w:num>
  <w:num w:numId="11" w16cid:durableId="478038593">
    <w:abstractNumId w:val="13"/>
  </w:num>
  <w:num w:numId="12" w16cid:durableId="951206229">
    <w:abstractNumId w:val="2"/>
  </w:num>
  <w:num w:numId="13" w16cid:durableId="616182211">
    <w:abstractNumId w:val="6"/>
  </w:num>
  <w:num w:numId="14" w16cid:durableId="1048918889">
    <w:abstractNumId w:val="18"/>
  </w:num>
  <w:num w:numId="15" w16cid:durableId="1579636980">
    <w:abstractNumId w:val="11"/>
  </w:num>
  <w:num w:numId="16" w16cid:durableId="984698878">
    <w:abstractNumId w:val="1"/>
  </w:num>
  <w:num w:numId="17" w16cid:durableId="194390388">
    <w:abstractNumId w:val="17"/>
  </w:num>
  <w:num w:numId="18" w16cid:durableId="965507883">
    <w:abstractNumId w:val="0"/>
  </w:num>
  <w:num w:numId="19" w16cid:durableId="2125482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3NTcyMzc3MTU0MDNT0lEKTi0uzszPAykwrAUA6LVLCiwAAAA="/>
  </w:docVars>
  <w:rsids>
    <w:rsidRoot w:val="001D0634"/>
    <w:rsid w:val="00004747"/>
    <w:rsid w:val="00005061"/>
    <w:rsid w:val="0000608B"/>
    <w:rsid w:val="000118C3"/>
    <w:rsid w:val="00015D76"/>
    <w:rsid w:val="00015E92"/>
    <w:rsid w:val="000243B1"/>
    <w:rsid w:val="00036F17"/>
    <w:rsid w:val="0004286E"/>
    <w:rsid w:val="000477FF"/>
    <w:rsid w:val="0007023D"/>
    <w:rsid w:val="000740CC"/>
    <w:rsid w:val="00077CF5"/>
    <w:rsid w:val="000A029F"/>
    <w:rsid w:val="000A7650"/>
    <w:rsid w:val="000A7C93"/>
    <w:rsid w:val="000B012B"/>
    <w:rsid w:val="000B1A34"/>
    <w:rsid w:val="000B30F9"/>
    <w:rsid w:val="000D084E"/>
    <w:rsid w:val="000D4E5D"/>
    <w:rsid w:val="000D779A"/>
    <w:rsid w:val="000E7639"/>
    <w:rsid w:val="000F2D42"/>
    <w:rsid w:val="00111519"/>
    <w:rsid w:val="00120486"/>
    <w:rsid w:val="00121B5E"/>
    <w:rsid w:val="00126993"/>
    <w:rsid w:val="00130D82"/>
    <w:rsid w:val="0014490F"/>
    <w:rsid w:val="0015575F"/>
    <w:rsid w:val="00163412"/>
    <w:rsid w:val="00163F40"/>
    <w:rsid w:val="001842B7"/>
    <w:rsid w:val="00187FBB"/>
    <w:rsid w:val="001932CE"/>
    <w:rsid w:val="00193482"/>
    <w:rsid w:val="001A2A76"/>
    <w:rsid w:val="001A66F0"/>
    <w:rsid w:val="001B0C1A"/>
    <w:rsid w:val="001B6477"/>
    <w:rsid w:val="001D0634"/>
    <w:rsid w:val="001D2158"/>
    <w:rsid w:val="001E7271"/>
    <w:rsid w:val="001F097C"/>
    <w:rsid w:val="002127BB"/>
    <w:rsid w:val="0021434F"/>
    <w:rsid w:val="0023015C"/>
    <w:rsid w:val="00232DAE"/>
    <w:rsid w:val="002551BF"/>
    <w:rsid w:val="002607A8"/>
    <w:rsid w:val="002654E0"/>
    <w:rsid w:val="00267810"/>
    <w:rsid w:val="00275153"/>
    <w:rsid w:val="002A36DA"/>
    <w:rsid w:val="002D17F0"/>
    <w:rsid w:val="002D20FD"/>
    <w:rsid w:val="002D3938"/>
    <w:rsid w:val="002D5A4C"/>
    <w:rsid w:val="002F29B7"/>
    <w:rsid w:val="002F5AD0"/>
    <w:rsid w:val="00302BCE"/>
    <w:rsid w:val="00305755"/>
    <w:rsid w:val="003069C8"/>
    <w:rsid w:val="00306C68"/>
    <w:rsid w:val="00315DB4"/>
    <w:rsid w:val="00320254"/>
    <w:rsid w:val="00333CD8"/>
    <w:rsid w:val="003345F8"/>
    <w:rsid w:val="00355C1C"/>
    <w:rsid w:val="0036322B"/>
    <w:rsid w:val="003649AB"/>
    <w:rsid w:val="0036603C"/>
    <w:rsid w:val="003831D9"/>
    <w:rsid w:val="00385158"/>
    <w:rsid w:val="00393190"/>
    <w:rsid w:val="003975A5"/>
    <w:rsid w:val="003A066A"/>
    <w:rsid w:val="003A1944"/>
    <w:rsid w:val="003A2B70"/>
    <w:rsid w:val="003A5D58"/>
    <w:rsid w:val="003B2F36"/>
    <w:rsid w:val="003C086E"/>
    <w:rsid w:val="003C1848"/>
    <w:rsid w:val="003C3804"/>
    <w:rsid w:val="003F074A"/>
    <w:rsid w:val="003F2469"/>
    <w:rsid w:val="003F65EE"/>
    <w:rsid w:val="00444F28"/>
    <w:rsid w:val="004469B1"/>
    <w:rsid w:val="00452C65"/>
    <w:rsid w:val="00452C6E"/>
    <w:rsid w:val="004560A8"/>
    <w:rsid w:val="004741BA"/>
    <w:rsid w:val="00476AC1"/>
    <w:rsid w:val="004914E2"/>
    <w:rsid w:val="00496D4D"/>
    <w:rsid w:val="004B5AB6"/>
    <w:rsid w:val="004C30F6"/>
    <w:rsid w:val="004F5D81"/>
    <w:rsid w:val="00506EFA"/>
    <w:rsid w:val="0053668A"/>
    <w:rsid w:val="005435B8"/>
    <w:rsid w:val="0055585E"/>
    <w:rsid w:val="005631EB"/>
    <w:rsid w:val="00564AF0"/>
    <w:rsid w:val="00571560"/>
    <w:rsid w:val="00583E8B"/>
    <w:rsid w:val="00584F48"/>
    <w:rsid w:val="00595538"/>
    <w:rsid w:val="005A12D3"/>
    <w:rsid w:val="005A5C03"/>
    <w:rsid w:val="005C3989"/>
    <w:rsid w:val="005C462E"/>
    <w:rsid w:val="005C6E41"/>
    <w:rsid w:val="005D3459"/>
    <w:rsid w:val="005E0913"/>
    <w:rsid w:val="005E61C6"/>
    <w:rsid w:val="005E6B12"/>
    <w:rsid w:val="005F0718"/>
    <w:rsid w:val="005F16B8"/>
    <w:rsid w:val="0060388B"/>
    <w:rsid w:val="006125CF"/>
    <w:rsid w:val="006279B9"/>
    <w:rsid w:val="00641E3B"/>
    <w:rsid w:val="006420ED"/>
    <w:rsid w:val="00642F33"/>
    <w:rsid w:val="0065540A"/>
    <w:rsid w:val="0065609C"/>
    <w:rsid w:val="00663E69"/>
    <w:rsid w:val="006714B7"/>
    <w:rsid w:val="00676ED5"/>
    <w:rsid w:val="006A753E"/>
    <w:rsid w:val="006D0326"/>
    <w:rsid w:val="006D3DBD"/>
    <w:rsid w:val="006D65CF"/>
    <w:rsid w:val="006E160D"/>
    <w:rsid w:val="006E19D8"/>
    <w:rsid w:val="006E1F70"/>
    <w:rsid w:val="006E2A95"/>
    <w:rsid w:val="006E71E7"/>
    <w:rsid w:val="006E73A5"/>
    <w:rsid w:val="006F1F7A"/>
    <w:rsid w:val="006F32BC"/>
    <w:rsid w:val="006F444F"/>
    <w:rsid w:val="006F757F"/>
    <w:rsid w:val="00703EE8"/>
    <w:rsid w:val="00726905"/>
    <w:rsid w:val="00733CFA"/>
    <w:rsid w:val="00740814"/>
    <w:rsid w:val="007450E5"/>
    <w:rsid w:val="00753E36"/>
    <w:rsid w:val="00775A1C"/>
    <w:rsid w:val="00777F08"/>
    <w:rsid w:val="0078243C"/>
    <w:rsid w:val="00784D37"/>
    <w:rsid w:val="00795636"/>
    <w:rsid w:val="007B2FC3"/>
    <w:rsid w:val="007C1928"/>
    <w:rsid w:val="007C570E"/>
    <w:rsid w:val="007E062E"/>
    <w:rsid w:val="007E1D30"/>
    <w:rsid w:val="007E3935"/>
    <w:rsid w:val="007E7EE1"/>
    <w:rsid w:val="007F66A4"/>
    <w:rsid w:val="0080104B"/>
    <w:rsid w:val="008072EB"/>
    <w:rsid w:val="0081045A"/>
    <w:rsid w:val="00832E90"/>
    <w:rsid w:val="00841370"/>
    <w:rsid w:val="008553D7"/>
    <w:rsid w:val="00871876"/>
    <w:rsid w:val="00881A52"/>
    <w:rsid w:val="00895811"/>
    <w:rsid w:val="008B0771"/>
    <w:rsid w:val="008B0780"/>
    <w:rsid w:val="008B55EC"/>
    <w:rsid w:val="008C061E"/>
    <w:rsid w:val="008C47DA"/>
    <w:rsid w:val="008C5826"/>
    <w:rsid w:val="008D51DF"/>
    <w:rsid w:val="008D7630"/>
    <w:rsid w:val="008F0B98"/>
    <w:rsid w:val="009054E7"/>
    <w:rsid w:val="00913D34"/>
    <w:rsid w:val="0093502C"/>
    <w:rsid w:val="00935996"/>
    <w:rsid w:val="00936EEC"/>
    <w:rsid w:val="00941C98"/>
    <w:rsid w:val="00946D0D"/>
    <w:rsid w:val="00946F0D"/>
    <w:rsid w:val="00947CA1"/>
    <w:rsid w:val="0095014C"/>
    <w:rsid w:val="00953541"/>
    <w:rsid w:val="00954751"/>
    <w:rsid w:val="00963065"/>
    <w:rsid w:val="009816D5"/>
    <w:rsid w:val="009818DA"/>
    <w:rsid w:val="009879DD"/>
    <w:rsid w:val="00987E30"/>
    <w:rsid w:val="009924F6"/>
    <w:rsid w:val="009A0ACA"/>
    <w:rsid w:val="009A7182"/>
    <w:rsid w:val="009C08C6"/>
    <w:rsid w:val="009C20FA"/>
    <w:rsid w:val="009C7C2D"/>
    <w:rsid w:val="009D1A5E"/>
    <w:rsid w:val="009D2AF3"/>
    <w:rsid w:val="009D5481"/>
    <w:rsid w:val="009E0CD6"/>
    <w:rsid w:val="009E3260"/>
    <w:rsid w:val="009E6210"/>
    <w:rsid w:val="009F1D6F"/>
    <w:rsid w:val="00A06424"/>
    <w:rsid w:val="00A06FE8"/>
    <w:rsid w:val="00A07434"/>
    <w:rsid w:val="00A11DEB"/>
    <w:rsid w:val="00A178E5"/>
    <w:rsid w:val="00A233F1"/>
    <w:rsid w:val="00A25BF9"/>
    <w:rsid w:val="00A26EFB"/>
    <w:rsid w:val="00A27A1C"/>
    <w:rsid w:val="00A27D1F"/>
    <w:rsid w:val="00A515EC"/>
    <w:rsid w:val="00A635FB"/>
    <w:rsid w:val="00A637CF"/>
    <w:rsid w:val="00A94754"/>
    <w:rsid w:val="00AA0E98"/>
    <w:rsid w:val="00AA37C6"/>
    <w:rsid w:val="00AA5E59"/>
    <w:rsid w:val="00AA76C8"/>
    <w:rsid w:val="00AC2F94"/>
    <w:rsid w:val="00AC5DBB"/>
    <w:rsid w:val="00AE267D"/>
    <w:rsid w:val="00AF0800"/>
    <w:rsid w:val="00AF5784"/>
    <w:rsid w:val="00AF7359"/>
    <w:rsid w:val="00B12FAA"/>
    <w:rsid w:val="00B225F9"/>
    <w:rsid w:val="00B237EA"/>
    <w:rsid w:val="00B2610E"/>
    <w:rsid w:val="00B31002"/>
    <w:rsid w:val="00B45E7F"/>
    <w:rsid w:val="00B470B7"/>
    <w:rsid w:val="00B50FC7"/>
    <w:rsid w:val="00B55823"/>
    <w:rsid w:val="00B5609A"/>
    <w:rsid w:val="00B66A30"/>
    <w:rsid w:val="00B81911"/>
    <w:rsid w:val="00B874A5"/>
    <w:rsid w:val="00B91487"/>
    <w:rsid w:val="00B978FA"/>
    <w:rsid w:val="00BA1BEA"/>
    <w:rsid w:val="00BA1D12"/>
    <w:rsid w:val="00BA7A03"/>
    <w:rsid w:val="00BB017B"/>
    <w:rsid w:val="00BB091D"/>
    <w:rsid w:val="00BB23BB"/>
    <w:rsid w:val="00BB44AE"/>
    <w:rsid w:val="00BD19FD"/>
    <w:rsid w:val="00BD7578"/>
    <w:rsid w:val="00BD77CB"/>
    <w:rsid w:val="00BE7102"/>
    <w:rsid w:val="00BF1F00"/>
    <w:rsid w:val="00BF2539"/>
    <w:rsid w:val="00BF791C"/>
    <w:rsid w:val="00C02916"/>
    <w:rsid w:val="00C04BDB"/>
    <w:rsid w:val="00C12E6A"/>
    <w:rsid w:val="00C30112"/>
    <w:rsid w:val="00C32884"/>
    <w:rsid w:val="00C53C8D"/>
    <w:rsid w:val="00C614B8"/>
    <w:rsid w:val="00C63636"/>
    <w:rsid w:val="00C7187B"/>
    <w:rsid w:val="00C77E8B"/>
    <w:rsid w:val="00C870F8"/>
    <w:rsid w:val="00CB0E88"/>
    <w:rsid w:val="00CD2EF1"/>
    <w:rsid w:val="00CD4C64"/>
    <w:rsid w:val="00CE17E3"/>
    <w:rsid w:val="00CF5755"/>
    <w:rsid w:val="00CF6445"/>
    <w:rsid w:val="00CF7A8B"/>
    <w:rsid w:val="00D0187C"/>
    <w:rsid w:val="00D038BE"/>
    <w:rsid w:val="00D4000A"/>
    <w:rsid w:val="00D52063"/>
    <w:rsid w:val="00D809E1"/>
    <w:rsid w:val="00D80F45"/>
    <w:rsid w:val="00D84F7D"/>
    <w:rsid w:val="00D96DF5"/>
    <w:rsid w:val="00DA0E02"/>
    <w:rsid w:val="00DA63F9"/>
    <w:rsid w:val="00DA6A6A"/>
    <w:rsid w:val="00DA7B02"/>
    <w:rsid w:val="00DB5506"/>
    <w:rsid w:val="00DC5950"/>
    <w:rsid w:val="00DC6E9C"/>
    <w:rsid w:val="00DD137B"/>
    <w:rsid w:val="00E02C1E"/>
    <w:rsid w:val="00E04588"/>
    <w:rsid w:val="00E21130"/>
    <w:rsid w:val="00E21D00"/>
    <w:rsid w:val="00E256D5"/>
    <w:rsid w:val="00E405EC"/>
    <w:rsid w:val="00E55ED1"/>
    <w:rsid w:val="00E6441E"/>
    <w:rsid w:val="00E6747B"/>
    <w:rsid w:val="00E764DF"/>
    <w:rsid w:val="00E86FDF"/>
    <w:rsid w:val="00E9443A"/>
    <w:rsid w:val="00E96B54"/>
    <w:rsid w:val="00EB3F12"/>
    <w:rsid w:val="00EC0DBB"/>
    <w:rsid w:val="00EC1C86"/>
    <w:rsid w:val="00ED2FB7"/>
    <w:rsid w:val="00ED6421"/>
    <w:rsid w:val="00EE6459"/>
    <w:rsid w:val="00EF45C0"/>
    <w:rsid w:val="00EF74C6"/>
    <w:rsid w:val="00F160CB"/>
    <w:rsid w:val="00F21D4B"/>
    <w:rsid w:val="00F24348"/>
    <w:rsid w:val="00F245B1"/>
    <w:rsid w:val="00F262ED"/>
    <w:rsid w:val="00F33D52"/>
    <w:rsid w:val="00F360AD"/>
    <w:rsid w:val="00F417C7"/>
    <w:rsid w:val="00F45D22"/>
    <w:rsid w:val="00F63B8A"/>
    <w:rsid w:val="00F80AE5"/>
    <w:rsid w:val="00F8101D"/>
    <w:rsid w:val="00F95E33"/>
    <w:rsid w:val="00FA093A"/>
    <w:rsid w:val="00FA2673"/>
    <w:rsid w:val="00FA5A6F"/>
    <w:rsid w:val="00FA6078"/>
    <w:rsid w:val="00FC0572"/>
    <w:rsid w:val="00FC18F9"/>
    <w:rsid w:val="00FC2E54"/>
    <w:rsid w:val="00FC4560"/>
    <w:rsid w:val="00FD7A32"/>
    <w:rsid w:val="00FE278B"/>
    <w:rsid w:val="00FF1BD6"/>
    <w:rsid w:val="00FF51E6"/>
    <w:rsid w:val="060F863A"/>
    <w:rsid w:val="5CD27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71F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C86"/>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EC1C86"/>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semiHidden/>
    <w:unhideWhenUsed/>
    <w:qFormat/>
    <w:rsid w:val="001D06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6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6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6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6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6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6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6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C86"/>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semiHidden/>
    <w:rsid w:val="001D06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6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6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6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6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6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6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634"/>
    <w:rPr>
      <w:rFonts w:eastAsiaTheme="majorEastAsia" w:cstheme="majorBidi"/>
      <w:color w:val="272727" w:themeColor="text1" w:themeTint="D8"/>
    </w:rPr>
  </w:style>
  <w:style w:type="paragraph" w:styleId="Title">
    <w:name w:val="Title"/>
    <w:basedOn w:val="Normal"/>
    <w:next w:val="Normal"/>
    <w:link w:val="TitleChar"/>
    <w:uiPriority w:val="10"/>
    <w:qFormat/>
    <w:rsid w:val="001D06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6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6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6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634"/>
    <w:pPr>
      <w:spacing w:before="160"/>
      <w:jc w:val="center"/>
    </w:pPr>
    <w:rPr>
      <w:i/>
      <w:iCs/>
      <w:color w:val="404040" w:themeColor="text1" w:themeTint="BF"/>
    </w:rPr>
  </w:style>
  <w:style w:type="character" w:customStyle="1" w:styleId="QuoteChar">
    <w:name w:val="Quote Char"/>
    <w:basedOn w:val="DefaultParagraphFont"/>
    <w:link w:val="Quote"/>
    <w:uiPriority w:val="29"/>
    <w:rsid w:val="001D0634"/>
    <w:rPr>
      <w:i/>
      <w:iCs/>
      <w:color w:val="404040" w:themeColor="text1" w:themeTint="BF"/>
    </w:rPr>
  </w:style>
  <w:style w:type="paragraph" w:styleId="ListParagraph">
    <w:name w:val="List Paragraph"/>
    <w:basedOn w:val="Normal"/>
    <w:uiPriority w:val="34"/>
    <w:qFormat/>
    <w:rsid w:val="001D0634"/>
    <w:pPr>
      <w:ind w:left="720"/>
      <w:contextualSpacing/>
    </w:pPr>
  </w:style>
  <w:style w:type="character" w:styleId="IntenseEmphasis">
    <w:name w:val="Intense Emphasis"/>
    <w:basedOn w:val="DefaultParagraphFont"/>
    <w:uiPriority w:val="21"/>
    <w:qFormat/>
    <w:rsid w:val="001D0634"/>
    <w:rPr>
      <w:i/>
      <w:iCs/>
      <w:color w:val="0F4761" w:themeColor="accent1" w:themeShade="BF"/>
    </w:rPr>
  </w:style>
  <w:style w:type="paragraph" w:styleId="IntenseQuote">
    <w:name w:val="Intense Quote"/>
    <w:basedOn w:val="Normal"/>
    <w:next w:val="Normal"/>
    <w:link w:val="IntenseQuoteChar"/>
    <w:uiPriority w:val="30"/>
    <w:qFormat/>
    <w:rsid w:val="001D06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634"/>
    <w:rPr>
      <w:i/>
      <w:iCs/>
      <w:color w:val="0F4761" w:themeColor="accent1" w:themeShade="BF"/>
    </w:rPr>
  </w:style>
  <w:style w:type="character" w:styleId="IntenseReference">
    <w:name w:val="Intense Reference"/>
    <w:basedOn w:val="DefaultParagraphFont"/>
    <w:uiPriority w:val="32"/>
    <w:qFormat/>
    <w:rsid w:val="001D0634"/>
    <w:rPr>
      <w:b/>
      <w:bCs/>
      <w:smallCaps/>
      <w:color w:val="0F4761" w:themeColor="accent1" w:themeShade="BF"/>
      <w:spacing w:val="5"/>
    </w:rPr>
  </w:style>
  <w:style w:type="table" w:styleId="TableGrid">
    <w:name w:val="Table Grid"/>
    <w:basedOn w:val="TableNormal"/>
    <w:uiPriority w:val="39"/>
    <w:rsid w:val="000243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36E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6EEC"/>
  </w:style>
  <w:style w:type="paragraph" w:styleId="Footer">
    <w:name w:val="footer"/>
    <w:basedOn w:val="Normal"/>
    <w:link w:val="FooterChar"/>
    <w:uiPriority w:val="99"/>
    <w:unhideWhenUsed/>
    <w:rsid w:val="00936E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6EEC"/>
  </w:style>
  <w:style w:type="character" w:styleId="PageNumber">
    <w:name w:val="page number"/>
    <w:basedOn w:val="DefaultParagraphFont"/>
    <w:uiPriority w:val="99"/>
    <w:semiHidden/>
    <w:unhideWhenUsed/>
    <w:rsid w:val="00936EEC"/>
  </w:style>
  <w:style w:type="paragraph" w:styleId="TOC1">
    <w:name w:val="toc 1"/>
    <w:basedOn w:val="Normal"/>
    <w:next w:val="Normal"/>
    <w:uiPriority w:val="39"/>
    <w:unhideWhenUsed/>
    <w:rsid w:val="060F863A"/>
    <w:pPr>
      <w:spacing w:after="100"/>
    </w:pPr>
  </w:style>
  <w:style w:type="character" w:styleId="Hyperlink">
    <w:name w:val="Hyperlink"/>
    <w:basedOn w:val="DefaultParagraphFont"/>
    <w:uiPriority w:val="99"/>
    <w:unhideWhenUsed/>
    <w:rsid w:val="060F863A"/>
    <w:rPr>
      <w:color w:val="467886"/>
      <w:u w:val="single"/>
    </w:rPr>
  </w:style>
  <w:style w:type="table" w:styleId="GridTable1Light-Accent4">
    <w:name w:val="Grid Table 1 Light Accent 4"/>
    <w:basedOn w:val="TableNormal"/>
    <w:uiPriority w:val="46"/>
    <w:rsid w:val="00BA1D12"/>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717316">
      <w:bodyDiv w:val="1"/>
      <w:marLeft w:val="0"/>
      <w:marRight w:val="0"/>
      <w:marTop w:val="0"/>
      <w:marBottom w:val="0"/>
      <w:divBdr>
        <w:top w:val="none" w:sz="0" w:space="0" w:color="auto"/>
        <w:left w:val="none" w:sz="0" w:space="0" w:color="auto"/>
        <w:bottom w:val="none" w:sz="0" w:space="0" w:color="auto"/>
        <w:right w:val="none" w:sz="0" w:space="0" w:color="auto"/>
      </w:divBdr>
    </w:div>
    <w:div w:id="766384636">
      <w:bodyDiv w:val="1"/>
      <w:marLeft w:val="0"/>
      <w:marRight w:val="0"/>
      <w:marTop w:val="0"/>
      <w:marBottom w:val="0"/>
      <w:divBdr>
        <w:top w:val="none" w:sz="0" w:space="0" w:color="auto"/>
        <w:left w:val="none" w:sz="0" w:space="0" w:color="auto"/>
        <w:bottom w:val="none" w:sz="0" w:space="0" w:color="auto"/>
        <w:right w:val="none" w:sz="0" w:space="0" w:color="auto"/>
      </w:divBdr>
      <w:divsChild>
        <w:div w:id="1526627454">
          <w:marLeft w:val="0"/>
          <w:marRight w:val="0"/>
          <w:marTop w:val="0"/>
          <w:marBottom w:val="0"/>
          <w:divBdr>
            <w:top w:val="none" w:sz="0" w:space="0" w:color="auto"/>
            <w:left w:val="none" w:sz="0" w:space="0" w:color="auto"/>
            <w:bottom w:val="none" w:sz="0" w:space="0" w:color="auto"/>
            <w:right w:val="none" w:sz="0" w:space="0" w:color="auto"/>
          </w:divBdr>
          <w:divsChild>
            <w:div w:id="1391928280">
              <w:marLeft w:val="0"/>
              <w:marRight w:val="0"/>
              <w:marTop w:val="0"/>
              <w:marBottom w:val="0"/>
              <w:divBdr>
                <w:top w:val="none" w:sz="0" w:space="0" w:color="auto"/>
                <w:left w:val="none" w:sz="0" w:space="0" w:color="auto"/>
                <w:bottom w:val="none" w:sz="0" w:space="0" w:color="auto"/>
                <w:right w:val="none" w:sz="0" w:space="0" w:color="auto"/>
              </w:divBdr>
              <w:divsChild>
                <w:div w:id="179767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3215</Words>
  <Characters>18331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2025-02-11T14:14:00Z</dcterms:created>
  <dcterms:modified xsi:type="dcterms:W3CDTF">2025-02-11T14:43:00Z</dcterms:modified>
</cp:coreProperties>
</file>