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header2.xml" ContentType="application/vnd.openxmlformats-officedocument.wordprocessingml.header+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cs="Times New Roman"/>
          <w:lang w:val="en-GB"/>
        </w:rPr>
      </w:pPr>
      <w:r>
        <w:rPr>
          <w:rFonts w:cs="Times New Roman"/>
          <w:lang w:val="en-GB"/>
        </w:rPr>
      </w:r>
    </w:p>
    <w:p>
      <w:pPr>
        <w:pStyle w:val="Normal"/>
        <w:jc w:val="center"/>
        <w:rPr>
          <w:rFonts w:cs="Times New Roman"/>
        </w:rPr>
      </w:pPr>
      <w:r>
        <w:rPr>
          <w:rFonts w:cs="Times New Roman"/>
        </w:rPr>
      </w:r>
    </w:p>
    <w:p>
      <w:pPr>
        <w:pStyle w:val="TextBody"/>
        <w:jc w:val="center"/>
        <w:rPr>
          <w:b w:val="false"/>
          <w:b w:val="false"/>
          <w:bCs w:val="false"/>
          <w:sz w:val="36"/>
          <w:szCs w:val="36"/>
          <w:u w:val="none"/>
        </w:rPr>
      </w:pPr>
      <w:r>
        <w:rPr/>
      </w:r>
    </w:p>
    <w:p>
      <w:pPr>
        <w:pStyle w:val="TextBody"/>
        <w:jc w:val="center"/>
        <w:rPr>
          <w:b w:val="false"/>
          <w:b w:val="false"/>
          <w:bCs w:val="false"/>
          <w:sz w:val="36"/>
          <w:szCs w:val="36"/>
          <w:u w:val="none"/>
        </w:rPr>
      </w:pPr>
      <w:r>
        <w:rPr/>
      </w:r>
    </w:p>
    <w:p>
      <w:pPr>
        <w:pStyle w:val="TextBody"/>
        <w:jc w:val="center"/>
        <w:rPr>
          <w:b w:val="false"/>
          <w:b w:val="false"/>
          <w:bCs w:val="false"/>
          <w:sz w:val="36"/>
          <w:szCs w:val="36"/>
          <w:u w:val="none"/>
        </w:rPr>
      </w:pPr>
      <w:r>
        <w:rPr/>
      </w:r>
    </w:p>
    <w:p>
      <w:pPr>
        <w:pStyle w:val="TextBody"/>
        <w:jc w:val="center"/>
        <w:rPr>
          <w:b w:val="false"/>
          <w:b w:val="false"/>
          <w:bCs w:val="false"/>
          <w:sz w:val="36"/>
          <w:szCs w:val="36"/>
          <w:u w:val="none"/>
        </w:rPr>
      </w:pPr>
      <w:r>
        <w:rPr>
          <w:b w:val="false"/>
          <w:bCs w:val="false"/>
          <w:sz w:val="36"/>
          <w:szCs w:val="36"/>
          <w:u w:val="none"/>
        </w:rPr>
        <w:t>Management Accounting</w:t>
      </w:r>
    </w:p>
    <w:p>
      <w:pPr>
        <w:pStyle w:val="TextBody"/>
        <w:jc w:val="center"/>
        <w:rPr>
          <w:b w:val="false"/>
          <w:b w:val="false"/>
          <w:bCs w:val="false"/>
          <w:sz w:val="32"/>
          <w:szCs w:val="32"/>
          <w:u w:val="none"/>
        </w:rPr>
      </w:pPr>
      <w:r>
        <w:rPr/>
      </w:r>
    </w:p>
    <w:p>
      <w:pPr>
        <w:pStyle w:val="TextBody"/>
        <w:jc w:val="center"/>
        <w:rPr>
          <w:b w:val="false"/>
          <w:b w:val="false"/>
          <w:bCs w:val="false"/>
          <w:sz w:val="32"/>
          <w:szCs w:val="32"/>
          <w:u w:val="none"/>
        </w:rPr>
      </w:pPr>
      <w:r>
        <w:drawing>
          <wp:anchor behindDoc="0" distT="0" distB="0" distL="0" distR="0" simplePos="0" locked="0" layoutInCell="0" allowOverlap="1" relativeHeight="20">
            <wp:simplePos x="0" y="0"/>
            <wp:positionH relativeFrom="column">
              <wp:posOffset>2276475</wp:posOffset>
            </wp:positionH>
            <wp:positionV relativeFrom="paragraph">
              <wp:posOffset>4749165</wp:posOffset>
            </wp:positionV>
            <wp:extent cx="1466850" cy="61150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6850" cy="611505"/>
                    </a:xfrm>
                    <a:prstGeom prst="rect">
                      <a:avLst/>
                    </a:prstGeom>
                  </pic:spPr>
                </pic:pic>
              </a:graphicData>
            </a:graphic>
          </wp:anchor>
        </w:drawing>
      </w:r>
      <w:r>
        <w:rPr>
          <w:rFonts w:cs="Times New Roman"/>
          <w:b w:val="false"/>
          <w:bCs w:val="false"/>
          <w:i w:val="false"/>
          <w:color w:val="333333"/>
          <w:sz w:val="32"/>
          <w:szCs w:val="32"/>
          <w:u w:val="none"/>
          <w:shd w:fill="FFFFFF" w:val="clear"/>
        </w:rPr>
        <w:t>(LCBB</w:t>
      </w:r>
      <w:r>
        <w:rPr>
          <w:rFonts w:cs="Times New Roman"/>
          <w:b w:val="false"/>
          <w:bCs w:val="false"/>
          <w:i w:val="false"/>
          <w:color w:val="333333"/>
          <w:sz w:val="32"/>
          <w:szCs w:val="32"/>
          <w:u w:val="none"/>
          <w:shd w:fill="FFFFFF" w:val="clear"/>
        </w:rPr>
        <w:t>5002</w:t>
      </w:r>
      <w:r>
        <w:rPr>
          <w:rFonts w:cs="Times New Roman"/>
          <w:b w:val="false"/>
          <w:bCs w:val="false"/>
          <w:i w:val="false"/>
          <w:color w:val="333333"/>
          <w:sz w:val="32"/>
          <w:szCs w:val="32"/>
          <w:u w:val="none"/>
          <w:shd w:fill="FFFFFF" w:val="clear"/>
        </w:rPr>
        <w:t>)</w:t>
      </w:r>
    </w:p>
    <w:p>
      <w:pPr>
        <w:pStyle w:val="TextBody"/>
        <w:tabs>
          <w:tab w:val="clear" w:pos="720"/>
          <w:tab w:val="left" w:pos="5076" w:leader="none"/>
        </w:tabs>
        <w:jc w:val="left"/>
        <w:rPr>
          <w:b w:val="false"/>
          <w:b w:val="false"/>
          <w:sz w:val="28"/>
          <w:szCs w:val="28"/>
        </w:rPr>
      </w:pPr>
      <w:r>
        <w:rPr/>
      </w:r>
    </w:p>
    <w:p>
      <w:pPr>
        <w:pStyle w:val="TextBody"/>
        <w:tabs>
          <w:tab w:val="clear" w:pos="720"/>
          <w:tab w:val="left" w:pos="5076" w:leader="none"/>
        </w:tabs>
        <w:jc w:val="left"/>
        <w:rPr>
          <w:b w:val="false"/>
          <w:b w:val="false"/>
          <w:sz w:val="28"/>
          <w:szCs w:val="28"/>
        </w:rPr>
      </w:pPr>
      <w:r>
        <w:rPr/>
      </w:r>
    </w:p>
    <w:p>
      <w:pPr>
        <w:pStyle w:val="TextBody"/>
        <w:tabs>
          <w:tab w:val="clear" w:pos="720"/>
          <w:tab w:val="left" w:pos="5076" w:leader="none"/>
        </w:tabs>
        <w:jc w:val="left"/>
        <w:rPr>
          <w:b w:val="false"/>
          <w:b w:val="false"/>
          <w:sz w:val="28"/>
          <w:szCs w:val="28"/>
        </w:rPr>
      </w:pPr>
      <w:r>
        <w:rPr/>
      </w:r>
    </w:p>
    <w:p>
      <w:pPr>
        <w:pStyle w:val="TextBody"/>
        <w:tabs>
          <w:tab w:val="clear" w:pos="720"/>
          <w:tab w:val="left" w:pos="5076" w:leader="none"/>
        </w:tabs>
        <w:jc w:val="left"/>
        <w:rPr>
          <w:b w:val="false"/>
          <w:b w:val="false"/>
          <w:sz w:val="28"/>
          <w:szCs w:val="28"/>
        </w:rPr>
      </w:pPr>
      <w:r>
        <w:rPr/>
      </w:r>
    </w:p>
    <w:p>
      <w:pPr>
        <w:pStyle w:val="TextBody"/>
        <w:tabs>
          <w:tab w:val="clear" w:pos="720"/>
          <w:tab w:val="left" w:pos="5076" w:leader="none"/>
        </w:tabs>
        <w:jc w:val="left"/>
        <w:rPr>
          <w:b w:val="false"/>
          <w:b w:val="false"/>
          <w:sz w:val="28"/>
          <w:szCs w:val="28"/>
        </w:rPr>
      </w:pPr>
      <w:r>
        <w:rPr/>
      </w:r>
    </w:p>
    <w:p>
      <w:pPr>
        <w:pStyle w:val="TextBody"/>
        <w:tabs>
          <w:tab w:val="clear" w:pos="720"/>
          <w:tab w:val="left" w:pos="5076" w:leader="none"/>
        </w:tabs>
        <w:jc w:val="left"/>
        <w:rPr>
          <w:b w:val="false"/>
          <w:b w:val="false"/>
          <w:sz w:val="28"/>
          <w:szCs w:val="28"/>
        </w:rPr>
      </w:pPr>
      <w:r>
        <w:rPr/>
      </w:r>
    </w:p>
    <w:p>
      <w:pPr>
        <w:pStyle w:val="TextBody"/>
        <w:tabs>
          <w:tab w:val="clear" w:pos="720"/>
          <w:tab w:val="left" w:pos="5076" w:leader="none"/>
        </w:tabs>
        <w:jc w:val="left"/>
        <w:rPr>
          <w:b w:val="false"/>
          <w:b w:val="false"/>
          <w:sz w:val="28"/>
          <w:szCs w:val="28"/>
        </w:rPr>
      </w:pPr>
      <w:r>
        <w:rPr>
          <w:b w:val="false"/>
          <w:bCs w:val="false"/>
          <w:sz w:val="28"/>
          <w:szCs w:val="28"/>
          <w:u w:val="none"/>
        </w:rPr>
        <w:t xml:space="preserve">Mladen Dinev                               </w:t>
      </w:r>
      <w:r>
        <w:rPr>
          <w:b w:val="false"/>
          <w:bCs w:val="false"/>
          <w:i w:val="false"/>
          <w:iCs w:val="false"/>
          <w:strike w:val="false"/>
          <w:dstrike w:val="false"/>
          <w:sz w:val="28"/>
          <w:szCs w:val="28"/>
          <w:u w:val="none"/>
        </w:rPr>
        <w:t xml:space="preserve">                                                 </w:t>
      </w:r>
      <w:r>
        <w:rPr>
          <w:b w:val="false"/>
          <w:bCs w:val="false"/>
          <w:i w:val="false"/>
          <w:iCs w:val="false"/>
          <w:strike w:val="false"/>
          <w:dstrike w:val="false"/>
          <w:sz w:val="28"/>
          <w:szCs w:val="28"/>
          <w:u w:val="none"/>
        </w:rPr>
        <w:t>Winifred Soribe</w:t>
      </w:r>
    </w:p>
    <w:p>
      <w:pPr>
        <w:pStyle w:val="TextBody"/>
        <w:jc w:val="left"/>
        <w:rPr>
          <w:b w:val="false"/>
          <w:b w:val="false"/>
          <w:bCs w:val="false"/>
          <w:sz w:val="28"/>
          <w:szCs w:val="28"/>
          <w:u w:val="none"/>
        </w:rPr>
      </w:pPr>
      <w:r>
        <w:rPr>
          <w:b w:val="false"/>
          <w:bCs w:val="false"/>
          <w:sz w:val="28"/>
          <w:szCs w:val="28"/>
          <w:u w:val="none"/>
        </w:rPr>
        <w:t xml:space="preserve">(2022657)                                                                                             </w:t>
      </w:r>
      <w:r>
        <w:rPr>
          <w:rFonts w:eastAsia="Calibri" w:cs="Times New Roman"/>
          <w:b w:val="false"/>
          <w:bCs w:val="false"/>
          <w:color w:val="000000"/>
          <w:sz w:val="28"/>
          <w:szCs w:val="28"/>
          <w:u w:val="none"/>
          <w:lang w:val="en-GB" w:bidi="ar-SA"/>
        </w:rPr>
        <w:t>03</w:t>
      </w:r>
      <w:r>
        <w:rPr>
          <w:b w:val="false"/>
          <w:bCs w:val="false"/>
          <w:sz w:val="28"/>
          <w:szCs w:val="28"/>
          <w:u w:val="none"/>
        </w:rPr>
        <w:t>/</w:t>
      </w:r>
      <w:r>
        <w:rPr>
          <w:rFonts w:eastAsia="Calibri" w:cs="Times New Roman"/>
          <w:b w:val="false"/>
          <w:bCs w:val="false"/>
          <w:color w:val="000000"/>
          <w:sz w:val="28"/>
          <w:szCs w:val="28"/>
          <w:u w:val="none"/>
          <w:lang w:val="en-GB" w:bidi="ar-SA"/>
        </w:rPr>
        <w:t>0</w:t>
      </w:r>
      <w:r>
        <w:rPr>
          <w:rFonts w:eastAsia="Calibri" w:cs="Times New Roman"/>
          <w:b w:val="false"/>
          <w:bCs w:val="false"/>
          <w:color w:val="000000"/>
          <w:sz w:val="28"/>
          <w:szCs w:val="28"/>
          <w:u w:val="none"/>
          <w:lang w:val="en-GB" w:bidi="ar-SA"/>
        </w:rPr>
        <w:t>5</w:t>
      </w:r>
      <w:r>
        <w:rPr>
          <w:b w:val="false"/>
          <w:bCs w:val="false"/>
          <w:sz w:val="28"/>
          <w:szCs w:val="28"/>
          <w:u w:val="none"/>
        </w:rPr>
        <w:t>/202</w:t>
      </w:r>
      <w:r>
        <w:rPr>
          <w:b w:val="false"/>
          <w:bCs w:val="false"/>
          <w:sz w:val="28"/>
          <w:szCs w:val="28"/>
          <w:u w:val="none"/>
        </w:rPr>
        <w:t>2</w:t>
      </w:r>
      <w:r>
        <w:rPr>
          <w:b w:val="false"/>
          <w:bCs w:val="false"/>
          <w:sz w:val="28"/>
          <w:szCs w:val="28"/>
          <w:u w:val="none"/>
        </w:rPr>
        <w:t xml:space="preserve">                                                                                  </w:t>
      </w:r>
    </w:p>
    <w:p>
      <w:pPr>
        <w:pStyle w:val="TextBody"/>
        <w:widowControl/>
        <w:ind w:left="0" w:right="0" w:hanging="0"/>
        <w:jc w:val="center"/>
        <w:rPr>
          <w:rFonts w:ascii="mr-eaves-modern;sans-serif" w:hAnsi="mr-eaves-modern;sans-serif" w:eastAsia="Calibri" w:cs="Times New Roman"/>
          <w:b w:val="false"/>
          <w:b w:val="false"/>
          <w:bCs w:val="false"/>
          <w:i w:val="false"/>
          <w:i w:val="false"/>
          <w:caps w:val="false"/>
          <w:smallCaps w:val="false"/>
          <w:color w:val="222222"/>
          <w:spacing w:val="0"/>
          <w:sz w:val="28"/>
          <w:szCs w:val="28"/>
          <w:u w:val="none"/>
          <w:lang w:val="en-GB" w:bidi="ar-SA"/>
        </w:rPr>
      </w:pPr>
      <w:r>
        <w:rPr>
          <w:rFonts w:cs="Times New Roman"/>
        </w:rPr>
      </w:r>
    </w:p>
    <w:p>
      <w:pPr>
        <w:pStyle w:val="Normal"/>
        <w:jc w:val="center"/>
        <w:rPr>
          <w:rFonts w:cs="Times New Roman"/>
        </w:rPr>
      </w:pPr>
      <w:r>
        <w:rPr>
          <w:rFonts w:cs="Times New Roman"/>
        </w:rPr>
      </w:r>
    </w:p>
    <w:p>
      <w:pPr>
        <w:pStyle w:val="Normal"/>
        <w:tabs>
          <w:tab w:val="clear" w:pos="720"/>
          <w:tab w:val="left" w:pos="7422" w:leader="none"/>
        </w:tabs>
        <w:jc w:val="left"/>
        <w:rPr>
          <w:rFonts w:cs="Times New Roman"/>
        </w:rPr>
      </w:pPr>
      <w:r>
        <w:rPr>
          <w:rFonts w:cs="Times New Roman"/>
        </w:rPr>
        <w:tab/>
      </w:r>
    </w:p>
    <w:p>
      <w:pPr>
        <w:pStyle w:val="Normal"/>
        <w:jc w:val="center"/>
        <w:rPr>
          <w:rFonts w:cs="Times New Roman"/>
        </w:rPr>
      </w:pPr>
      <w:r>
        <w:rPr>
          <w:rFonts w:cs="Times New Roman"/>
        </w:rPr>
      </w:r>
    </w:p>
    <w:p>
      <w:pPr>
        <w:pStyle w:val="Normal"/>
        <w:jc w:val="center"/>
        <w:rPr>
          <w:rFonts w:cs="Times New Roman"/>
        </w:rPr>
      </w:pPr>
      <w:r>
        <w:rPr>
          <w:rFonts w:cs="Times New Roman"/>
        </w:rPr>
      </w:r>
    </w:p>
    <w:sdt>
      <w:sdtPr>
        <w:docPartObj>
          <w:docPartGallery w:val="Table of Contents"/>
          <w:docPartUnique w:val="true"/>
        </w:docPartObj>
      </w:sdtPr>
      <w:sdtContent>
        <w:p>
          <w:pPr>
            <w:pStyle w:val="TOCHeading"/>
            <w:spacing w:lineRule="auto" w:line="240"/>
            <w:jc w:val="center"/>
            <w:rPr>
              <w:rFonts w:ascii="Times New Roman" w:hAnsi="Times New Roman" w:cs="Times New Roman"/>
              <w:color w:val="auto"/>
              <w:sz w:val="32"/>
              <w:szCs w:val="32"/>
            </w:rPr>
          </w:pPr>
          <w:r>
            <w:br w:type="page"/>
          </w:r>
          <w:r>
            <w:rPr>
              <w:rFonts w:cs="Times New Roman" w:ascii="Times New Roman" w:hAnsi="Times New Roman"/>
              <w:color w:val="auto"/>
              <w:sz w:val="32"/>
              <w:szCs w:val="32"/>
            </w:rPr>
            <w:t>Table of Contents</w:t>
          </w:r>
        </w:p>
        <w:p>
          <w:pPr>
            <w:pStyle w:val="Contents1"/>
            <w:tabs>
              <w:tab w:val="clear" w:pos="720"/>
              <w:tab w:val="right" w:pos="9016" w:leader="dot"/>
            </w:tabs>
            <w:rPr>
              <w:rFonts w:ascii="Calibri" w:hAnsi="Calibri" w:eastAsia="" w:asciiTheme="minorHAnsi" w:eastAsiaTheme="minorEastAsia" w:hAnsiTheme="minorHAnsi"/>
              <w:color w:val="auto"/>
              <w:sz w:val="22"/>
              <w:lang w:val="en-US"/>
            </w:rPr>
          </w:pPr>
          <w:r>
            <w:fldChar w:fldCharType="begin"/>
          </w:r>
          <w:r>
            <w:rPr>
              <w:webHidden/>
              <w:rStyle w:val="IndexLink"/>
            </w:rPr>
            <w:instrText> TOC \z \o "1-3" \u \h</w:instrText>
          </w:r>
          <w:r>
            <w:rPr>
              <w:webHidden/>
              <w:rStyle w:val="IndexLink"/>
            </w:rPr>
            <w:fldChar w:fldCharType="separate"/>
          </w:r>
          <w:hyperlink w:anchor="_Toc102237737">
            <w:r>
              <w:rPr>
                <w:webHidden/>
                <w:rStyle w:val="IndexLink"/>
              </w:rPr>
              <w:t>Part A</w:t>
            </w:r>
            <w:r>
              <w:rPr>
                <w:webHidden/>
              </w:rPr>
              <w:fldChar w:fldCharType="begin"/>
            </w:r>
            <w:r>
              <w:rPr>
                <w:webHidden/>
              </w:rPr>
              <w:instrText>PAGEREF _Toc102237737 \h</w:instrText>
            </w:r>
            <w:r>
              <w:rPr>
                <w:webHidden/>
              </w:rPr>
              <w:fldChar w:fldCharType="separate"/>
            </w:r>
            <w:r>
              <w:rPr>
                <w:rStyle w:val="IndexLink"/>
                <w:vanish w:val="false"/>
              </w:rPr>
              <w:tab/>
              <w:t>2</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color w:val="auto"/>
              <w:sz w:val="22"/>
              <w:lang w:val="en-US"/>
            </w:rPr>
          </w:pPr>
          <w:hyperlink w:anchor="_Toc102237738">
            <w:r>
              <w:rPr>
                <w:webHidden/>
                <w:rStyle w:val="IndexLink"/>
              </w:rPr>
              <w:t>Overview of Case Study</w:t>
            </w:r>
            <w:r>
              <w:rPr>
                <w:webHidden/>
              </w:rPr>
              <w:fldChar w:fldCharType="begin"/>
            </w:r>
            <w:r>
              <w:rPr>
                <w:webHidden/>
              </w:rPr>
              <w:instrText>PAGEREF _Toc102237738 \h</w:instrText>
            </w:r>
            <w:r>
              <w:rPr>
                <w:webHidden/>
              </w:rPr>
              <w:fldChar w:fldCharType="separate"/>
            </w:r>
            <w:r>
              <w:rPr>
                <w:rStyle w:val="IndexLink"/>
                <w:vanish w:val="false"/>
              </w:rPr>
              <w:tab/>
              <w:t>2</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color w:val="auto"/>
              <w:sz w:val="22"/>
              <w:lang w:val="en-US"/>
            </w:rPr>
          </w:pPr>
          <w:hyperlink w:anchor="_Toc102237739">
            <w:r>
              <w:rPr>
                <w:webHidden/>
                <w:rStyle w:val="IndexLink"/>
              </w:rPr>
              <w:t>Purpose of Case Study</w:t>
            </w:r>
            <w:r>
              <w:rPr>
                <w:webHidden/>
              </w:rPr>
              <w:fldChar w:fldCharType="begin"/>
            </w:r>
            <w:r>
              <w:rPr>
                <w:webHidden/>
              </w:rPr>
              <w:instrText>PAGEREF _Toc102237739 \h</w:instrText>
            </w:r>
            <w:r>
              <w:rPr>
                <w:webHidden/>
              </w:rPr>
              <w:fldChar w:fldCharType="separate"/>
            </w:r>
            <w:r>
              <w:rPr>
                <w:rStyle w:val="IndexLink"/>
                <w:vanish w:val="false"/>
              </w:rPr>
              <w:tab/>
              <w:t>2</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color w:val="auto"/>
              <w:sz w:val="22"/>
              <w:lang w:val="en-US"/>
            </w:rPr>
          </w:pPr>
          <w:hyperlink w:anchor="_Toc102237740">
            <w:r>
              <w:rPr>
                <w:webHidden/>
                <w:rStyle w:val="IndexLink"/>
              </w:rPr>
              <w:t>Requirement (i): Monthly Control Report</w:t>
            </w:r>
            <w:r>
              <w:rPr>
                <w:webHidden/>
              </w:rPr>
              <w:fldChar w:fldCharType="begin"/>
            </w:r>
            <w:r>
              <w:rPr>
                <w:webHidden/>
              </w:rPr>
              <w:instrText>PAGEREF _Toc102237740 \h</w:instrText>
            </w:r>
            <w:r>
              <w:rPr>
                <w:webHidden/>
              </w:rPr>
              <w:fldChar w:fldCharType="separate"/>
            </w:r>
            <w:r>
              <w:rPr>
                <w:rStyle w:val="IndexLink"/>
                <w:vanish w:val="false"/>
              </w:rPr>
              <w:tab/>
              <w:t>2</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color w:val="auto"/>
              <w:sz w:val="22"/>
              <w:lang w:val="en-US"/>
            </w:rPr>
          </w:pPr>
          <w:hyperlink w:anchor="_Toc102237741">
            <w:r>
              <w:rPr>
                <w:webHidden/>
                <w:rStyle w:val="IndexLink"/>
              </w:rPr>
              <w:t>Requirement (ii): Report on Performance during 2020</w:t>
            </w:r>
            <w:r>
              <w:rPr>
                <w:webHidden/>
              </w:rPr>
              <w:fldChar w:fldCharType="begin"/>
            </w:r>
            <w:r>
              <w:rPr>
                <w:webHidden/>
              </w:rPr>
              <w:instrText>PAGEREF _Toc102237741 \h</w:instrText>
            </w:r>
            <w:r>
              <w:rPr>
                <w:webHidden/>
              </w:rPr>
              <w:fldChar w:fldCharType="separate"/>
            </w:r>
            <w:r>
              <w:rPr>
                <w:rStyle w:val="IndexLink"/>
                <w:vanish w:val="false"/>
              </w:rPr>
              <w:tab/>
              <w:t>3</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color w:val="auto"/>
              <w:sz w:val="22"/>
              <w:lang w:val="en-US"/>
            </w:rPr>
          </w:pPr>
          <w:hyperlink w:anchor="_Toc102237742">
            <w:r>
              <w:rPr>
                <w:webHidden/>
                <w:rStyle w:val="IndexLink"/>
              </w:rPr>
              <w:t>Requirement (iii): Recommendations for Areas of Improvement</w:t>
            </w:r>
            <w:r>
              <w:rPr>
                <w:webHidden/>
              </w:rPr>
              <w:fldChar w:fldCharType="begin"/>
            </w:r>
            <w:r>
              <w:rPr>
                <w:webHidden/>
              </w:rPr>
              <w:instrText>PAGEREF _Toc102237742 \h</w:instrText>
            </w:r>
            <w:r>
              <w:rPr>
                <w:webHidden/>
              </w:rPr>
              <w:fldChar w:fldCharType="separate"/>
            </w:r>
            <w:r>
              <w:rPr>
                <w:rStyle w:val="IndexLink"/>
                <w:vanish w:val="false"/>
              </w:rPr>
              <w:tab/>
              <w:t>5</w:t>
            </w:r>
            <w:r>
              <w:rPr>
                <w:webHidden/>
              </w:rPr>
              <w:fldChar w:fldCharType="end"/>
            </w:r>
          </w:hyperlink>
        </w:p>
        <w:p>
          <w:pPr>
            <w:pStyle w:val="Contents1"/>
            <w:tabs>
              <w:tab w:val="clear" w:pos="720"/>
              <w:tab w:val="right" w:pos="9016" w:leader="dot"/>
            </w:tabs>
            <w:rPr>
              <w:rFonts w:ascii="Calibri" w:hAnsi="Calibri" w:eastAsia="" w:asciiTheme="minorHAnsi" w:eastAsiaTheme="minorEastAsia" w:hAnsiTheme="minorHAnsi"/>
              <w:color w:val="auto"/>
              <w:sz w:val="22"/>
              <w:lang w:val="en-US"/>
            </w:rPr>
          </w:pPr>
          <w:hyperlink w:anchor="_Toc102237743">
            <w:r>
              <w:rPr>
                <w:webHidden/>
                <w:rStyle w:val="IndexLink"/>
              </w:rPr>
              <w:t>Part B</w:t>
            </w:r>
            <w:r>
              <w:rPr>
                <w:webHidden/>
              </w:rPr>
              <w:fldChar w:fldCharType="begin"/>
            </w:r>
            <w:r>
              <w:rPr>
                <w:webHidden/>
              </w:rPr>
              <w:instrText>PAGEREF _Toc102237743 \h</w:instrText>
            </w:r>
            <w:r>
              <w:rPr>
                <w:webHidden/>
              </w:rPr>
              <w:fldChar w:fldCharType="separate"/>
            </w:r>
            <w:r>
              <w:rPr>
                <w:rStyle w:val="IndexLink"/>
                <w:vanish w:val="false"/>
              </w:rPr>
              <w:tab/>
              <w:t>6</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color w:val="auto"/>
              <w:sz w:val="22"/>
              <w:lang w:val="en-US"/>
            </w:rPr>
          </w:pPr>
          <w:hyperlink w:anchor="_Toc102237744">
            <w:r>
              <w:rPr>
                <w:webHidden/>
                <w:rStyle w:val="IndexLink"/>
              </w:rPr>
              <w:t>Case study overview</w:t>
            </w:r>
            <w:r>
              <w:rPr>
                <w:webHidden/>
              </w:rPr>
              <w:fldChar w:fldCharType="begin"/>
            </w:r>
            <w:r>
              <w:rPr>
                <w:webHidden/>
              </w:rPr>
              <w:instrText>PAGEREF _Toc102237744 \h</w:instrText>
            </w:r>
            <w:r>
              <w:rPr>
                <w:webHidden/>
              </w:rPr>
              <w:fldChar w:fldCharType="separate"/>
            </w:r>
            <w:r>
              <w:rPr>
                <w:rStyle w:val="IndexLink"/>
                <w:vanish w:val="false"/>
              </w:rPr>
              <w:tab/>
              <w:t>6</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color w:val="auto"/>
              <w:sz w:val="22"/>
              <w:lang w:val="en-US"/>
            </w:rPr>
          </w:pPr>
          <w:hyperlink w:anchor="_Toc102237745">
            <w:r>
              <w:rPr>
                <w:webHidden/>
                <w:rStyle w:val="IndexLink"/>
              </w:rPr>
              <w:t>Purpose of case study</w:t>
            </w:r>
            <w:r>
              <w:rPr>
                <w:webHidden/>
              </w:rPr>
              <w:fldChar w:fldCharType="begin"/>
            </w:r>
            <w:r>
              <w:rPr>
                <w:webHidden/>
              </w:rPr>
              <w:instrText>PAGEREF _Toc102237745 \h</w:instrText>
            </w:r>
            <w:r>
              <w:rPr>
                <w:webHidden/>
              </w:rPr>
              <w:fldChar w:fldCharType="separate"/>
            </w:r>
            <w:r>
              <w:rPr>
                <w:rStyle w:val="IndexLink"/>
                <w:vanish w:val="false"/>
              </w:rPr>
              <w:tab/>
              <w:t>6</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color w:val="auto"/>
              <w:sz w:val="22"/>
              <w:lang w:val="en-US"/>
            </w:rPr>
          </w:pPr>
          <w:hyperlink w:anchor="_Toc102237746">
            <w:r>
              <w:rPr>
                <w:webHidden/>
                <w:rStyle w:val="IndexLink"/>
              </w:rPr>
              <w:t>Discussion of Option 1</w:t>
            </w:r>
            <w:r>
              <w:rPr>
                <w:webHidden/>
              </w:rPr>
              <w:fldChar w:fldCharType="begin"/>
            </w:r>
            <w:r>
              <w:rPr>
                <w:webHidden/>
              </w:rPr>
              <w:instrText>PAGEREF _Toc102237746 \h</w:instrText>
            </w:r>
            <w:r>
              <w:rPr>
                <w:webHidden/>
              </w:rPr>
              <w:fldChar w:fldCharType="separate"/>
            </w:r>
            <w:r>
              <w:rPr>
                <w:rStyle w:val="IndexLink"/>
                <w:vanish w:val="false"/>
              </w:rPr>
              <w:tab/>
              <w:t>7</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color w:val="auto"/>
              <w:sz w:val="22"/>
              <w:lang w:val="en-US"/>
            </w:rPr>
          </w:pPr>
          <w:hyperlink w:anchor="_Toc102237747">
            <w:r>
              <w:rPr>
                <w:webHidden/>
                <w:rStyle w:val="IndexLink"/>
              </w:rPr>
              <w:t>Discussion of Option 2</w:t>
            </w:r>
            <w:r>
              <w:rPr>
                <w:webHidden/>
              </w:rPr>
              <w:fldChar w:fldCharType="begin"/>
            </w:r>
            <w:r>
              <w:rPr>
                <w:webHidden/>
              </w:rPr>
              <w:instrText>PAGEREF _Toc102237747 \h</w:instrText>
            </w:r>
            <w:r>
              <w:rPr>
                <w:webHidden/>
              </w:rPr>
              <w:fldChar w:fldCharType="separate"/>
            </w:r>
            <w:r>
              <w:rPr>
                <w:rStyle w:val="IndexLink"/>
                <w:vanish w:val="false"/>
              </w:rPr>
              <w:tab/>
              <w:t>7</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color w:val="auto"/>
              <w:sz w:val="22"/>
              <w:lang w:val="en-US"/>
            </w:rPr>
          </w:pPr>
          <w:hyperlink w:anchor="_Toc102237748">
            <w:r>
              <w:rPr>
                <w:webHidden/>
                <w:rStyle w:val="IndexLink"/>
                <w:lang w:val="en-GB"/>
              </w:rPr>
              <w:t>Concept of Relevant Cost</w:t>
            </w:r>
            <w:r>
              <w:rPr>
                <w:webHidden/>
              </w:rPr>
              <w:fldChar w:fldCharType="begin"/>
            </w:r>
            <w:r>
              <w:rPr>
                <w:webHidden/>
              </w:rPr>
              <w:instrText>PAGEREF _Toc102237748 \h</w:instrText>
            </w:r>
            <w:r>
              <w:rPr>
                <w:webHidden/>
              </w:rPr>
              <w:fldChar w:fldCharType="separate"/>
            </w:r>
            <w:r>
              <w:rPr>
                <w:rStyle w:val="IndexLink"/>
                <w:vanish w:val="false"/>
              </w:rPr>
              <w:tab/>
              <w:t>8</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color w:val="auto"/>
              <w:sz w:val="22"/>
              <w:lang w:val="en-US"/>
            </w:rPr>
          </w:pPr>
          <w:hyperlink w:anchor="_Toc102237749">
            <w:r>
              <w:rPr>
                <w:webHidden/>
                <w:rStyle w:val="IndexLink"/>
                <w:lang w:val="en-GB"/>
              </w:rPr>
              <w:t>Other Relevant Factors</w:t>
            </w:r>
            <w:r>
              <w:rPr>
                <w:webHidden/>
              </w:rPr>
              <w:fldChar w:fldCharType="begin"/>
            </w:r>
            <w:r>
              <w:rPr>
                <w:webHidden/>
              </w:rPr>
              <w:instrText>PAGEREF _Toc102237749 \h</w:instrText>
            </w:r>
            <w:r>
              <w:rPr>
                <w:webHidden/>
              </w:rPr>
              <w:fldChar w:fldCharType="separate"/>
            </w:r>
            <w:r>
              <w:rPr>
                <w:rStyle w:val="IndexLink"/>
                <w:vanish w:val="false"/>
              </w:rPr>
              <w:tab/>
              <w:t>8</w:t>
            </w:r>
            <w:r>
              <w:rPr>
                <w:webHidden/>
              </w:rPr>
              <w:fldChar w:fldCharType="end"/>
            </w:r>
          </w:hyperlink>
        </w:p>
        <w:p>
          <w:pPr>
            <w:pStyle w:val="Contents2"/>
            <w:tabs>
              <w:tab w:val="clear" w:pos="720"/>
              <w:tab w:val="right" w:pos="9016" w:leader="dot"/>
            </w:tabs>
            <w:rPr>
              <w:rFonts w:ascii="Calibri" w:hAnsi="Calibri" w:eastAsia="" w:asciiTheme="minorHAnsi" w:eastAsiaTheme="minorEastAsia" w:hAnsiTheme="minorHAnsi"/>
              <w:color w:val="auto"/>
              <w:sz w:val="22"/>
              <w:lang w:val="en-US"/>
            </w:rPr>
          </w:pPr>
          <w:hyperlink w:anchor="_Toc102237750">
            <w:r>
              <w:rPr>
                <w:webHidden/>
                <w:rStyle w:val="IndexLink"/>
                <w:lang w:val="en-GB"/>
              </w:rPr>
              <w:t>Final Recommendation</w:t>
            </w:r>
            <w:r>
              <w:rPr>
                <w:webHidden/>
              </w:rPr>
              <w:fldChar w:fldCharType="begin"/>
            </w:r>
            <w:r>
              <w:rPr>
                <w:webHidden/>
              </w:rPr>
              <w:instrText>PAGEREF _Toc102237750 \h</w:instrText>
            </w:r>
            <w:r>
              <w:rPr>
                <w:webHidden/>
              </w:rPr>
              <w:fldChar w:fldCharType="separate"/>
            </w:r>
            <w:r>
              <w:rPr>
                <w:rStyle w:val="IndexLink"/>
                <w:vanish w:val="false"/>
              </w:rPr>
              <w:tab/>
              <w:t>8</w:t>
            </w:r>
            <w:r>
              <w:rPr>
                <w:webHidden/>
              </w:rPr>
              <w:fldChar w:fldCharType="end"/>
            </w:r>
          </w:hyperlink>
        </w:p>
        <w:p>
          <w:pPr>
            <w:pStyle w:val="Contents1"/>
            <w:tabs>
              <w:tab w:val="clear" w:pos="720"/>
              <w:tab w:val="right" w:pos="9016" w:leader="dot"/>
            </w:tabs>
            <w:rPr>
              <w:rFonts w:ascii="Calibri" w:hAnsi="Calibri" w:eastAsia="" w:asciiTheme="minorHAnsi" w:eastAsiaTheme="minorEastAsia" w:hAnsiTheme="minorHAnsi"/>
              <w:color w:val="auto"/>
              <w:sz w:val="22"/>
              <w:lang w:val="en-US"/>
            </w:rPr>
          </w:pPr>
          <w:hyperlink w:anchor="_Toc102237751">
            <w:r>
              <w:rPr>
                <w:webHidden/>
                <w:rStyle w:val="IndexLink"/>
                <w:lang w:val="en-GB"/>
              </w:rPr>
              <w:t>References</w:t>
            </w:r>
            <w:r>
              <w:rPr>
                <w:webHidden/>
              </w:rPr>
              <w:fldChar w:fldCharType="begin"/>
            </w:r>
            <w:r>
              <w:rPr>
                <w:webHidden/>
              </w:rPr>
              <w:instrText>PAGEREF _Toc102237751 \h</w:instrText>
            </w:r>
            <w:r>
              <w:rPr>
                <w:webHidden/>
              </w:rPr>
              <w:fldChar w:fldCharType="separate"/>
            </w:r>
            <w:r>
              <w:rPr>
                <w:rStyle w:val="IndexLink"/>
                <w:vanish w:val="false"/>
              </w:rPr>
              <w:tab/>
              <w:t>9</w:t>
            </w:r>
            <w:r>
              <w:rPr>
                <w:webHidden/>
              </w:rPr>
              <w:fldChar w:fldCharType="end"/>
            </w:r>
          </w:hyperlink>
        </w:p>
        <w:p>
          <w:pPr>
            <w:pStyle w:val="Normal"/>
            <w:spacing w:lineRule="auto" w:line="240"/>
            <w:rPr/>
          </w:pPr>
          <w:r>
            <w:rPr/>
          </w:r>
          <w:r>
            <w:rPr/>
            <w:fldChar w:fldCharType="end"/>
          </w:r>
        </w:p>
      </w:sdtContent>
    </w:sdt>
    <w:p>
      <w:pPr>
        <w:pStyle w:val="Normal"/>
        <w:spacing w:lineRule="auto" w:line="276"/>
        <w:jc w:val="left"/>
        <w:rPr>
          <w:rFonts w:eastAsia="" w:cs="" w:cstheme="majorBidi" w:eastAsiaTheme="majorEastAsia"/>
          <w:b/>
          <w:b/>
          <w:bCs/>
          <w:szCs w:val="28"/>
          <w:u w:val="single"/>
        </w:rPr>
      </w:pPr>
      <w:r>
        <w:rPr>
          <w:rFonts w:eastAsia="" w:cs="" w:cstheme="majorBidi" w:eastAsiaTheme="majorEastAsia"/>
          <w:b/>
          <w:bCs/>
          <w:szCs w:val="28"/>
          <w:u w:val="single"/>
        </w:rPr>
      </w:r>
      <w:r>
        <w:br w:type="page"/>
      </w:r>
    </w:p>
    <w:p>
      <w:pPr>
        <w:pStyle w:val="Heading1"/>
        <w:jc w:val="center"/>
        <w:rPr>
          <w:u w:val="single"/>
        </w:rPr>
      </w:pPr>
      <w:bookmarkStart w:id="0" w:name="_Toc102237737"/>
      <w:r>
        <w:rPr>
          <w:u w:val="single"/>
        </w:rPr>
        <w:t>Part A</w:t>
      </w:r>
      <w:bookmarkEnd w:id="0"/>
    </w:p>
    <w:p>
      <w:pPr>
        <w:pStyle w:val="Heading2"/>
        <w:rPr>
          <w:u w:val="single"/>
        </w:rPr>
      </w:pPr>
      <w:bookmarkStart w:id="1" w:name="_Toc102237738"/>
      <w:r>
        <w:rPr>
          <w:u w:val="single"/>
        </w:rPr>
        <w:t>Overview of Case Study</w:t>
      </w:r>
      <w:bookmarkEnd w:id="1"/>
    </w:p>
    <w:p>
      <w:pPr>
        <w:pStyle w:val="Normal"/>
        <w:rPr/>
      </w:pPr>
      <w:r>
        <w:rPr/>
        <w:tab/>
        <w:t>Amana Ltd is the name of a family owned tourist business which is situated in England and is involved in selling of souvenirs to tourists. Consequently, the business comprises of several locations especially in the major tourist hotspot destinations in the country that include the likes of London Bridge, Brighton, Westminster bridge, Birmingham city centre, Buckingham Palace and Manchester city centre. Furthermore, the souvenirs are designed and manufactured by a Chinese manufacturer as per specific requirements and needs of the Amana team who sends the manufacturer the required set of designs. The business has been successfully operating for a period of 40 years and have started to understand the dynamics of the tourism industry in general.</w:t>
      </w:r>
    </w:p>
    <w:p>
      <w:pPr>
        <w:pStyle w:val="Normal"/>
        <w:rPr/>
      </w:pPr>
      <w:r>
        <w:rPr/>
        <w:tab/>
        <w:t>However, due to the Covid-19 pandemic, the Government has imposed several restrictions on travel and movement that has severely affected the tourism industry. Consequently, Amana’s business was adversely affected because of revenue plummeting in April of 2020. This is because the tourists were restricted from travelling during the Easter Holidays. Although there was a marginal improvement in revenue during the summer of 2020, but the prolonged period of lockdowns during December 2020 to February 2021 led to depletion of any additional revenue that was generated during the summer of 2020.</w:t>
      </w:r>
    </w:p>
    <w:p>
      <w:pPr>
        <w:pStyle w:val="Heading2"/>
        <w:rPr>
          <w:u w:val="single"/>
        </w:rPr>
      </w:pPr>
      <w:bookmarkStart w:id="2" w:name="_Toc102237739"/>
      <w:r>
        <w:rPr>
          <w:u w:val="single"/>
        </w:rPr>
        <w:t>Purpose of Case Study</w:t>
      </w:r>
      <w:bookmarkEnd w:id="2"/>
    </w:p>
    <w:p>
      <w:pPr>
        <w:pStyle w:val="Normal"/>
        <w:ind w:firstLine="720"/>
        <w:rPr/>
      </w:pPr>
      <w:r>
        <w:rPr/>
        <w:t>This case study presents the cost break down of Mr. Amana’s business concerning their product offerings. The main purpose of this case study is to prepare a monthly control report of the business that showcases the original budget, flexible budget and the variances. This control report is intended to serve as the basis for preparing a report that discusses the performance of the business for the financial year 2020. Lastly, the paper also looks to provide recommendations that can help the business in improving its performance.</w:t>
      </w:r>
    </w:p>
    <w:p>
      <w:pPr>
        <w:pStyle w:val="Heading2"/>
        <w:rPr>
          <w:u w:val="single"/>
        </w:rPr>
      </w:pPr>
      <w:bookmarkStart w:id="3" w:name="_Toc102237740"/>
      <w:r>
        <w:rPr>
          <w:u w:val="single"/>
        </w:rPr>
        <w:t>Requirement (i): Monthly Control Report</w:t>
      </w:r>
      <w:bookmarkEnd w:id="3"/>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2607"/>
        <w:gridCol w:w="1146"/>
        <w:gridCol w:w="1363"/>
        <w:gridCol w:w="1184"/>
        <w:gridCol w:w="1184"/>
        <w:gridCol w:w="1541"/>
      </w:tblGrid>
      <w:tr>
        <w:trPr>
          <w:trHeight w:val="315" w:hRule="atLeast"/>
        </w:trPr>
        <w:tc>
          <w:tcPr>
            <w:tcW w:w="9025" w:type="dxa"/>
            <w:gridSpan w:val="6"/>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b/>
                <w:b/>
                <w:bCs/>
                <w:color w:val="000000"/>
                <w:szCs w:val="24"/>
                <w:lang w:val="en-US"/>
              </w:rPr>
            </w:pPr>
            <w:r>
              <w:rPr>
                <w:rFonts w:eastAsia="Times New Roman" w:cs="Times New Roman"/>
                <w:b/>
                <w:bCs/>
                <w:color w:val="000000"/>
                <w:szCs w:val="24"/>
                <w:lang w:val="en-US"/>
              </w:rPr>
              <w:t>Control Report for Amana Ltd</w:t>
            </w:r>
          </w:p>
        </w:tc>
      </w:tr>
      <w:tr>
        <w:trPr>
          <w:trHeight w:val="315" w:hRule="atLeast"/>
        </w:trPr>
        <w:tc>
          <w:tcPr>
            <w:tcW w:w="2607"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b/>
                <w:b/>
                <w:bCs/>
                <w:color w:val="000000"/>
                <w:szCs w:val="24"/>
                <w:lang w:val="en-US"/>
              </w:rPr>
            </w:pPr>
            <w:r>
              <w:rPr>
                <w:rFonts w:eastAsia="Times New Roman" w:cs="Times New Roman"/>
                <w:b/>
                <w:bCs/>
                <w:color w:val="000000"/>
                <w:szCs w:val="24"/>
                <w:lang w:val="en-US"/>
              </w:rPr>
              <w:t>Items</w:t>
            </w:r>
          </w:p>
        </w:tc>
        <w:tc>
          <w:tcPr>
            <w:tcW w:w="114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b/>
                <w:b/>
                <w:bCs/>
                <w:color w:val="000000"/>
                <w:szCs w:val="24"/>
                <w:lang w:val="en-US"/>
              </w:rPr>
            </w:pPr>
            <w:r>
              <w:rPr>
                <w:rFonts w:eastAsia="Times New Roman" w:cs="Times New Roman"/>
                <w:b/>
                <w:bCs/>
                <w:color w:val="000000"/>
                <w:szCs w:val="24"/>
                <w:lang w:val="en-US"/>
              </w:rPr>
              <w:t>Unit Cost</w:t>
            </w:r>
          </w:p>
        </w:tc>
        <w:tc>
          <w:tcPr>
            <w:tcW w:w="1363"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b/>
                <w:b/>
                <w:bCs/>
                <w:color w:val="000000"/>
                <w:szCs w:val="24"/>
                <w:lang w:val="en-US"/>
              </w:rPr>
            </w:pPr>
            <w:r>
              <w:rPr>
                <w:rFonts w:eastAsia="Times New Roman" w:cs="Times New Roman"/>
                <w:b/>
                <w:bCs/>
                <w:color w:val="000000"/>
                <w:szCs w:val="24"/>
                <w:lang w:val="en-US"/>
              </w:rPr>
              <w:t>Original (£)</w:t>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b/>
                <w:b/>
                <w:bCs/>
                <w:color w:val="000000"/>
                <w:szCs w:val="24"/>
                <w:lang w:val="en-US"/>
              </w:rPr>
            </w:pPr>
            <w:r>
              <w:rPr>
                <w:rFonts w:eastAsia="Times New Roman" w:cs="Times New Roman"/>
                <w:b/>
                <w:bCs/>
                <w:color w:val="000000"/>
                <w:szCs w:val="24"/>
                <w:lang w:val="en-US"/>
              </w:rPr>
              <w:t>Flexed (£)</w:t>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b/>
                <w:b/>
                <w:bCs/>
                <w:color w:val="000000"/>
                <w:szCs w:val="24"/>
                <w:lang w:val="en-US"/>
              </w:rPr>
            </w:pPr>
            <w:r>
              <w:rPr>
                <w:rFonts w:eastAsia="Times New Roman" w:cs="Times New Roman"/>
                <w:b/>
                <w:bCs/>
                <w:color w:val="000000"/>
                <w:szCs w:val="24"/>
                <w:lang w:val="en-US"/>
              </w:rPr>
              <w:t>Actual (£)</w:t>
            </w:r>
          </w:p>
        </w:tc>
        <w:tc>
          <w:tcPr>
            <w:tcW w:w="154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b/>
                <w:b/>
                <w:bCs/>
                <w:color w:val="000000"/>
                <w:szCs w:val="24"/>
                <w:lang w:val="en-US"/>
              </w:rPr>
            </w:pPr>
            <w:r>
              <w:rPr>
                <w:rFonts w:eastAsia="Times New Roman" w:cs="Times New Roman"/>
                <w:b/>
                <w:bCs/>
                <w:color w:val="000000"/>
                <w:szCs w:val="24"/>
                <w:lang w:val="en-US"/>
              </w:rPr>
              <w:t>Variance</w:t>
            </w:r>
          </w:p>
        </w:tc>
      </w:tr>
      <w:tr>
        <w:trPr>
          <w:trHeight w:val="315" w:hRule="atLeast"/>
        </w:trPr>
        <w:tc>
          <w:tcPr>
            <w:tcW w:w="2607"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color w:val="000000"/>
                <w:szCs w:val="24"/>
                <w:lang w:val="en-US"/>
              </w:rPr>
            </w:pPr>
            <w:r>
              <w:rPr>
                <w:rFonts w:eastAsia="Times New Roman" w:cs="Times New Roman"/>
                <w:color w:val="000000"/>
                <w:szCs w:val="24"/>
                <w:lang w:val="en-US"/>
              </w:rPr>
              <w:t>Units</w:t>
            </w:r>
          </w:p>
        </w:tc>
        <w:tc>
          <w:tcPr>
            <w:tcW w:w="114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r>
          </w:p>
        </w:tc>
        <w:tc>
          <w:tcPr>
            <w:tcW w:w="1363"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1,00,000</w:t>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80,000</w:t>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80,000</w:t>
            </w:r>
          </w:p>
        </w:tc>
        <w:tc>
          <w:tcPr>
            <w:tcW w:w="154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r>
          </w:p>
        </w:tc>
      </w:tr>
      <w:tr>
        <w:trPr>
          <w:trHeight w:val="315" w:hRule="atLeast"/>
        </w:trPr>
        <w:tc>
          <w:tcPr>
            <w:tcW w:w="2607"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color w:val="000000"/>
                <w:szCs w:val="24"/>
                <w:lang w:val="en-US"/>
              </w:rPr>
            </w:pPr>
            <w:r>
              <w:rPr>
                <w:rFonts w:eastAsia="Times New Roman" w:cs="Times New Roman"/>
                <w:color w:val="000000"/>
                <w:szCs w:val="24"/>
                <w:lang w:val="en-US"/>
              </w:rPr>
              <w:t>Selling price</w:t>
            </w:r>
          </w:p>
        </w:tc>
        <w:tc>
          <w:tcPr>
            <w:tcW w:w="114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25</w:t>
            </w:r>
          </w:p>
        </w:tc>
        <w:tc>
          <w:tcPr>
            <w:tcW w:w="1363"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25</w:t>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25</w:t>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20</w:t>
            </w:r>
          </w:p>
        </w:tc>
        <w:tc>
          <w:tcPr>
            <w:tcW w:w="154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(5) (U)</w:t>
            </w:r>
          </w:p>
        </w:tc>
      </w:tr>
      <w:tr>
        <w:trPr>
          <w:trHeight w:val="315" w:hRule="atLeast"/>
        </w:trPr>
        <w:tc>
          <w:tcPr>
            <w:tcW w:w="2607"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b/>
                <w:b/>
                <w:bCs/>
                <w:color w:val="000000"/>
                <w:szCs w:val="24"/>
                <w:lang w:val="en-US"/>
              </w:rPr>
            </w:pPr>
            <w:r>
              <w:rPr>
                <w:rFonts w:eastAsia="Times New Roman" w:cs="Times New Roman"/>
                <w:b/>
                <w:bCs/>
                <w:color w:val="000000"/>
                <w:szCs w:val="24"/>
                <w:lang w:val="en-US"/>
              </w:rPr>
              <w:t>Revenue</w:t>
            </w:r>
          </w:p>
        </w:tc>
        <w:tc>
          <w:tcPr>
            <w:tcW w:w="114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r>
          </w:p>
        </w:tc>
        <w:tc>
          <w:tcPr>
            <w:tcW w:w="1363"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25,00,000</w:t>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bookmarkStart w:id="4" w:name="OLE_LINK3"/>
            <w:r>
              <w:rPr>
                <w:rFonts w:eastAsia="Times New Roman" w:cs="Times New Roman"/>
                <w:color w:val="000000"/>
                <w:szCs w:val="24"/>
                <w:lang w:val="en-US"/>
              </w:rPr>
              <w:t>20,00,000</w:t>
            </w:r>
            <w:bookmarkEnd w:id="4"/>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16,00,000</w:t>
            </w:r>
          </w:p>
        </w:tc>
        <w:tc>
          <w:tcPr>
            <w:tcW w:w="154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(400,000) (U)</w:t>
            </w:r>
          </w:p>
        </w:tc>
      </w:tr>
      <w:tr>
        <w:trPr>
          <w:trHeight w:val="315" w:hRule="atLeast"/>
        </w:trPr>
        <w:tc>
          <w:tcPr>
            <w:tcW w:w="2607"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b/>
                <w:b/>
                <w:bCs/>
                <w:i/>
                <w:i/>
                <w:iCs/>
                <w:color w:val="000000"/>
                <w:szCs w:val="24"/>
                <w:lang w:val="en-US"/>
              </w:rPr>
            </w:pPr>
            <w:r>
              <w:rPr>
                <w:rFonts w:eastAsia="Times New Roman" w:cs="Times New Roman"/>
                <w:b/>
                <w:bCs/>
                <w:i/>
                <w:iCs/>
                <w:color w:val="000000"/>
                <w:szCs w:val="24"/>
                <w:lang w:val="en-US"/>
              </w:rPr>
              <w:t>Variable costs:</w:t>
            </w:r>
          </w:p>
        </w:tc>
        <w:tc>
          <w:tcPr>
            <w:tcW w:w="114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r>
          </w:p>
        </w:tc>
        <w:tc>
          <w:tcPr>
            <w:tcW w:w="1363"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r>
          </w:p>
        </w:tc>
        <w:tc>
          <w:tcPr>
            <w:tcW w:w="154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r>
          </w:p>
        </w:tc>
      </w:tr>
      <w:tr>
        <w:trPr>
          <w:trHeight w:val="315" w:hRule="atLeast"/>
        </w:trPr>
        <w:tc>
          <w:tcPr>
            <w:tcW w:w="2607"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color w:val="000000"/>
                <w:szCs w:val="24"/>
                <w:lang w:val="en-US"/>
              </w:rPr>
            </w:pPr>
            <w:r>
              <w:rPr>
                <w:rFonts w:eastAsia="Times New Roman" w:cs="Times New Roman"/>
                <w:color w:val="000000"/>
                <w:szCs w:val="24"/>
                <w:lang w:val="en-US"/>
              </w:rPr>
              <w:t>Materials</w:t>
            </w:r>
          </w:p>
        </w:tc>
        <w:tc>
          <w:tcPr>
            <w:tcW w:w="114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2.50</w:t>
            </w:r>
          </w:p>
        </w:tc>
        <w:tc>
          <w:tcPr>
            <w:tcW w:w="1363"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2,50,000</w:t>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2,00,000</w:t>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2,80,000</w:t>
            </w:r>
          </w:p>
        </w:tc>
        <w:tc>
          <w:tcPr>
            <w:tcW w:w="154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(80,000) (U)</w:t>
            </w:r>
          </w:p>
        </w:tc>
      </w:tr>
      <w:tr>
        <w:trPr>
          <w:trHeight w:val="315" w:hRule="atLeast"/>
        </w:trPr>
        <w:tc>
          <w:tcPr>
            <w:tcW w:w="2607"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color w:val="000000"/>
                <w:szCs w:val="24"/>
                <w:lang w:val="en-US"/>
              </w:rPr>
            </w:pPr>
            <w:r>
              <w:rPr>
                <w:rFonts w:eastAsia="Times New Roman" w:cs="Times New Roman"/>
                <w:color w:val="000000"/>
                <w:szCs w:val="24"/>
                <w:lang w:val="en-US"/>
              </w:rPr>
              <w:t>Labour</w:t>
            </w:r>
          </w:p>
        </w:tc>
        <w:tc>
          <w:tcPr>
            <w:tcW w:w="114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4.00</w:t>
            </w:r>
          </w:p>
        </w:tc>
        <w:tc>
          <w:tcPr>
            <w:tcW w:w="1363"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4,00,000</w:t>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3,20,000</w:t>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4,40,000</w:t>
            </w:r>
          </w:p>
        </w:tc>
        <w:tc>
          <w:tcPr>
            <w:tcW w:w="154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(120,000) (U)</w:t>
            </w:r>
          </w:p>
        </w:tc>
      </w:tr>
      <w:tr>
        <w:trPr>
          <w:trHeight w:val="315" w:hRule="atLeast"/>
        </w:trPr>
        <w:tc>
          <w:tcPr>
            <w:tcW w:w="2607"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color w:val="000000"/>
                <w:szCs w:val="24"/>
                <w:lang w:val="en-US"/>
              </w:rPr>
            </w:pPr>
            <w:r>
              <w:rPr>
                <w:rFonts w:eastAsia="Times New Roman" w:cs="Times New Roman"/>
                <w:color w:val="000000"/>
                <w:szCs w:val="24"/>
                <w:lang w:val="en-US"/>
              </w:rPr>
              <w:t>Overhead</w:t>
            </w:r>
          </w:p>
        </w:tc>
        <w:tc>
          <w:tcPr>
            <w:tcW w:w="114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1.50</w:t>
            </w:r>
          </w:p>
        </w:tc>
        <w:tc>
          <w:tcPr>
            <w:tcW w:w="1363"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1,50,000</w:t>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1,20,000</w:t>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1,20,000</w:t>
            </w:r>
          </w:p>
        </w:tc>
        <w:tc>
          <w:tcPr>
            <w:tcW w:w="154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0</w:t>
            </w:r>
          </w:p>
        </w:tc>
      </w:tr>
      <w:tr>
        <w:trPr>
          <w:trHeight w:val="315" w:hRule="atLeast"/>
        </w:trPr>
        <w:tc>
          <w:tcPr>
            <w:tcW w:w="2607"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b/>
                <w:b/>
                <w:bCs/>
                <w:color w:val="000000"/>
                <w:szCs w:val="24"/>
                <w:lang w:val="en-US"/>
              </w:rPr>
            </w:pPr>
            <w:r>
              <w:rPr>
                <w:rFonts w:eastAsia="Times New Roman" w:cs="Times New Roman"/>
                <w:b/>
                <w:bCs/>
                <w:color w:val="000000"/>
                <w:szCs w:val="24"/>
                <w:lang w:val="en-US"/>
              </w:rPr>
              <w:t>Contribution</w:t>
            </w:r>
          </w:p>
        </w:tc>
        <w:tc>
          <w:tcPr>
            <w:tcW w:w="114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17</w:t>
            </w:r>
          </w:p>
        </w:tc>
        <w:tc>
          <w:tcPr>
            <w:tcW w:w="1363"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17,00,000</w:t>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13,60,000</w:t>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7,60,000</w:t>
            </w:r>
          </w:p>
        </w:tc>
        <w:tc>
          <w:tcPr>
            <w:tcW w:w="154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(6,00,000) (U)</w:t>
            </w:r>
          </w:p>
        </w:tc>
      </w:tr>
      <w:tr>
        <w:trPr>
          <w:trHeight w:val="315" w:hRule="atLeast"/>
        </w:trPr>
        <w:tc>
          <w:tcPr>
            <w:tcW w:w="2607"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b/>
                <w:b/>
                <w:bCs/>
                <w:i/>
                <w:i/>
                <w:iCs/>
                <w:color w:val="000000"/>
                <w:szCs w:val="24"/>
                <w:lang w:val="en-US"/>
              </w:rPr>
            </w:pPr>
            <w:r>
              <w:rPr>
                <w:rFonts w:eastAsia="Times New Roman" w:cs="Times New Roman"/>
                <w:b/>
                <w:bCs/>
                <w:i/>
                <w:iCs/>
                <w:color w:val="000000"/>
                <w:szCs w:val="24"/>
                <w:lang w:val="en-US"/>
              </w:rPr>
              <w:t>Fixed overheads:</w:t>
            </w:r>
          </w:p>
        </w:tc>
        <w:tc>
          <w:tcPr>
            <w:tcW w:w="114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r>
          </w:p>
        </w:tc>
        <w:tc>
          <w:tcPr>
            <w:tcW w:w="1363"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r>
          </w:p>
        </w:tc>
        <w:tc>
          <w:tcPr>
            <w:tcW w:w="154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r>
          </w:p>
        </w:tc>
      </w:tr>
      <w:tr>
        <w:trPr>
          <w:trHeight w:val="315" w:hRule="atLeast"/>
        </w:trPr>
        <w:tc>
          <w:tcPr>
            <w:tcW w:w="2607"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color w:val="000000"/>
                <w:szCs w:val="24"/>
                <w:lang w:val="en-US"/>
              </w:rPr>
            </w:pPr>
            <w:r>
              <w:rPr>
                <w:rFonts w:eastAsia="Times New Roman" w:cs="Times New Roman"/>
                <w:color w:val="000000"/>
                <w:szCs w:val="24"/>
                <w:lang w:val="en-US"/>
              </w:rPr>
              <w:t>Warehouse rental</w:t>
            </w:r>
          </w:p>
        </w:tc>
        <w:tc>
          <w:tcPr>
            <w:tcW w:w="114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r>
          </w:p>
        </w:tc>
        <w:tc>
          <w:tcPr>
            <w:tcW w:w="1363"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2,00,000</w:t>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2,00,000</w:t>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1,70,000</w:t>
            </w:r>
          </w:p>
        </w:tc>
        <w:tc>
          <w:tcPr>
            <w:tcW w:w="154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30,000 (F)</w:t>
            </w:r>
          </w:p>
        </w:tc>
      </w:tr>
      <w:tr>
        <w:trPr>
          <w:trHeight w:val="315" w:hRule="atLeast"/>
        </w:trPr>
        <w:tc>
          <w:tcPr>
            <w:tcW w:w="2607"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color w:val="000000"/>
                <w:szCs w:val="24"/>
                <w:lang w:val="en-US"/>
              </w:rPr>
            </w:pPr>
            <w:r>
              <w:rPr>
                <w:rFonts w:eastAsia="Times New Roman" w:cs="Times New Roman"/>
                <w:color w:val="000000"/>
                <w:szCs w:val="24"/>
                <w:lang w:val="en-US"/>
              </w:rPr>
              <w:t>Insurance</w:t>
            </w:r>
          </w:p>
        </w:tc>
        <w:tc>
          <w:tcPr>
            <w:tcW w:w="114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r>
          </w:p>
        </w:tc>
        <w:tc>
          <w:tcPr>
            <w:tcW w:w="1363"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1,00,000</w:t>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1,00,000</w:t>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1,00,000</w:t>
            </w:r>
          </w:p>
        </w:tc>
        <w:tc>
          <w:tcPr>
            <w:tcW w:w="154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0</w:t>
            </w:r>
          </w:p>
        </w:tc>
      </w:tr>
      <w:tr>
        <w:trPr>
          <w:trHeight w:val="315" w:hRule="atLeast"/>
        </w:trPr>
        <w:tc>
          <w:tcPr>
            <w:tcW w:w="2607"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color w:val="000000"/>
                <w:szCs w:val="24"/>
                <w:lang w:val="en-US"/>
              </w:rPr>
            </w:pPr>
            <w:r>
              <w:rPr>
                <w:rFonts w:eastAsia="Times New Roman" w:cs="Times New Roman"/>
                <w:color w:val="000000"/>
                <w:szCs w:val="24"/>
                <w:lang w:val="en-US"/>
              </w:rPr>
              <w:t>Fulltime supervisor salary</w:t>
            </w:r>
          </w:p>
        </w:tc>
        <w:tc>
          <w:tcPr>
            <w:tcW w:w="114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r>
          </w:p>
        </w:tc>
        <w:tc>
          <w:tcPr>
            <w:tcW w:w="1363"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50,000</w:t>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50,000</w:t>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35,000</w:t>
            </w:r>
          </w:p>
        </w:tc>
        <w:tc>
          <w:tcPr>
            <w:tcW w:w="154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15,000 (F)</w:t>
            </w:r>
          </w:p>
        </w:tc>
      </w:tr>
      <w:tr>
        <w:trPr>
          <w:trHeight w:val="315" w:hRule="atLeast"/>
        </w:trPr>
        <w:tc>
          <w:tcPr>
            <w:tcW w:w="2607"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b/>
                <w:b/>
                <w:bCs/>
                <w:color w:val="000000"/>
                <w:szCs w:val="24"/>
                <w:lang w:val="en-US"/>
              </w:rPr>
            </w:pPr>
            <w:r>
              <w:rPr>
                <w:rFonts w:eastAsia="Times New Roman" w:cs="Times New Roman"/>
                <w:b/>
                <w:bCs/>
                <w:color w:val="000000"/>
                <w:szCs w:val="24"/>
                <w:lang w:val="en-US"/>
              </w:rPr>
              <w:t>Profit</w:t>
            </w:r>
          </w:p>
        </w:tc>
        <w:tc>
          <w:tcPr>
            <w:tcW w:w="114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r>
          </w:p>
        </w:tc>
        <w:tc>
          <w:tcPr>
            <w:tcW w:w="1363"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13,50,000</w:t>
            </w:r>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bookmarkStart w:id="5" w:name="OLE_LINK4"/>
            <w:r>
              <w:rPr>
                <w:rFonts w:eastAsia="Times New Roman" w:cs="Times New Roman"/>
                <w:color w:val="000000"/>
                <w:szCs w:val="24"/>
                <w:lang w:val="en-US"/>
              </w:rPr>
              <w:t>10,10,000</w:t>
            </w:r>
            <w:bookmarkEnd w:id="5"/>
          </w:p>
        </w:tc>
        <w:tc>
          <w:tcPr>
            <w:tcW w:w="1184"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bookmarkStart w:id="6" w:name="OLE_LINK5"/>
            <w:r>
              <w:rPr>
                <w:rFonts w:eastAsia="Times New Roman" w:cs="Times New Roman"/>
                <w:color w:val="000000"/>
                <w:szCs w:val="24"/>
                <w:lang w:val="en-US"/>
              </w:rPr>
              <w:t>4,55,000</w:t>
            </w:r>
            <w:bookmarkEnd w:id="6"/>
          </w:p>
        </w:tc>
        <w:tc>
          <w:tcPr>
            <w:tcW w:w="154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(555,000) (U)</w:t>
            </w:r>
          </w:p>
        </w:tc>
      </w:tr>
    </w:tbl>
    <w:p>
      <w:pPr>
        <w:pStyle w:val="Normal"/>
        <w:jc w:val="center"/>
        <w:rPr/>
      </w:pPr>
      <w:r>
        <w:rPr/>
        <w:t>(Source: Calculated by Author)</w:t>
      </w:r>
    </w:p>
    <w:p>
      <w:pPr>
        <w:pStyle w:val="Normal"/>
        <w:rPr>
          <w:b/>
          <w:b/>
          <w:bCs/>
        </w:rPr>
      </w:pPr>
      <w:r>
        <w:rPr>
          <w:b/>
          <w:bCs/>
        </w:rPr>
        <w:t>Working Notes:</w:t>
      </w:r>
    </w:p>
    <w:p>
      <w:pPr>
        <w:pStyle w:val="ListParagraph"/>
        <w:numPr>
          <w:ilvl w:val="0"/>
          <w:numId w:val="1"/>
        </w:numPr>
        <w:rPr/>
      </w:pPr>
      <w:r>
        <w:rPr/>
        <w:t>The unit selling price of the flexible budget column is selected as £25 similar to the original budget. However, the total units is equivalent to the actual units sold which is 80,000 units.</w:t>
      </w:r>
    </w:p>
    <w:p>
      <w:pPr>
        <w:pStyle w:val="ListParagraph"/>
        <w:numPr>
          <w:ilvl w:val="0"/>
          <w:numId w:val="1"/>
        </w:numPr>
        <w:rPr/>
      </w:pPr>
      <w:r>
        <w:rPr/>
        <w:t>All the fixed overheads under the flexible budget will be equivalent to the budgeted expenses from the original budget.</w:t>
      </w:r>
    </w:p>
    <w:p>
      <w:pPr>
        <w:pStyle w:val="ListParagraph"/>
        <w:numPr>
          <w:ilvl w:val="0"/>
          <w:numId w:val="1"/>
        </w:numPr>
        <w:rPr/>
      </w:pPr>
      <w:r>
        <w:rPr/>
        <w:t>There will however be a change in the total variable costs under the flexible budget column which wherein 80,000 units will be multiplied by the per unit cost of such variable expenses computed from the original budget.</w:t>
      </w:r>
    </w:p>
    <w:p>
      <w:pPr>
        <w:pStyle w:val="ListParagraph"/>
        <w:numPr>
          <w:ilvl w:val="0"/>
          <w:numId w:val="1"/>
        </w:numPr>
        <w:rPr/>
      </w:pPr>
      <w:r>
        <w:rPr/>
        <w:t>Under the variance, column, the letter ‘U’ stands for an unfavourable variance while the letter ‘F’ signifies the variance to be favourable. Furthermore, the variance column is calculated as the difference in between the flexed budget column and the actual figure column.</w:t>
      </w:r>
    </w:p>
    <w:p>
      <w:pPr>
        <w:pStyle w:val="Heading2"/>
        <w:rPr>
          <w:u w:val="single"/>
        </w:rPr>
      </w:pPr>
      <w:bookmarkStart w:id="7" w:name="_Toc102237741"/>
      <w:r>
        <w:rPr>
          <w:u w:val="single"/>
        </w:rPr>
        <w:t>Requirement (ii): Report on Performance during 2020</w:t>
      </w:r>
      <w:bookmarkEnd w:id="7"/>
    </w:p>
    <w:p>
      <w:pPr>
        <w:pStyle w:val="Normal"/>
        <w:rPr/>
      </w:pPr>
      <w:r>
        <w:rPr/>
        <w:tab/>
        <w:t xml:space="preserve">The above control report that has been formulated for Amana Ltd showcases the performance of the business during the financial year 2020. The control report illustrates the static budget, flexible budget as well as the actual performance. Variances have been calculated as a result of deviations of the actual performance from the flexible budget as it is illogical to compare results with the static budget because of difference in the total activity level accounted for (Blocher </w:t>
      </w:r>
      <w:r>
        <w:rPr>
          <w:i/>
          <w:iCs/>
        </w:rPr>
        <w:t>et al.</w:t>
      </w:r>
      <w:r>
        <w:rPr/>
        <w:t xml:space="preserve"> 2019). A flexible budget tends to flex the static budget for inculcating the actual activity level of the business (Brewer, Garrison and Noreen 2015). A thorough analysis of the control report illustrates that the performance of the company has been affected severely.</w:t>
      </w:r>
    </w:p>
    <w:p>
      <w:pPr>
        <w:pStyle w:val="Normal"/>
        <w:rPr/>
      </w:pPr>
      <w:r>
        <w:rPr/>
        <w:tab/>
        <w:t>First and foremost, the business was anticipating selling 100,000 units of souvenirs during the year. However, the tourism industry remain affected owing to the Covid-19 situation for which the total activity level could not match up to the units that was anticipated. However, the business in a situation of reduced demand has reduced its average selling price per unit from £25 to £20. Coupled with a decline in activity level and the unit selling price, the total revenue generated for the year was significantly affected. Hence, an unfavourable revenue variance of £ 400,000 persists. Although the ideology of reducing the selling price is understandable as the business was trying to remain competitive at a time where the demand was declined, it is worth mentioning that reducing the selling price does not guarantee to drive a surge in volume figures. This is quite evident from the actual activity level of the business.</w:t>
      </w:r>
    </w:p>
    <w:p>
      <w:pPr>
        <w:pStyle w:val="Normal"/>
        <w:rPr/>
      </w:pPr>
      <w:r>
        <w:rPr/>
        <w:tab/>
        <w:t>When it comes to variable costs, there are three predominant costs forming the total variable costs as seen in the control report. These are material costs, labour costs and overhead costs. Variable costs are those costs which tend to change with changes in the activity or production level of the business. One may argue stating that the activity level of the business has declined while the variable expenses have increased on the contrary or has remained same. The material costs for instance can be observed to have increased from £200,000 to £280,000 resulting in an adverse variance of £80,000. This means that the per unit cost of material has changed from what is budgeted for. The budgeted unit cost of material is worth £2.50 while the actual unit cost of material turns out to be higher at £3.5 (280000/80000). There are multiple number of reasons which may affect the cost of materials to become higher. Inflation, Supply chain issues, raw material availability, higher bargaining power of suppliers are some of the common issues which may have resulted in the price increase of the materials under review (Warren, Reeve and Duchac 2016).</w:t>
      </w:r>
    </w:p>
    <w:p>
      <w:pPr>
        <w:pStyle w:val="Normal"/>
        <w:rPr/>
      </w:pPr>
      <w:r>
        <w:rPr/>
        <w:tab/>
        <w:t>The adversity of labour expense is even more striking when compared to the material variance. This is because the total labour expense budgeted for was worth £320,000 while the actual expense incurred was worth £440,000. This conclusively resulted in an unfavourable variance of £120,000. The budgeted labour cost per unit was £4 while the actual labour cost per unit turned out to be higher at £5.5 which has resulted in an unfavourable variance. Again, there may be several reasons as to why the costs may have turned out to be higher than budgeted which can include the likes of increase in average wage rate, pressure from staff &amp; unions, idle time increase and an increase in casual labour appointments (Taschner and Charifzadeh 2016). Lastly, the overhead expense does not change at all resulting in a variance worth nil and has been incurred in proportion to the activity level.</w:t>
      </w:r>
    </w:p>
    <w:p>
      <w:pPr>
        <w:pStyle w:val="Normal"/>
        <w:rPr/>
      </w:pPr>
      <w:r>
        <w:rPr/>
        <w:tab/>
        <w:t>The business however was in a sound position to reduce their fixed overhead expenses during the pandemic phase. This is evident from two prominent expenses which are warehouse rentals and fulltime warehouse staff salaries. The warehouse rental has decreased from £200,000 to £170,000 resulting in a favourable variance worth £30,000. Additionally, a reduction in the fulltime warehouse staff salaries from a budgeted figure of £50,000 to an actual spend of £30,000 has also resulted in a savings of £15,000. Lastly, insurance expense remains absolutely fixed at £100,000.</w:t>
      </w:r>
    </w:p>
    <w:p>
      <w:pPr>
        <w:pStyle w:val="Normal"/>
        <w:rPr/>
      </w:pPr>
      <w:r>
        <w:rPr/>
        <w:tab/>
        <w:t>As a result of all the variances, the ultimate bottom line operating profits of the business has been severely affected, both in absolute terms as well as relative terms. Absolutely speaking, the profit figure of the business has decreased from a budgeted profit of £10,010,000 to an actual profit of £455,000 thus resulting in an unfavourable variance of £555,000. In relative terms, the profit margin of the business has deteriorated as a result from 50.50% (1,010,000/2,000,000) to 28.44% (455,000/1,600,000).</w:t>
      </w:r>
    </w:p>
    <w:p>
      <w:pPr>
        <w:pStyle w:val="Heading2"/>
        <w:rPr>
          <w:u w:val="single"/>
        </w:rPr>
      </w:pPr>
      <w:bookmarkStart w:id="8" w:name="_Toc102237742"/>
      <w:r>
        <w:rPr>
          <w:u w:val="single"/>
        </w:rPr>
        <w:t>Requirement (iii): Recommendations for Areas of Improvement</w:t>
      </w:r>
      <w:bookmarkEnd w:id="8"/>
    </w:p>
    <w:p>
      <w:pPr>
        <w:pStyle w:val="Normal"/>
        <w:rPr/>
      </w:pPr>
      <w:r>
        <w:rPr/>
        <w:tab/>
        <w:t>Given the performance discussion presented above, there are two broad areas that need to be considered and can be recommended for an improvement in the future financial performance of the business. The first aspect that needs to be considered is revenue. The business may not have a direct control over the state of the tourism industry in general which has affected demand. However, reducing the selling price per unit during such a stage may not make financial sense. Instead, the business is required to review the prices constantly to generate profits for reducing the price in an effort to stimulate sales is not sustainable during the long term. The business should consider the use of sales promotion techniques and digital marketing strategies to organically grow sales numbers (Mowen, Hansen and Heitger 2015).</w:t>
      </w:r>
    </w:p>
    <w:p>
      <w:pPr>
        <w:pStyle w:val="Normal"/>
        <w:ind w:firstLine="720"/>
        <w:rPr/>
      </w:pPr>
      <w:r>
        <w:rPr/>
        <w:t>Their present marketing efforts with a simple website is very limited when it comes to making an online presence. The Covid-19 pandemic has resulted in an exponential increase in digitalisation and the new trend is to make a digital presence. The business already has a functioning presence offline with its physical stores and is required to expand their efforts online. Some amount of capital investments may be incurred to set up a digital business as well. Alternatively, strategic tie ups is also recommended with different websites and applications where the products can be offered. Further, the marketing efforts are quite negligible for which the business needs to have something substantial. It can therefore consider digital marketing strategies such as social media marketing, email marketing and search engine optimisation.</w:t>
      </w:r>
    </w:p>
    <w:p>
      <w:pPr>
        <w:pStyle w:val="Normal"/>
        <w:rPr/>
      </w:pPr>
      <w:r>
        <w:rPr/>
        <w:tab/>
        <w:t xml:space="preserve">Another broad form of recommendation in the best interests of the business is to review the cost structure especially the variable costs which include the likes of material and labour whose per unit prices have gone up. Since this is a product related business, material costs is a major part of the total cost of the product (Jiambalvo 2019). The business must ensure that the cost of materials are under control without having to compromise upon quality. It is therefore advised to the business to consider alternative suppliers of the same materials who can supply at cheaper rates without any quality issues and also has a good track records and reputation (Eldenburg </w:t>
      </w:r>
      <w:r>
        <w:rPr>
          <w:i/>
          <w:iCs/>
        </w:rPr>
        <w:t>et al.</w:t>
      </w:r>
      <w:r>
        <w:rPr/>
        <w:t xml:space="preserve"> 2020). Another cost that needs to be kept track of are labour costs that have also clearly increased. Sound negotiations and fixed contracts may help in bringing down the total cost of labour. Hence, the business needs to consider both the aspects of improvement which is sales maximisation and cost optimisation.</w:t>
      </w:r>
    </w:p>
    <w:p>
      <w:pPr>
        <w:pStyle w:val="Heading1"/>
        <w:jc w:val="center"/>
        <w:rPr>
          <w:u w:val="single"/>
        </w:rPr>
      </w:pPr>
      <w:bookmarkStart w:id="9" w:name="_Toc102237743"/>
      <w:r>
        <w:rPr>
          <w:u w:val="single"/>
        </w:rPr>
        <w:t>Part B</w:t>
      </w:r>
      <w:bookmarkEnd w:id="9"/>
    </w:p>
    <w:p>
      <w:pPr>
        <w:pStyle w:val="Heading2"/>
        <w:rPr>
          <w:u w:val="single"/>
        </w:rPr>
      </w:pPr>
      <w:bookmarkStart w:id="10" w:name="_Toc102237744"/>
      <w:r>
        <w:rPr>
          <w:u w:val="single"/>
        </w:rPr>
        <w:t>Case study overview</w:t>
      </w:r>
      <w:bookmarkEnd w:id="10"/>
    </w:p>
    <w:p>
      <w:pPr>
        <w:pStyle w:val="Normal"/>
        <w:rPr/>
      </w:pPr>
      <w:r>
        <w:rPr/>
        <w:tab/>
        <w:t>According to the facts of the case study, Mr Amana has realised that most of the competitors of the business have started selling online to customers who are not just located in the UK but also in the US and Europe. As a result, the owner is considering shutting of three retail locations in Brighton, Birmingham and Manchester in an effort to streamline the activities of the business which will help move 50% of the total sales to an online business model.</w:t>
      </w:r>
    </w:p>
    <w:p>
      <w:pPr>
        <w:pStyle w:val="Heading2"/>
        <w:rPr>
          <w:u w:val="single"/>
        </w:rPr>
      </w:pPr>
      <w:bookmarkStart w:id="11" w:name="_Toc102237745"/>
      <w:r>
        <w:rPr>
          <w:u w:val="single"/>
        </w:rPr>
        <w:t>Purpose of case study</w:t>
      </w:r>
      <w:bookmarkEnd w:id="11"/>
    </w:p>
    <w:p>
      <w:pPr>
        <w:pStyle w:val="Normal"/>
        <w:rPr/>
      </w:pPr>
      <w:r>
        <w:rPr/>
        <w:tab/>
        <w:t>There are several factors that need to be considered when making the decision, from a financial as well as non-financial standpoint. The main purpose of the second part of this paper is to recommend the owner Mr. Amana of whether the business should consider moving into online sales by setting up their own online shop or by selling their products online through Amazon.</w:t>
      </w:r>
    </w:p>
    <w:p>
      <w:pPr>
        <w:pStyle w:val="Heading2"/>
        <w:rPr>
          <w:u w:val="single"/>
        </w:rPr>
      </w:pPr>
      <w:bookmarkStart w:id="12" w:name="_Toc102237746"/>
      <w:r>
        <w:rPr>
          <w:u w:val="single"/>
        </w:rPr>
        <w:t>Discussion of Option 1</w:t>
      </w:r>
      <w:bookmarkEnd w:id="12"/>
    </w:p>
    <w:p>
      <w:pPr>
        <w:pStyle w:val="Normal"/>
        <w:rPr>
          <w:lang w:val="en-GB"/>
        </w:rPr>
      </w:pPr>
      <w:r>
        <w:rPr/>
        <w:tab/>
        <w:t>In this case, the business has to incur additional costs worth £150,000 (delivery network set up costs), £50,000 (cost of upgrading website) and £35,000 (</w:t>
      </w:r>
      <w:r>
        <w:rPr>
          <w:lang w:val="en-GB"/>
        </w:rPr>
        <w:t>fulltime IT programmer salary). From the above analysis in Part 1, the unit variable cost in making the product is worth £10.5. Further, it is expected that the business will be able to sell 100,000 units annually with the help of this option. Hence, the benefit of this proposal is summarised in a tabular representation as follows:</w:t>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6554"/>
        <w:gridCol w:w="2471"/>
      </w:tblGrid>
      <w:tr>
        <w:trPr>
          <w:trHeight w:val="315" w:hRule="atLeast"/>
        </w:trPr>
        <w:tc>
          <w:tcPr>
            <w:tcW w:w="6554"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b/>
                <w:b/>
                <w:bCs/>
                <w:color w:val="000000"/>
                <w:szCs w:val="24"/>
                <w:lang w:val="en-US"/>
              </w:rPr>
            </w:pPr>
            <w:r>
              <w:rPr>
                <w:rFonts w:eastAsia="Times New Roman" w:cs="Times New Roman"/>
                <w:b/>
                <w:bCs/>
                <w:color w:val="000000"/>
                <w:szCs w:val="24"/>
                <w:lang w:val="en-US"/>
              </w:rPr>
              <w:t>Particulars</w:t>
            </w:r>
          </w:p>
        </w:tc>
        <w:tc>
          <w:tcPr>
            <w:tcW w:w="2471" w:type="dxa"/>
            <w:tcBorders>
              <w:top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b/>
                <w:b/>
                <w:bCs/>
                <w:color w:val="000000"/>
                <w:szCs w:val="24"/>
                <w:lang w:val="en-US"/>
              </w:rPr>
            </w:pPr>
            <w:r>
              <w:rPr>
                <w:rFonts w:eastAsia="Times New Roman" w:cs="Times New Roman"/>
                <w:b/>
                <w:bCs/>
                <w:color w:val="000000"/>
                <w:szCs w:val="24"/>
                <w:lang w:val="en-US"/>
              </w:rPr>
              <w:t>Option 1</w:t>
            </w:r>
          </w:p>
        </w:tc>
      </w:tr>
      <w:tr>
        <w:trPr>
          <w:trHeight w:val="315" w:hRule="atLeast"/>
        </w:trPr>
        <w:tc>
          <w:tcPr>
            <w:tcW w:w="6554"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color w:val="000000"/>
                <w:szCs w:val="24"/>
                <w:lang w:val="en-US"/>
              </w:rPr>
            </w:pPr>
            <w:r>
              <w:rPr>
                <w:rFonts w:eastAsia="Times New Roman" w:cs="Times New Roman"/>
                <w:color w:val="000000"/>
                <w:szCs w:val="24"/>
                <w:lang w:val="en-US"/>
              </w:rPr>
              <w:t>Unit Sales Guaranteed</w:t>
            </w:r>
          </w:p>
        </w:tc>
        <w:tc>
          <w:tcPr>
            <w:tcW w:w="247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1,00,000</w:t>
            </w:r>
          </w:p>
        </w:tc>
      </w:tr>
      <w:tr>
        <w:trPr>
          <w:trHeight w:val="315" w:hRule="atLeast"/>
        </w:trPr>
        <w:tc>
          <w:tcPr>
            <w:tcW w:w="6554"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color w:val="000000"/>
                <w:szCs w:val="24"/>
                <w:lang w:val="en-US"/>
              </w:rPr>
            </w:pPr>
            <w:r>
              <w:rPr>
                <w:rFonts w:eastAsia="Times New Roman" w:cs="Times New Roman"/>
                <w:color w:val="000000"/>
                <w:szCs w:val="24"/>
                <w:lang w:val="en-US"/>
              </w:rPr>
              <w:t>Unit Selling Price</w:t>
            </w:r>
          </w:p>
        </w:tc>
        <w:tc>
          <w:tcPr>
            <w:tcW w:w="247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20</w:t>
            </w:r>
          </w:p>
        </w:tc>
      </w:tr>
      <w:tr>
        <w:trPr>
          <w:trHeight w:val="315" w:hRule="atLeast"/>
        </w:trPr>
        <w:tc>
          <w:tcPr>
            <w:tcW w:w="6554"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Total Revenue</w:t>
            </w:r>
          </w:p>
        </w:tc>
        <w:tc>
          <w:tcPr>
            <w:tcW w:w="247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20,00,000</w:t>
            </w:r>
          </w:p>
        </w:tc>
      </w:tr>
      <w:tr>
        <w:trPr>
          <w:trHeight w:val="315" w:hRule="atLeast"/>
        </w:trPr>
        <w:tc>
          <w:tcPr>
            <w:tcW w:w="6554"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color w:val="000000"/>
                <w:szCs w:val="24"/>
                <w:lang w:val="en-US"/>
              </w:rPr>
            </w:pPr>
            <w:r>
              <w:rPr>
                <w:rFonts w:eastAsia="Times New Roman" w:cs="Times New Roman"/>
                <w:color w:val="000000"/>
                <w:szCs w:val="24"/>
                <w:lang w:val="en-US"/>
              </w:rPr>
              <w:t>Unit Variable Cost</w:t>
            </w:r>
          </w:p>
        </w:tc>
        <w:tc>
          <w:tcPr>
            <w:tcW w:w="247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10.50</w:t>
            </w:r>
          </w:p>
        </w:tc>
      </w:tr>
      <w:tr>
        <w:trPr>
          <w:trHeight w:val="315" w:hRule="atLeast"/>
        </w:trPr>
        <w:tc>
          <w:tcPr>
            <w:tcW w:w="6554"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Total Variable Cost</w:t>
            </w:r>
          </w:p>
        </w:tc>
        <w:tc>
          <w:tcPr>
            <w:tcW w:w="247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10,50,000</w:t>
            </w:r>
          </w:p>
        </w:tc>
      </w:tr>
      <w:tr>
        <w:trPr>
          <w:trHeight w:val="315" w:hRule="atLeast"/>
        </w:trPr>
        <w:tc>
          <w:tcPr>
            <w:tcW w:w="6554"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Total Contribution</w:t>
            </w:r>
          </w:p>
        </w:tc>
        <w:tc>
          <w:tcPr>
            <w:tcW w:w="247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9,50,000</w:t>
            </w:r>
          </w:p>
        </w:tc>
      </w:tr>
      <w:tr>
        <w:trPr>
          <w:trHeight w:val="315" w:hRule="atLeast"/>
        </w:trPr>
        <w:tc>
          <w:tcPr>
            <w:tcW w:w="6554"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color w:val="000000"/>
                <w:szCs w:val="24"/>
                <w:lang w:val="en-US"/>
              </w:rPr>
            </w:pPr>
            <w:r>
              <w:rPr>
                <w:rFonts w:eastAsia="Times New Roman" w:cs="Times New Roman"/>
                <w:color w:val="000000"/>
                <w:szCs w:val="24"/>
                <w:lang w:val="en-US"/>
              </w:rPr>
              <w:t>Less: Fixed Costs:</w:t>
            </w:r>
          </w:p>
        </w:tc>
        <w:tc>
          <w:tcPr>
            <w:tcW w:w="247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r>
          </w:p>
        </w:tc>
      </w:tr>
      <w:tr>
        <w:trPr>
          <w:trHeight w:val="315" w:hRule="atLeast"/>
        </w:trPr>
        <w:tc>
          <w:tcPr>
            <w:tcW w:w="6554"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color w:val="000000"/>
                <w:szCs w:val="24"/>
                <w:lang w:val="en-US"/>
              </w:rPr>
            </w:pPr>
            <w:r>
              <w:rPr>
                <w:rFonts w:eastAsia="Times New Roman" w:cs="Times New Roman"/>
                <w:color w:val="000000"/>
                <w:szCs w:val="24"/>
                <w:lang w:val="en-US"/>
              </w:rPr>
              <w:t>Set up Costs of Delivery Network</w:t>
            </w:r>
          </w:p>
        </w:tc>
        <w:tc>
          <w:tcPr>
            <w:tcW w:w="247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1,50,000</w:t>
            </w:r>
          </w:p>
        </w:tc>
      </w:tr>
      <w:tr>
        <w:trPr>
          <w:trHeight w:val="315" w:hRule="atLeast"/>
        </w:trPr>
        <w:tc>
          <w:tcPr>
            <w:tcW w:w="6554"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color w:val="000000"/>
                <w:szCs w:val="24"/>
                <w:lang w:val="en-US"/>
              </w:rPr>
            </w:pPr>
            <w:r>
              <w:rPr>
                <w:rFonts w:eastAsia="Times New Roman" w:cs="Times New Roman"/>
                <w:color w:val="000000"/>
                <w:szCs w:val="24"/>
                <w:lang w:val="en-US"/>
              </w:rPr>
              <w:t>Website Upgrading Cost</w:t>
            </w:r>
          </w:p>
        </w:tc>
        <w:tc>
          <w:tcPr>
            <w:tcW w:w="247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50,000</w:t>
            </w:r>
          </w:p>
        </w:tc>
      </w:tr>
      <w:tr>
        <w:trPr>
          <w:trHeight w:val="315" w:hRule="atLeast"/>
        </w:trPr>
        <w:tc>
          <w:tcPr>
            <w:tcW w:w="6554"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color w:val="000000"/>
                <w:szCs w:val="24"/>
                <w:lang w:val="en-US"/>
              </w:rPr>
            </w:pPr>
            <w:r>
              <w:rPr>
                <w:rFonts w:eastAsia="Times New Roman" w:cs="Times New Roman"/>
                <w:color w:val="000000"/>
                <w:szCs w:val="24"/>
                <w:lang w:val="en-US"/>
              </w:rPr>
              <w:t>IT Salary</w:t>
            </w:r>
          </w:p>
        </w:tc>
        <w:tc>
          <w:tcPr>
            <w:tcW w:w="247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35,000</w:t>
            </w:r>
          </w:p>
        </w:tc>
      </w:tr>
      <w:tr>
        <w:trPr>
          <w:trHeight w:val="315" w:hRule="atLeast"/>
        </w:trPr>
        <w:tc>
          <w:tcPr>
            <w:tcW w:w="6554"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Expected Benefit</w:t>
            </w:r>
          </w:p>
        </w:tc>
        <w:tc>
          <w:tcPr>
            <w:tcW w:w="2471"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7,15,000</w:t>
            </w:r>
          </w:p>
        </w:tc>
      </w:tr>
    </w:tbl>
    <w:p>
      <w:pPr>
        <w:pStyle w:val="Normal"/>
        <w:jc w:val="center"/>
        <w:rPr>
          <w:lang w:val="en-GB"/>
        </w:rPr>
      </w:pPr>
      <w:r>
        <w:rPr>
          <w:lang w:val="en-GB"/>
        </w:rPr>
        <w:t>(Source: Author)</w:t>
      </w:r>
    </w:p>
    <w:p>
      <w:pPr>
        <w:pStyle w:val="Heading2"/>
        <w:rPr>
          <w:u w:val="single"/>
        </w:rPr>
      </w:pPr>
      <w:bookmarkStart w:id="13" w:name="_Toc102237747"/>
      <w:r>
        <w:rPr>
          <w:u w:val="single"/>
        </w:rPr>
        <w:t>Discussion of Option 2</w:t>
      </w:r>
      <w:bookmarkEnd w:id="13"/>
    </w:p>
    <w:p>
      <w:pPr>
        <w:pStyle w:val="Normal"/>
        <w:rPr/>
      </w:pPr>
      <w:r>
        <w:rPr>
          <w:lang w:val="en-GB"/>
        </w:rPr>
        <w:tab/>
        <w:t xml:space="preserve">In the case of Option 2, the expected guaranteed sales is equivalent to 65,000 units. Further, Amazon tends to charge a fulfilment fee of £50,000. The unit variable cost in this case remains the same at </w:t>
      </w:r>
      <w:r>
        <w:rPr/>
        <w:t>£10.5. Hence, the expected benefit if this option were to be accepted has been represented in a tabular format as follows:</w:t>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6549"/>
        <w:gridCol w:w="2476"/>
      </w:tblGrid>
      <w:tr>
        <w:trPr>
          <w:trHeight w:val="315" w:hRule="atLeast"/>
        </w:trPr>
        <w:tc>
          <w:tcPr>
            <w:tcW w:w="6549"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b/>
                <w:b/>
                <w:bCs/>
                <w:color w:val="000000"/>
                <w:szCs w:val="24"/>
                <w:lang w:val="en-US"/>
              </w:rPr>
            </w:pPr>
            <w:r>
              <w:rPr>
                <w:rFonts w:eastAsia="Times New Roman" w:cs="Times New Roman"/>
                <w:b/>
                <w:bCs/>
                <w:color w:val="000000"/>
                <w:szCs w:val="24"/>
                <w:lang w:val="en-US"/>
              </w:rPr>
              <w:t>Particulars</w:t>
            </w:r>
          </w:p>
        </w:tc>
        <w:tc>
          <w:tcPr>
            <w:tcW w:w="2476" w:type="dxa"/>
            <w:tcBorders>
              <w:top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b/>
                <w:b/>
                <w:bCs/>
                <w:color w:val="000000"/>
                <w:szCs w:val="24"/>
                <w:lang w:val="en-US"/>
              </w:rPr>
            </w:pPr>
            <w:r>
              <w:rPr>
                <w:rFonts w:eastAsia="Times New Roman" w:cs="Times New Roman"/>
                <w:b/>
                <w:bCs/>
                <w:color w:val="000000"/>
                <w:szCs w:val="24"/>
                <w:lang w:val="en-US"/>
              </w:rPr>
              <w:t>Option 1</w:t>
            </w:r>
          </w:p>
        </w:tc>
      </w:tr>
      <w:tr>
        <w:trPr>
          <w:trHeight w:val="315" w:hRule="atLeast"/>
        </w:trPr>
        <w:tc>
          <w:tcPr>
            <w:tcW w:w="6549"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color w:val="000000"/>
                <w:szCs w:val="24"/>
                <w:lang w:val="en-US"/>
              </w:rPr>
            </w:pPr>
            <w:r>
              <w:rPr>
                <w:rFonts w:eastAsia="Times New Roman" w:cs="Times New Roman"/>
                <w:color w:val="000000"/>
                <w:szCs w:val="24"/>
                <w:lang w:val="en-US"/>
              </w:rPr>
              <w:t>Unit Sales Guaranteed</w:t>
            </w:r>
          </w:p>
        </w:tc>
        <w:tc>
          <w:tcPr>
            <w:tcW w:w="247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65,000</w:t>
            </w:r>
          </w:p>
        </w:tc>
      </w:tr>
      <w:tr>
        <w:trPr>
          <w:trHeight w:val="315" w:hRule="atLeast"/>
        </w:trPr>
        <w:tc>
          <w:tcPr>
            <w:tcW w:w="6549"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color w:val="000000"/>
                <w:szCs w:val="24"/>
                <w:lang w:val="en-US"/>
              </w:rPr>
            </w:pPr>
            <w:r>
              <w:rPr>
                <w:rFonts w:eastAsia="Times New Roman" w:cs="Times New Roman"/>
                <w:color w:val="000000"/>
                <w:szCs w:val="24"/>
                <w:lang w:val="en-US"/>
              </w:rPr>
              <w:t>Unit Selling Price</w:t>
            </w:r>
          </w:p>
        </w:tc>
        <w:tc>
          <w:tcPr>
            <w:tcW w:w="247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20</w:t>
            </w:r>
          </w:p>
        </w:tc>
      </w:tr>
      <w:tr>
        <w:trPr>
          <w:trHeight w:val="315" w:hRule="atLeast"/>
        </w:trPr>
        <w:tc>
          <w:tcPr>
            <w:tcW w:w="6549"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Total Revenue</w:t>
            </w:r>
          </w:p>
        </w:tc>
        <w:tc>
          <w:tcPr>
            <w:tcW w:w="247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13,00,000</w:t>
            </w:r>
          </w:p>
        </w:tc>
      </w:tr>
      <w:tr>
        <w:trPr>
          <w:trHeight w:val="315" w:hRule="atLeast"/>
        </w:trPr>
        <w:tc>
          <w:tcPr>
            <w:tcW w:w="6549"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color w:val="000000"/>
                <w:szCs w:val="24"/>
                <w:lang w:val="en-US"/>
              </w:rPr>
            </w:pPr>
            <w:r>
              <w:rPr>
                <w:rFonts w:eastAsia="Times New Roman" w:cs="Times New Roman"/>
                <w:color w:val="000000"/>
                <w:szCs w:val="24"/>
                <w:lang w:val="en-US"/>
              </w:rPr>
              <w:t>Unit Variable Cost</w:t>
            </w:r>
          </w:p>
        </w:tc>
        <w:tc>
          <w:tcPr>
            <w:tcW w:w="247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10.50</w:t>
            </w:r>
          </w:p>
        </w:tc>
      </w:tr>
      <w:tr>
        <w:trPr>
          <w:trHeight w:val="315" w:hRule="atLeast"/>
        </w:trPr>
        <w:tc>
          <w:tcPr>
            <w:tcW w:w="6549"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Total Variable Cost</w:t>
            </w:r>
          </w:p>
        </w:tc>
        <w:tc>
          <w:tcPr>
            <w:tcW w:w="247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6,82,500</w:t>
            </w:r>
          </w:p>
        </w:tc>
      </w:tr>
      <w:tr>
        <w:trPr>
          <w:trHeight w:val="315" w:hRule="atLeast"/>
        </w:trPr>
        <w:tc>
          <w:tcPr>
            <w:tcW w:w="6549"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Total Contribution</w:t>
            </w:r>
          </w:p>
        </w:tc>
        <w:tc>
          <w:tcPr>
            <w:tcW w:w="247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6,17,500</w:t>
            </w:r>
          </w:p>
        </w:tc>
      </w:tr>
      <w:tr>
        <w:trPr>
          <w:trHeight w:val="315" w:hRule="atLeast"/>
        </w:trPr>
        <w:tc>
          <w:tcPr>
            <w:tcW w:w="6549"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color w:val="000000"/>
                <w:szCs w:val="24"/>
                <w:lang w:val="en-US"/>
              </w:rPr>
            </w:pPr>
            <w:r>
              <w:rPr>
                <w:rFonts w:eastAsia="Times New Roman" w:cs="Times New Roman"/>
                <w:color w:val="000000"/>
                <w:szCs w:val="24"/>
                <w:lang w:val="en-US"/>
              </w:rPr>
              <w:t>Less: Fixed Costs:</w:t>
            </w:r>
          </w:p>
        </w:tc>
        <w:tc>
          <w:tcPr>
            <w:tcW w:w="247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r>
          </w:p>
        </w:tc>
      </w:tr>
      <w:tr>
        <w:trPr>
          <w:trHeight w:val="315" w:hRule="atLeast"/>
        </w:trPr>
        <w:tc>
          <w:tcPr>
            <w:tcW w:w="6549"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left"/>
              <w:rPr>
                <w:rFonts w:eastAsia="Times New Roman" w:cs="Times New Roman"/>
                <w:color w:val="000000"/>
                <w:szCs w:val="24"/>
                <w:lang w:val="en-US"/>
              </w:rPr>
            </w:pPr>
            <w:r>
              <w:rPr>
                <w:rFonts w:eastAsia="Times New Roman" w:cs="Times New Roman"/>
                <w:color w:val="000000"/>
                <w:szCs w:val="24"/>
                <w:lang w:val="en-US"/>
              </w:rPr>
              <w:t>Amazon Fulfillment Fee</w:t>
            </w:r>
          </w:p>
        </w:tc>
        <w:tc>
          <w:tcPr>
            <w:tcW w:w="247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50,000</w:t>
            </w:r>
          </w:p>
        </w:tc>
      </w:tr>
      <w:tr>
        <w:trPr>
          <w:trHeight w:val="315" w:hRule="atLeast"/>
        </w:trPr>
        <w:tc>
          <w:tcPr>
            <w:tcW w:w="6549" w:type="dxa"/>
            <w:tcBorders>
              <w:left w:val="single" w:sz="4" w:space="0" w:color="000000"/>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b/>
                <w:b/>
                <w:bCs/>
                <w:color w:val="000000"/>
                <w:szCs w:val="24"/>
                <w:lang w:val="en-US"/>
              </w:rPr>
            </w:pPr>
            <w:r>
              <w:rPr>
                <w:rFonts w:eastAsia="Times New Roman" w:cs="Times New Roman"/>
                <w:b/>
                <w:bCs/>
                <w:color w:val="000000"/>
                <w:szCs w:val="24"/>
                <w:lang w:val="en-US"/>
              </w:rPr>
              <w:t>Expected Benefit</w:t>
            </w:r>
          </w:p>
        </w:tc>
        <w:tc>
          <w:tcPr>
            <w:tcW w:w="2476" w:type="dxa"/>
            <w:tcBorders>
              <w:bottom w:val="single" w:sz="4" w:space="0" w:color="000000"/>
              <w:right w:val="single" w:sz="4" w:space="0" w:color="000000"/>
            </w:tcBorders>
            <w:shd w:color="auto" w:fill="auto" w:val="clear"/>
            <w:vAlign w:val="bottom"/>
          </w:tcPr>
          <w:p>
            <w:pPr>
              <w:pStyle w:val="Normal"/>
              <w:widowControl w:val="false"/>
              <w:spacing w:lineRule="auto" w:line="240" w:before="0" w:after="0"/>
              <w:jc w:val="center"/>
              <w:rPr>
                <w:rFonts w:eastAsia="Times New Roman" w:cs="Times New Roman"/>
                <w:color w:val="000000"/>
                <w:szCs w:val="24"/>
                <w:lang w:val="en-US"/>
              </w:rPr>
            </w:pPr>
            <w:r>
              <w:rPr>
                <w:rFonts w:eastAsia="Times New Roman" w:cs="Times New Roman"/>
                <w:color w:val="000000"/>
                <w:szCs w:val="24"/>
                <w:lang w:val="en-US"/>
              </w:rPr>
              <w:t>5,67,500</w:t>
            </w:r>
          </w:p>
        </w:tc>
      </w:tr>
    </w:tbl>
    <w:p>
      <w:pPr>
        <w:pStyle w:val="Normal"/>
        <w:jc w:val="center"/>
        <w:rPr>
          <w:lang w:val="en-GB"/>
        </w:rPr>
      </w:pPr>
      <w:r>
        <w:rPr>
          <w:lang w:val="en-GB"/>
        </w:rPr>
        <w:t>(Source: Author)</w:t>
      </w:r>
    </w:p>
    <w:p>
      <w:pPr>
        <w:pStyle w:val="Heading2"/>
        <w:rPr>
          <w:u w:val="single"/>
          <w:lang w:val="en-GB"/>
        </w:rPr>
      </w:pPr>
      <w:bookmarkStart w:id="14" w:name="_Toc102237748"/>
      <w:r>
        <w:rPr>
          <w:u w:val="single"/>
          <w:lang w:val="en-GB"/>
        </w:rPr>
        <w:t>Concept of Relevant Cost</w:t>
      </w:r>
      <w:bookmarkEnd w:id="14"/>
    </w:p>
    <w:p>
      <w:pPr>
        <w:pStyle w:val="Normal"/>
        <w:rPr>
          <w:lang w:val="en-GB"/>
        </w:rPr>
      </w:pPr>
      <w:r>
        <w:rPr>
          <w:lang w:val="en-GB"/>
        </w:rPr>
        <w:tab/>
        <w:t>Relevant costs in management accounting are referred to as such costs which only pertains to the particular decision under review. These costs tend to vary based on the context of decisions (Drury 2018). The above calculations can be considered as vague for it does not consider the relevance of costs. When it comes to both these options, the unit variable cost tends to remain the same for both these options. This means that the business will have to incur the variable costs no matter which option it ultimately opts for. As a result, it is the fixed costs that are relevant in this case from a managerial standpoint. The total fixed costs in Option 1 is worth £235,000 while that in the case of Option 2 is worth £50,000. Hence, the actual benefit lies in selling through Amazon where the benefit amounts to £235,000 - £50,000 = £185,000.</w:t>
      </w:r>
    </w:p>
    <w:p>
      <w:pPr>
        <w:pStyle w:val="Heading2"/>
        <w:rPr>
          <w:u w:val="single"/>
          <w:lang w:val="en-GB"/>
        </w:rPr>
      </w:pPr>
      <w:bookmarkStart w:id="15" w:name="_Toc102237749"/>
      <w:r>
        <w:rPr>
          <w:u w:val="single"/>
          <w:lang w:val="en-GB"/>
        </w:rPr>
        <w:t>Other Relevant Factors</w:t>
      </w:r>
      <w:bookmarkEnd w:id="15"/>
    </w:p>
    <w:p>
      <w:pPr>
        <w:pStyle w:val="Normal"/>
        <w:rPr>
          <w:lang w:val="en-GB"/>
        </w:rPr>
      </w:pPr>
      <w:r>
        <w:rPr>
          <w:lang w:val="en-GB"/>
        </w:rPr>
        <w:tab/>
        <w:t>There are other qualitative factors which also have to be considered when it comes to decision making. The business has to consider that setting up a new online network (Option 1) will require additional fixed costs but may report a higher margin. Additionally, when it comes to Option 2, the main issue pertains to the pricing policy. The business will not have much control over the prices of its own products. Furthermore, there is also a control over the return policy at Amazon as the business will not have much control over the same. Another cause of concern with Option 2 is that the degree of competition is quite high with several souvenir sellers in the platform which may result in price wars for which the business may not have control. The guaranteed sale units is also lower in the case of Amazon which in the case of Option 1 is higher. Therefore, in a nutshell, there seems to be a lot of issues and uncertainties involved with Option 2 while Option 1 seems to be safer from an investment standpoint irrespective of the higher fixed costs it may have to incur. Further, these costs may be reduced over the long run as the online business tends to mature.</w:t>
      </w:r>
    </w:p>
    <w:p>
      <w:pPr>
        <w:pStyle w:val="Heading2"/>
        <w:rPr>
          <w:u w:val="single"/>
          <w:lang w:val="en-GB"/>
        </w:rPr>
      </w:pPr>
      <w:bookmarkStart w:id="16" w:name="_Toc102237750"/>
      <w:r>
        <w:rPr>
          <w:u w:val="single"/>
          <w:lang w:val="en-GB"/>
        </w:rPr>
        <w:t>Final Recommendation</w:t>
      </w:r>
      <w:bookmarkEnd w:id="16"/>
    </w:p>
    <w:p>
      <w:pPr>
        <w:pStyle w:val="Normal"/>
        <w:rPr>
          <w:lang w:val="en-GB"/>
        </w:rPr>
      </w:pPr>
      <w:r>
        <w:rPr>
          <w:lang w:val="en-GB"/>
        </w:rPr>
        <w:tab/>
        <w:t>The business should go about investing in Option 1 which is to set up their own online presence in favour of Option 2 which is selling directly through Amazon. This is supported from financial as well as non-financial analysis of the situation.</w:t>
      </w:r>
    </w:p>
    <w:p>
      <w:pPr>
        <w:pStyle w:val="Normal"/>
        <w:spacing w:lineRule="auto" w:line="276"/>
        <w:jc w:val="left"/>
        <w:rPr>
          <w:lang w:val="en-GB"/>
        </w:rPr>
      </w:pPr>
      <w:r>
        <w:rPr>
          <w:lang w:val="en-GB"/>
        </w:rPr>
      </w:r>
      <w:r>
        <w:br w:type="page"/>
      </w:r>
    </w:p>
    <w:p>
      <w:pPr>
        <w:pStyle w:val="Heading1"/>
        <w:jc w:val="center"/>
        <w:rPr>
          <w:u w:val="single"/>
          <w:lang w:val="en-GB"/>
        </w:rPr>
      </w:pPr>
      <w:bookmarkStart w:id="17" w:name="_Toc102237751"/>
      <w:r>
        <w:rPr>
          <w:u w:val="single"/>
          <w:lang w:val="en-GB"/>
        </w:rPr>
        <w:t>References</w:t>
      </w:r>
      <w:bookmarkEnd w:id="17"/>
    </w:p>
    <w:p>
      <w:pPr>
        <w:pStyle w:val="Normal"/>
        <w:rPr>
          <w:rFonts w:cs="Times New Roman"/>
          <w:color w:val="222222"/>
          <w:szCs w:val="24"/>
          <w:shd w:fill="FFFFFF" w:val="clear"/>
        </w:rPr>
      </w:pPr>
      <w:r>
        <w:rPr>
          <w:rFonts w:cs="Times New Roman"/>
          <w:color w:val="222222"/>
          <w:szCs w:val="24"/>
          <w:shd w:fill="FFFFFF" w:val="clear"/>
        </w:rPr>
        <w:t>Blocher, E.J., Stout, D.E., Juras, P.E. and Smith, S., 2019. </w:t>
      </w:r>
      <w:r>
        <w:rPr>
          <w:rFonts w:cs="Times New Roman"/>
          <w:i/>
          <w:iCs/>
          <w:color w:val="222222"/>
          <w:szCs w:val="24"/>
          <w:shd w:fill="FFFFFF" w:val="clear"/>
        </w:rPr>
        <w:t>Cost Management (A Strategic Emphasis) 8e</w:t>
      </w:r>
      <w:r>
        <w:rPr>
          <w:rFonts w:cs="Times New Roman"/>
          <w:color w:val="222222"/>
          <w:szCs w:val="24"/>
          <w:shd w:fill="FFFFFF" w:val="clear"/>
        </w:rPr>
        <w:t>. McGraw-Hill Education.</w:t>
      </w:r>
    </w:p>
    <w:p>
      <w:pPr>
        <w:pStyle w:val="Normal"/>
        <w:rPr>
          <w:rFonts w:cs="Times New Roman"/>
          <w:color w:val="222222"/>
          <w:szCs w:val="24"/>
          <w:shd w:fill="FFFFFF" w:val="clear"/>
        </w:rPr>
      </w:pPr>
      <w:r>
        <w:rPr>
          <w:rFonts w:cs="Times New Roman"/>
          <w:color w:val="222222"/>
          <w:szCs w:val="24"/>
          <w:shd w:fill="FFFFFF" w:val="clear"/>
        </w:rPr>
        <w:t>Brewer, P.C., Garrison, R.H. and Noreen, E.W., 2015. </w:t>
      </w:r>
      <w:r>
        <w:rPr>
          <w:rFonts w:cs="Times New Roman"/>
          <w:i/>
          <w:iCs/>
          <w:color w:val="222222"/>
          <w:szCs w:val="24"/>
          <w:shd w:fill="FFFFFF" w:val="clear"/>
        </w:rPr>
        <w:t>Introduction to managerial accounting</w:t>
      </w:r>
      <w:r>
        <w:rPr>
          <w:rFonts w:cs="Times New Roman"/>
          <w:color w:val="222222"/>
          <w:szCs w:val="24"/>
          <w:shd w:fill="FFFFFF" w:val="clear"/>
        </w:rPr>
        <w:t>. McGraw-Hill Education.</w:t>
      </w:r>
    </w:p>
    <w:p>
      <w:pPr>
        <w:pStyle w:val="Normal"/>
        <w:rPr>
          <w:rFonts w:cs="Times New Roman"/>
          <w:color w:val="222222"/>
          <w:szCs w:val="24"/>
          <w:shd w:fill="FFFFFF" w:val="clear"/>
        </w:rPr>
      </w:pPr>
      <w:r>
        <w:rPr>
          <w:rFonts w:cs="Times New Roman"/>
          <w:color w:val="222222"/>
          <w:szCs w:val="24"/>
          <w:shd w:fill="FFFFFF" w:val="clear"/>
        </w:rPr>
        <w:t>Drury, C., 2018. </w:t>
      </w:r>
      <w:r>
        <w:rPr>
          <w:rFonts w:cs="Times New Roman"/>
          <w:i/>
          <w:iCs/>
          <w:color w:val="222222"/>
          <w:szCs w:val="24"/>
          <w:shd w:fill="FFFFFF" w:val="clear"/>
        </w:rPr>
        <w:t>Cost and management accounting</w:t>
      </w:r>
      <w:r>
        <w:rPr>
          <w:rFonts w:cs="Times New Roman"/>
          <w:color w:val="222222"/>
          <w:szCs w:val="24"/>
          <w:shd w:fill="FFFFFF" w:val="clear"/>
        </w:rPr>
        <w:t>. Cengage Learning.</w:t>
      </w:r>
    </w:p>
    <w:p>
      <w:pPr>
        <w:pStyle w:val="Normal"/>
        <w:rPr>
          <w:rFonts w:cs="Times New Roman"/>
          <w:color w:val="222222"/>
          <w:szCs w:val="24"/>
          <w:shd w:fill="FFFFFF" w:val="clear"/>
        </w:rPr>
      </w:pPr>
      <w:r>
        <w:rPr>
          <w:rFonts w:cs="Times New Roman"/>
          <w:color w:val="222222"/>
          <w:szCs w:val="24"/>
          <w:shd w:fill="FFFFFF" w:val="clear"/>
        </w:rPr>
        <w:t>Eldenburg, L.G., Brooks, A., Oliver, J., Vesty, G., Dormer, R., Murthy, V. and Pawsey, N., 2020. </w:t>
      </w:r>
      <w:r>
        <w:rPr>
          <w:rFonts w:cs="Times New Roman"/>
          <w:i/>
          <w:iCs/>
          <w:color w:val="222222"/>
          <w:szCs w:val="24"/>
          <w:shd w:fill="FFFFFF" w:val="clear"/>
        </w:rPr>
        <w:t>Management accounting</w:t>
      </w:r>
      <w:r>
        <w:rPr>
          <w:rFonts w:cs="Times New Roman"/>
          <w:color w:val="222222"/>
          <w:szCs w:val="24"/>
          <w:shd w:fill="FFFFFF" w:val="clear"/>
        </w:rPr>
        <w:t>. John Wiley &amp; Sons.</w:t>
      </w:r>
    </w:p>
    <w:p>
      <w:pPr>
        <w:pStyle w:val="Normal"/>
        <w:rPr>
          <w:rFonts w:cs="Times New Roman"/>
          <w:color w:val="222222"/>
          <w:szCs w:val="24"/>
          <w:shd w:fill="FFFFFF" w:val="clear"/>
        </w:rPr>
      </w:pPr>
      <w:r>
        <w:rPr>
          <w:rFonts w:cs="Times New Roman"/>
          <w:color w:val="222222"/>
          <w:szCs w:val="24"/>
          <w:shd w:fill="FFFFFF" w:val="clear"/>
        </w:rPr>
        <w:t>Jiambalvo, J., 2019. </w:t>
      </w:r>
      <w:r>
        <w:rPr>
          <w:rFonts w:cs="Times New Roman"/>
          <w:i/>
          <w:iCs/>
          <w:color w:val="222222"/>
          <w:szCs w:val="24"/>
          <w:shd w:fill="FFFFFF" w:val="clear"/>
        </w:rPr>
        <w:t>Managerial accounting</w:t>
      </w:r>
      <w:r>
        <w:rPr>
          <w:rFonts w:cs="Times New Roman"/>
          <w:color w:val="222222"/>
          <w:szCs w:val="24"/>
          <w:shd w:fill="FFFFFF" w:val="clear"/>
        </w:rPr>
        <w:t>. John Wiley &amp; Sons.</w:t>
      </w:r>
    </w:p>
    <w:p>
      <w:pPr>
        <w:pStyle w:val="Normal"/>
        <w:rPr>
          <w:rFonts w:cs="Times New Roman"/>
          <w:color w:val="222222"/>
          <w:szCs w:val="24"/>
          <w:shd w:fill="FFFFFF" w:val="clear"/>
        </w:rPr>
      </w:pPr>
      <w:r>
        <w:rPr>
          <w:rFonts w:cs="Times New Roman"/>
          <w:color w:val="222222"/>
          <w:szCs w:val="24"/>
          <w:shd w:fill="FFFFFF" w:val="clear"/>
        </w:rPr>
        <w:t>Mowen, M.M., Hansen, D.R. and Heitger, D.L., 2015. </w:t>
      </w:r>
      <w:r>
        <w:rPr>
          <w:rFonts w:cs="Times New Roman"/>
          <w:i/>
          <w:iCs/>
          <w:color w:val="222222"/>
          <w:szCs w:val="24"/>
          <w:shd w:fill="FFFFFF" w:val="clear"/>
        </w:rPr>
        <w:t>Cornerstones of managerial accounting</w:t>
      </w:r>
      <w:r>
        <w:rPr>
          <w:rFonts w:cs="Times New Roman"/>
          <w:color w:val="222222"/>
          <w:szCs w:val="24"/>
          <w:shd w:fill="FFFFFF" w:val="clear"/>
        </w:rPr>
        <w:t>. Cengage Learning.</w:t>
      </w:r>
    </w:p>
    <w:p>
      <w:pPr>
        <w:pStyle w:val="Normal"/>
        <w:rPr>
          <w:rFonts w:cs="Times New Roman"/>
          <w:color w:val="222222"/>
          <w:szCs w:val="24"/>
          <w:shd w:fill="FFFFFF" w:val="clear"/>
        </w:rPr>
      </w:pPr>
      <w:r>
        <w:rPr>
          <w:rFonts w:cs="Times New Roman"/>
          <w:color w:val="222222"/>
          <w:szCs w:val="24"/>
          <w:shd w:fill="FFFFFF" w:val="clear"/>
        </w:rPr>
        <w:t>Taschner, A. and Charifzadeh, M., 2016. </w:t>
      </w:r>
      <w:r>
        <w:rPr>
          <w:rFonts w:cs="Times New Roman"/>
          <w:i/>
          <w:iCs/>
          <w:color w:val="222222"/>
          <w:szCs w:val="24"/>
          <w:shd w:fill="FFFFFF" w:val="clear"/>
        </w:rPr>
        <w:t>Management and cost accounting: tools and concepts in a Central European context</w:t>
      </w:r>
      <w:r>
        <w:rPr>
          <w:rFonts w:cs="Times New Roman"/>
          <w:color w:val="222222"/>
          <w:szCs w:val="24"/>
          <w:shd w:fill="FFFFFF" w:val="clear"/>
        </w:rPr>
        <w:t>. John Wiley &amp; Sons.</w:t>
      </w:r>
    </w:p>
    <w:p>
      <w:pPr>
        <w:pStyle w:val="Normal"/>
        <w:spacing w:before="0" w:after="200"/>
        <w:rPr>
          <w:rFonts w:cs="Times New Roman"/>
          <w:color w:val="222222"/>
          <w:szCs w:val="24"/>
          <w:shd w:fill="FFFFFF" w:val="clear"/>
        </w:rPr>
      </w:pPr>
      <w:r>
        <w:rPr>
          <w:rFonts w:cs="Times New Roman"/>
          <w:color w:val="222222"/>
          <w:szCs w:val="24"/>
          <w:shd w:fill="FFFFFF" w:val="clear"/>
        </w:rPr>
        <w:t>Warren, C.S., Reeve, J.M. and Duchac, J., 2016. </w:t>
      </w:r>
      <w:r>
        <w:rPr>
          <w:rFonts w:cs="Times New Roman"/>
          <w:i/>
          <w:iCs/>
          <w:color w:val="222222"/>
          <w:szCs w:val="24"/>
          <w:shd w:fill="FFFFFF" w:val="clear"/>
        </w:rPr>
        <w:t>Financial &amp; managerial accounting</w:t>
      </w:r>
      <w:r>
        <w:rPr>
          <w:rFonts w:cs="Times New Roman"/>
          <w:color w:val="222222"/>
          <w:szCs w:val="24"/>
          <w:shd w:fill="FFFFFF" w:val="clear"/>
        </w:rPr>
        <w:t>. Cengage Learning.</w:t>
      </w:r>
    </w:p>
    <w:sectPr>
      <w:headerReference w:type="default" r:id="rId3"/>
      <w:headerReference w:type="first" r:id="rId4"/>
      <w:type w:val="nextPage"/>
      <w:pgSz w:w="11906" w:h="16838"/>
      <w:pgMar w:left="1440" w:right="1440" w:header="708" w:top="1440" w:footer="0" w:bottom="1440" w:gutter="0"/>
      <w:pgNumType w:start="0"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Cambria">
    <w:charset w:val="00"/>
    <w:family w:val="roman"/>
    <w:pitch w:val="variable"/>
  </w:font>
  <w:font w:name="Verdana">
    <w:charset w:val="00"/>
    <w:family w:val="roman"/>
    <w:pitch w:val="variable"/>
  </w:font>
  <w:font w:name="mr-eaves-modern">
    <w:altName w:val="sans-serif"/>
    <w:charset w:val="00"/>
    <w:family w:val="roman"/>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r>
      <mc:AlternateContent>
        <mc:Choice Requires="wps">
          <w:drawing>
            <wp:anchor behindDoc="1" distT="0" distB="0" distL="114300" distR="114300" simplePos="0" locked="0" layoutInCell="0" allowOverlap="1" relativeHeight="10">
              <wp:simplePos x="0" y="0"/>
              <wp:positionH relativeFrom="page">
                <wp:align>right</wp:align>
              </wp:positionH>
              <wp:positionV relativeFrom="topMargin">
                <wp:align>center</wp:align>
              </wp:positionV>
              <wp:extent cx="914400" cy="175260"/>
              <wp:effectExtent l="0" t="0" r="0" b="0"/>
              <wp:wrapNone/>
              <wp:docPr id="2" name=""/>
              <a:graphic xmlns:a="http://schemas.openxmlformats.org/drawingml/2006/main">
                <a:graphicData uri="http://schemas.microsoft.com/office/word/2010/wordprocessingShape">
                  <wps:wsp>
                    <wps:cNvSpPr txBox="1"/>
                    <wps:spPr>
                      <a:xfrm>
                        <a:off x="0" y="0"/>
                        <a:ext cx="914400" cy="175260"/>
                      </a:xfrm>
                      <a:prstGeom prst="rect"/>
                      <a:solidFill>
                        <a:srgbClr val="4F81BD"/>
                      </a:solidFill>
                    </wps:spPr>
                    <wps:txbx>
                      <w:txbxContent>
                        <w:p>
                          <w:pPr>
                            <w:pStyle w:val="FrameContents"/>
                            <w:spacing w:lineRule="auto" w:line="240" w:before="0" w:after="0"/>
                            <w:rPr>
                              <w:rFonts w:cs="Times New Roman"/>
                              <w:color w:val="FFFFFF" w:themeColor="background1"/>
                            </w:rPr>
                          </w:pPr>
                          <w:r>
                            <w:rPr>
                              <w:rFonts w:cs="Times New Roman"/>
                              <w:color w:val="FFFFFF" w:themeColor="background1"/>
                            </w:rPr>
                            <w:fldChar w:fldCharType="begin"/>
                          </w:r>
                          <w:r>
                            <w:rPr>
                              <w:rFonts w:cs="Times New Roman"/>
                              <w:color w:val="FFFFFF"/>
                            </w:rPr>
                            <w:instrText> PAGE </w:instrText>
                          </w:r>
                          <w:r>
                            <w:rPr>
                              <w:rFonts w:cs="Times New Roman"/>
                              <w:color w:val="FFFFFF"/>
                            </w:rPr>
                            <w:fldChar w:fldCharType="separate"/>
                          </w:r>
                          <w:r>
                            <w:rPr>
                              <w:rFonts w:cs="Times New Roman"/>
                              <w:color w:val="FFFFFF"/>
                            </w:rPr>
                            <w:t>9</w:t>
                          </w:r>
                          <w:r>
                            <w:rPr>
                              <w:rFonts w:cs="Times New Roman"/>
                              <w:color w:val="FFFFFF"/>
                            </w:rPr>
                            <w:fldChar w:fldCharType="end"/>
                          </w:r>
                        </w:p>
                      </w:txbxContent>
                    </wps:txbx>
                    <wps:bodyPr anchor="t" lIns="91440" tIns="0" rIns="91440" bIns="0">
                      <a:noAutofit/>
                    </wps:bodyPr>
                  </wps:wsp>
                </a:graphicData>
              </a:graphic>
            </wp:anchor>
          </w:drawing>
        </mc:Choice>
        <mc:Fallback>
          <w:pict>
            <v:rect fillcolor="#4F81BD" stroked="f" strokeweight="0pt" style="position:absolute;rotation:0;width:72pt;height:13.8pt;mso-wrap-distance-left:9pt;mso-wrap-distance-right:9pt;mso-wrap-distance-top:0pt;mso-wrap-distance-bottom:0pt;margin-top:29.1pt;mso-position-vertical:center;mso-position-vertical-relative:text;margin-left:514.3pt;mso-position-horizontal:right;mso-position-horizontal-relative:page">
              <v:textbox inset="0.1in,0in,0.1in,0in">
                <w:txbxContent>
                  <w:p>
                    <w:pPr>
                      <w:pStyle w:val="FrameContents"/>
                      <w:spacing w:lineRule="auto" w:line="240" w:before="0" w:after="0"/>
                      <w:rPr>
                        <w:rFonts w:cs="Times New Roman"/>
                        <w:color w:val="FFFFFF" w:themeColor="background1"/>
                      </w:rPr>
                    </w:pPr>
                    <w:r>
                      <w:rPr>
                        <w:rFonts w:cs="Times New Roman"/>
                        <w:color w:val="FFFFFF" w:themeColor="background1"/>
                      </w:rPr>
                      <w:fldChar w:fldCharType="begin"/>
                    </w:r>
                    <w:r>
                      <w:rPr>
                        <w:rFonts w:cs="Times New Roman"/>
                        <w:color w:val="FFFFFF"/>
                      </w:rPr>
                      <w:instrText> PAGE </w:instrText>
                    </w:r>
                    <w:r>
                      <w:rPr>
                        <w:rFonts w:cs="Times New Roman"/>
                        <w:color w:val="FFFFFF"/>
                      </w:rPr>
                      <w:fldChar w:fldCharType="separate"/>
                    </w:r>
                    <w:r>
                      <w:rPr>
                        <w:rFonts w:cs="Times New Roman"/>
                        <w:color w:val="FFFFFF"/>
                      </w:rPr>
                      <w:t>9</w:t>
                    </w:r>
                    <w:r>
                      <w:rPr>
                        <w:rFonts w:cs="Times New Roman"/>
                        <w:color w:val="FFFFFF"/>
                      </w:rPr>
                      <w:fldChar w:fldCharType="end"/>
                    </w:r>
                  </w:p>
                </w:txbxContent>
              </v:textbox>
              <w10:wrap type="none"/>
            </v:rect>
          </w:pict>
        </mc:Fallback>
      </mc:AlternateContent>
    </w:r>
    <w:r>
      <mc:AlternateContent>
        <mc:Choice Requires="wps">
          <w:drawing>
            <wp:anchor behindDoc="1" distT="0" distB="0" distL="114300" distR="114300" simplePos="0" locked="0" layoutInCell="0" allowOverlap="1" relativeHeight="19">
              <wp:simplePos x="0" y="0"/>
              <wp:positionH relativeFrom="margin">
                <wp:align>left</wp:align>
              </wp:positionH>
              <wp:positionV relativeFrom="topMargin">
                <wp:align>center</wp:align>
              </wp:positionV>
              <wp:extent cx="5943600" cy="175260"/>
              <wp:effectExtent l="0" t="0" r="0" b="0"/>
              <wp:wrapNone/>
              <wp:docPr id="3" name=""/>
              <a:graphic xmlns:a="http://schemas.openxmlformats.org/drawingml/2006/main">
                <a:graphicData uri="http://schemas.microsoft.com/office/word/2010/wordprocessingShape">
                  <wps:wsp>
                    <wps:cNvSpPr txBox="1"/>
                    <wps:spPr>
                      <a:xfrm>
                        <a:off x="0" y="0"/>
                        <a:ext cx="5943600" cy="175260"/>
                      </a:xfrm>
                      <a:prstGeom prst="rect"/>
                      <a:solidFill>
                        <a:srgbClr val="FFFFFF">
                          <a:alpha val="0"/>
                        </a:srgbClr>
                      </a:solidFill>
                    </wps:spPr>
                    <wps:txbx>
                      <w:txbxContent>
                        <w:p>
                          <w:pPr>
                            <w:pStyle w:val="FrameContents"/>
                            <w:spacing w:before="0" w:after="200"/>
                            <w:rPr>
                              <w:rFonts w:cs="Times New Roman"/>
                            </w:rPr>
                          </w:pPr>
                          <w:r>
                            <w:rPr>
                              <w:rFonts w:cs="Times New Roman"/>
                            </w:rPr>
                            <w:t>LCBB5002 Management Accounting</w:t>
                          </w:r>
                        </w:p>
                      </w:txbxContent>
                    </wps:txbx>
                    <wps:bodyPr anchor="t" lIns="91440" tIns="0" rIns="91440" bIns="0">
                      <a:noAutofit/>
                    </wps:bodyPr>
                  </wps:wsp>
                </a:graphicData>
              </a:graphic>
            </wp:anchor>
          </w:drawing>
        </mc:Choice>
        <mc:Fallback>
          <w:pict>
            <v:rect stroked="f" strokeweight="0pt" style="position:absolute;rotation:0;width:468pt;height:13.8pt;mso-wrap-distance-left:9pt;mso-wrap-distance-right:9pt;mso-wrap-distance-top:0pt;mso-wrap-distance-bottom:0pt;margin-top:29.1pt;mso-position-vertical:center;mso-position-vertical-relative:text;margin-left:9pt;mso-position-horizontal:left;mso-position-horizontal-relative:margin">
              <v:textbox inset="0.1in,0in,0.1in,0in">
                <w:txbxContent>
                  <w:p>
                    <w:pPr>
                      <w:pStyle w:val="FrameContents"/>
                      <w:spacing w:before="0" w:after="200"/>
                      <w:rPr>
                        <w:rFonts w:cs="Times New Roman"/>
                      </w:rPr>
                    </w:pPr>
                    <w:r>
                      <w:rPr>
                        <w:rFonts w:cs="Times New Roman"/>
                      </w:rPr>
                      <w:t>LCBB5002 Management Accounting</w:t>
                    </w:r>
                  </w:p>
                </w:txbxContent>
              </v:textbox>
              <w10:wrap type="non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Fonts w:cs="Times New Roman"/>
        <w:lang w:val="en-GB"/>
      </w:rPr>
      <w:t>LCBB5002 Management Accounting</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Setting w:name="useWord2013TrackBottomHyphenation" w:uri="http://schemas.microsoft.com/office/word" w:val="1"/>
  </w:compat>
  <w:themeFontLang w:val="en-IN"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IN"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300e7"/>
    <w:pPr>
      <w:widowControl/>
      <w:bidi w:val="0"/>
      <w:spacing w:lineRule="auto" w:line="360" w:before="0" w:after="200"/>
      <w:jc w:val="both"/>
    </w:pPr>
    <w:rPr>
      <w:rFonts w:ascii="Times New Roman" w:hAnsi="Times New Roman" w:eastAsia="Calibri" w:cs=""/>
      <w:color w:val="000000" w:themeColor="text1"/>
      <w:kern w:val="0"/>
      <w:sz w:val="24"/>
      <w:szCs w:val="22"/>
      <w:lang w:val="en-IN" w:eastAsia="en-US" w:bidi="ar-SA"/>
    </w:rPr>
  </w:style>
  <w:style w:type="paragraph" w:styleId="Heading1">
    <w:name w:val="Heading 1"/>
    <w:basedOn w:val="Normal"/>
    <w:next w:val="Normal"/>
    <w:link w:val="Heading1Char"/>
    <w:uiPriority w:val="9"/>
    <w:qFormat/>
    <w:rsid w:val="00ab3424"/>
    <w:pPr>
      <w:keepNext w:val="true"/>
      <w:keepLines/>
      <w:spacing w:before="480" w:after="0"/>
      <w:jc w:val="left"/>
      <w:outlineLvl w:val="0"/>
    </w:pPr>
    <w:rPr>
      <w:rFonts w:eastAsia="" w:cs="" w:cstheme="majorBidi" w:eastAsiaTheme="majorEastAsia"/>
      <w:b/>
      <w:bCs/>
      <w:szCs w:val="28"/>
    </w:rPr>
  </w:style>
  <w:style w:type="paragraph" w:styleId="Heading2">
    <w:name w:val="Heading 2"/>
    <w:basedOn w:val="Normal"/>
    <w:next w:val="Normal"/>
    <w:link w:val="Heading2Char"/>
    <w:uiPriority w:val="9"/>
    <w:unhideWhenUsed/>
    <w:qFormat/>
    <w:rsid w:val="00ab3424"/>
    <w:pPr>
      <w:keepNext w:val="true"/>
      <w:keepLines/>
      <w:spacing w:before="200" w:after="0"/>
      <w:jc w:val="left"/>
      <w:outlineLvl w:val="1"/>
    </w:pPr>
    <w:rPr>
      <w:rFonts w:eastAsia="" w:cs="" w:cstheme="majorBidi" w:eastAsiaTheme="majorEastAsia"/>
      <w:b/>
      <w:bCs/>
      <w:szCs w:val="26"/>
    </w:rPr>
  </w:style>
  <w:style w:type="paragraph" w:styleId="Heading3">
    <w:name w:val="Heading 3"/>
    <w:basedOn w:val="Normal"/>
    <w:next w:val="Normal"/>
    <w:link w:val="Heading3Char"/>
    <w:uiPriority w:val="9"/>
    <w:unhideWhenUsed/>
    <w:qFormat/>
    <w:rsid w:val="00ab3424"/>
    <w:pPr>
      <w:keepNext w:val="true"/>
      <w:keepLines/>
      <w:spacing w:before="200" w:after="0"/>
      <w:jc w:val="left"/>
      <w:outlineLvl w:val="2"/>
    </w:pPr>
    <w:rPr>
      <w:rFonts w:eastAsia="" w:cs="" w:cstheme="majorBidi" w:eastAsiaTheme="majorEastAsia"/>
      <w:b/>
      <w:bCs/>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ab3424"/>
    <w:rPr>
      <w:rFonts w:ascii="Times New Roman" w:hAnsi="Times New Roman" w:eastAsia="" w:cs="" w:cstheme="majorBidi" w:eastAsiaTheme="majorEastAsia"/>
      <w:b/>
      <w:bCs/>
      <w:color w:val="000000" w:themeColor="text1"/>
      <w:sz w:val="24"/>
      <w:szCs w:val="28"/>
    </w:rPr>
  </w:style>
  <w:style w:type="character" w:styleId="Heading2Char" w:customStyle="1">
    <w:name w:val="Heading 2 Char"/>
    <w:basedOn w:val="DefaultParagraphFont"/>
    <w:link w:val="Heading2"/>
    <w:uiPriority w:val="9"/>
    <w:qFormat/>
    <w:rsid w:val="00ab3424"/>
    <w:rPr>
      <w:rFonts w:ascii="Times New Roman" w:hAnsi="Times New Roman" w:eastAsia="" w:cs="" w:cstheme="majorBidi" w:eastAsiaTheme="majorEastAsia"/>
      <w:b/>
      <w:bCs/>
      <w:color w:val="000000" w:themeColor="text1"/>
      <w:sz w:val="24"/>
      <w:szCs w:val="26"/>
    </w:rPr>
  </w:style>
  <w:style w:type="character" w:styleId="HeaderChar" w:customStyle="1">
    <w:name w:val="Header Char"/>
    <w:basedOn w:val="DefaultParagraphFont"/>
    <w:link w:val="Header"/>
    <w:uiPriority w:val="99"/>
    <w:qFormat/>
    <w:rsid w:val="007d54e7"/>
    <w:rPr>
      <w:rFonts w:ascii="Times New Roman" w:hAnsi="Times New Roman"/>
      <w:color w:val="000000" w:themeColor="text1"/>
      <w:sz w:val="24"/>
    </w:rPr>
  </w:style>
  <w:style w:type="character" w:styleId="FooterChar" w:customStyle="1">
    <w:name w:val="Footer Char"/>
    <w:basedOn w:val="DefaultParagraphFont"/>
    <w:link w:val="Footer"/>
    <w:uiPriority w:val="99"/>
    <w:qFormat/>
    <w:rsid w:val="007d54e7"/>
    <w:rPr>
      <w:rFonts w:ascii="Times New Roman" w:hAnsi="Times New Roman"/>
      <w:color w:val="000000" w:themeColor="text1"/>
      <w:sz w:val="24"/>
    </w:rPr>
  </w:style>
  <w:style w:type="character" w:styleId="BalloonTextChar" w:customStyle="1">
    <w:name w:val="Balloon Text Char"/>
    <w:basedOn w:val="DefaultParagraphFont"/>
    <w:link w:val="BalloonText"/>
    <w:uiPriority w:val="99"/>
    <w:semiHidden/>
    <w:qFormat/>
    <w:rsid w:val="00b66041"/>
    <w:rPr>
      <w:rFonts w:ascii="Tahoma" w:hAnsi="Tahoma" w:cs="Tahoma"/>
      <w:color w:val="000000" w:themeColor="text1"/>
      <w:sz w:val="16"/>
      <w:szCs w:val="16"/>
    </w:rPr>
  </w:style>
  <w:style w:type="character" w:styleId="Heading3Char" w:customStyle="1">
    <w:name w:val="Heading 3 Char"/>
    <w:basedOn w:val="DefaultParagraphFont"/>
    <w:link w:val="Heading3"/>
    <w:uiPriority w:val="9"/>
    <w:qFormat/>
    <w:rsid w:val="00ab3424"/>
    <w:rPr>
      <w:rFonts w:ascii="Times New Roman" w:hAnsi="Times New Roman" w:eastAsia="" w:cs="" w:cstheme="majorBidi" w:eastAsiaTheme="majorEastAsia"/>
      <w:b/>
      <w:bCs/>
      <w:color w:val="000000" w:themeColor="text1"/>
      <w:sz w:val="24"/>
    </w:rPr>
  </w:style>
  <w:style w:type="character" w:styleId="InternetLink">
    <w:name w:val="Hyperlink"/>
    <w:basedOn w:val="DefaultParagraphFont"/>
    <w:uiPriority w:val="99"/>
    <w:unhideWhenUsed/>
    <w:rsid w:val="00d129d9"/>
    <w:rPr>
      <w:color w:val="0000FF" w:themeColor="hyperlink"/>
      <w:u w:val="single"/>
    </w:rPr>
  </w:style>
  <w:style w:type="character" w:styleId="FootnoteTextChar" w:customStyle="1">
    <w:name w:val="Footnote Text Char"/>
    <w:basedOn w:val="DefaultParagraphFont"/>
    <w:link w:val="FootnoteText"/>
    <w:uiPriority w:val="99"/>
    <w:semiHidden/>
    <w:qFormat/>
    <w:rsid w:val="006d455b"/>
    <w:rPr>
      <w:rFonts w:ascii="Times New Roman" w:hAnsi="Times New Roman"/>
      <w:color w:val="000000" w:themeColor="text1"/>
      <w:sz w:val="20"/>
      <w:szCs w:val="20"/>
    </w:rPr>
  </w:style>
  <w:style w:type="character" w:styleId="FootnoteCharacters">
    <w:name w:val="Footnote Characters"/>
    <w:basedOn w:val="DefaultParagraphFont"/>
    <w:uiPriority w:val="99"/>
    <w:semiHidden/>
    <w:unhideWhenUsed/>
    <w:qFormat/>
    <w:rsid w:val="006d455b"/>
    <w:rPr>
      <w:vertAlign w:val="superscript"/>
    </w:rPr>
  </w:style>
  <w:style w:type="character" w:styleId="FootnoteAnchor">
    <w:name w:val="Footnote Anchor"/>
    <w:rPr>
      <w:vertAlign w:val="superscript"/>
    </w:rPr>
  </w:style>
  <w:style w:type="character" w:styleId="Selectable" w:customStyle="1">
    <w:name w:val="selectable"/>
    <w:basedOn w:val="DefaultParagraphFont"/>
    <w:qFormat/>
    <w:rsid w:val="00276cc9"/>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HeaderandFooter">
    <w:name w:val="Header and Footer"/>
    <w:basedOn w:val="Normal"/>
    <w:qFormat/>
    <w:pPr/>
    <w:rPr/>
  </w:style>
  <w:style w:type="paragraph" w:styleId="Header">
    <w:name w:val="Header"/>
    <w:basedOn w:val="Normal"/>
    <w:link w:val="HeaderChar"/>
    <w:uiPriority w:val="99"/>
    <w:unhideWhenUsed/>
    <w:rsid w:val="007d54e7"/>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7d54e7"/>
    <w:pPr>
      <w:tabs>
        <w:tab w:val="clear" w:pos="720"/>
        <w:tab w:val="center" w:pos="4513" w:leader="none"/>
        <w:tab w:val="right" w:pos="9026" w:leader="none"/>
      </w:tabs>
      <w:spacing w:lineRule="auto" w:line="240" w:before="0" w:after="0"/>
    </w:pPr>
    <w:rPr/>
  </w:style>
  <w:style w:type="paragraph" w:styleId="BalloonText">
    <w:name w:val="Balloon Text"/>
    <w:basedOn w:val="Normal"/>
    <w:link w:val="BalloonTextChar"/>
    <w:uiPriority w:val="99"/>
    <w:semiHidden/>
    <w:unhideWhenUsed/>
    <w:qFormat/>
    <w:rsid w:val="00b66041"/>
    <w:pPr>
      <w:spacing w:lineRule="auto" w:line="240" w:before="0" w:after="0"/>
    </w:pPr>
    <w:rPr>
      <w:rFonts w:ascii="Tahoma" w:hAnsi="Tahoma" w:cs="Tahoma"/>
      <w:sz w:val="16"/>
      <w:szCs w:val="16"/>
    </w:rPr>
  </w:style>
  <w:style w:type="paragraph" w:styleId="TOCHeading">
    <w:name w:val="TOC Heading"/>
    <w:basedOn w:val="Heading1"/>
    <w:next w:val="Normal"/>
    <w:uiPriority w:val="39"/>
    <w:semiHidden/>
    <w:unhideWhenUsed/>
    <w:qFormat/>
    <w:rsid w:val="00b66041"/>
    <w:pPr>
      <w:spacing w:lineRule="auto" w:line="276"/>
    </w:pPr>
    <w:rPr>
      <w:rFonts w:ascii="Cambria" w:hAnsi="Cambria" w:asciiTheme="majorHAnsi" w:hAnsiTheme="majorHAnsi"/>
      <w:color w:val="365F91" w:themeColor="accent1" w:themeShade="bf"/>
      <w:lang w:val="en-US"/>
    </w:rPr>
  </w:style>
  <w:style w:type="paragraph" w:styleId="Contents1">
    <w:name w:val="TOC 1"/>
    <w:basedOn w:val="Normal"/>
    <w:next w:val="Normal"/>
    <w:autoRedefine/>
    <w:uiPriority w:val="39"/>
    <w:unhideWhenUsed/>
    <w:rsid w:val="00d129d9"/>
    <w:pPr>
      <w:spacing w:before="0" w:after="100"/>
    </w:pPr>
    <w:rPr/>
  </w:style>
  <w:style w:type="paragraph" w:styleId="Contents2">
    <w:name w:val="TOC 2"/>
    <w:basedOn w:val="Normal"/>
    <w:next w:val="Normal"/>
    <w:autoRedefine/>
    <w:uiPriority w:val="39"/>
    <w:unhideWhenUsed/>
    <w:rsid w:val="00d129d9"/>
    <w:pPr>
      <w:spacing w:before="0" w:after="100"/>
      <w:ind w:left="240" w:hanging="0"/>
    </w:pPr>
    <w:rPr/>
  </w:style>
  <w:style w:type="paragraph" w:styleId="Contents3">
    <w:name w:val="TOC 3"/>
    <w:basedOn w:val="Normal"/>
    <w:next w:val="Normal"/>
    <w:autoRedefine/>
    <w:uiPriority w:val="39"/>
    <w:unhideWhenUsed/>
    <w:rsid w:val="00d129d9"/>
    <w:pPr>
      <w:spacing w:before="0" w:after="100"/>
      <w:ind w:left="480" w:hanging="0"/>
    </w:pPr>
    <w:rPr/>
  </w:style>
  <w:style w:type="paragraph" w:styleId="ListParagraph">
    <w:name w:val="List Paragraph"/>
    <w:basedOn w:val="Normal"/>
    <w:uiPriority w:val="34"/>
    <w:qFormat/>
    <w:rsid w:val="005964b6"/>
    <w:pPr>
      <w:spacing w:before="0" w:after="200"/>
      <w:ind w:left="720" w:hanging="0"/>
      <w:contextualSpacing/>
    </w:pPr>
    <w:rPr/>
  </w:style>
  <w:style w:type="paragraph" w:styleId="NoSpacing">
    <w:name w:val="No Spacing"/>
    <w:uiPriority w:val="1"/>
    <w:qFormat/>
    <w:rsid w:val="00c87882"/>
    <w:pPr>
      <w:widowControl/>
      <w:bidi w:val="0"/>
      <w:spacing w:lineRule="auto" w:line="240" w:before="0" w:after="0"/>
      <w:jc w:val="both"/>
    </w:pPr>
    <w:rPr>
      <w:rFonts w:ascii="Times New Roman" w:hAnsi="Times New Roman" w:eastAsia="Calibri" w:cs=""/>
      <w:color w:val="000000" w:themeColor="text1"/>
      <w:kern w:val="0"/>
      <w:sz w:val="24"/>
      <w:szCs w:val="22"/>
      <w:lang w:val="en-IN" w:eastAsia="en-US" w:bidi="ar-SA"/>
    </w:rPr>
  </w:style>
  <w:style w:type="paragraph" w:styleId="Footnote">
    <w:name w:val="Footnote Text"/>
    <w:basedOn w:val="Normal"/>
    <w:link w:val="FootnoteTextChar"/>
    <w:uiPriority w:val="99"/>
    <w:semiHidden/>
    <w:unhideWhenUsed/>
    <w:rsid w:val="006d455b"/>
    <w:pPr>
      <w:spacing w:lineRule="auto" w:line="240" w:before="0" w:after="0"/>
    </w:pPr>
    <w:rPr>
      <w:sz w:val="20"/>
      <w:szCs w:val="20"/>
    </w:rPr>
  </w:style>
  <w:style w:type="paragraph" w:styleId="TableText" w:customStyle="1">
    <w:name w:val="Table Text"/>
    <w:basedOn w:val="Normal"/>
    <w:qFormat/>
    <w:rsid w:val="00ac6c04"/>
    <w:pPr>
      <w:spacing w:lineRule="auto" w:line="240" w:before="80" w:after="80"/>
      <w:jc w:val="left"/>
    </w:pPr>
    <w:rPr>
      <w:rFonts w:ascii="Verdana" w:hAnsi="Verdana" w:eastAsia="Times New Roman" w:cs="Times New Roman"/>
      <w:color w:val="auto"/>
      <w:sz w:val="20"/>
      <w:szCs w:val="24"/>
      <w:lang w:val="en-AU" w:eastAsia="en-AU"/>
    </w:rPr>
  </w:style>
  <w:style w:type="paragraph" w:styleId="TableContents">
    <w:name w:val="Table Contents"/>
    <w:basedOn w:val="Normal"/>
    <w:qFormat/>
    <w:pPr/>
    <w:rPr/>
  </w:style>
  <w:style w:type="paragraph" w:styleId="TableHeading" w:customStyle="1">
    <w:name w:val="Table Heading"/>
    <w:basedOn w:val="TableText"/>
    <w:qFormat/>
    <w:rsid w:val="00ac6c04"/>
    <w:pPr>
      <w:keepNext w:val="true"/>
    </w:pPr>
    <w:rPr>
      <w:b/>
    </w:rPr>
  </w:style>
  <w:style w:type="paragraph" w:styleId="NormalWeb">
    <w:name w:val="Normal (Web)"/>
    <w:basedOn w:val="Normal"/>
    <w:uiPriority w:val="99"/>
    <w:unhideWhenUsed/>
    <w:qFormat/>
    <w:rsid w:val="00136a44"/>
    <w:pPr>
      <w:spacing w:lineRule="auto" w:line="240" w:beforeAutospacing="1" w:afterAutospacing="1"/>
      <w:jc w:val="left"/>
    </w:pPr>
    <w:rPr>
      <w:rFonts w:eastAsia="Times New Roman" w:cs="Times New Roman"/>
      <w:color w:val="auto"/>
      <w:szCs w:val="24"/>
      <w:lang w:eastAsia="en-IN"/>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MediumGrid11">
    <w:name w:val="Medium Grid 11"/>
    <w:basedOn w:val="TableNormal"/>
    <w:uiPriority w:val="67"/>
    <w:rsid w:val="0041025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LightShading1">
    <w:name w:val="Light Shading1"/>
    <w:basedOn w:val="TableNormal"/>
    <w:uiPriority w:val="60"/>
    <w:rsid w:val="00410254"/>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Grid1">
    <w:name w:val="Light Grid1"/>
    <w:basedOn w:val="TableNormal"/>
    <w:uiPriority w:val="62"/>
    <w:rsid w:val="0041025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customStyle="1" w:styleId="ColorfulGrid1">
    <w:name w:val="Colorful Grid1"/>
    <w:basedOn w:val="TableNormal"/>
    <w:uiPriority w:val="73"/>
    <w:rsid w:val="0041025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TableGrid">
    <w:name w:val="Table Grid"/>
    <w:basedOn w:val="TableNormal"/>
    <w:rsid w:val="00ae152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C7F055-D838-44DE-B49F-4ADE7B0B6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11418</TotalTime>
  <Application>LibreOffice/7.1.2.2$Windows_X86_64 LibreOffice_project/8a45595d069ef5570103caea1b71cc9d82b2aae4</Application>
  <AppVersion>15.0000</AppVersion>
  <Pages>10</Pages>
  <Words>2758</Words>
  <Characters>14410</Characters>
  <CharactersWithSpaces>17252</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2020-12-24T05:54:00Z</dcterms:created>
  <dc:creator/>
  <dc:description/>
  <dc:language>en-US</dc:language>
  <cp:lastModifiedBy/>
  <dcterms:modified xsi:type="dcterms:W3CDTF">2022-05-03T09:47:27Z</dcterms:modified>
  <cp:revision>190</cp:revision>
  <dc:subject/>
  <dc:title/>
</cp:coreProperties>
</file>

<file path=docProps/custom.xml><?xml version="1.0" encoding="utf-8"?>
<Properties xmlns="http://schemas.openxmlformats.org/officeDocument/2006/custom-properties" xmlns:vt="http://schemas.openxmlformats.org/officeDocument/2006/docPropsVTypes"/>
</file>