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3FFB6" w14:textId="77777777" w:rsidR="008F53B8" w:rsidRDefault="008F53B8" w:rsidP="008F53B8">
      <w:pPr>
        <w:jc w:val="center"/>
        <w:rPr>
          <w:rFonts w:ascii="Times New Roman" w:hAnsi="Times New Roman" w:cs="Times New Roman"/>
          <w:sz w:val="36"/>
          <w:szCs w:val="36"/>
        </w:rPr>
      </w:pPr>
    </w:p>
    <w:p w14:paraId="3DC2843A" w14:textId="77777777" w:rsidR="008F53B8" w:rsidRDefault="008F53B8" w:rsidP="008F53B8">
      <w:pPr>
        <w:jc w:val="center"/>
        <w:rPr>
          <w:rFonts w:ascii="Times New Roman" w:hAnsi="Times New Roman" w:cs="Times New Roman"/>
          <w:sz w:val="36"/>
          <w:szCs w:val="36"/>
        </w:rPr>
      </w:pPr>
    </w:p>
    <w:p w14:paraId="1B873D71" w14:textId="77777777" w:rsidR="008F53B8" w:rsidRDefault="008F53B8" w:rsidP="008F53B8">
      <w:pPr>
        <w:jc w:val="center"/>
        <w:rPr>
          <w:rFonts w:ascii="Times New Roman" w:hAnsi="Times New Roman" w:cs="Times New Roman"/>
          <w:sz w:val="36"/>
          <w:szCs w:val="36"/>
        </w:rPr>
      </w:pPr>
    </w:p>
    <w:p w14:paraId="377C0DA6" w14:textId="6015C20E" w:rsidR="00B24265" w:rsidRPr="008F53B8" w:rsidRDefault="008F53B8" w:rsidP="008F53B8">
      <w:pPr>
        <w:jc w:val="center"/>
        <w:rPr>
          <w:rFonts w:ascii="Times New Roman" w:hAnsi="Times New Roman" w:cs="Times New Roman"/>
          <w:sz w:val="40"/>
          <w:szCs w:val="40"/>
        </w:rPr>
      </w:pPr>
      <w:r w:rsidRPr="008F53B8">
        <w:rPr>
          <w:rFonts w:ascii="Times New Roman" w:hAnsi="Times New Roman" w:cs="Times New Roman"/>
          <w:sz w:val="40"/>
          <w:szCs w:val="40"/>
        </w:rPr>
        <w:t>Planning and Delivering an International Event</w:t>
      </w:r>
    </w:p>
    <w:p w14:paraId="3B44AFF4" w14:textId="77777777" w:rsidR="008F53B8" w:rsidRDefault="008F53B8" w:rsidP="008F53B8">
      <w:pPr>
        <w:rPr>
          <w:rFonts w:ascii="Times New Roman" w:hAnsi="Times New Roman" w:cs="Times New Roman"/>
          <w:sz w:val="36"/>
          <w:szCs w:val="36"/>
        </w:rPr>
      </w:pPr>
    </w:p>
    <w:p w14:paraId="1F683AF2" w14:textId="77777777" w:rsidR="008F53B8" w:rsidRDefault="008F53B8" w:rsidP="008F53B8">
      <w:pPr>
        <w:rPr>
          <w:rFonts w:ascii="Times New Roman" w:hAnsi="Times New Roman" w:cs="Times New Roman"/>
          <w:sz w:val="36"/>
          <w:szCs w:val="36"/>
        </w:rPr>
      </w:pPr>
    </w:p>
    <w:p w14:paraId="25A6AB6E" w14:textId="77777777" w:rsidR="008F53B8" w:rsidRDefault="008F53B8" w:rsidP="008F53B8">
      <w:pPr>
        <w:rPr>
          <w:rFonts w:ascii="Times New Roman" w:hAnsi="Times New Roman" w:cs="Times New Roman"/>
          <w:sz w:val="36"/>
          <w:szCs w:val="36"/>
        </w:rPr>
      </w:pPr>
    </w:p>
    <w:p w14:paraId="7B796899" w14:textId="77777777" w:rsidR="008F53B8" w:rsidRDefault="008F53B8" w:rsidP="008F53B8">
      <w:pPr>
        <w:rPr>
          <w:rFonts w:ascii="Times New Roman" w:hAnsi="Times New Roman" w:cs="Times New Roman"/>
          <w:sz w:val="36"/>
          <w:szCs w:val="36"/>
        </w:rPr>
      </w:pPr>
    </w:p>
    <w:p w14:paraId="75E01007" w14:textId="77777777" w:rsidR="008F53B8" w:rsidRDefault="008F53B8" w:rsidP="008F53B8">
      <w:pPr>
        <w:rPr>
          <w:rFonts w:ascii="Times New Roman" w:hAnsi="Times New Roman" w:cs="Times New Roman"/>
          <w:sz w:val="36"/>
          <w:szCs w:val="36"/>
        </w:rPr>
      </w:pPr>
    </w:p>
    <w:p w14:paraId="69CECAEA" w14:textId="77777777" w:rsidR="008F53B8" w:rsidRDefault="008F53B8" w:rsidP="008F53B8">
      <w:pPr>
        <w:rPr>
          <w:rFonts w:ascii="Times New Roman" w:hAnsi="Times New Roman" w:cs="Times New Roman"/>
          <w:sz w:val="36"/>
          <w:szCs w:val="36"/>
        </w:rPr>
      </w:pPr>
    </w:p>
    <w:p w14:paraId="474C04BD" w14:textId="77777777" w:rsidR="008F53B8" w:rsidRDefault="008F53B8" w:rsidP="008F53B8">
      <w:pPr>
        <w:rPr>
          <w:rFonts w:ascii="Times New Roman" w:hAnsi="Times New Roman" w:cs="Times New Roman"/>
          <w:sz w:val="36"/>
          <w:szCs w:val="36"/>
        </w:rPr>
      </w:pPr>
    </w:p>
    <w:p w14:paraId="2937D795" w14:textId="77777777" w:rsidR="008F53B8" w:rsidRDefault="008F53B8" w:rsidP="008F53B8">
      <w:pPr>
        <w:rPr>
          <w:rFonts w:ascii="Times New Roman" w:hAnsi="Times New Roman" w:cs="Times New Roman"/>
          <w:sz w:val="36"/>
          <w:szCs w:val="36"/>
        </w:rPr>
      </w:pPr>
    </w:p>
    <w:p w14:paraId="2BF5A967" w14:textId="77777777" w:rsidR="008F53B8" w:rsidRDefault="008F53B8" w:rsidP="008F53B8">
      <w:pPr>
        <w:rPr>
          <w:rFonts w:ascii="Times New Roman" w:hAnsi="Times New Roman" w:cs="Times New Roman"/>
          <w:sz w:val="36"/>
          <w:szCs w:val="36"/>
        </w:rPr>
      </w:pPr>
    </w:p>
    <w:p w14:paraId="0DF24572" w14:textId="77777777" w:rsidR="008F53B8" w:rsidRDefault="008F53B8" w:rsidP="008F53B8">
      <w:pPr>
        <w:rPr>
          <w:rFonts w:ascii="Times New Roman" w:hAnsi="Times New Roman" w:cs="Times New Roman"/>
          <w:sz w:val="36"/>
          <w:szCs w:val="36"/>
        </w:rPr>
      </w:pPr>
    </w:p>
    <w:p w14:paraId="2CA5E852" w14:textId="77777777" w:rsidR="008F53B8" w:rsidRDefault="008F53B8" w:rsidP="008F53B8">
      <w:pPr>
        <w:rPr>
          <w:rFonts w:ascii="Times New Roman" w:hAnsi="Times New Roman" w:cs="Times New Roman"/>
          <w:sz w:val="36"/>
          <w:szCs w:val="36"/>
        </w:rPr>
      </w:pPr>
    </w:p>
    <w:p w14:paraId="583A08C5" w14:textId="77777777" w:rsidR="00C36A6D" w:rsidRDefault="00C36A6D" w:rsidP="008F53B8">
      <w:pPr>
        <w:rPr>
          <w:rFonts w:ascii="Times New Roman" w:hAnsi="Times New Roman" w:cs="Times New Roman"/>
          <w:sz w:val="36"/>
          <w:szCs w:val="36"/>
        </w:rPr>
      </w:pPr>
    </w:p>
    <w:p w14:paraId="4D57DB73" w14:textId="77777777" w:rsidR="008F53B8" w:rsidRDefault="008F53B8" w:rsidP="008F53B8">
      <w:pPr>
        <w:rPr>
          <w:rFonts w:ascii="Times New Roman" w:hAnsi="Times New Roman" w:cs="Times New Roman"/>
          <w:sz w:val="36"/>
          <w:szCs w:val="36"/>
        </w:rPr>
      </w:pPr>
    </w:p>
    <w:p w14:paraId="68868B4F" w14:textId="6F3A852D" w:rsidR="008F53B8" w:rsidRPr="008F53B8" w:rsidRDefault="008F53B8" w:rsidP="008F53B8">
      <w:pPr>
        <w:rPr>
          <w:rFonts w:ascii="Times New Roman" w:hAnsi="Times New Roman" w:cs="Times New Roman"/>
          <w:sz w:val="32"/>
          <w:szCs w:val="32"/>
        </w:rPr>
      </w:pPr>
      <w:r w:rsidRPr="008F53B8">
        <w:rPr>
          <w:rFonts w:ascii="Times New Roman" w:hAnsi="Times New Roman" w:cs="Times New Roman"/>
          <w:sz w:val="32"/>
          <w:szCs w:val="32"/>
        </w:rPr>
        <w:t>Student name: Gabriel Mihai Anton</w:t>
      </w:r>
    </w:p>
    <w:p w14:paraId="21A2DD0C" w14:textId="0A303EB5" w:rsidR="008F53B8" w:rsidRPr="008F53B8" w:rsidRDefault="008F53B8" w:rsidP="008F53B8">
      <w:pPr>
        <w:rPr>
          <w:rFonts w:ascii="Times New Roman" w:hAnsi="Times New Roman" w:cs="Times New Roman"/>
          <w:sz w:val="32"/>
          <w:szCs w:val="32"/>
        </w:rPr>
      </w:pPr>
      <w:r w:rsidRPr="008F53B8">
        <w:rPr>
          <w:rFonts w:ascii="Times New Roman" w:hAnsi="Times New Roman" w:cs="Times New Roman"/>
          <w:sz w:val="32"/>
          <w:szCs w:val="32"/>
        </w:rPr>
        <w:t>Student number: 2122258</w:t>
      </w:r>
    </w:p>
    <w:p w14:paraId="4437DF11" w14:textId="6013819C" w:rsidR="008F53B8" w:rsidRPr="008F53B8" w:rsidRDefault="008F53B8" w:rsidP="008F53B8">
      <w:pPr>
        <w:rPr>
          <w:rFonts w:ascii="Times New Roman" w:hAnsi="Times New Roman" w:cs="Times New Roman"/>
          <w:sz w:val="32"/>
          <w:szCs w:val="32"/>
        </w:rPr>
      </w:pPr>
      <w:r w:rsidRPr="008F53B8">
        <w:rPr>
          <w:rFonts w:ascii="Times New Roman" w:hAnsi="Times New Roman" w:cs="Times New Roman"/>
          <w:sz w:val="32"/>
          <w:szCs w:val="32"/>
        </w:rPr>
        <w:t xml:space="preserve">Module name: International Meetings Management </w:t>
      </w:r>
    </w:p>
    <w:p w14:paraId="6DF413EF" w14:textId="1B7931F9" w:rsidR="008F53B8" w:rsidRPr="008F53B8" w:rsidRDefault="008F53B8" w:rsidP="008F53B8">
      <w:pPr>
        <w:rPr>
          <w:rFonts w:ascii="Times New Roman" w:hAnsi="Times New Roman" w:cs="Times New Roman"/>
          <w:sz w:val="32"/>
          <w:szCs w:val="32"/>
        </w:rPr>
      </w:pPr>
      <w:r w:rsidRPr="008F53B8">
        <w:rPr>
          <w:rFonts w:ascii="Times New Roman" w:hAnsi="Times New Roman" w:cs="Times New Roman"/>
          <w:sz w:val="32"/>
          <w:szCs w:val="32"/>
        </w:rPr>
        <w:t>Module number: BMIH6007</w:t>
      </w:r>
    </w:p>
    <w:p w14:paraId="05D6F355" w14:textId="48320873" w:rsidR="008F53B8" w:rsidRDefault="008F53B8" w:rsidP="008F53B8">
      <w:pPr>
        <w:rPr>
          <w:rFonts w:ascii="Times New Roman" w:hAnsi="Times New Roman" w:cs="Times New Roman"/>
          <w:sz w:val="32"/>
          <w:szCs w:val="32"/>
        </w:rPr>
      </w:pPr>
      <w:r w:rsidRPr="008F53B8">
        <w:rPr>
          <w:rFonts w:ascii="Times New Roman" w:hAnsi="Times New Roman" w:cs="Times New Roman"/>
          <w:sz w:val="32"/>
          <w:szCs w:val="32"/>
        </w:rPr>
        <w:t>Lecturer name: Kathryn Flynn</w:t>
      </w:r>
    </w:p>
    <w:p w14:paraId="012C73C6" w14:textId="77777777" w:rsidR="00B6447E" w:rsidRDefault="00B6447E" w:rsidP="008F53B8">
      <w:pPr>
        <w:rPr>
          <w:rFonts w:ascii="Times New Roman" w:hAnsi="Times New Roman" w:cs="Times New Roman"/>
          <w:sz w:val="32"/>
          <w:szCs w:val="32"/>
        </w:rPr>
      </w:pPr>
    </w:p>
    <w:p w14:paraId="757F3F92" w14:textId="77777777" w:rsidR="00C36A6D" w:rsidRDefault="00C36A6D" w:rsidP="008F53B8">
      <w:pPr>
        <w:rPr>
          <w:rFonts w:ascii="Times New Roman" w:hAnsi="Times New Roman" w:cs="Times New Roman"/>
          <w:sz w:val="32"/>
          <w:szCs w:val="32"/>
        </w:rPr>
      </w:pPr>
    </w:p>
    <w:p w14:paraId="5458A2DD"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rPr>
      </w:pPr>
      <w:r w:rsidRPr="00B6447E">
        <w:rPr>
          <w:rFonts w:ascii="Times New Roman" w:eastAsia="Arial MT" w:hAnsi="Times New Roman" w:cs="Arial MT"/>
          <w:b/>
          <w:bCs/>
          <w:kern w:val="0"/>
          <w:sz w:val="24"/>
        </w:rPr>
        <w:t>Executive Summary</w:t>
      </w:r>
    </w:p>
    <w:p w14:paraId="676CDF76" w14:textId="4F0ADDB5"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rPr>
        <w:t xml:space="preserve">This study is based on a conference where there will be discussion on the concept of eco-hotel, as a theme of sustainability. An introduction has been provided in the study where the event has been discussed along with location and rationale. Then, the event cycle has been defined and applied to the event following the concept and what </w:t>
      </w:r>
      <w:r w:rsidRPr="00B6447E">
        <w:rPr>
          <w:rFonts w:ascii="Times New Roman" w:eastAsia="Arial MT" w:hAnsi="Times New Roman" w:cs="Arial MT"/>
          <w:kern w:val="0"/>
          <w:sz w:val="24"/>
          <w:lang w:val="en-US"/>
        </w:rPr>
        <w:t>will guest experience on the day. Furthermore, discussions have been made on aims, objectives operations, industry trends and cultural and situational considerations. It has been understood through the overall evaluation that the conference can generate a profitability of approximately 30000 GBP in two years of organizing conferences. Additionally, it also elaborates on the major costs in areas of marketing, infrastructure, and equipment.</w:t>
      </w:r>
      <w:r w:rsidRPr="00B6447E">
        <w:rPr>
          <w:rFonts w:ascii="Times New Roman" w:eastAsia="Arial MT" w:hAnsi="Times New Roman" w:cs="Arial MT"/>
          <w:kern w:val="0"/>
          <w:sz w:val="24"/>
        </w:rPr>
        <w:br w:type="page"/>
      </w:r>
    </w:p>
    <w:sdt>
      <w:sdtPr>
        <w:rPr>
          <w:rFonts w:ascii="Times New Roman" w:eastAsia="Arial MT" w:hAnsi="Times New Roman" w:cs="Arial MT"/>
          <w:kern w:val="0"/>
          <w:sz w:val="24"/>
          <w:lang w:val="en-US"/>
        </w:rPr>
        <w:id w:val="-1914765154"/>
        <w:docPartObj>
          <w:docPartGallery w:val="Table of Contents"/>
          <w:docPartUnique/>
        </w:docPartObj>
      </w:sdtPr>
      <w:sdtEndPr>
        <w:rPr>
          <w:color w:val="000000" w:themeColor="text1"/>
        </w:rPr>
      </w:sdtEndPr>
      <w:sdtContent>
        <w:p w14:paraId="56C59047" w14:textId="77777777" w:rsidR="00B6447E" w:rsidRPr="00B6447E" w:rsidRDefault="00B6447E" w:rsidP="00B6447E">
          <w:pPr>
            <w:keepNext/>
            <w:keepLines/>
            <w:spacing w:before="240" w:after="0" w:line="256" w:lineRule="auto"/>
            <w:jc w:val="center"/>
            <w:rPr>
              <w:rFonts w:ascii="Times New Roman" w:eastAsia="Times New Roman" w:hAnsi="Times New Roman" w:cs="Times New Roman"/>
              <w:b/>
              <w:bCs/>
              <w:kern w:val="0"/>
              <w:sz w:val="24"/>
              <w:szCs w:val="24"/>
              <w:lang w:val="en-US"/>
            </w:rPr>
          </w:pPr>
          <w:r w:rsidRPr="00B6447E">
            <w:rPr>
              <w:rFonts w:ascii="Times New Roman" w:eastAsia="Times New Roman" w:hAnsi="Times New Roman" w:cs="Times New Roman"/>
              <w:b/>
              <w:bCs/>
              <w:kern w:val="0"/>
              <w:sz w:val="24"/>
              <w:szCs w:val="24"/>
              <w:lang w:val="en-US"/>
            </w:rPr>
            <w:t>Table of Contents</w:t>
          </w:r>
        </w:p>
        <w:p w14:paraId="743CC889" w14:textId="58BA1676" w:rsidR="00B6447E" w:rsidRPr="00B6447E" w:rsidRDefault="00B6447E"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r w:rsidRPr="00B6447E">
            <w:rPr>
              <w:rFonts w:ascii="Times New Roman" w:eastAsia="Arial MT" w:hAnsi="Times New Roman" w:cs="Arial MT"/>
              <w:color w:val="000000" w:themeColor="text1"/>
              <w:kern w:val="0"/>
              <w:sz w:val="24"/>
              <w:lang w:val="en-US"/>
            </w:rPr>
            <w:fldChar w:fldCharType="begin"/>
          </w:r>
          <w:r w:rsidRPr="00B6447E">
            <w:rPr>
              <w:rFonts w:ascii="Times New Roman" w:eastAsia="Arial MT" w:hAnsi="Times New Roman" w:cs="Arial MT"/>
              <w:color w:val="000000" w:themeColor="text1"/>
              <w:kern w:val="0"/>
              <w:sz w:val="24"/>
              <w:lang w:val="en-US"/>
            </w:rPr>
            <w:instrText xml:space="preserve"> TOC \o "1-3" \h \z \u </w:instrText>
          </w:r>
          <w:r w:rsidRPr="00B6447E">
            <w:rPr>
              <w:rFonts w:ascii="Times New Roman" w:eastAsia="Arial MT" w:hAnsi="Times New Roman" w:cs="Arial MT"/>
              <w:color w:val="000000" w:themeColor="text1"/>
              <w:kern w:val="0"/>
              <w:sz w:val="24"/>
              <w:lang w:val="en-US"/>
            </w:rPr>
            <w:fldChar w:fldCharType="separate"/>
          </w:r>
          <w:hyperlink r:id="rId5" w:anchor="_Toc157093070" w:history="1">
            <w:r w:rsidRPr="00B6447E">
              <w:rPr>
                <w:rFonts w:ascii="Times New Roman" w:eastAsia="Arial MT" w:hAnsi="Times New Roman" w:cs="Arial MT"/>
                <w:noProof/>
                <w:color w:val="000000" w:themeColor="text1"/>
                <w:kern w:val="0"/>
                <w:sz w:val="24"/>
              </w:rPr>
              <w:t>Introduction</w:t>
            </w:r>
            <w:r w:rsidRPr="00B6447E">
              <w:rPr>
                <w:rFonts w:ascii="Times New Roman" w:eastAsia="Arial MT" w:hAnsi="Times New Roman" w:cs="Arial MT"/>
                <w:noProof/>
                <w:webHidden/>
                <w:color w:val="000000" w:themeColor="text1"/>
                <w:kern w:val="0"/>
                <w:sz w:val="24"/>
                <w:lang w:val="en-US"/>
              </w:rPr>
              <w:tab/>
            </w:r>
            <w:r w:rsidRPr="00B6447E">
              <w:rPr>
                <w:rFonts w:ascii="Times New Roman" w:eastAsia="Arial MT" w:hAnsi="Times New Roman" w:cs="Arial MT"/>
                <w:noProof/>
                <w:webHidden/>
                <w:color w:val="000000" w:themeColor="text1"/>
                <w:kern w:val="0"/>
                <w:sz w:val="24"/>
                <w:lang w:val="en-US"/>
              </w:rPr>
              <w:fldChar w:fldCharType="begin"/>
            </w:r>
            <w:r w:rsidRPr="00B6447E">
              <w:rPr>
                <w:rFonts w:ascii="Times New Roman" w:eastAsia="Arial MT" w:hAnsi="Times New Roman" w:cs="Arial MT"/>
                <w:noProof/>
                <w:webHidden/>
                <w:color w:val="000000" w:themeColor="text1"/>
                <w:kern w:val="0"/>
                <w:sz w:val="24"/>
                <w:lang w:val="en-US"/>
              </w:rPr>
              <w:instrText xml:space="preserve"> PAGEREF _Toc157093070 \h </w:instrText>
            </w:r>
            <w:r w:rsidRPr="00B6447E">
              <w:rPr>
                <w:rFonts w:ascii="Times New Roman" w:eastAsia="Arial MT" w:hAnsi="Times New Roman" w:cs="Arial MT"/>
                <w:noProof/>
                <w:webHidden/>
                <w:color w:val="000000" w:themeColor="text1"/>
                <w:kern w:val="0"/>
                <w:sz w:val="24"/>
                <w:lang w:val="en-US"/>
              </w:rPr>
            </w:r>
            <w:r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4</w:t>
            </w:r>
            <w:r w:rsidRPr="00B6447E">
              <w:rPr>
                <w:rFonts w:ascii="Times New Roman" w:eastAsia="Arial MT" w:hAnsi="Times New Roman" w:cs="Arial MT"/>
                <w:noProof/>
                <w:webHidden/>
                <w:color w:val="000000" w:themeColor="text1"/>
                <w:kern w:val="0"/>
                <w:sz w:val="24"/>
                <w:lang w:val="en-US"/>
              </w:rPr>
              <w:fldChar w:fldCharType="end"/>
            </w:r>
          </w:hyperlink>
        </w:p>
        <w:p w14:paraId="5AE61A51" w14:textId="759D2A58"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6" w:anchor="_Toc157093071" w:history="1">
            <w:r w:rsidR="00B6447E" w:rsidRPr="00B6447E">
              <w:rPr>
                <w:rFonts w:ascii="Times New Roman" w:eastAsia="Arial MT" w:hAnsi="Times New Roman" w:cs="Arial MT"/>
                <w:noProof/>
                <w:color w:val="000000" w:themeColor="text1"/>
                <w:kern w:val="0"/>
                <w:sz w:val="24"/>
              </w:rPr>
              <w:t>The Event Cycle</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_Toc157093071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5</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488C7AA7" w14:textId="0A223623"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7" w:anchor="_Toc157093072" w:history="1">
            <w:r w:rsidR="00B6447E" w:rsidRPr="00B6447E">
              <w:rPr>
                <w:rFonts w:ascii="Times New Roman" w:eastAsia="Arial MT" w:hAnsi="Times New Roman" w:cs="Arial MT"/>
                <w:noProof/>
                <w:color w:val="000000" w:themeColor="text1"/>
                <w:kern w:val="0"/>
                <w:sz w:val="24"/>
              </w:rPr>
              <w:t>Event Concept</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_Toc157093072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6</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504A41B7" w14:textId="19C6EA6B"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8" w:anchor="_Toc157093073" w:history="1">
            <w:r w:rsidR="00B6447E" w:rsidRPr="00B6447E">
              <w:rPr>
                <w:rFonts w:ascii="Times New Roman" w:eastAsia="Arial MT" w:hAnsi="Times New Roman" w:cs="Arial MT"/>
                <w:noProof/>
                <w:color w:val="000000" w:themeColor="text1"/>
                <w:kern w:val="0"/>
                <w:sz w:val="24"/>
              </w:rPr>
              <w:t>Aim and Objectives of the Meeting / Event</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_Toc157093073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7</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4BC7FCA5" w14:textId="66BB49FE"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9" w:anchor="_Toc157093074" w:history="1">
            <w:r w:rsidR="00B6447E" w:rsidRPr="00B6447E">
              <w:rPr>
                <w:rFonts w:ascii="Times New Roman" w:eastAsia="Arial MT" w:hAnsi="Times New Roman" w:cs="Arial MT"/>
                <w:noProof/>
                <w:color w:val="000000" w:themeColor="text1"/>
                <w:kern w:val="0"/>
                <w:sz w:val="24"/>
              </w:rPr>
              <w:t>Event Operations</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_Toc157093074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9</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523426BF" w14:textId="7409117E"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10" w:anchor="_Toc157093075" w:history="1">
            <w:r w:rsidR="00B6447E" w:rsidRPr="00B6447E">
              <w:rPr>
                <w:rFonts w:ascii="Times New Roman" w:eastAsia="Arial MT" w:hAnsi="Times New Roman" w:cs="Arial MT"/>
                <w:noProof/>
                <w:color w:val="000000" w:themeColor="text1"/>
                <w:kern w:val="0"/>
                <w:sz w:val="24"/>
                <w:lang w:val="en-US"/>
              </w:rPr>
              <w:t>Event Budget</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_Toc157093075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10</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35BF614D" w14:textId="2B00F3C7"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11" w:anchor="_Toc157093076" w:history="1">
            <w:r w:rsidR="00B6447E" w:rsidRPr="00B6447E">
              <w:rPr>
                <w:rFonts w:ascii="Times New Roman" w:eastAsia="Arial MT" w:hAnsi="Times New Roman" w:cs="Arial MT"/>
                <w:noProof/>
                <w:color w:val="000000" w:themeColor="text1"/>
                <w:kern w:val="0"/>
                <w:sz w:val="24"/>
              </w:rPr>
              <w:t>Industry Trends/Impacts</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_Toc157093076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12</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0A04A0BE" w14:textId="1206DF20"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12" w:anchor="_Toc157093077" w:history="1">
            <w:r w:rsidR="00B6447E" w:rsidRPr="00B6447E">
              <w:rPr>
                <w:rFonts w:ascii="Times New Roman" w:eastAsia="Arial MT" w:hAnsi="Times New Roman" w:cs="Arial MT"/>
                <w:noProof/>
                <w:color w:val="000000" w:themeColor="text1"/>
                <w:kern w:val="0"/>
                <w:sz w:val="24"/>
              </w:rPr>
              <w:t>Cultural and Situational Considerations</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_Toc157093077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13</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6E973D5C" w14:textId="2290652A"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13" w:anchor="_Toc157093078" w:history="1">
            <w:r w:rsidR="00B6447E" w:rsidRPr="00B6447E">
              <w:rPr>
                <w:rFonts w:ascii="Times New Roman" w:eastAsia="Arial MT" w:hAnsi="Times New Roman" w:cs="Arial MT"/>
                <w:noProof/>
                <w:color w:val="000000" w:themeColor="text1"/>
                <w:kern w:val="0"/>
                <w:sz w:val="24"/>
              </w:rPr>
              <w:t>Conclusion</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_Toc157093078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14</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3B19F64C" w14:textId="5F5F86AD" w:rsidR="00B6447E" w:rsidRPr="00B6447E" w:rsidRDefault="00000000" w:rsidP="00B6447E">
          <w:pPr>
            <w:widowControl w:val="0"/>
            <w:tabs>
              <w:tab w:val="right" w:leader="dot" w:pos="9016"/>
            </w:tabs>
            <w:autoSpaceDE w:val="0"/>
            <w:autoSpaceDN w:val="0"/>
            <w:spacing w:before="120" w:after="100" w:line="360" w:lineRule="auto"/>
            <w:jc w:val="both"/>
            <w:rPr>
              <w:rFonts w:ascii="Calibri" w:eastAsia="Times New Roman" w:hAnsi="Calibri" w:cs="Times New Roman"/>
              <w:noProof/>
              <w:color w:val="000000" w:themeColor="text1"/>
              <w:kern w:val="0"/>
              <w:lang w:eastAsia="en-GB"/>
            </w:rPr>
          </w:pPr>
          <w:hyperlink r:id="rId14" w:anchor="_Toc157093079" w:history="1">
            <w:r w:rsidR="00B6447E" w:rsidRPr="00B6447E">
              <w:rPr>
                <w:rFonts w:ascii="Times New Roman" w:eastAsia="Arial MT" w:hAnsi="Times New Roman" w:cs="Arial MT"/>
                <w:noProof/>
                <w:color w:val="000000" w:themeColor="text1"/>
                <w:kern w:val="0"/>
                <w:sz w:val="24"/>
              </w:rPr>
              <w:t>Reference List</w:t>
            </w:r>
            <w:r w:rsidR="00B6447E" w:rsidRPr="00B6447E">
              <w:rPr>
                <w:rFonts w:ascii="Times New Roman" w:eastAsia="Arial MT" w:hAnsi="Times New Roman" w:cs="Arial MT"/>
                <w:noProof/>
                <w:webHidden/>
                <w:color w:val="000000" w:themeColor="text1"/>
                <w:kern w:val="0"/>
                <w:sz w:val="24"/>
                <w:lang w:val="en-US"/>
              </w:rPr>
              <w:tab/>
            </w:r>
            <w:r w:rsidR="00B6447E" w:rsidRPr="00B6447E">
              <w:rPr>
                <w:rFonts w:ascii="Times New Roman" w:eastAsia="Arial MT" w:hAnsi="Times New Roman" w:cs="Arial MT"/>
                <w:noProof/>
                <w:webHidden/>
                <w:color w:val="000000" w:themeColor="text1"/>
                <w:kern w:val="0"/>
                <w:sz w:val="24"/>
                <w:lang w:val="en-US"/>
              </w:rPr>
              <w:fldChar w:fldCharType="begin"/>
            </w:r>
            <w:r w:rsidR="00B6447E" w:rsidRPr="00B6447E">
              <w:rPr>
                <w:rFonts w:ascii="Times New Roman" w:eastAsia="Arial MT" w:hAnsi="Times New Roman" w:cs="Arial MT"/>
                <w:noProof/>
                <w:webHidden/>
                <w:color w:val="000000" w:themeColor="text1"/>
                <w:kern w:val="0"/>
                <w:sz w:val="24"/>
                <w:lang w:val="en-US"/>
              </w:rPr>
              <w:instrText xml:space="preserve"> PAGEREF _Toc157093079 \h </w:instrText>
            </w:r>
            <w:r w:rsidR="00B6447E" w:rsidRPr="00B6447E">
              <w:rPr>
                <w:rFonts w:ascii="Times New Roman" w:eastAsia="Arial MT" w:hAnsi="Times New Roman" w:cs="Arial MT"/>
                <w:noProof/>
                <w:webHidden/>
                <w:color w:val="000000" w:themeColor="text1"/>
                <w:kern w:val="0"/>
                <w:sz w:val="24"/>
                <w:lang w:val="en-US"/>
              </w:rPr>
            </w:r>
            <w:r w:rsidR="00B6447E" w:rsidRPr="00B6447E">
              <w:rPr>
                <w:rFonts w:ascii="Times New Roman" w:eastAsia="Arial MT" w:hAnsi="Times New Roman" w:cs="Arial MT"/>
                <w:noProof/>
                <w:webHidden/>
                <w:color w:val="000000" w:themeColor="text1"/>
                <w:kern w:val="0"/>
                <w:sz w:val="24"/>
                <w:lang w:val="en-US"/>
              </w:rPr>
              <w:fldChar w:fldCharType="separate"/>
            </w:r>
            <w:r w:rsidR="00C36A6D">
              <w:rPr>
                <w:rFonts w:ascii="Times New Roman" w:eastAsia="Arial MT" w:hAnsi="Times New Roman" w:cs="Arial MT"/>
                <w:noProof/>
                <w:webHidden/>
                <w:color w:val="000000" w:themeColor="text1"/>
                <w:kern w:val="0"/>
                <w:sz w:val="24"/>
                <w:lang w:val="en-US"/>
              </w:rPr>
              <w:t>15</w:t>
            </w:r>
            <w:r w:rsidR="00B6447E" w:rsidRPr="00B6447E">
              <w:rPr>
                <w:rFonts w:ascii="Times New Roman" w:eastAsia="Arial MT" w:hAnsi="Times New Roman" w:cs="Arial MT"/>
                <w:noProof/>
                <w:webHidden/>
                <w:color w:val="000000" w:themeColor="text1"/>
                <w:kern w:val="0"/>
                <w:sz w:val="24"/>
                <w:lang w:val="en-US"/>
              </w:rPr>
              <w:fldChar w:fldCharType="end"/>
            </w:r>
          </w:hyperlink>
        </w:p>
        <w:p w14:paraId="6E0A8F75"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color w:val="000000" w:themeColor="text1"/>
              <w:kern w:val="0"/>
              <w:sz w:val="24"/>
              <w:lang w:val="en-US"/>
            </w:rPr>
          </w:pPr>
          <w:r w:rsidRPr="00B6447E">
            <w:rPr>
              <w:rFonts w:ascii="Times New Roman" w:eastAsia="Arial MT" w:hAnsi="Times New Roman" w:cs="Arial MT"/>
              <w:b/>
              <w:bCs/>
              <w:noProof/>
              <w:color w:val="000000" w:themeColor="text1"/>
              <w:kern w:val="0"/>
              <w:sz w:val="24"/>
              <w:lang w:val="en-US"/>
            </w:rPr>
            <w:fldChar w:fldCharType="end"/>
          </w:r>
        </w:p>
      </w:sdtContent>
    </w:sdt>
    <w:p w14:paraId="262E7125"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p>
    <w:p w14:paraId="5EB752CF" w14:textId="77777777" w:rsidR="00B6447E" w:rsidRPr="00B6447E" w:rsidRDefault="00B6447E" w:rsidP="00B6447E">
      <w:pPr>
        <w:autoSpaceDN w:val="0"/>
        <w:spacing w:line="256" w:lineRule="auto"/>
        <w:rPr>
          <w:rFonts w:ascii="Times New Roman" w:eastAsia="Arial MT" w:hAnsi="Times New Roman" w:cs="Arial MT"/>
          <w:kern w:val="0"/>
          <w:sz w:val="24"/>
          <w:u w:val="single" w:color="FFFFFF" w:themeColor="background1"/>
        </w:rPr>
      </w:pPr>
      <w:r w:rsidRPr="00B6447E">
        <w:rPr>
          <w:rFonts w:ascii="Times New Roman" w:eastAsia="Arial MT" w:hAnsi="Times New Roman" w:cs="Arial MT"/>
          <w:kern w:val="0"/>
          <w:sz w:val="24"/>
          <w14:ligatures w14:val="none"/>
        </w:rPr>
        <w:br w:type="page"/>
      </w:r>
    </w:p>
    <w:p w14:paraId="39F0BC25"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0" w:name="_Toc157093070"/>
      <w:r w:rsidRPr="00B6447E">
        <w:rPr>
          <w:rFonts w:ascii="Times New Roman" w:eastAsia="Arial" w:hAnsi="Times New Roman" w:cs="Arial"/>
          <w:b/>
          <w:bCs/>
          <w:kern w:val="0"/>
          <w:sz w:val="24"/>
        </w:rPr>
        <w:lastRenderedPageBreak/>
        <w:t>Introduction</w:t>
      </w:r>
      <w:bookmarkEnd w:id="0"/>
    </w:p>
    <w:p w14:paraId="636EB553"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Event planning can be described as the process of implementing and managing different types of occurrences of incidents which might be as small as a meeting or a big convocation (Bridges, 2023). For effective event planning, budgets need to be estimated, audience needs to be discussed, timelines are created, necessary equipment is arranged along with food and transportation and more. In this study, the event would be a conference on the concept of eco-hotel where sustainability is the theme. </w:t>
      </w:r>
      <w:bookmarkStart w:id="1" w:name="_Hlk157087567"/>
      <w:r w:rsidRPr="00B6447E">
        <w:rPr>
          <w:rFonts w:ascii="Times New Roman" w:eastAsia="Arial MT" w:hAnsi="Times New Roman" w:cs="Arial MT"/>
          <w:kern w:val="0"/>
          <w:sz w:val="24"/>
        </w:rPr>
        <w:t xml:space="preserve">The aim of the conference will be met through different objectives where the concept of eco-hotel, awareness of sustainability in the hospitality sector and challenges and solutions will be discussed. </w:t>
      </w:r>
      <w:bookmarkEnd w:id="1"/>
      <w:r w:rsidRPr="00B6447E">
        <w:rPr>
          <w:rFonts w:ascii="Times New Roman" w:eastAsia="Arial MT" w:hAnsi="Times New Roman" w:cs="Arial MT"/>
          <w:kern w:val="0"/>
          <w:sz w:val="24"/>
        </w:rPr>
        <w:t xml:space="preserve">Sustainability is becoming one of the most necessary aspects for businesses as the environment is being negatively impacted by human activities and climate change. </w:t>
      </w:r>
    </w:p>
    <w:p w14:paraId="292F21D9" w14:textId="17CC3634"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The hotel industry alone contributes to 1% of the world’s carbon emissions and therefore, businesses must adapt to eco-friendly practices (Michalis, 2023). With sustainable practices in the hotel or hospitality industry aspects like energy conservation, water conservation, waste management, guest involvement and cost-savings will be better. Furthermore, brand reputation, long-term resilience, viability, and competitive advantage are also present. Eco-hotels involve certain features like water and energy-saving systems, locally produced and sourced foods and products, sustainable services, biodegradable cleaning equipment and reduced carbon footprint (Ecotourism World, 2023). Therefore, this conference has been chosen and it will take place in the Millenium Conference Centre in Harrington’s Garden, London. The conference will happen on a Sunday so that more people can join in, and the target audience will be mainly business executives and owners. </w:t>
      </w:r>
    </w:p>
    <w:p w14:paraId="10323C81" w14:textId="77777777" w:rsidR="00B6447E" w:rsidRPr="00B6447E" w:rsidRDefault="00B6447E" w:rsidP="00B6447E">
      <w:pPr>
        <w:autoSpaceDN w:val="0"/>
        <w:spacing w:line="256" w:lineRule="auto"/>
        <w:rPr>
          <w:rFonts w:ascii="Times New Roman" w:eastAsia="Arial" w:hAnsi="Times New Roman" w:cs="Arial"/>
          <w:b/>
          <w:bCs/>
          <w:kern w:val="0"/>
          <w:sz w:val="24"/>
        </w:rPr>
      </w:pPr>
      <w:r w:rsidRPr="00B6447E">
        <w:rPr>
          <w:rFonts w:ascii="Times New Roman" w:eastAsia="Arial MT" w:hAnsi="Times New Roman" w:cs="Arial MT"/>
          <w:kern w:val="0"/>
          <w:sz w:val="24"/>
          <w14:ligatures w14:val="none"/>
        </w:rPr>
        <w:br w:type="page"/>
      </w:r>
    </w:p>
    <w:p w14:paraId="7247DCF4"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2" w:name="_Toc157093071"/>
      <w:r w:rsidRPr="00B6447E">
        <w:rPr>
          <w:rFonts w:ascii="Times New Roman" w:eastAsia="Arial" w:hAnsi="Times New Roman" w:cs="Arial"/>
          <w:b/>
          <w:bCs/>
          <w:kern w:val="0"/>
          <w:sz w:val="24"/>
        </w:rPr>
        <w:lastRenderedPageBreak/>
        <w:t>The Event Cycle</w:t>
      </w:r>
      <w:bookmarkEnd w:id="2"/>
    </w:p>
    <w:p w14:paraId="49F47068" w14:textId="5B4413DA"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In order to plan and deliver an event effectively, there are certain aspects that need to be taken care of. An event cycle provides an overview of all the different stages that are involved from the beginning till its closure. It can be also defined as a formula that facilitates the successful closure of an event.</w:t>
      </w:r>
      <w:r w:rsidR="00DC000C" w:rsidRPr="00DC000C">
        <w:t xml:space="preserve"> </w:t>
      </w:r>
      <w:r w:rsidR="00DC000C" w:rsidRPr="00DC000C">
        <w:rPr>
          <w:rFonts w:ascii="Times New Roman" w:eastAsia="Arial MT" w:hAnsi="Times New Roman" w:cs="Arial MT"/>
          <w:kern w:val="0"/>
          <w:sz w:val="24"/>
        </w:rPr>
        <w:t xml:space="preserve">Event Planning Group (2022) outlines the many phases of the event cycle, which include operational planning, strategic planning, operational readiness, event delivery, and event closure. </w:t>
      </w:r>
      <w:r w:rsidRPr="00B6447E">
        <w:rPr>
          <w:rFonts w:ascii="Times New Roman" w:eastAsia="Arial MT" w:hAnsi="Times New Roman" w:cs="Arial MT"/>
          <w:kern w:val="0"/>
          <w:sz w:val="24"/>
        </w:rPr>
        <w:t xml:space="preserve"> The very </w:t>
      </w:r>
      <w:r w:rsidR="00DC000C" w:rsidRPr="00B6447E">
        <w:rPr>
          <w:rFonts w:ascii="Times New Roman" w:eastAsia="Arial MT" w:hAnsi="Times New Roman" w:cs="Arial MT"/>
          <w:kern w:val="0"/>
          <w:sz w:val="24"/>
        </w:rPr>
        <w:t>earliest</w:t>
      </w:r>
      <w:r w:rsidRPr="00B6447E">
        <w:rPr>
          <w:rFonts w:ascii="Times New Roman" w:eastAsia="Arial MT" w:hAnsi="Times New Roman" w:cs="Arial MT"/>
          <w:kern w:val="0"/>
          <w:sz w:val="24"/>
        </w:rPr>
        <w:t xml:space="preserve"> </w:t>
      </w:r>
      <w:r w:rsidR="00DC000C" w:rsidRPr="00B6447E">
        <w:rPr>
          <w:rFonts w:ascii="Times New Roman" w:eastAsia="Arial MT" w:hAnsi="Times New Roman" w:cs="Arial MT"/>
          <w:kern w:val="0"/>
          <w:sz w:val="24"/>
        </w:rPr>
        <w:t>stage</w:t>
      </w:r>
      <w:r w:rsidRPr="00B6447E">
        <w:rPr>
          <w:rFonts w:ascii="Times New Roman" w:eastAsia="Arial MT" w:hAnsi="Times New Roman" w:cs="Arial MT"/>
          <w:kern w:val="0"/>
          <w:sz w:val="24"/>
        </w:rPr>
        <w:t xml:space="preserve"> is </w:t>
      </w:r>
      <w:proofErr w:type="gramStart"/>
      <w:r w:rsidRPr="00B6447E">
        <w:rPr>
          <w:rFonts w:ascii="Times New Roman" w:eastAsia="Arial MT" w:hAnsi="Times New Roman" w:cs="Arial MT"/>
          <w:kern w:val="0"/>
          <w:sz w:val="24"/>
        </w:rPr>
        <w:t>making a plan</w:t>
      </w:r>
      <w:proofErr w:type="gramEnd"/>
      <w:r w:rsidRPr="00B6447E">
        <w:rPr>
          <w:rFonts w:ascii="Times New Roman" w:eastAsia="Arial MT" w:hAnsi="Times New Roman" w:cs="Arial MT"/>
          <w:kern w:val="0"/>
          <w:sz w:val="24"/>
        </w:rPr>
        <w:t xml:space="preserve"> for the event which helps to avoid any risks, chaos or disorganisation and thus, the goals of the event can be met. It will also include developing a strategic direction for the event and the team that will organise it. </w:t>
      </w:r>
    </w:p>
    <w:p w14:paraId="418911AF" w14:textId="2E3340D2"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Vision, mission, aim and objectives will be created in this stage and the senior members will assist in the development. Depending on the type of event, some research needs to be conducted as well after which the goals and objectives can be planned effectively (Younts, 2021). After making the master plan, operational planning comes next, where the focus will shift to stakeholders, clients, and other areas. Venue-centric steps will also need to be taken at this stage. Once this is done, the plans will be tested on different possible scenarios and then final decisions will be made. With this, contingency scenarios will be developed as well for risk management and the workforce will be trained as well. </w:t>
      </w:r>
    </w:p>
    <w:p w14:paraId="4278407D" w14:textId="602D2E1A"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Furthermore, the workforce will be delegated tasks so that each one of them can contribute to the master plan. Before the delivery of the event, it needs to be branded well. With event branding, a strong identity will be established, consistency will be created, and engagement will improve (Bose, 2023). As a result, the promotional supplies will be designed and a name or a tagline will be provided along with a logo. On the day of the event, it will be ensured that the workforce is working according to the operations and all the activities will be controlled and monitored. In the closure stage, the project will be evaluated, and feedback will be collected from the attendees. </w:t>
      </w:r>
    </w:p>
    <w:p w14:paraId="1A4ED40E" w14:textId="77777777" w:rsidR="00B6447E" w:rsidRPr="00B6447E" w:rsidRDefault="00B6447E" w:rsidP="00B6447E">
      <w:pPr>
        <w:autoSpaceDN w:val="0"/>
        <w:spacing w:line="256" w:lineRule="auto"/>
        <w:rPr>
          <w:rFonts w:ascii="Times New Roman" w:eastAsia="Arial" w:hAnsi="Times New Roman" w:cs="Arial"/>
          <w:b/>
          <w:bCs/>
          <w:kern w:val="0"/>
          <w:sz w:val="24"/>
        </w:rPr>
      </w:pPr>
      <w:r w:rsidRPr="00B6447E">
        <w:rPr>
          <w:rFonts w:ascii="Times New Roman" w:eastAsia="Arial MT" w:hAnsi="Times New Roman" w:cs="Arial MT"/>
          <w:kern w:val="0"/>
          <w:sz w:val="24"/>
          <w14:ligatures w14:val="none"/>
        </w:rPr>
        <w:br w:type="page"/>
      </w:r>
    </w:p>
    <w:p w14:paraId="5D29CBFD"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3" w:name="_Toc157093072"/>
      <w:r w:rsidRPr="00B6447E">
        <w:rPr>
          <w:rFonts w:ascii="Times New Roman" w:eastAsia="Arial" w:hAnsi="Times New Roman" w:cs="Arial"/>
          <w:b/>
          <w:bCs/>
          <w:kern w:val="0"/>
          <w:sz w:val="24"/>
        </w:rPr>
        <w:lastRenderedPageBreak/>
        <w:t>Event Concept</w:t>
      </w:r>
      <w:bookmarkEnd w:id="3"/>
    </w:p>
    <w:p w14:paraId="27839DE0" w14:textId="0A4EAD55"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The conference is about the concept of eco-hotel on the theme of sustainability where the guests will experience different discussions on the above-mentioned aspect. This formal meeting will include people with similar interests, and it will take place for 2 days. On the first day of the conference, the guests will be invited and then, there will be a short introductory session. A welcome speech is necessary at the beginning of a conference which will create audience engagement (Ronning, 2023). With the welcome speech, a discussion over the concept of eco-hotel will be done through PPT slides. There will be a screen for visuals and speakers will be present for sound. The first day will end with a comprehensive discussion of eco-hotel and sustainability concepts in the hospitality sector. </w:t>
      </w:r>
    </w:p>
    <w:p w14:paraId="7F4C629A"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On the second day, an initiative to increase awareness of sustainability in the hospitality industry through eco-hotel will be decided at the conference. This is a continuation of the discussions of the first day and each member will be asked to spread the concept of sustainability in their respective organisations. For understanding the implementation and awareness of sustainability, a short survey will be done, in which the members will state their organisational practices. Furthermore, there will be discussions on the challenges of establishing an eco-hotel in a contemporary environment and then, solutions will be found as well. At the end of the conference, feedback will be obtained from the attendees. Collecting feedback is necessary at the end of the conference to understand if the goals are achieved and how the guests feel (MENTORIFI STAFF, 2022). </w:t>
      </w:r>
    </w:p>
    <w:p w14:paraId="306FB20C" w14:textId="77777777" w:rsidR="00B6447E" w:rsidRPr="00B6447E" w:rsidRDefault="00B6447E" w:rsidP="00B6447E">
      <w:pPr>
        <w:autoSpaceDN w:val="0"/>
        <w:spacing w:line="256" w:lineRule="auto"/>
        <w:rPr>
          <w:rFonts w:ascii="Times New Roman" w:eastAsia="Arial" w:hAnsi="Times New Roman" w:cs="Arial"/>
          <w:b/>
          <w:bCs/>
          <w:kern w:val="0"/>
          <w:sz w:val="24"/>
        </w:rPr>
      </w:pPr>
      <w:r w:rsidRPr="00B6447E">
        <w:rPr>
          <w:rFonts w:ascii="Times New Roman" w:eastAsia="Arial MT" w:hAnsi="Times New Roman" w:cs="Arial MT"/>
          <w:kern w:val="0"/>
          <w:sz w:val="24"/>
          <w14:ligatures w14:val="none"/>
        </w:rPr>
        <w:br w:type="page"/>
      </w:r>
    </w:p>
    <w:p w14:paraId="480E32D4"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4" w:name="_Toc157093073"/>
      <w:r w:rsidRPr="00B6447E">
        <w:rPr>
          <w:rFonts w:ascii="Times New Roman" w:eastAsia="Arial" w:hAnsi="Times New Roman" w:cs="Arial"/>
          <w:b/>
          <w:bCs/>
          <w:kern w:val="0"/>
          <w:sz w:val="24"/>
        </w:rPr>
        <w:lastRenderedPageBreak/>
        <w:t>Aim and Objectives of the Meeting / Event</w:t>
      </w:r>
      <w:bookmarkEnd w:id="4"/>
    </w:p>
    <w:p w14:paraId="63C0B8E5"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This event aims to hold a conference on the concept of Eco-Hotel with the increasing importance of sustainability. The objectives of this conference are:</w:t>
      </w:r>
    </w:p>
    <w:p w14:paraId="738206C6" w14:textId="77777777" w:rsidR="00B6447E" w:rsidRPr="00B6447E" w:rsidRDefault="00B6447E" w:rsidP="00B6447E">
      <w:pPr>
        <w:widowControl w:val="0"/>
        <w:numPr>
          <w:ilvl w:val="0"/>
          <w:numId w:val="1"/>
        </w:numPr>
        <w:autoSpaceDE w:val="0"/>
        <w:autoSpaceDN w:val="0"/>
        <w:spacing w:before="120" w:after="120" w:line="360" w:lineRule="auto"/>
        <w:contextualSpacing/>
        <w:jc w:val="both"/>
        <w:rPr>
          <w:rFonts w:ascii="Times New Roman" w:eastAsia="Arial MT" w:hAnsi="Times New Roman" w:cs="Arial MT"/>
          <w:kern w:val="0"/>
          <w:sz w:val="24"/>
        </w:rPr>
      </w:pPr>
      <w:r w:rsidRPr="00B6447E">
        <w:rPr>
          <w:rFonts w:ascii="Times New Roman" w:eastAsia="Arial MT" w:hAnsi="Times New Roman" w:cs="Arial MT"/>
          <w:kern w:val="0"/>
          <w:sz w:val="24"/>
        </w:rPr>
        <w:t>To understand the concept of Eco-Hotel</w:t>
      </w:r>
    </w:p>
    <w:p w14:paraId="5E4AD51C" w14:textId="77777777" w:rsidR="00B6447E" w:rsidRPr="00B6447E" w:rsidRDefault="00B6447E" w:rsidP="00B6447E">
      <w:pPr>
        <w:widowControl w:val="0"/>
        <w:numPr>
          <w:ilvl w:val="0"/>
          <w:numId w:val="1"/>
        </w:numPr>
        <w:autoSpaceDE w:val="0"/>
        <w:autoSpaceDN w:val="0"/>
        <w:spacing w:before="120" w:after="120" w:line="360" w:lineRule="auto"/>
        <w:contextualSpacing/>
        <w:jc w:val="both"/>
        <w:rPr>
          <w:rFonts w:ascii="Times New Roman" w:eastAsia="Arial MT" w:hAnsi="Times New Roman" w:cs="Arial MT"/>
          <w:kern w:val="0"/>
          <w:sz w:val="24"/>
        </w:rPr>
      </w:pPr>
      <w:r w:rsidRPr="00B6447E">
        <w:rPr>
          <w:rFonts w:ascii="Times New Roman" w:eastAsia="Arial MT" w:hAnsi="Times New Roman" w:cs="Arial MT"/>
          <w:kern w:val="0"/>
          <w:sz w:val="24"/>
        </w:rPr>
        <w:t>To increase awareness of sustainability in the hospitality industry through eco-hotel</w:t>
      </w:r>
    </w:p>
    <w:p w14:paraId="77DE84AF" w14:textId="215498EA" w:rsidR="00B6447E" w:rsidRPr="00B6447E" w:rsidRDefault="00B6447E" w:rsidP="00B6447E">
      <w:pPr>
        <w:widowControl w:val="0"/>
        <w:numPr>
          <w:ilvl w:val="0"/>
          <w:numId w:val="1"/>
        </w:numPr>
        <w:autoSpaceDE w:val="0"/>
        <w:autoSpaceDN w:val="0"/>
        <w:spacing w:before="120" w:after="120" w:line="360" w:lineRule="auto"/>
        <w:contextualSpacing/>
        <w:jc w:val="both"/>
        <w:rPr>
          <w:rFonts w:ascii="Times New Roman" w:eastAsia="Arial MT" w:hAnsi="Times New Roman" w:cs="Arial MT"/>
          <w:kern w:val="0"/>
          <w:sz w:val="24"/>
        </w:rPr>
      </w:pPr>
      <w:r w:rsidRPr="00B6447E">
        <w:rPr>
          <w:rFonts w:ascii="Times New Roman" w:eastAsia="Arial MT" w:hAnsi="Times New Roman" w:cs="Arial MT"/>
          <w:kern w:val="0"/>
          <w:sz w:val="24"/>
        </w:rPr>
        <w:t>To discuss the challenges of eco-hotel in the contemporary environment and disclose the conference with strategies.</w:t>
      </w:r>
    </w:p>
    <w:tbl>
      <w:tblPr>
        <w:tblStyle w:val="TableGrid"/>
        <w:tblW w:w="0" w:type="auto"/>
        <w:tblInd w:w="0" w:type="dxa"/>
        <w:tblLook w:val="04A0" w:firstRow="1" w:lastRow="0" w:firstColumn="1" w:lastColumn="0" w:noHBand="0" w:noVBand="1"/>
      </w:tblPr>
      <w:tblGrid>
        <w:gridCol w:w="1630"/>
        <w:gridCol w:w="1973"/>
        <w:gridCol w:w="2069"/>
        <w:gridCol w:w="1984"/>
        <w:gridCol w:w="1360"/>
      </w:tblGrid>
      <w:tr w:rsidR="00B6447E" w:rsidRPr="00B6447E" w14:paraId="1A8C142A" w14:textId="77777777" w:rsidTr="00B6447E">
        <w:tc>
          <w:tcPr>
            <w:tcW w:w="1630" w:type="dxa"/>
            <w:tcBorders>
              <w:top w:val="single" w:sz="4" w:space="0" w:color="auto"/>
              <w:left w:val="single" w:sz="4" w:space="0" w:color="auto"/>
              <w:bottom w:val="single" w:sz="4" w:space="0" w:color="auto"/>
              <w:right w:val="single" w:sz="4" w:space="0" w:color="auto"/>
            </w:tcBorders>
            <w:hideMark/>
          </w:tcPr>
          <w:p w14:paraId="2E9534E5"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szCs w:val="24"/>
              </w:rPr>
            </w:pPr>
            <w:r w:rsidRPr="00B6447E">
              <w:rPr>
                <w:rFonts w:ascii="Times New Roman" w:eastAsia="Arial MT" w:hAnsi="Times New Roman" w:cs="Arial MT"/>
                <w:b/>
                <w:bCs/>
                <w:kern w:val="0"/>
                <w:sz w:val="24"/>
                <w:szCs w:val="24"/>
              </w:rPr>
              <w:t>Specific</w:t>
            </w:r>
          </w:p>
        </w:tc>
        <w:tc>
          <w:tcPr>
            <w:tcW w:w="2022" w:type="dxa"/>
            <w:tcBorders>
              <w:top w:val="single" w:sz="4" w:space="0" w:color="auto"/>
              <w:left w:val="single" w:sz="4" w:space="0" w:color="auto"/>
              <w:bottom w:val="single" w:sz="4" w:space="0" w:color="auto"/>
              <w:right w:val="single" w:sz="4" w:space="0" w:color="auto"/>
            </w:tcBorders>
            <w:hideMark/>
          </w:tcPr>
          <w:p w14:paraId="2D1B10D5"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szCs w:val="24"/>
              </w:rPr>
            </w:pPr>
            <w:r w:rsidRPr="00B6447E">
              <w:rPr>
                <w:rFonts w:ascii="Times New Roman" w:eastAsia="Arial MT" w:hAnsi="Times New Roman" w:cs="Arial MT"/>
                <w:b/>
                <w:bCs/>
                <w:kern w:val="0"/>
                <w:sz w:val="24"/>
                <w:szCs w:val="24"/>
              </w:rPr>
              <w:t>Measurable</w:t>
            </w:r>
          </w:p>
        </w:tc>
        <w:tc>
          <w:tcPr>
            <w:tcW w:w="2126" w:type="dxa"/>
            <w:tcBorders>
              <w:top w:val="single" w:sz="4" w:space="0" w:color="auto"/>
              <w:left w:val="single" w:sz="4" w:space="0" w:color="auto"/>
              <w:bottom w:val="single" w:sz="4" w:space="0" w:color="auto"/>
              <w:right w:val="single" w:sz="4" w:space="0" w:color="auto"/>
            </w:tcBorders>
            <w:hideMark/>
          </w:tcPr>
          <w:p w14:paraId="0261747A"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szCs w:val="24"/>
              </w:rPr>
            </w:pPr>
            <w:r w:rsidRPr="00B6447E">
              <w:rPr>
                <w:rFonts w:ascii="Times New Roman" w:eastAsia="Arial MT" w:hAnsi="Times New Roman" w:cs="Arial MT"/>
                <w:b/>
                <w:bCs/>
                <w:kern w:val="0"/>
                <w:sz w:val="24"/>
                <w:szCs w:val="24"/>
              </w:rPr>
              <w:t>Achievable</w:t>
            </w:r>
          </w:p>
        </w:tc>
        <w:tc>
          <w:tcPr>
            <w:tcW w:w="2044" w:type="dxa"/>
            <w:tcBorders>
              <w:top w:val="single" w:sz="4" w:space="0" w:color="auto"/>
              <w:left w:val="single" w:sz="4" w:space="0" w:color="auto"/>
              <w:bottom w:val="single" w:sz="4" w:space="0" w:color="auto"/>
              <w:right w:val="single" w:sz="4" w:space="0" w:color="auto"/>
            </w:tcBorders>
            <w:hideMark/>
          </w:tcPr>
          <w:p w14:paraId="6FBE2F87"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szCs w:val="24"/>
              </w:rPr>
            </w:pPr>
            <w:r w:rsidRPr="00B6447E">
              <w:rPr>
                <w:rFonts w:ascii="Times New Roman" w:eastAsia="Arial MT" w:hAnsi="Times New Roman" w:cs="Arial MT"/>
                <w:b/>
                <w:bCs/>
                <w:kern w:val="0"/>
                <w:sz w:val="24"/>
                <w:szCs w:val="24"/>
              </w:rPr>
              <w:t>Relevance</w:t>
            </w:r>
          </w:p>
        </w:tc>
        <w:tc>
          <w:tcPr>
            <w:tcW w:w="1420" w:type="dxa"/>
            <w:tcBorders>
              <w:top w:val="single" w:sz="4" w:space="0" w:color="auto"/>
              <w:left w:val="single" w:sz="4" w:space="0" w:color="auto"/>
              <w:bottom w:val="single" w:sz="4" w:space="0" w:color="auto"/>
              <w:right w:val="single" w:sz="4" w:space="0" w:color="auto"/>
            </w:tcBorders>
            <w:hideMark/>
          </w:tcPr>
          <w:p w14:paraId="6E324B9F"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szCs w:val="24"/>
              </w:rPr>
            </w:pPr>
            <w:r w:rsidRPr="00B6447E">
              <w:rPr>
                <w:rFonts w:ascii="Times New Roman" w:eastAsia="Arial MT" w:hAnsi="Times New Roman" w:cs="Arial MT"/>
                <w:b/>
                <w:bCs/>
                <w:kern w:val="0"/>
                <w:sz w:val="24"/>
                <w:szCs w:val="24"/>
              </w:rPr>
              <w:t>Time-bound</w:t>
            </w:r>
          </w:p>
        </w:tc>
      </w:tr>
      <w:tr w:rsidR="00B6447E" w:rsidRPr="00B6447E" w14:paraId="293541A3" w14:textId="77777777" w:rsidTr="00B6447E">
        <w:tc>
          <w:tcPr>
            <w:tcW w:w="1630" w:type="dxa"/>
            <w:tcBorders>
              <w:top w:val="single" w:sz="4" w:space="0" w:color="auto"/>
              <w:left w:val="single" w:sz="4" w:space="0" w:color="auto"/>
              <w:bottom w:val="single" w:sz="4" w:space="0" w:color="auto"/>
              <w:right w:val="single" w:sz="4" w:space="0" w:color="auto"/>
            </w:tcBorders>
            <w:hideMark/>
          </w:tcPr>
          <w:p w14:paraId="0AEE5D69"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Understanding the concept of Eco-hotel</w:t>
            </w:r>
          </w:p>
        </w:tc>
        <w:tc>
          <w:tcPr>
            <w:tcW w:w="2022" w:type="dxa"/>
            <w:tcBorders>
              <w:top w:val="single" w:sz="4" w:space="0" w:color="auto"/>
              <w:left w:val="single" w:sz="4" w:space="0" w:color="auto"/>
              <w:bottom w:val="single" w:sz="4" w:space="0" w:color="auto"/>
              <w:right w:val="single" w:sz="4" w:space="0" w:color="auto"/>
            </w:tcBorders>
            <w:hideMark/>
          </w:tcPr>
          <w:p w14:paraId="758249ED"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Knowledge of eco-hotel and how it functions and future trends.</w:t>
            </w:r>
          </w:p>
        </w:tc>
        <w:tc>
          <w:tcPr>
            <w:tcW w:w="2126" w:type="dxa"/>
            <w:tcBorders>
              <w:top w:val="single" w:sz="4" w:space="0" w:color="auto"/>
              <w:left w:val="single" w:sz="4" w:space="0" w:color="auto"/>
              <w:bottom w:val="single" w:sz="4" w:space="0" w:color="auto"/>
              <w:right w:val="single" w:sz="4" w:space="0" w:color="auto"/>
            </w:tcBorders>
            <w:hideMark/>
          </w:tcPr>
          <w:p w14:paraId="225AFF90" w14:textId="5A85D3DD"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Discussing the definition, importance, and future trends of eco-hotel.</w:t>
            </w:r>
          </w:p>
        </w:tc>
        <w:tc>
          <w:tcPr>
            <w:tcW w:w="2044" w:type="dxa"/>
            <w:tcBorders>
              <w:top w:val="single" w:sz="4" w:space="0" w:color="auto"/>
              <w:left w:val="single" w:sz="4" w:space="0" w:color="auto"/>
              <w:bottom w:val="single" w:sz="4" w:space="0" w:color="auto"/>
              <w:right w:val="single" w:sz="4" w:space="0" w:color="auto"/>
            </w:tcBorders>
            <w:hideMark/>
          </w:tcPr>
          <w:p w14:paraId="180AF189"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The importance of eco-hotel will be assessed and increase awareness.</w:t>
            </w:r>
          </w:p>
        </w:tc>
        <w:tc>
          <w:tcPr>
            <w:tcW w:w="1420" w:type="dxa"/>
            <w:tcBorders>
              <w:top w:val="single" w:sz="4" w:space="0" w:color="auto"/>
              <w:left w:val="single" w:sz="4" w:space="0" w:color="auto"/>
              <w:bottom w:val="single" w:sz="4" w:space="0" w:color="auto"/>
              <w:right w:val="single" w:sz="4" w:space="0" w:color="auto"/>
            </w:tcBorders>
            <w:hideMark/>
          </w:tcPr>
          <w:p w14:paraId="76E0CD6A"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1 day</w:t>
            </w:r>
          </w:p>
        </w:tc>
      </w:tr>
      <w:tr w:rsidR="00B6447E" w:rsidRPr="00B6447E" w14:paraId="38E48A95" w14:textId="77777777" w:rsidTr="00B6447E">
        <w:tc>
          <w:tcPr>
            <w:tcW w:w="1630" w:type="dxa"/>
            <w:tcBorders>
              <w:top w:val="single" w:sz="4" w:space="0" w:color="auto"/>
              <w:left w:val="single" w:sz="4" w:space="0" w:color="auto"/>
              <w:bottom w:val="single" w:sz="4" w:space="0" w:color="auto"/>
              <w:right w:val="single" w:sz="4" w:space="0" w:color="auto"/>
            </w:tcBorders>
            <w:hideMark/>
          </w:tcPr>
          <w:p w14:paraId="7B23D3DE"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Increase awareness of sustainability through the concept of eco-hotel</w:t>
            </w:r>
          </w:p>
        </w:tc>
        <w:tc>
          <w:tcPr>
            <w:tcW w:w="2022" w:type="dxa"/>
            <w:tcBorders>
              <w:top w:val="single" w:sz="4" w:space="0" w:color="auto"/>
              <w:left w:val="single" w:sz="4" w:space="0" w:color="auto"/>
              <w:bottom w:val="single" w:sz="4" w:space="0" w:color="auto"/>
              <w:right w:val="single" w:sz="4" w:space="0" w:color="auto"/>
            </w:tcBorders>
            <w:hideMark/>
          </w:tcPr>
          <w:p w14:paraId="2883DAB2"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Surveys can be helpful in understanding awareness of sustainability.</w:t>
            </w:r>
          </w:p>
        </w:tc>
        <w:tc>
          <w:tcPr>
            <w:tcW w:w="2126" w:type="dxa"/>
            <w:tcBorders>
              <w:top w:val="single" w:sz="4" w:space="0" w:color="auto"/>
              <w:left w:val="single" w:sz="4" w:space="0" w:color="auto"/>
              <w:bottom w:val="single" w:sz="4" w:space="0" w:color="auto"/>
              <w:right w:val="single" w:sz="4" w:space="0" w:color="auto"/>
            </w:tcBorders>
            <w:hideMark/>
          </w:tcPr>
          <w:p w14:paraId="656999A1"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Reflecting the importance of sustainability by discussing environmental disruptions caused through the hospitality industry on the respective business of the guests.</w:t>
            </w:r>
          </w:p>
        </w:tc>
        <w:tc>
          <w:tcPr>
            <w:tcW w:w="2044" w:type="dxa"/>
            <w:tcBorders>
              <w:top w:val="single" w:sz="4" w:space="0" w:color="auto"/>
              <w:left w:val="single" w:sz="4" w:space="0" w:color="auto"/>
              <w:bottom w:val="single" w:sz="4" w:space="0" w:color="auto"/>
              <w:right w:val="single" w:sz="4" w:space="0" w:color="auto"/>
            </w:tcBorders>
            <w:hideMark/>
          </w:tcPr>
          <w:p w14:paraId="1F37B3D2"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 xml:space="preserve">This will lead to transforming lives and the quality of the environment in a dynamic and positive manner (Do Good People, 2023). </w:t>
            </w:r>
          </w:p>
        </w:tc>
        <w:tc>
          <w:tcPr>
            <w:tcW w:w="1420" w:type="dxa"/>
            <w:tcBorders>
              <w:top w:val="single" w:sz="4" w:space="0" w:color="auto"/>
              <w:left w:val="single" w:sz="4" w:space="0" w:color="auto"/>
              <w:bottom w:val="single" w:sz="4" w:space="0" w:color="auto"/>
              <w:right w:val="single" w:sz="4" w:space="0" w:color="auto"/>
            </w:tcBorders>
            <w:hideMark/>
          </w:tcPr>
          <w:p w14:paraId="36FA3C35"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 xml:space="preserve">1 day </w:t>
            </w:r>
          </w:p>
        </w:tc>
      </w:tr>
      <w:tr w:rsidR="00B6447E" w:rsidRPr="00B6447E" w14:paraId="49D7EFCB" w14:textId="77777777" w:rsidTr="00B6447E">
        <w:tc>
          <w:tcPr>
            <w:tcW w:w="1630" w:type="dxa"/>
            <w:tcBorders>
              <w:top w:val="single" w:sz="4" w:space="0" w:color="auto"/>
              <w:left w:val="single" w:sz="4" w:space="0" w:color="auto"/>
              <w:bottom w:val="single" w:sz="4" w:space="0" w:color="auto"/>
              <w:right w:val="single" w:sz="4" w:space="0" w:color="auto"/>
            </w:tcBorders>
            <w:hideMark/>
          </w:tcPr>
          <w:p w14:paraId="32A53AFD"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 xml:space="preserve">Discuss challenges and recommend strategies for establishing </w:t>
            </w:r>
            <w:r w:rsidRPr="00B6447E">
              <w:rPr>
                <w:rFonts w:ascii="Times New Roman" w:eastAsia="Arial MT" w:hAnsi="Times New Roman" w:cs="Arial MT"/>
                <w:kern w:val="0"/>
                <w:sz w:val="24"/>
                <w:szCs w:val="24"/>
              </w:rPr>
              <w:lastRenderedPageBreak/>
              <w:t>eco-hotel in the hospitality industry</w:t>
            </w:r>
          </w:p>
        </w:tc>
        <w:tc>
          <w:tcPr>
            <w:tcW w:w="2022" w:type="dxa"/>
            <w:tcBorders>
              <w:top w:val="single" w:sz="4" w:space="0" w:color="auto"/>
              <w:left w:val="single" w:sz="4" w:space="0" w:color="auto"/>
              <w:bottom w:val="single" w:sz="4" w:space="0" w:color="auto"/>
              <w:right w:val="single" w:sz="4" w:space="0" w:color="auto"/>
            </w:tcBorders>
            <w:hideMark/>
          </w:tcPr>
          <w:p w14:paraId="07D4D2FB" w14:textId="1D06AC16"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lastRenderedPageBreak/>
              <w:t>Number of challenges found, and solutions discussed in the conference</w:t>
            </w:r>
          </w:p>
        </w:tc>
        <w:tc>
          <w:tcPr>
            <w:tcW w:w="2126" w:type="dxa"/>
            <w:tcBorders>
              <w:top w:val="single" w:sz="4" w:space="0" w:color="auto"/>
              <w:left w:val="single" w:sz="4" w:space="0" w:color="auto"/>
              <w:bottom w:val="single" w:sz="4" w:space="0" w:color="auto"/>
              <w:right w:val="single" w:sz="4" w:space="0" w:color="auto"/>
            </w:tcBorders>
            <w:hideMark/>
          </w:tcPr>
          <w:p w14:paraId="0AAE9D36"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t xml:space="preserve">Discussing the potential threat of eco-hotel and the limitations it might bring and then find </w:t>
            </w:r>
            <w:r w:rsidRPr="00B6447E">
              <w:rPr>
                <w:rFonts w:ascii="Times New Roman" w:eastAsia="Arial MT" w:hAnsi="Times New Roman" w:cs="Arial MT"/>
                <w:kern w:val="0"/>
                <w:sz w:val="24"/>
                <w:szCs w:val="24"/>
              </w:rPr>
              <w:lastRenderedPageBreak/>
              <w:t>out solutions.</w:t>
            </w:r>
          </w:p>
        </w:tc>
        <w:tc>
          <w:tcPr>
            <w:tcW w:w="2044" w:type="dxa"/>
            <w:tcBorders>
              <w:top w:val="single" w:sz="4" w:space="0" w:color="auto"/>
              <w:left w:val="single" w:sz="4" w:space="0" w:color="auto"/>
              <w:bottom w:val="single" w:sz="4" w:space="0" w:color="auto"/>
              <w:right w:val="single" w:sz="4" w:space="0" w:color="auto"/>
            </w:tcBorders>
            <w:hideMark/>
          </w:tcPr>
          <w:p w14:paraId="67D1D2AB" w14:textId="2D7EFC72"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lastRenderedPageBreak/>
              <w:t xml:space="preserve">With challenges and solutions, eco-hotels can be established by businesses, and </w:t>
            </w:r>
            <w:r w:rsidRPr="00B6447E">
              <w:rPr>
                <w:rFonts w:ascii="Times New Roman" w:eastAsia="Arial MT" w:hAnsi="Times New Roman" w:cs="Arial MT"/>
                <w:kern w:val="0"/>
                <w:sz w:val="24"/>
                <w:szCs w:val="24"/>
              </w:rPr>
              <w:lastRenderedPageBreak/>
              <w:t xml:space="preserve">this will lead to sustainability in the hospitality industry. </w:t>
            </w:r>
          </w:p>
        </w:tc>
        <w:tc>
          <w:tcPr>
            <w:tcW w:w="1420" w:type="dxa"/>
            <w:tcBorders>
              <w:top w:val="single" w:sz="4" w:space="0" w:color="auto"/>
              <w:left w:val="single" w:sz="4" w:space="0" w:color="auto"/>
              <w:bottom w:val="single" w:sz="4" w:space="0" w:color="auto"/>
              <w:right w:val="single" w:sz="4" w:space="0" w:color="auto"/>
            </w:tcBorders>
            <w:hideMark/>
          </w:tcPr>
          <w:p w14:paraId="778BD0D8" w14:textId="77777777" w:rsidR="00B6447E" w:rsidRPr="00B6447E" w:rsidRDefault="00B6447E" w:rsidP="00B6447E">
            <w:pPr>
              <w:keepNext/>
              <w:widowControl w:val="0"/>
              <w:autoSpaceDE w:val="0"/>
              <w:autoSpaceDN w:val="0"/>
              <w:spacing w:before="120" w:after="120" w:line="360" w:lineRule="auto"/>
              <w:jc w:val="both"/>
              <w:rPr>
                <w:rFonts w:ascii="Times New Roman" w:eastAsia="Arial MT" w:hAnsi="Times New Roman" w:cs="Arial MT"/>
                <w:kern w:val="0"/>
                <w:sz w:val="24"/>
                <w:szCs w:val="24"/>
              </w:rPr>
            </w:pPr>
            <w:r w:rsidRPr="00B6447E">
              <w:rPr>
                <w:rFonts w:ascii="Times New Roman" w:eastAsia="Arial MT" w:hAnsi="Times New Roman" w:cs="Arial MT"/>
                <w:kern w:val="0"/>
                <w:sz w:val="24"/>
                <w:szCs w:val="24"/>
              </w:rPr>
              <w:lastRenderedPageBreak/>
              <w:t>1 day</w:t>
            </w:r>
          </w:p>
        </w:tc>
      </w:tr>
    </w:tbl>
    <w:p w14:paraId="7C172C5D"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rPr>
      </w:pPr>
      <w:r w:rsidRPr="00B6447E">
        <w:rPr>
          <w:rFonts w:ascii="Times New Roman" w:eastAsia="Arial MT" w:hAnsi="Times New Roman" w:cs="Arial MT"/>
          <w:b/>
          <w:bCs/>
          <w:kern w:val="0"/>
          <w:sz w:val="24"/>
        </w:rPr>
        <w:t xml:space="preserve">Table </w:t>
      </w:r>
      <w:r w:rsidRPr="00B6447E">
        <w:rPr>
          <w:rFonts w:ascii="Times New Roman" w:eastAsia="Arial MT" w:hAnsi="Times New Roman" w:cs="Arial MT"/>
          <w:b/>
          <w:bCs/>
          <w:kern w:val="0"/>
          <w:sz w:val="24"/>
        </w:rPr>
        <w:fldChar w:fldCharType="begin"/>
      </w:r>
      <w:r w:rsidRPr="00B6447E">
        <w:rPr>
          <w:rFonts w:ascii="Times New Roman" w:eastAsia="Arial MT" w:hAnsi="Times New Roman" w:cs="Arial MT"/>
          <w:b/>
          <w:bCs/>
          <w:kern w:val="0"/>
          <w:sz w:val="24"/>
        </w:rPr>
        <w:instrText xml:space="preserve"> SEQ Table \* ARABIC </w:instrText>
      </w:r>
      <w:r w:rsidRPr="00B6447E">
        <w:rPr>
          <w:rFonts w:ascii="Times New Roman" w:eastAsia="Arial MT" w:hAnsi="Times New Roman" w:cs="Arial MT"/>
          <w:b/>
          <w:bCs/>
          <w:kern w:val="0"/>
          <w:sz w:val="24"/>
        </w:rPr>
        <w:fldChar w:fldCharType="separate"/>
      </w:r>
      <w:r w:rsidRPr="00B6447E">
        <w:rPr>
          <w:rFonts w:ascii="Times New Roman" w:eastAsia="Arial MT" w:hAnsi="Times New Roman" w:cs="Arial MT"/>
          <w:b/>
          <w:bCs/>
          <w:noProof/>
          <w:kern w:val="0"/>
          <w:sz w:val="24"/>
        </w:rPr>
        <w:t>1</w:t>
      </w:r>
      <w:r w:rsidRPr="00B6447E">
        <w:rPr>
          <w:rFonts w:ascii="Times New Roman" w:eastAsia="Arial MT" w:hAnsi="Times New Roman" w:cs="Arial MT"/>
          <w:b/>
          <w:bCs/>
          <w:kern w:val="0"/>
          <w:sz w:val="24"/>
        </w:rPr>
        <w:fldChar w:fldCharType="end"/>
      </w:r>
      <w:r w:rsidRPr="00B6447E">
        <w:rPr>
          <w:rFonts w:ascii="Times New Roman" w:eastAsia="Arial MT" w:hAnsi="Times New Roman" w:cs="Arial MT"/>
          <w:b/>
          <w:bCs/>
          <w:kern w:val="0"/>
          <w:sz w:val="24"/>
        </w:rPr>
        <w:t>: SMART Objectives</w:t>
      </w:r>
    </w:p>
    <w:p w14:paraId="200DE206"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kern w:val="0"/>
          <w:sz w:val="24"/>
        </w:rPr>
      </w:pPr>
      <w:r w:rsidRPr="00B6447E">
        <w:rPr>
          <w:rFonts w:ascii="Times New Roman" w:eastAsia="Arial MT" w:hAnsi="Times New Roman" w:cs="Arial MT"/>
          <w:kern w:val="0"/>
          <w:sz w:val="24"/>
        </w:rPr>
        <w:t>(Source: Created by the learner)</w:t>
      </w:r>
    </w:p>
    <w:p w14:paraId="4FA4CBEE" w14:textId="77777777" w:rsidR="00B6447E" w:rsidRPr="00B6447E" w:rsidRDefault="00B6447E" w:rsidP="00B6447E">
      <w:pPr>
        <w:autoSpaceDN w:val="0"/>
        <w:spacing w:line="256" w:lineRule="auto"/>
        <w:rPr>
          <w:rFonts w:ascii="Times New Roman" w:eastAsia="Arial" w:hAnsi="Times New Roman" w:cs="Arial"/>
          <w:b/>
          <w:bCs/>
          <w:kern w:val="0"/>
          <w:sz w:val="24"/>
        </w:rPr>
      </w:pPr>
      <w:r w:rsidRPr="00B6447E">
        <w:rPr>
          <w:rFonts w:ascii="Times New Roman" w:eastAsia="Arial MT" w:hAnsi="Times New Roman" w:cs="Arial MT"/>
          <w:kern w:val="0"/>
          <w:sz w:val="24"/>
          <w14:ligatures w14:val="none"/>
        </w:rPr>
        <w:br w:type="page"/>
      </w:r>
    </w:p>
    <w:p w14:paraId="00305BCE"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5" w:name="_Toc157093074"/>
      <w:r w:rsidRPr="00B6447E">
        <w:rPr>
          <w:rFonts w:ascii="Times New Roman" w:eastAsia="Arial" w:hAnsi="Times New Roman" w:cs="Arial"/>
          <w:b/>
          <w:bCs/>
          <w:kern w:val="0"/>
          <w:sz w:val="24"/>
        </w:rPr>
        <w:lastRenderedPageBreak/>
        <w:t>Event Operations</w:t>
      </w:r>
      <w:bookmarkEnd w:id="5"/>
      <w:r w:rsidRPr="00B6447E">
        <w:rPr>
          <w:rFonts w:ascii="Times New Roman" w:eastAsia="Arial" w:hAnsi="Times New Roman" w:cs="Arial"/>
          <w:b/>
          <w:bCs/>
          <w:kern w:val="0"/>
          <w:sz w:val="24"/>
        </w:rPr>
        <w:t xml:space="preserve"> </w:t>
      </w:r>
    </w:p>
    <w:p w14:paraId="5A3EA85B" w14:textId="2CE7B711"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For gaining effective success of an event, planning the operations is highly necessary (</w:t>
      </w:r>
      <w:r w:rsidRPr="00B6447E">
        <w:rPr>
          <w:rFonts w:ascii="Times New Roman" w:eastAsia="Arial MT" w:hAnsi="Times New Roman" w:cs="Arial MT"/>
          <w:kern w:val="0"/>
          <w:sz w:val="24"/>
          <w:lang w:val="en-US"/>
        </w:rPr>
        <w:t xml:space="preserve">Bladen </w:t>
      </w:r>
      <w:r w:rsidRPr="00B6447E">
        <w:rPr>
          <w:rFonts w:ascii="Times New Roman" w:eastAsia="Arial MT" w:hAnsi="Times New Roman" w:cs="Arial MT"/>
          <w:i/>
          <w:iCs/>
          <w:kern w:val="0"/>
          <w:sz w:val="24"/>
          <w:lang w:val="en-US"/>
        </w:rPr>
        <w:t>et al</w:t>
      </w:r>
      <w:r w:rsidRPr="00B6447E">
        <w:rPr>
          <w:rFonts w:ascii="Times New Roman" w:eastAsia="Arial MT" w:hAnsi="Times New Roman" w:cs="Arial MT"/>
          <w:kern w:val="0"/>
          <w:sz w:val="24"/>
          <w:lang w:val="en-US"/>
        </w:rPr>
        <w:t>., 2022</w:t>
      </w:r>
      <w:r w:rsidRPr="00B6447E">
        <w:rPr>
          <w:rFonts w:ascii="Times New Roman" w:eastAsia="Arial MT" w:hAnsi="Times New Roman" w:cs="Arial MT"/>
          <w:kern w:val="0"/>
          <w:sz w:val="24"/>
        </w:rPr>
        <w:t>). As already discussed, operational planning and readiness are important parts of the event cycle, where the work is allocated, the venue is booked, and the necessary equipment is arranged. In event management, there are several responsibilities like setting a budget, managing teams, allocating resources, coordinating with operations, communicating, reporting to managers, selecting technology and more (Perfect Venue, 2023). Therefore, effective skills and competencies for carrying out these roles and responsibilities are necessary. Some of the common skills required are communication, financing, time management, problem-solving, decision-making, flexibility, and organisational skills (Travel Perk, 2023).</w:t>
      </w:r>
    </w:p>
    <w:p w14:paraId="30CD7F95"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Furthermore, proficiency in technology is also required for being a successful event manager and planner. With leveraging technology, the experiences of stakeholders can be enhanced. Leadership is also very necessary to handle large events and the amount of responsibility (Tow, 2019). The necessary resources will be venue, budget, Wi-Fi, bathrooms, speakers, sponsors, marketing and advertising, caterer, equipment like screens and microphones, and decorations. Furthermore, the practical considerations for the events are first aid, health and safety, access, transport, public liability insurance and photography (Resource Centre, 2019). Chair, table, water bottles and promotional supplies are also included. </w:t>
      </w:r>
    </w:p>
    <w:p w14:paraId="56A434CB" w14:textId="77777777" w:rsidR="00B6447E" w:rsidRPr="00B6447E" w:rsidRDefault="00B6447E" w:rsidP="00B6447E">
      <w:pPr>
        <w:autoSpaceDN w:val="0"/>
        <w:spacing w:line="256" w:lineRule="auto"/>
        <w:rPr>
          <w:rFonts w:ascii="Times New Roman" w:eastAsia="Arial" w:hAnsi="Times New Roman" w:cs="Arial"/>
          <w:b/>
          <w:bCs/>
          <w:kern w:val="0"/>
          <w:sz w:val="24"/>
          <w:highlight w:val="yellow"/>
        </w:rPr>
      </w:pPr>
      <w:r w:rsidRPr="00B6447E">
        <w:rPr>
          <w:rFonts w:ascii="Times New Roman" w:eastAsia="Arial MT" w:hAnsi="Times New Roman" w:cs="Arial MT"/>
          <w:kern w:val="0"/>
          <w:sz w:val="24"/>
          <w:highlight w:val="yellow"/>
          <w14:ligatures w14:val="none"/>
        </w:rPr>
        <w:br w:type="page"/>
      </w:r>
    </w:p>
    <w:p w14:paraId="748A3C64"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lang w:val="en-US"/>
        </w:rPr>
      </w:pPr>
      <w:bookmarkStart w:id="6" w:name="_Toc157093075"/>
      <w:r w:rsidRPr="00B6447E">
        <w:rPr>
          <w:rFonts w:ascii="Times New Roman" w:eastAsia="Arial" w:hAnsi="Times New Roman" w:cs="Arial"/>
          <w:b/>
          <w:bCs/>
          <w:kern w:val="0"/>
          <w:sz w:val="24"/>
          <w:lang w:val="en-US"/>
        </w:rPr>
        <w:lastRenderedPageBreak/>
        <w:t>Event Budget</w:t>
      </w:r>
      <w:bookmarkEnd w:id="6"/>
      <w:r w:rsidRPr="00B6447E">
        <w:rPr>
          <w:rFonts w:ascii="Times New Roman" w:eastAsia="Arial" w:hAnsi="Times New Roman" w:cs="Arial"/>
          <w:b/>
          <w:bCs/>
          <w:kern w:val="0"/>
          <w:sz w:val="24"/>
          <w:lang w:val="en-US"/>
        </w:rPr>
        <w:t xml:space="preserve"> </w:t>
      </w:r>
    </w:p>
    <w:p w14:paraId="763BB0B3"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b/>
          <w:bCs/>
          <w:i/>
          <w:iCs/>
          <w:kern w:val="0"/>
          <w:sz w:val="24"/>
          <w:lang w:val="en-US"/>
        </w:rPr>
      </w:pPr>
      <w:r w:rsidRPr="00B6447E">
        <w:rPr>
          <w:rFonts w:ascii="Times New Roman" w:eastAsia="Arial MT" w:hAnsi="Times New Roman" w:cs="Arial MT"/>
          <w:b/>
          <w:bCs/>
          <w:i/>
          <w:iCs/>
          <w:kern w:val="0"/>
          <w:sz w:val="24"/>
          <w:lang w:val="en-US"/>
        </w:rPr>
        <w:t xml:space="preserve">Income Statement </w:t>
      </w:r>
    </w:p>
    <w:p w14:paraId="6AF6C447" w14:textId="5187961E"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An income statement is a financial document that outlines or demonstrates the comprehensive financial performance of an organization in an accounting period generally a year (</w:t>
      </w:r>
      <w:r w:rsidRPr="00B6447E">
        <w:rPr>
          <w:rFonts w:ascii="Times New Roman" w:eastAsia="Arial MT" w:hAnsi="Times New Roman" w:cs="Arial MT"/>
          <w:kern w:val="0"/>
          <w:sz w:val="24"/>
          <w:shd w:val="clear" w:color="auto" w:fill="FFFFFF"/>
          <w:lang w:val="en-US"/>
        </w:rPr>
        <w:t>Dinh and Schultze, 2022</w:t>
      </w:r>
      <w:r w:rsidRPr="00B6447E">
        <w:rPr>
          <w:rFonts w:ascii="Times New Roman" w:eastAsia="Arial MT" w:hAnsi="Times New Roman" w:cs="Arial MT"/>
          <w:kern w:val="0"/>
          <w:sz w:val="24"/>
          <w:lang w:val="en-US"/>
        </w:rPr>
        <w:t>). It is highly important for an organization as it illustrates the profitability of the organization while conducting its operations, thereby outlining the feasibility of the organization in the markets.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1477"/>
        <w:gridCol w:w="1477"/>
      </w:tblGrid>
      <w:tr w:rsidR="00B6447E" w:rsidRPr="00B6447E" w14:paraId="1794F021"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17D4BE5F"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 xml:space="preserve">Particulars  </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57980F9D"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2023 (£)</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7F9BD059"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2024 (£)</w:t>
            </w:r>
          </w:p>
        </w:tc>
      </w:tr>
      <w:tr w:rsidR="00B6447E" w:rsidRPr="00B6447E" w14:paraId="0AFDA2FC"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47CCD6F6"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Revenue from Operational activities</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185F8552"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50000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238A481F"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54000</w:t>
            </w:r>
          </w:p>
        </w:tc>
      </w:tr>
      <w:tr w:rsidR="00B6447E" w:rsidRPr="00B6447E" w14:paraId="1B56EBA2"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3F62493B"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Other Income</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38A0324D"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3,000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74B693F4"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2,800</w:t>
            </w:r>
          </w:p>
        </w:tc>
      </w:tr>
      <w:tr w:rsidR="00B6447E" w:rsidRPr="00B6447E" w14:paraId="5EA92CB6"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709A6038"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 xml:space="preserve">Total Revenue from Operations </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6D6A3149"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53,000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1DF1C1EC"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56,800</w:t>
            </w:r>
          </w:p>
        </w:tc>
      </w:tr>
      <w:tr w:rsidR="00B6447E" w:rsidRPr="00B6447E" w14:paraId="6739EF67"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1B2521E1"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Less: Cost of sales</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7A916D75"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2,500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38210E9A"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2,800</w:t>
            </w:r>
          </w:p>
        </w:tc>
      </w:tr>
      <w:tr w:rsidR="00B6447E" w:rsidRPr="00B6447E" w14:paraId="68F2706D"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34A22ADE"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 xml:space="preserve">Gross Profit </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4C53686E"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47,500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36DA1F60"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51,200</w:t>
            </w:r>
          </w:p>
        </w:tc>
      </w:tr>
      <w:tr w:rsidR="00B6447E" w:rsidRPr="00B6447E" w14:paraId="11E594D4"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37CFFB89"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Expenditure</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40F18CDD" w14:textId="77777777" w:rsidR="00B6447E" w:rsidRPr="00B6447E" w:rsidRDefault="00B6447E" w:rsidP="00B6447E">
            <w:pPr>
              <w:widowControl w:val="0"/>
              <w:autoSpaceDE w:val="0"/>
              <w:autoSpaceDN w:val="0"/>
              <w:spacing w:before="120" w:after="120" w:line="360" w:lineRule="auto"/>
              <w:jc w:val="both"/>
              <w:rPr>
                <w:rFonts w:ascii="Times New Roman" w:eastAsia="Times New Roman" w:hAnsi="Times New Roman" w:cs="Arial MT"/>
                <w:b/>
                <w:bCs/>
                <w:color w:val="000000"/>
                <w:sz w:val="24"/>
                <w:lang w:val="en-US" w:eastAsia="en-IN"/>
                <w14:ligatures w14:val="none"/>
              </w:rPr>
            </w:pP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0DB5C8D0" w14:textId="77777777" w:rsidR="00B6447E" w:rsidRPr="00B6447E" w:rsidRDefault="00B6447E" w:rsidP="00B6447E">
            <w:pPr>
              <w:spacing w:after="0" w:line="256" w:lineRule="auto"/>
              <w:rPr>
                <w:rFonts w:ascii="Calibri" w:eastAsia="Calibri" w:hAnsi="Calibri" w:cs="Times New Roman"/>
                <w:kern w:val="0"/>
                <w:sz w:val="20"/>
                <w:szCs w:val="20"/>
                <w:lang w:eastAsia="en-GB"/>
                <w14:ligatures w14:val="none"/>
              </w:rPr>
            </w:pPr>
          </w:p>
        </w:tc>
      </w:tr>
      <w:tr w:rsidR="00B6447E" w:rsidRPr="00B6447E" w14:paraId="2FE75FC2"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2F8B4483"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Costs pertaining to Administrative and Selling activities</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0CD0119C"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8000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2540541B"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7800</w:t>
            </w:r>
          </w:p>
        </w:tc>
      </w:tr>
      <w:tr w:rsidR="00B6447E" w:rsidRPr="00B6447E" w14:paraId="04944C85"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5A51680C"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Rent and Compensation Related costs</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001174A5"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2700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38B4A114"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2800</w:t>
            </w:r>
          </w:p>
        </w:tc>
      </w:tr>
      <w:tr w:rsidR="00B6447E" w:rsidRPr="00B6447E" w14:paraId="6CC8CD69"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484839AC"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Costs of Production</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15D94D89"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4C803046"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0</w:t>
            </w:r>
          </w:p>
        </w:tc>
      </w:tr>
      <w:tr w:rsidR="00B6447E" w:rsidRPr="00B6447E" w14:paraId="5B139D28"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6E7D2922"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Total Expenditure</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529FDE15"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10700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5A17B8A6"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10600</w:t>
            </w:r>
          </w:p>
        </w:tc>
      </w:tr>
      <w:tr w:rsidR="00B6447E" w:rsidRPr="00B6447E" w14:paraId="78972D25"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1A80F41B"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Net Earnings Before Tax</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60216ADA"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36,800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7D0D0C20"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40,600</w:t>
            </w:r>
          </w:p>
        </w:tc>
      </w:tr>
      <w:tr w:rsidR="00B6447E" w:rsidRPr="00B6447E" w14:paraId="74BCE445"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5AABD8A7"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 xml:space="preserve">Less: Tax Rates </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0DA37462"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7360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52B494CA"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color w:val="000000"/>
                <w:sz w:val="24"/>
                <w:lang w:val="en-US" w:eastAsia="en-IN"/>
                <w14:ligatures w14:val="none"/>
              </w:rPr>
            </w:pPr>
            <w:r w:rsidRPr="00B6447E">
              <w:rPr>
                <w:rFonts w:ascii="Times New Roman" w:eastAsia="Times New Roman" w:hAnsi="Times New Roman" w:cs="Arial MT"/>
                <w:color w:val="000000"/>
                <w:sz w:val="24"/>
                <w:lang w:val="en-US" w:eastAsia="en-IN"/>
                <w14:ligatures w14:val="none"/>
              </w:rPr>
              <w:t>8120</w:t>
            </w:r>
          </w:p>
        </w:tc>
      </w:tr>
      <w:tr w:rsidR="00B6447E" w:rsidRPr="00B6447E" w14:paraId="26618667" w14:textId="77777777" w:rsidTr="00B6447E">
        <w:trPr>
          <w:trHeight w:val="312"/>
        </w:trPr>
        <w:tc>
          <w:tcPr>
            <w:tcW w:w="3362" w:type="pct"/>
            <w:tcBorders>
              <w:top w:val="single" w:sz="4" w:space="0" w:color="auto"/>
              <w:left w:val="single" w:sz="4" w:space="0" w:color="auto"/>
              <w:bottom w:val="single" w:sz="4" w:space="0" w:color="auto"/>
              <w:right w:val="single" w:sz="4" w:space="0" w:color="auto"/>
            </w:tcBorders>
            <w:noWrap/>
            <w:vAlign w:val="bottom"/>
            <w:hideMark/>
          </w:tcPr>
          <w:p w14:paraId="0D8E1192" w14:textId="77777777" w:rsidR="00B6447E" w:rsidRPr="00B6447E" w:rsidRDefault="00B6447E" w:rsidP="00B6447E">
            <w:pPr>
              <w:widowControl w:val="0"/>
              <w:autoSpaceDE w:val="0"/>
              <w:autoSpaceDN w:val="0"/>
              <w:spacing w:before="120" w:after="0" w:line="360" w:lineRule="auto"/>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Net Income (Loss/Profit)</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1E44D419" w14:textId="77777777" w:rsidR="00B6447E" w:rsidRPr="00B6447E" w:rsidRDefault="00B6447E" w:rsidP="00B6447E">
            <w:pPr>
              <w:widowControl w:val="0"/>
              <w:autoSpaceDE w:val="0"/>
              <w:autoSpaceDN w:val="0"/>
              <w:spacing w:before="120" w:after="0" w:line="360" w:lineRule="auto"/>
              <w:jc w:val="center"/>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29,440</w:t>
            </w:r>
          </w:p>
        </w:tc>
        <w:tc>
          <w:tcPr>
            <w:tcW w:w="819" w:type="pct"/>
            <w:tcBorders>
              <w:top w:val="single" w:sz="4" w:space="0" w:color="auto"/>
              <w:left w:val="single" w:sz="4" w:space="0" w:color="auto"/>
              <w:bottom w:val="single" w:sz="4" w:space="0" w:color="auto"/>
              <w:right w:val="single" w:sz="4" w:space="0" w:color="auto"/>
            </w:tcBorders>
            <w:noWrap/>
            <w:vAlign w:val="bottom"/>
            <w:hideMark/>
          </w:tcPr>
          <w:p w14:paraId="5189968D" w14:textId="77777777" w:rsidR="00B6447E" w:rsidRPr="00B6447E" w:rsidRDefault="00B6447E" w:rsidP="00B6447E">
            <w:pPr>
              <w:keepNext/>
              <w:widowControl w:val="0"/>
              <w:autoSpaceDE w:val="0"/>
              <w:autoSpaceDN w:val="0"/>
              <w:spacing w:before="120" w:after="0" w:line="360" w:lineRule="auto"/>
              <w:jc w:val="center"/>
              <w:rPr>
                <w:rFonts w:ascii="Times New Roman" w:eastAsia="Times New Roman" w:hAnsi="Times New Roman" w:cs="Arial MT"/>
                <w:b/>
                <w:bCs/>
                <w:color w:val="000000"/>
                <w:sz w:val="24"/>
                <w:lang w:val="en-US" w:eastAsia="en-IN"/>
                <w14:ligatures w14:val="none"/>
              </w:rPr>
            </w:pPr>
            <w:r w:rsidRPr="00B6447E">
              <w:rPr>
                <w:rFonts w:ascii="Times New Roman" w:eastAsia="Times New Roman" w:hAnsi="Times New Roman" w:cs="Arial MT"/>
                <w:b/>
                <w:bCs/>
                <w:color w:val="000000"/>
                <w:sz w:val="24"/>
                <w:lang w:val="en-US" w:eastAsia="en-IN"/>
                <w14:ligatures w14:val="none"/>
              </w:rPr>
              <w:t>32,480</w:t>
            </w:r>
          </w:p>
        </w:tc>
      </w:tr>
    </w:tbl>
    <w:p w14:paraId="066DD578" w14:textId="77777777" w:rsidR="00B6447E" w:rsidRPr="00B6447E" w:rsidRDefault="00B6447E" w:rsidP="00B6447E">
      <w:pPr>
        <w:widowControl w:val="0"/>
        <w:autoSpaceDE w:val="0"/>
        <w:autoSpaceDN w:val="0"/>
        <w:spacing w:before="120" w:after="120" w:line="360" w:lineRule="auto"/>
        <w:jc w:val="center"/>
        <w:rPr>
          <w:rFonts w:ascii="Times New Roman" w:eastAsia="Arial MT" w:hAnsi="Times New Roman" w:cs="Arial MT"/>
          <w:b/>
          <w:bCs/>
          <w:kern w:val="0"/>
          <w:sz w:val="24"/>
          <w:lang w:val="en-US"/>
        </w:rPr>
      </w:pPr>
      <w:r w:rsidRPr="00B6447E">
        <w:rPr>
          <w:rFonts w:ascii="Times New Roman" w:eastAsia="Arial MT" w:hAnsi="Times New Roman" w:cs="Arial MT"/>
          <w:b/>
          <w:bCs/>
          <w:kern w:val="0"/>
          <w:sz w:val="24"/>
          <w:lang w:val="en-US"/>
        </w:rPr>
        <w:t xml:space="preserve">Table </w:t>
      </w:r>
      <w:r w:rsidRPr="00B6447E">
        <w:rPr>
          <w:rFonts w:ascii="Times New Roman" w:eastAsia="Arial MT" w:hAnsi="Times New Roman" w:cs="Arial MT"/>
          <w:b/>
          <w:bCs/>
          <w:kern w:val="0"/>
          <w:sz w:val="24"/>
          <w:lang w:val="en-US"/>
        </w:rPr>
        <w:fldChar w:fldCharType="begin"/>
      </w:r>
      <w:r w:rsidRPr="00B6447E">
        <w:rPr>
          <w:rFonts w:ascii="Times New Roman" w:eastAsia="Arial MT" w:hAnsi="Times New Roman" w:cs="Arial MT"/>
          <w:b/>
          <w:bCs/>
          <w:kern w:val="0"/>
          <w:sz w:val="24"/>
          <w:lang w:val="en-US"/>
        </w:rPr>
        <w:instrText xml:space="preserve"> SEQ Table \* ARABIC </w:instrText>
      </w:r>
      <w:r w:rsidRPr="00B6447E">
        <w:rPr>
          <w:rFonts w:ascii="Times New Roman" w:eastAsia="Arial MT" w:hAnsi="Times New Roman" w:cs="Arial MT"/>
          <w:b/>
          <w:bCs/>
          <w:kern w:val="0"/>
          <w:sz w:val="24"/>
          <w:lang w:val="en-US"/>
        </w:rPr>
        <w:fldChar w:fldCharType="separate"/>
      </w:r>
      <w:r w:rsidRPr="00B6447E">
        <w:rPr>
          <w:rFonts w:ascii="Times New Roman" w:eastAsia="Arial MT" w:hAnsi="Times New Roman" w:cs="Arial MT"/>
          <w:b/>
          <w:bCs/>
          <w:noProof/>
          <w:kern w:val="0"/>
          <w:sz w:val="24"/>
          <w:lang w:val="en-US"/>
        </w:rPr>
        <w:t>1</w:t>
      </w:r>
      <w:r w:rsidRPr="00B6447E">
        <w:rPr>
          <w:rFonts w:ascii="Times New Roman" w:eastAsia="Arial MT" w:hAnsi="Times New Roman" w:cs="Arial MT"/>
          <w:b/>
          <w:bCs/>
          <w:kern w:val="0"/>
          <w:sz w:val="24"/>
          <w:lang w:val="en-US"/>
        </w:rPr>
        <w:fldChar w:fldCharType="end"/>
      </w:r>
      <w:r w:rsidRPr="00B6447E">
        <w:rPr>
          <w:rFonts w:ascii="Times New Roman" w:eastAsia="Arial MT" w:hAnsi="Times New Roman" w:cs="Arial MT"/>
          <w:b/>
          <w:bCs/>
          <w:kern w:val="0"/>
          <w:sz w:val="24"/>
          <w:lang w:val="en-US"/>
        </w:rPr>
        <w:t>: Forecasted Income Statement</w:t>
      </w:r>
    </w:p>
    <w:p w14:paraId="3EA30AFA" w14:textId="0D78C6A3"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 xml:space="preserve">From the above income statement, it can be understood that the conference will be highly profitable in a two projected revenue generation potential. Moreover, this has been majorly associated with a significantly low cost of sales which increases the operating or gross profit. However, it also clarifies that a significant number of investments and expenditures will also be implemented in selling and marketing the conference. Lastly, the first year of conference organization will also result in an approximate 29500 GBP revenue in the first year and it will </w:t>
      </w:r>
      <w:r w:rsidRPr="00B6447E">
        <w:rPr>
          <w:rFonts w:ascii="Times New Roman" w:eastAsia="Arial MT" w:hAnsi="Times New Roman" w:cs="Arial MT"/>
          <w:kern w:val="0"/>
          <w:sz w:val="24"/>
          <w:lang w:val="en-US"/>
        </w:rPr>
        <w:lastRenderedPageBreak/>
        <w:t>also outline a year-on-year growth of 10.32%.</w:t>
      </w:r>
    </w:p>
    <w:p w14:paraId="0FE8DD02"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b/>
          <w:bCs/>
          <w:i/>
          <w:iCs/>
          <w:kern w:val="0"/>
          <w:sz w:val="24"/>
          <w:lang w:val="en-US"/>
        </w:rPr>
      </w:pPr>
      <w:r w:rsidRPr="00B6447E">
        <w:rPr>
          <w:rFonts w:ascii="Times New Roman" w:eastAsia="Arial MT" w:hAnsi="Times New Roman" w:cs="Arial MT"/>
          <w:b/>
          <w:bCs/>
          <w:i/>
          <w:iCs/>
          <w:kern w:val="0"/>
          <w:sz w:val="24"/>
          <w:lang w:val="en-US"/>
        </w:rPr>
        <w:t xml:space="preserve">Explanation of costs </w:t>
      </w:r>
    </w:p>
    <w:p w14:paraId="73735470"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 xml:space="preserve">Various costs will be included </w:t>
      </w:r>
      <w:proofErr w:type="gramStart"/>
      <w:r w:rsidRPr="00B6447E">
        <w:rPr>
          <w:rFonts w:ascii="Times New Roman" w:eastAsia="Arial MT" w:hAnsi="Times New Roman" w:cs="Arial MT"/>
          <w:kern w:val="0"/>
          <w:sz w:val="24"/>
          <w:lang w:val="en-US"/>
        </w:rPr>
        <w:t>in the course of</w:t>
      </w:r>
      <w:proofErr w:type="gramEnd"/>
      <w:r w:rsidRPr="00B6447E">
        <w:rPr>
          <w:rFonts w:ascii="Times New Roman" w:eastAsia="Arial MT" w:hAnsi="Times New Roman" w:cs="Arial MT"/>
          <w:kern w:val="0"/>
          <w:sz w:val="24"/>
          <w:lang w:val="en-US"/>
        </w:rPr>
        <w:t xml:space="preserve"> executing the overall project. Herein, major areas of costs will be in marketing, making promotional content, and obtaining infrastructural objects and equipment. Thereby an overall budget of 60000 GBP will be formulated based on which the overall conference will be completed. Additionally, a significant amount of cost investment will also be found in aspects of rent that will be provided for the venue.</w:t>
      </w:r>
    </w:p>
    <w:p w14:paraId="2A7B4E2A"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b/>
          <w:bCs/>
          <w:i/>
          <w:iCs/>
          <w:kern w:val="0"/>
          <w:sz w:val="24"/>
          <w:lang w:val="en-US"/>
        </w:rPr>
      </w:pPr>
      <w:r w:rsidRPr="00B6447E">
        <w:rPr>
          <w:rFonts w:ascii="Times New Roman" w:eastAsia="Arial MT" w:hAnsi="Times New Roman" w:cs="Arial MT"/>
          <w:b/>
          <w:bCs/>
          <w:i/>
          <w:iCs/>
          <w:kern w:val="0"/>
          <w:sz w:val="24"/>
          <w:lang w:val="en-US"/>
        </w:rPr>
        <w:t>Sources of Funding</w:t>
      </w:r>
    </w:p>
    <w:p w14:paraId="5772764D" w14:textId="29D51F1F"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 xml:space="preserve">Various sources of finance can be obtained by the </w:t>
      </w:r>
      <w:r w:rsidR="001D616F" w:rsidRPr="00B6447E">
        <w:rPr>
          <w:rFonts w:ascii="Times New Roman" w:eastAsia="Arial MT" w:hAnsi="Times New Roman" w:cs="Arial MT"/>
          <w:kern w:val="0"/>
          <w:sz w:val="24"/>
          <w:lang w:val="en-US"/>
        </w:rPr>
        <w:t>organization</w:t>
      </w:r>
      <w:r w:rsidRPr="00B6447E">
        <w:rPr>
          <w:rFonts w:ascii="Times New Roman" w:eastAsia="Arial MT" w:hAnsi="Times New Roman" w:cs="Arial MT"/>
          <w:kern w:val="0"/>
          <w:sz w:val="24"/>
          <w:lang w:val="en-US"/>
        </w:rPr>
        <w:t xml:space="preserve"> to ensure that it can illustrate smooth operations in the business processes effectively. </w:t>
      </w:r>
    </w:p>
    <w:p w14:paraId="5D314807" w14:textId="555F6C1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 xml:space="preserve">Bank Loans: These are a form of debt that can be attained by an </w:t>
      </w:r>
      <w:r w:rsidR="001D616F" w:rsidRPr="00B6447E">
        <w:rPr>
          <w:rFonts w:ascii="Times New Roman" w:eastAsia="Arial MT" w:hAnsi="Times New Roman" w:cs="Arial MT"/>
          <w:kern w:val="0"/>
          <w:sz w:val="24"/>
          <w:lang w:val="en-US"/>
        </w:rPr>
        <w:t>organization</w:t>
      </w:r>
      <w:r w:rsidRPr="00B6447E">
        <w:rPr>
          <w:rFonts w:ascii="Times New Roman" w:eastAsia="Arial MT" w:hAnsi="Times New Roman" w:cs="Arial MT"/>
          <w:kern w:val="0"/>
          <w:sz w:val="24"/>
          <w:lang w:val="en-US"/>
        </w:rPr>
        <w:t xml:space="preserve"> by presenting the business plan and outlining the pre-money financials to a commercial bank (</w:t>
      </w:r>
      <w:r w:rsidRPr="00B6447E">
        <w:rPr>
          <w:rFonts w:ascii="Times New Roman" w:eastAsia="Arial MT" w:hAnsi="Times New Roman" w:cs="Arial MT"/>
          <w:kern w:val="0"/>
          <w:sz w:val="24"/>
          <w:shd w:val="clear" w:color="auto" w:fill="FFFFFF"/>
          <w:lang w:val="en-US"/>
        </w:rPr>
        <w:t xml:space="preserve">Bashir, </w:t>
      </w:r>
      <w:proofErr w:type="spellStart"/>
      <w:r w:rsidRPr="00B6447E">
        <w:rPr>
          <w:rFonts w:ascii="Times New Roman" w:eastAsia="Arial MT" w:hAnsi="Times New Roman" w:cs="Arial MT"/>
          <w:kern w:val="0"/>
          <w:sz w:val="24"/>
          <w:shd w:val="clear" w:color="auto" w:fill="FFFFFF"/>
          <w:lang w:val="en-US"/>
        </w:rPr>
        <w:t>Yugang</w:t>
      </w:r>
      <w:proofErr w:type="spellEnd"/>
      <w:r w:rsidRPr="00B6447E">
        <w:rPr>
          <w:rFonts w:ascii="Times New Roman" w:eastAsia="Arial MT" w:hAnsi="Times New Roman" w:cs="Arial MT"/>
          <w:kern w:val="0"/>
          <w:sz w:val="24"/>
          <w:shd w:val="clear" w:color="auto" w:fill="FFFFFF"/>
          <w:lang w:val="en-US"/>
        </w:rPr>
        <w:t xml:space="preserve"> and Hussain, 2020</w:t>
      </w:r>
      <w:r w:rsidRPr="00B6447E">
        <w:rPr>
          <w:rFonts w:ascii="Times New Roman" w:eastAsia="Arial MT" w:hAnsi="Times New Roman" w:cs="Arial MT"/>
          <w:kern w:val="0"/>
          <w:sz w:val="24"/>
          <w:lang w:val="en-US"/>
        </w:rPr>
        <w:t>).</w:t>
      </w:r>
    </w:p>
    <w:p w14:paraId="46A52F80" w14:textId="69CD3963"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 xml:space="preserve">Government Grants: Since the </w:t>
      </w:r>
      <w:r w:rsidR="001D616F" w:rsidRPr="00B6447E">
        <w:rPr>
          <w:rFonts w:ascii="Times New Roman" w:eastAsia="Arial MT" w:hAnsi="Times New Roman" w:cs="Arial MT"/>
          <w:kern w:val="0"/>
          <w:sz w:val="24"/>
          <w:lang w:val="en-US"/>
        </w:rPr>
        <w:t>organization</w:t>
      </w:r>
      <w:r w:rsidRPr="00B6447E">
        <w:rPr>
          <w:rFonts w:ascii="Times New Roman" w:eastAsia="Arial MT" w:hAnsi="Times New Roman" w:cs="Arial MT"/>
          <w:kern w:val="0"/>
          <w:sz w:val="24"/>
          <w:lang w:val="en-US"/>
        </w:rPr>
        <w:t xml:space="preserve"> will majorly conduct a conference relating to sustainability, it can also look to obtain grants from governmental bodies working in sustainability.</w:t>
      </w:r>
    </w:p>
    <w:p w14:paraId="4A1C1E1C"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Sponsorships: This is another major method through which the requisite funds for the business can be generated. It helps in creating effective collaborations and improving brand visibility along with meeting financial requirements (</w:t>
      </w:r>
      <w:r w:rsidRPr="00B6447E">
        <w:rPr>
          <w:rFonts w:ascii="Times New Roman" w:eastAsia="Arial MT" w:hAnsi="Times New Roman" w:cs="Arial MT"/>
          <w:kern w:val="0"/>
          <w:sz w:val="24"/>
          <w:shd w:val="clear" w:color="auto" w:fill="FFFFFF"/>
          <w:lang w:val="en-US"/>
        </w:rPr>
        <w:t>Cornwell and Kwon, 2020</w:t>
      </w:r>
      <w:r w:rsidRPr="00B6447E">
        <w:rPr>
          <w:rFonts w:ascii="Times New Roman" w:eastAsia="Arial MT" w:hAnsi="Times New Roman" w:cs="Arial MT"/>
          <w:kern w:val="0"/>
          <w:sz w:val="24"/>
          <w:lang w:val="en-US"/>
        </w:rPr>
        <w:t>).</w:t>
      </w:r>
    </w:p>
    <w:p w14:paraId="33BC057E" w14:textId="4BA7851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b/>
          <w:bCs/>
          <w:i/>
          <w:iCs/>
          <w:kern w:val="0"/>
          <w:sz w:val="24"/>
          <w:lang w:val="en-US"/>
        </w:rPr>
      </w:pPr>
      <w:r w:rsidRPr="00B6447E">
        <w:rPr>
          <w:rFonts w:ascii="Times New Roman" w:eastAsia="Arial MT" w:hAnsi="Times New Roman" w:cs="Arial MT"/>
          <w:b/>
          <w:bCs/>
          <w:i/>
          <w:iCs/>
          <w:kern w:val="0"/>
          <w:sz w:val="24"/>
          <w:lang w:val="en-US"/>
        </w:rPr>
        <w:t xml:space="preserve">Revenue </w:t>
      </w:r>
      <w:r w:rsidR="001D616F" w:rsidRPr="00B6447E">
        <w:rPr>
          <w:rFonts w:ascii="Times New Roman" w:eastAsia="Arial MT" w:hAnsi="Times New Roman" w:cs="Arial MT"/>
          <w:b/>
          <w:bCs/>
          <w:i/>
          <w:iCs/>
          <w:kern w:val="0"/>
          <w:sz w:val="24"/>
          <w:lang w:val="en-US"/>
        </w:rPr>
        <w:t>generated.</w:t>
      </w:r>
      <w:r w:rsidRPr="00B6447E">
        <w:rPr>
          <w:rFonts w:ascii="Times New Roman" w:eastAsia="Arial MT" w:hAnsi="Times New Roman" w:cs="Arial MT"/>
          <w:b/>
          <w:bCs/>
          <w:i/>
          <w:iCs/>
          <w:kern w:val="0"/>
          <w:sz w:val="24"/>
          <w:lang w:val="en-US"/>
        </w:rPr>
        <w:t xml:space="preserve"> </w:t>
      </w:r>
    </w:p>
    <w:p w14:paraId="4F2B8D23" w14:textId="06FD23BB"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lang w:val="en-US"/>
        </w:rPr>
        <w:t xml:space="preserve">The main sources of revenue will be the charges that will be acquired from the participating delegates. Additionally, a subsidiary source of revenue will also be obtained from various other businesses that will </w:t>
      </w:r>
      <w:r w:rsidR="001D616F" w:rsidRPr="00B6447E">
        <w:rPr>
          <w:rFonts w:ascii="Times New Roman" w:eastAsia="Arial MT" w:hAnsi="Times New Roman" w:cs="Arial MT"/>
          <w:kern w:val="0"/>
          <w:sz w:val="24"/>
          <w:lang w:val="en-US"/>
        </w:rPr>
        <w:t>utilize</w:t>
      </w:r>
      <w:r w:rsidRPr="00B6447E">
        <w:rPr>
          <w:rFonts w:ascii="Times New Roman" w:eastAsia="Arial MT" w:hAnsi="Times New Roman" w:cs="Arial MT"/>
          <w:kern w:val="0"/>
          <w:sz w:val="24"/>
          <w:lang w:val="en-US"/>
        </w:rPr>
        <w:t xml:space="preserve"> the conference to promote their products through advertisements. Additionally, certain areas in which the </w:t>
      </w:r>
      <w:r w:rsidR="001D616F" w:rsidRPr="00B6447E">
        <w:rPr>
          <w:rFonts w:ascii="Times New Roman" w:eastAsia="Arial MT" w:hAnsi="Times New Roman" w:cs="Arial MT"/>
          <w:kern w:val="0"/>
          <w:sz w:val="24"/>
          <w:lang w:val="en-US"/>
        </w:rPr>
        <w:t>organization</w:t>
      </w:r>
      <w:r w:rsidRPr="00B6447E">
        <w:rPr>
          <w:rFonts w:ascii="Times New Roman" w:eastAsia="Arial MT" w:hAnsi="Times New Roman" w:cs="Arial MT"/>
          <w:kern w:val="0"/>
          <w:sz w:val="24"/>
          <w:lang w:val="en-US"/>
        </w:rPr>
        <w:t xml:space="preserve"> can also acquire revenue are through catering services. By nominally charging a value, it can generate an effective amount of revenue as well. In all, through the </w:t>
      </w:r>
      <w:proofErr w:type="gramStart"/>
      <w:r w:rsidRPr="00B6447E">
        <w:rPr>
          <w:rFonts w:ascii="Times New Roman" w:eastAsia="Arial MT" w:hAnsi="Times New Roman" w:cs="Arial MT"/>
          <w:kern w:val="0"/>
          <w:sz w:val="24"/>
          <w:lang w:val="en-US"/>
        </w:rPr>
        <w:t>aforementioned methods</w:t>
      </w:r>
      <w:proofErr w:type="gramEnd"/>
      <w:r w:rsidRPr="00B6447E">
        <w:rPr>
          <w:rFonts w:ascii="Times New Roman" w:eastAsia="Arial MT" w:hAnsi="Times New Roman" w:cs="Arial MT"/>
          <w:kern w:val="0"/>
          <w:sz w:val="24"/>
          <w:lang w:val="en-US"/>
        </w:rPr>
        <w:t xml:space="preserve">, the event </w:t>
      </w:r>
      <w:r w:rsidR="001D616F" w:rsidRPr="00B6447E">
        <w:rPr>
          <w:rFonts w:ascii="Times New Roman" w:eastAsia="Arial MT" w:hAnsi="Times New Roman" w:cs="Arial MT"/>
          <w:kern w:val="0"/>
          <w:sz w:val="24"/>
          <w:lang w:val="en-US"/>
        </w:rPr>
        <w:t>organizer</w:t>
      </w:r>
      <w:r w:rsidRPr="00B6447E">
        <w:rPr>
          <w:rFonts w:ascii="Times New Roman" w:eastAsia="Arial MT" w:hAnsi="Times New Roman" w:cs="Arial MT"/>
          <w:kern w:val="0"/>
          <w:sz w:val="24"/>
          <w:lang w:val="en-US"/>
        </w:rPr>
        <w:t xml:space="preserve"> can generate an appropriate amount of demand.</w:t>
      </w:r>
      <w:r w:rsidRPr="00B6447E">
        <w:rPr>
          <w:rFonts w:ascii="Times New Roman" w:eastAsia="Arial MT" w:hAnsi="Times New Roman" w:cs="Arial MT"/>
          <w:kern w:val="0"/>
          <w:sz w:val="24"/>
        </w:rPr>
        <w:br w:type="page"/>
      </w:r>
    </w:p>
    <w:p w14:paraId="54D253CD"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7" w:name="_Toc157093076"/>
      <w:r w:rsidRPr="00B6447E">
        <w:rPr>
          <w:rFonts w:ascii="Times New Roman" w:eastAsia="Arial" w:hAnsi="Times New Roman" w:cs="Arial"/>
          <w:b/>
          <w:bCs/>
          <w:kern w:val="0"/>
          <w:sz w:val="24"/>
        </w:rPr>
        <w:lastRenderedPageBreak/>
        <w:t>Industry Trends/Impacts</w:t>
      </w:r>
      <w:bookmarkEnd w:id="7"/>
    </w:p>
    <w:p w14:paraId="23E5C261" w14:textId="6B815DAE"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With the changing environment around different business aspects, there are some latest trends in the event industry as well. Conducting hybrid events is one of them and this has emerged since the COVID-19 pandemic. As social gatherings were restricted at that time, the events industry is still focusing on in-person and virtual events at the same time (WP Event Manager, 2023). Adopting digital elements for in-person events is another aspect that is followed in the event industry. Using social media as a promotional tool is highly fostered in this industry which helps with creating new connections. In addition to this, sustainability, and triple bottom line are also fostered in the operations of events along with diversity, </w:t>
      </w:r>
      <w:r w:rsidR="001D616F" w:rsidRPr="00B6447E">
        <w:rPr>
          <w:rFonts w:ascii="Times New Roman" w:eastAsia="Arial MT" w:hAnsi="Times New Roman" w:cs="Arial MT"/>
          <w:kern w:val="0"/>
          <w:sz w:val="24"/>
        </w:rPr>
        <w:t>equity,</w:t>
      </w:r>
      <w:r w:rsidRPr="00B6447E">
        <w:rPr>
          <w:rFonts w:ascii="Times New Roman" w:eastAsia="Arial MT" w:hAnsi="Times New Roman" w:cs="Arial MT"/>
          <w:kern w:val="0"/>
          <w:sz w:val="24"/>
        </w:rPr>
        <w:t xml:space="preserve"> and inclusion. </w:t>
      </w:r>
    </w:p>
    <w:p w14:paraId="405ED416" w14:textId="3DD4C783"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Health and wellness are also an important part of events where options are incorporated like breaks, health-conscious </w:t>
      </w:r>
      <w:r w:rsidR="001D616F" w:rsidRPr="00B6447E">
        <w:rPr>
          <w:rFonts w:ascii="Times New Roman" w:eastAsia="Arial MT" w:hAnsi="Times New Roman" w:cs="Arial MT"/>
          <w:kern w:val="0"/>
          <w:sz w:val="24"/>
        </w:rPr>
        <w:t>food,</w:t>
      </w:r>
      <w:r w:rsidRPr="00B6447E">
        <w:rPr>
          <w:rFonts w:ascii="Times New Roman" w:eastAsia="Arial MT" w:hAnsi="Times New Roman" w:cs="Arial MT"/>
          <w:kern w:val="0"/>
          <w:sz w:val="24"/>
        </w:rPr>
        <w:t xml:space="preserve"> and snacks and more (Myers, 2023). From all the mentioned trends, there are some aspects that this conference is influenced by. First of all, the sustainability aspect will be highly followed in the conference through waste management practices and energy conservation. On top of that, the topic of the conference is itself focused on sustainability and triple bottom line at the same time. Furthermore, social media platforms will be also used for promotions and event branding. Health and wellness will be prioritised in the conference as well, where there will be first aid and measures for safety. Diversity, </w:t>
      </w:r>
      <w:r w:rsidR="001D616F" w:rsidRPr="00B6447E">
        <w:rPr>
          <w:rFonts w:ascii="Times New Roman" w:eastAsia="Arial MT" w:hAnsi="Times New Roman" w:cs="Arial MT"/>
          <w:kern w:val="0"/>
          <w:sz w:val="24"/>
        </w:rPr>
        <w:t>equity,</w:t>
      </w:r>
      <w:r w:rsidRPr="00B6447E">
        <w:rPr>
          <w:rFonts w:ascii="Times New Roman" w:eastAsia="Arial MT" w:hAnsi="Times New Roman" w:cs="Arial MT"/>
          <w:kern w:val="0"/>
          <w:sz w:val="24"/>
        </w:rPr>
        <w:t xml:space="preserve"> and inclusion will be fostered, as everyone is welcomed at the event. </w:t>
      </w:r>
    </w:p>
    <w:p w14:paraId="10FB2976" w14:textId="77777777" w:rsidR="00B6447E" w:rsidRPr="00B6447E" w:rsidRDefault="00B6447E" w:rsidP="00B6447E">
      <w:pPr>
        <w:autoSpaceDN w:val="0"/>
        <w:spacing w:line="256" w:lineRule="auto"/>
        <w:rPr>
          <w:rFonts w:ascii="Times New Roman" w:eastAsia="Arial" w:hAnsi="Times New Roman" w:cs="Arial"/>
          <w:b/>
          <w:bCs/>
          <w:kern w:val="0"/>
          <w:sz w:val="24"/>
        </w:rPr>
      </w:pPr>
      <w:r w:rsidRPr="00B6447E">
        <w:rPr>
          <w:rFonts w:ascii="Times New Roman" w:eastAsia="Arial MT" w:hAnsi="Times New Roman" w:cs="Arial MT"/>
          <w:kern w:val="0"/>
          <w:sz w:val="24"/>
          <w14:ligatures w14:val="none"/>
        </w:rPr>
        <w:br w:type="page"/>
      </w:r>
    </w:p>
    <w:p w14:paraId="0E7242B3"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8" w:name="_Toc157093077"/>
      <w:r w:rsidRPr="00B6447E">
        <w:rPr>
          <w:rFonts w:ascii="Times New Roman" w:eastAsia="Arial" w:hAnsi="Times New Roman" w:cs="Arial"/>
          <w:b/>
          <w:bCs/>
          <w:kern w:val="0"/>
          <w:sz w:val="24"/>
        </w:rPr>
        <w:lastRenderedPageBreak/>
        <w:t>Cultural and Situational Considerations</w:t>
      </w:r>
      <w:bookmarkEnd w:id="8"/>
    </w:p>
    <w:p w14:paraId="507594A8" w14:textId="097F7105"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The topic related to the conference might involve some cultural considerations. Creating sustainable development is still a challenge that societies need to face today and therefore, education and cultural diversity play an important context in this aspect (</w:t>
      </w:r>
      <w:r w:rsidRPr="00B6447E">
        <w:rPr>
          <w:rFonts w:ascii="Times New Roman" w:eastAsia="Arial MT" w:hAnsi="Times New Roman" w:cs="Arial MT"/>
          <w:kern w:val="0"/>
          <w:sz w:val="24"/>
          <w:lang w:val="en-US"/>
        </w:rPr>
        <w:t xml:space="preserve">Berglund </w:t>
      </w:r>
      <w:r w:rsidRPr="00B6447E">
        <w:rPr>
          <w:rFonts w:ascii="Times New Roman" w:eastAsia="Arial MT" w:hAnsi="Times New Roman" w:cs="Arial MT"/>
          <w:i/>
          <w:iCs/>
          <w:kern w:val="0"/>
          <w:sz w:val="24"/>
          <w:lang w:val="en-US"/>
        </w:rPr>
        <w:t>et al</w:t>
      </w:r>
      <w:r w:rsidRPr="00B6447E">
        <w:rPr>
          <w:rFonts w:ascii="Times New Roman" w:eastAsia="Arial MT" w:hAnsi="Times New Roman" w:cs="Arial MT"/>
          <w:kern w:val="0"/>
          <w:sz w:val="24"/>
          <w:lang w:val="en-US"/>
        </w:rPr>
        <w:t>., 2020</w:t>
      </w:r>
      <w:r w:rsidRPr="00B6447E">
        <w:rPr>
          <w:rFonts w:ascii="Times New Roman" w:eastAsia="Arial MT" w:hAnsi="Times New Roman" w:cs="Arial MT"/>
          <w:kern w:val="0"/>
          <w:sz w:val="24"/>
        </w:rPr>
        <w:t xml:space="preserve">). Cultural aspects influence how economic, </w:t>
      </w:r>
      <w:r w:rsidR="001D616F" w:rsidRPr="00B6447E">
        <w:rPr>
          <w:rFonts w:ascii="Times New Roman" w:eastAsia="Arial MT" w:hAnsi="Times New Roman" w:cs="Arial MT"/>
          <w:kern w:val="0"/>
          <w:sz w:val="24"/>
        </w:rPr>
        <w:t>social,</w:t>
      </w:r>
      <w:r w:rsidRPr="00B6447E">
        <w:rPr>
          <w:rFonts w:ascii="Times New Roman" w:eastAsia="Arial MT" w:hAnsi="Times New Roman" w:cs="Arial MT"/>
          <w:kern w:val="0"/>
          <w:sz w:val="24"/>
        </w:rPr>
        <w:t xml:space="preserve"> and environmental dimensions are connected to sustainable development. Although this is based on individuals, organisational culture can also influence sustainable development. The participants that would be visiting the conference will need to have an organisational culture that supports sustainable practices and development so that eco-hotels can be brought into reality in larger numbers. With cultural sustainability, values and attitudes can be improved and retained. </w:t>
      </w:r>
    </w:p>
    <w:p w14:paraId="49D4E3BF"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Other than this, it is also necessary to focus on cultural considerations for diversity and inclusion. Diversity and inclusion bring people from different cultures and backgrounds, and therefore, it provides with balance of voices or opinions needed (Cole, 2020). However, as culture affects the behaviour and attitude of people, everyone might not accept every individual and there might be situational conflict as well. The situational considerations that are important in events are expenses, showing up of uninvited guests, losing the attention of the audience, lower participation, health and safety and any potential conflicts. This will be monitored by the workforce, and furthermore, risk assessment will be done in the planning stage. </w:t>
      </w:r>
    </w:p>
    <w:p w14:paraId="0731F3C0" w14:textId="77777777" w:rsidR="00B6447E" w:rsidRPr="00B6447E" w:rsidRDefault="00B6447E" w:rsidP="00B6447E">
      <w:pPr>
        <w:autoSpaceDN w:val="0"/>
        <w:spacing w:line="256" w:lineRule="auto"/>
        <w:rPr>
          <w:rFonts w:ascii="Times New Roman" w:eastAsia="Arial" w:hAnsi="Times New Roman" w:cs="Arial"/>
          <w:b/>
          <w:bCs/>
          <w:kern w:val="0"/>
          <w:sz w:val="24"/>
        </w:rPr>
      </w:pPr>
      <w:r w:rsidRPr="00B6447E">
        <w:rPr>
          <w:rFonts w:ascii="Times New Roman" w:eastAsia="Arial MT" w:hAnsi="Times New Roman" w:cs="Arial MT"/>
          <w:kern w:val="0"/>
          <w:sz w:val="24"/>
          <w14:ligatures w14:val="none"/>
        </w:rPr>
        <w:br w:type="page"/>
      </w:r>
    </w:p>
    <w:p w14:paraId="2260CCAA"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9" w:name="_Toc157093078"/>
      <w:r w:rsidRPr="00B6447E">
        <w:rPr>
          <w:rFonts w:ascii="Times New Roman" w:eastAsia="Arial" w:hAnsi="Times New Roman" w:cs="Arial"/>
          <w:b/>
          <w:bCs/>
          <w:kern w:val="0"/>
          <w:sz w:val="24"/>
        </w:rPr>
        <w:lastRenderedPageBreak/>
        <w:t>Conclusion</w:t>
      </w:r>
      <w:bookmarkEnd w:id="9"/>
    </w:p>
    <w:p w14:paraId="76986D45" w14:textId="04F9B403"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bookmarkStart w:id="10" w:name="_Hlk156224926"/>
      <w:r w:rsidRPr="00B6447E">
        <w:rPr>
          <w:rFonts w:ascii="Times New Roman" w:eastAsia="Arial MT" w:hAnsi="Times New Roman" w:cs="Arial MT"/>
          <w:kern w:val="0"/>
          <w:sz w:val="24"/>
          <w:lang w:val="en-US"/>
        </w:rPr>
        <w:t xml:space="preserve">From the above discussions, different aspects of conducting a meeting have been </w:t>
      </w:r>
      <w:bookmarkEnd w:id="10"/>
      <w:r w:rsidR="001D616F" w:rsidRPr="00B6447E">
        <w:rPr>
          <w:rFonts w:ascii="Times New Roman" w:eastAsia="Arial MT" w:hAnsi="Times New Roman" w:cs="Arial MT"/>
          <w:kern w:val="0"/>
          <w:sz w:val="24"/>
          <w:lang w:val="en-US"/>
        </w:rPr>
        <w:t>discussed</w:t>
      </w:r>
      <w:r w:rsidRPr="00B6447E">
        <w:rPr>
          <w:rFonts w:ascii="Times New Roman" w:eastAsia="Arial MT" w:hAnsi="Times New Roman" w:cs="Arial MT"/>
          <w:kern w:val="0"/>
          <w:sz w:val="24"/>
          <w:lang w:val="en-US"/>
        </w:rPr>
        <w:t xml:space="preserve">. Event management consists of different activities where processes are implemented and managed. In the planning stage, the points to be discussed are budget, </w:t>
      </w:r>
      <w:r w:rsidR="001D616F" w:rsidRPr="00B6447E">
        <w:rPr>
          <w:rFonts w:ascii="Times New Roman" w:eastAsia="Arial MT" w:hAnsi="Times New Roman" w:cs="Arial MT"/>
          <w:kern w:val="0"/>
          <w:sz w:val="24"/>
          <w:lang w:val="en-US"/>
        </w:rPr>
        <w:t>audience,</w:t>
      </w:r>
      <w:r w:rsidRPr="00B6447E">
        <w:rPr>
          <w:rFonts w:ascii="Times New Roman" w:eastAsia="Arial MT" w:hAnsi="Times New Roman" w:cs="Arial MT"/>
          <w:kern w:val="0"/>
          <w:sz w:val="24"/>
          <w:lang w:val="en-US"/>
        </w:rPr>
        <w:t xml:space="preserve"> and necessary equipment and along with that, branding and marketing are also decided. </w:t>
      </w:r>
      <w:r w:rsidRPr="00B6447E">
        <w:rPr>
          <w:rFonts w:ascii="Times New Roman" w:eastAsia="Arial MT" w:hAnsi="Times New Roman" w:cs="Arial MT"/>
          <w:kern w:val="0"/>
          <w:sz w:val="24"/>
        </w:rPr>
        <w:t>The aim of the conference will be met through different objectives where the concept of eco-hotel, awareness of sustainability in the hospitality sector and challenges and solutions will be discussed.</w:t>
      </w:r>
      <w:r w:rsidRPr="00B6447E">
        <w:rPr>
          <w:rFonts w:ascii="Times New Roman" w:eastAsia="Arial MT" w:hAnsi="Times New Roman" w:cs="Arial MT"/>
          <w:kern w:val="0"/>
          <w:sz w:val="24"/>
          <w:lang w:val="en-US"/>
        </w:rPr>
        <w:t xml:space="preserve"> The conference will take place on a Sunday in the </w:t>
      </w:r>
      <w:r w:rsidRPr="00B6447E">
        <w:rPr>
          <w:rFonts w:ascii="Times New Roman" w:eastAsia="Arial MT" w:hAnsi="Times New Roman" w:cs="Arial MT"/>
          <w:kern w:val="0"/>
          <w:sz w:val="24"/>
        </w:rPr>
        <w:t>Millenium Conference Centre in Harrington’s Garden, London</w:t>
      </w:r>
      <w:r w:rsidRPr="00B6447E">
        <w:rPr>
          <w:rFonts w:ascii="Times New Roman" w:eastAsia="Arial MT" w:hAnsi="Times New Roman" w:cs="Arial MT"/>
          <w:kern w:val="0"/>
          <w:sz w:val="24"/>
          <w:lang w:val="en-US"/>
        </w:rPr>
        <w:t xml:space="preserve">, where the </w:t>
      </w:r>
      <w:r w:rsidRPr="00B6447E">
        <w:rPr>
          <w:rFonts w:ascii="Times New Roman" w:eastAsia="Arial MT" w:hAnsi="Times New Roman" w:cs="Arial MT"/>
          <w:kern w:val="0"/>
          <w:sz w:val="24"/>
        </w:rPr>
        <w:t>target audience will be mainly business executives and owners</w:t>
      </w:r>
      <w:r w:rsidRPr="00B6447E">
        <w:rPr>
          <w:rFonts w:ascii="Times New Roman" w:eastAsia="Arial MT" w:hAnsi="Times New Roman" w:cs="Arial MT"/>
          <w:kern w:val="0"/>
          <w:sz w:val="24"/>
          <w:lang w:val="en-US"/>
        </w:rPr>
        <w:t>.</w:t>
      </w:r>
    </w:p>
    <w:p w14:paraId="50A4F643" w14:textId="15514A1E" w:rsidR="00B6447E" w:rsidRPr="00B6447E" w:rsidRDefault="009F5735"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9F5735">
        <w:rPr>
          <w:rFonts w:ascii="Times New Roman" w:eastAsia="Arial MT" w:hAnsi="Times New Roman" w:cs="Arial MT"/>
          <w:kern w:val="0"/>
          <w:sz w:val="24"/>
        </w:rPr>
        <w:t xml:space="preserve">The event cycle comprises several stages, including operational planning, strategic planning, operational readiness, event delivery, and event closure. </w:t>
      </w:r>
      <w:r w:rsidR="00B6447E" w:rsidRPr="00B6447E">
        <w:rPr>
          <w:rFonts w:ascii="Times New Roman" w:eastAsia="Arial MT" w:hAnsi="Times New Roman" w:cs="Arial MT"/>
          <w:kern w:val="0"/>
          <w:sz w:val="24"/>
          <w:lang w:val="en-US"/>
        </w:rPr>
        <w:t>The event cycle starts with planning everything, then monitoring and controlling activities on the day and then obtaining feedback on the last day before closure. The objectives of this event are to understand the concept, raise awareness and discuss the challenges and solutions for eco-</w:t>
      </w:r>
      <w:r w:rsidR="001D616F" w:rsidRPr="00B6447E">
        <w:rPr>
          <w:rFonts w:ascii="Times New Roman" w:eastAsia="Arial MT" w:hAnsi="Times New Roman" w:cs="Arial MT"/>
          <w:kern w:val="0"/>
          <w:sz w:val="24"/>
          <w:lang w:val="en-US"/>
        </w:rPr>
        <w:t>hotels</w:t>
      </w:r>
      <w:r w:rsidR="00B6447E" w:rsidRPr="00B6447E">
        <w:rPr>
          <w:rFonts w:ascii="Times New Roman" w:eastAsia="Arial MT" w:hAnsi="Times New Roman" w:cs="Arial MT"/>
          <w:kern w:val="0"/>
          <w:sz w:val="24"/>
          <w:lang w:val="en-US"/>
        </w:rPr>
        <w:t xml:space="preserve">. </w:t>
      </w:r>
      <w:r w:rsidR="00B6447E" w:rsidRPr="00B6447E">
        <w:rPr>
          <w:rFonts w:ascii="Times New Roman" w:eastAsia="Arial MT" w:hAnsi="Times New Roman" w:cs="Arial MT"/>
          <w:kern w:val="0"/>
          <w:sz w:val="24"/>
        </w:rPr>
        <w:t xml:space="preserve">Some of the common skills required are communication, financing, time management, problem-solving, decision-making, </w:t>
      </w:r>
      <w:r w:rsidR="001D616F" w:rsidRPr="00B6447E">
        <w:rPr>
          <w:rFonts w:ascii="Times New Roman" w:eastAsia="Arial MT" w:hAnsi="Times New Roman" w:cs="Arial MT"/>
          <w:kern w:val="0"/>
          <w:sz w:val="24"/>
        </w:rPr>
        <w:t>flexibility,</w:t>
      </w:r>
      <w:r w:rsidR="00B6447E" w:rsidRPr="00B6447E">
        <w:rPr>
          <w:rFonts w:ascii="Times New Roman" w:eastAsia="Arial MT" w:hAnsi="Times New Roman" w:cs="Arial MT"/>
          <w:kern w:val="0"/>
          <w:sz w:val="24"/>
        </w:rPr>
        <w:t xml:space="preserve"> and organisational skills</w:t>
      </w:r>
      <w:r w:rsidR="00B6447E" w:rsidRPr="00B6447E">
        <w:rPr>
          <w:rFonts w:ascii="Times New Roman" w:eastAsia="Arial MT" w:hAnsi="Times New Roman" w:cs="Arial MT"/>
          <w:kern w:val="0"/>
          <w:sz w:val="24"/>
          <w:lang w:val="en-US"/>
        </w:rPr>
        <w:t xml:space="preserve">, while the resources are, </w:t>
      </w:r>
      <w:r w:rsidR="00B6447E" w:rsidRPr="00B6447E">
        <w:rPr>
          <w:rFonts w:ascii="Times New Roman" w:eastAsia="Arial MT" w:hAnsi="Times New Roman" w:cs="Arial MT"/>
          <w:kern w:val="0"/>
          <w:sz w:val="24"/>
        </w:rPr>
        <w:t>venue, budget, Wi-Fi, bathrooms, speakers, sponsors, marketing and advertising, caterer</w:t>
      </w:r>
      <w:r w:rsidR="00B6447E" w:rsidRPr="00B6447E">
        <w:rPr>
          <w:rFonts w:ascii="Times New Roman" w:eastAsia="Arial MT" w:hAnsi="Times New Roman" w:cs="Arial MT"/>
          <w:kern w:val="0"/>
          <w:sz w:val="24"/>
          <w:lang w:val="en-US"/>
        </w:rPr>
        <w:t xml:space="preserve"> and more. This conference is in alignment with certain trends in the event industry like sustainability and health and wellness. </w:t>
      </w:r>
      <w:r w:rsidR="00B6447E" w:rsidRPr="00B6447E">
        <w:rPr>
          <w:rFonts w:ascii="Times New Roman" w:eastAsia="Arial MT" w:hAnsi="Times New Roman" w:cs="Arial MT"/>
          <w:kern w:val="0"/>
          <w:sz w:val="24"/>
        </w:rPr>
        <w:br w:type="page"/>
      </w:r>
    </w:p>
    <w:p w14:paraId="63884E77" w14:textId="77777777" w:rsidR="00B6447E" w:rsidRPr="00B6447E" w:rsidRDefault="00B6447E" w:rsidP="00B6447E">
      <w:pPr>
        <w:widowControl w:val="0"/>
        <w:autoSpaceDE w:val="0"/>
        <w:autoSpaceDN w:val="0"/>
        <w:spacing w:before="120" w:after="120" w:line="360" w:lineRule="auto"/>
        <w:jc w:val="both"/>
        <w:outlineLvl w:val="0"/>
        <w:rPr>
          <w:rFonts w:ascii="Times New Roman" w:eastAsia="Arial" w:hAnsi="Times New Roman" w:cs="Arial"/>
          <w:b/>
          <w:bCs/>
          <w:kern w:val="0"/>
          <w:sz w:val="24"/>
        </w:rPr>
      </w:pPr>
      <w:bookmarkStart w:id="11" w:name="_Toc157093079"/>
      <w:r w:rsidRPr="00B6447E">
        <w:rPr>
          <w:rFonts w:ascii="Times New Roman" w:eastAsia="Arial" w:hAnsi="Times New Roman" w:cs="Arial"/>
          <w:b/>
          <w:bCs/>
          <w:kern w:val="0"/>
          <w:sz w:val="24"/>
        </w:rPr>
        <w:lastRenderedPageBreak/>
        <w:t>Reference List</w:t>
      </w:r>
      <w:bookmarkEnd w:id="11"/>
    </w:p>
    <w:p w14:paraId="7F371B2B"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hd w:val="clear" w:color="auto" w:fill="FFFFFF"/>
          <w:lang w:val="en-US"/>
        </w:rPr>
      </w:pPr>
      <w:r w:rsidRPr="00B6447E">
        <w:rPr>
          <w:rFonts w:ascii="Times New Roman" w:eastAsia="Arial MT" w:hAnsi="Times New Roman" w:cs="Arial MT"/>
          <w:kern w:val="0"/>
          <w:sz w:val="24"/>
          <w:shd w:val="clear" w:color="auto" w:fill="FFFFFF"/>
          <w:lang w:val="en-US"/>
        </w:rPr>
        <w:t xml:space="preserve">Bashir, U., </w:t>
      </w:r>
      <w:proofErr w:type="spellStart"/>
      <w:r w:rsidRPr="00B6447E">
        <w:rPr>
          <w:rFonts w:ascii="Times New Roman" w:eastAsia="Arial MT" w:hAnsi="Times New Roman" w:cs="Arial MT"/>
          <w:kern w:val="0"/>
          <w:sz w:val="24"/>
          <w:shd w:val="clear" w:color="auto" w:fill="FFFFFF"/>
          <w:lang w:val="en-US"/>
        </w:rPr>
        <w:t>Yugang</w:t>
      </w:r>
      <w:proofErr w:type="spellEnd"/>
      <w:r w:rsidRPr="00B6447E">
        <w:rPr>
          <w:rFonts w:ascii="Times New Roman" w:eastAsia="Arial MT" w:hAnsi="Times New Roman" w:cs="Arial MT"/>
          <w:kern w:val="0"/>
          <w:sz w:val="24"/>
          <w:shd w:val="clear" w:color="auto" w:fill="FFFFFF"/>
          <w:lang w:val="en-US"/>
        </w:rPr>
        <w:t>, Y. and Hussain, M. (2020) Role of bank heterogeneity and market structure in transmitting monetary policy via bank lending channel: empirical evidence from Chinese banking sector. </w:t>
      </w:r>
      <w:r w:rsidRPr="00B6447E">
        <w:rPr>
          <w:rFonts w:ascii="Times New Roman" w:eastAsia="Arial MT" w:hAnsi="Times New Roman" w:cs="Arial MT"/>
          <w:i/>
          <w:iCs/>
          <w:kern w:val="0"/>
          <w:sz w:val="24"/>
          <w:shd w:val="clear" w:color="auto" w:fill="FFFFFF"/>
          <w:lang w:val="en-US"/>
        </w:rPr>
        <w:t>Post-Communist Economies</w:t>
      </w:r>
      <w:r w:rsidRPr="00B6447E">
        <w:rPr>
          <w:rFonts w:ascii="Times New Roman" w:eastAsia="Arial MT" w:hAnsi="Times New Roman" w:cs="Arial MT"/>
          <w:kern w:val="0"/>
          <w:sz w:val="24"/>
          <w:shd w:val="clear" w:color="auto" w:fill="FFFFFF"/>
          <w:lang w:val="en-US"/>
        </w:rPr>
        <w:t>, </w:t>
      </w:r>
      <w:r w:rsidRPr="00B6447E">
        <w:rPr>
          <w:rFonts w:ascii="Times New Roman" w:eastAsia="Arial MT" w:hAnsi="Times New Roman" w:cs="Arial MT"/>
          <w:i/>
          <w:iCs/>
          <w:kern w:val="0"/>
          <w:sz w:val="24"/>
          <w:shd w:val="clear" w:color="auto" w:fill="FFFFFF"/>
          <w:lang w:val="en-US"/>
        </w:rPr>
        <w:t>32</w:t>
      </w:r>
      <w:r w:rsidRPr="00B6447E">
        <w:rPr>
          <w:rFonts w:ascii="Times New Roman" w:eastAsia="Arial MT" w:hAnsi="Times New Roman" w:cs="Arial MT"/>
          <w:kern w:val="0"/>
          <w:sz w:val="24"/>
          <w:shd w:val="clear" w:color="auto" w:fill="FFFFFF"/>
          <w:lang w:val="en-US"/>
        </w:rPr>
        <w:t xml:space="preserve">(8), pp.1038-1061. </w:t>
      </w:r>
      <w:hyperlink r:id="rId15" w:history="1">
        <w:r w:rsidRPr="00B6447E">
          <w:rPr>
            <w:rFonts w:ascii="Times New Roman" w:eastAsia="Arial MT" w:hAnsi="Times New Roman" w:cs="Arial MT"/>
            <w:color w:val="0563C1"/>
            <w:kern w:val="0"/>
            <w:sz w:val="24"/>
            <w:u w:val="single"/>
            <w:shd w:val="clear" w:color="auto" w:fill="FFFFFF"/>
            <w:lang w:val="en-US"/>
          </w:rPr>
          <w:t>https://doi.org/10.1080/14631377.2019.1705082</w:t>
        </w:r>
      </w:hyperlink>
    </w:p>
    <w:p w14:paraId="001A4F10"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lang w:val="en-US"/>
        </w:rPr>
        <w:t xml:space="preserve">Berglund, T., Gericke, N., Boeve-de Pauw, J., Olsson, </w:t>
      </w:r>
      <w:proofErr w:type="gramStart"/>
      <w:r w:rsidRPr="00B6447E">
        <w:rPr>
          <w:rFonts w:ascii="Times New Roman" w:eastAsia="Arial MT" w:hAnsi="Times New Roman" w:cs="Arial MT"/>
          <w:kern w:val="0"/>
          <w:sz w:val="24"/>
          <w:lang w:val="en-US"/>
        </w:rPr>
        <w:t>D.</w:t>
      </w:r>
      <w:proofErr w:type="gramEnd"/>
      <w:r w:rsidRPr="00B6447E">
        <w:rPr>
          <w:rFonts w:ascii="Times New Roman" w:eastAsia="Arial MT" w:hAnsi="Times New Roman" w:cs="Arial MT"/>
          <w:kern w:val="0"/>
          <w:sz w:val="24"/>
          <w:lang w:val="en-US"/>
        </w:rPr>
        <w:t xml:space="preserve"> and Chang, T.C. (2020) A cross-cultural comparative study of sustainability consciousness between students in Taiwan and Sweden. </w:t>
      </w:r>
      <w:r w:rsidRPr="00B6447E">
        <w:rPr>
          <w:rFonts w:ascii="Times New Roman" w:eastAsia="Arial MT" w:hAnsi="Times New Roman" w:cs="Arial MT"/>
          <w:i/>
          <w:iCs/>
          <w:kern w:val="0"/>
          <w:sz w:val="24"/>
          <w:lang w:val="en-US"/>
        </w:rPr>
        <w:t>Environment, Development and Sustainability</w:t>
      </w:r>
      <w:r w:rsidRPr="00B6447E">
        <w:rPr>
          <w:rFonts w:ascii="Times New Roman" w:eastAsia="Arial MT" w:hAnsi="Times New Roman" w:cs="Arial MT"/>
          <w:kern w:val="0"/>
          <w:sz w:val="24"/>
          <w:lang w:val="en-US"/>
        </w:rPr>
        <w:t>, 22, pp.6287-6313. DOI: https://doi.org/10.1007/s10668-019-00478-2</w:t>
      </w:r>
    </w:p>
    <w:p w14:paraId="0C57D7D5"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lang w:val="en-US"/>
        </w:rPr>
        <w:t>Bladen, C., Kennell, J., Abson, E. and Wilde, N. (2022) </w:t>
      </w:r>
      <w:r w:rsidRPr="00B6447E">
        <w:rPr>
          <w:rFonts w:ascii="Times New Roman" w:eastAsia="Arial MT" w:hAnsi="Times New Roman" w:cs="Arial MT"/>
          <w:i/>
          <w:iCs/>
          <w:kern w:val="0"/>
          <w:sz w:val="24"/>
          <w:lang w:val="en-US"/>
        </w:rPr>
        <w:t>Events management: An introduction</w:t>
      </w:r>
      <w:r w:rsidRPr="00B6447E">
        <w:rPr>
          <w:rFonts w:ascii="Times New Roman" w:eastAsia="Arial MT" w:hAnsi="Times New Roman" w:cs="Arial MT"/>
          <w:kern w:val="0"/>
          <w:sz w:val="24"/>
          <w:lang w:val="en-US"/>
        </w:rPr>
        <w:t>. Taylor &amp; Francis.</w:t>
      </w:r>
    </w:p>
    <w:p w14:paraId="20FFB0A4"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Bose, I. (2023) </w:t>
      </w:r>
      <w:r w:rsidRPr="00B6447E">
        <w:rPr>
          <w:rFonts w:ascii="Times New Roman" w:eastAsia="Arial MT" w:hAnsi="Times New Roman" w:cs="Arial MT"/>
          <w:i/>
          <w:iCs/>
          <w:kern w:val="0"/>
          <w:sz w:val="24"/>
        </w:rPr>
        <w:t>Event Branding 101: The 2023 Guide to Creating a Strong, Memorable Identity</w:t>
      </w:r>
      <w:r w:rsidRPr="00B6447E">
        <w:rPr>
          <w:rFonts w:ascii="Times New Roman" w:eastAsia="Arial MT" w:hAnsi="Times New Roman" w:cs="Arial MT"/>
          <w:kern w:val="0"/>
          <w:sz w:val="24"/>
        </w:rPr>
        <w:t>. Available at: https://www.eventible.com/learning/event-branding/ (Accessed: 25 January 2024).</w:t>
      </w:r>
    </w:p>
    <w:p w14:paraId="0C285685"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Bridges, J. (2023) </w:t>
      </w:r>
      <w:r w:rsidRPr="00B6447E">
        <w:rPr>
          <w:rFonts w:ascii="Times New Roman" w:eastAsia="Arial MT" w:hAnsi="Times New Roman" w:cs="Arial MT"/>
          <w:i/>
          <w:iCs/>
          <w:kern w:val="0"/>
          <w:sz w:val="24"/>
        </w:rPr>
        <w:t>How to Plan an Event: Event Planning Steps, Tips &amp; Checklist</w:t>
      </w:r>
      <w:r w:rsidRPr="00B6447E">
        <w:rPr>
          <w:rFonts w:ascii="Times New Roman" w:eastAsia="Arial MT" w:hAnsi="Times New Roman" w:cs="Arial MT"/>
          <w:kern w:val="0"/>
          <w:sz w:val="24"/>
        </w:rPr>
        <w:t>. Available at: https://www.projectmanager.com/training/how-to-plan-an-event (Accessed: 25 January 2024).</w:t>
      </w:r>
    </w:p>
    <w:p w14:paraId="028BD378"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Cole, B.M. (2020) </w:t>
      </w:r>
      <w:r w:rsidRPr="00B6447E">
        <w:rPr>
          <w:rFonts w:ascii="Times New Roman" w:eastAsia="Arial MT" w:hAnsi="Times New Roman" w:cs="Arial MT"/>
          <w:i/>
          <w:iCs/>
          <w:kern w:val="0"/>
          <w:sz w:val="24"/>
        </w:rPr>
        <w:t xml:space="preserve">8 Reasons Why Diversity </w:t>
      </w:r>
      <w:proofErr w:type="gramStart"/>
      <w:r w:rsidRPr="00B6447E">
        <w:rPr>
          <w:rFonts w:ascii="Times New Roman" w:eastAsia="Arial MT" w:hAnsi="Times New Roman" w:cs="Arial MT"/>
          <w:i/>
          <w:iCs/>
          <w:kern w:val="0"/>
          <w:sz w:val="24"/>
        </w:rPr>
        <w:t>And</w:t>
      </w:r>
      <w:proofErr w:type="gramEnd"/>
      <w:r w:rsidRPr="00B6447E">
        <w:rPr>
          <w:rFonts w:ascii="Times New Roman" w:eastAsia="Arial MT" w:hAnsi="Times New Roman" w:cs="Arial MT"/>
          <w:i/>
          <w:iCs/>
          <w:kern w:val="0"/>
          <w:sz w:val="24"/>
        </w:rPr>
        <w:t xml:space="preserve"> Inclusion Are Essential To Business Success</w:t>
      </w:r>
      <w:r w:rsidRPr="00B6447E">
        <w:rPr>
          <w:rFonts w:ascii="Times New Roman" w:eastAsia="Arial MT" w:hAnsi="Times New Roman" w:cs="Arial MT"/>
          <w:kern w:val="0"/>
          <w:sz w:val="24"/>
        </w:rPr>
        <w:t>. Available at: https://www.forbes.com/sites/biancamillercole/2020/09/15/8-reasons-why-diversity-and-inclusion-are-essential-to-business-success/?sh=2223283d1824 (Accessed: 25 January 2024).</w:t>
      </w:r>
    </w:p>
    <w:p w14:paraId="493C65B1"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lang w:val="en-US"/>
        </w:rPr>
      </w:pPr>
      <w:r w:rsidRPr="00B6447E">
        <w:rPr>
          <w:rFonts w:ascii="Times New Roman" w:eastAsia="Arial MT" w:hAnsi="Times New Roman" w:cs="Arial MT"/>
          <w:kern w:val="0"/>
          <w:sz w:val="24"/>
          <w:shd w:val="clear" w:color="auto" w:fill="FFFFFF"/>
          <w:lang w:val="en-US"/>
        </w:rPr>
        <w:t>Cornwell, T.B. and Kwon, Y. (2020) Sponsorship-linked marketing: Research surpluses and shortages. </w:t>
      </w:r>
      <w:r w:rsidRPr="00B6447E">
        <w:rPr>
          <w:rFonts w:ascii="Times New Roman" w:eastAsia="Arial MT" w:hAnsi="Times New Roman" w:cs="Arial MT"/>
          <w:i/>
          <w:iCs/>
          <w:kern w:val="0"/>
          <w:sz w:val="24"/>
          <w:shd w:val="clear" w:color="auto" w:fill="FFFFFF"/>
          <w:lang w:val="en-US"/>
        </w:rPr>
        <w:t>Journal of the Academy of Marketing Science</w:t>
      </w:r>
      <w:r w:rsidRPr="00B6447E">
        <w:rPr>
          <w:rFonts w:ascii="Times New Roman" w:eastAsia="Arial MT" w:hAnsi="Times New Roman" w:cs="Arial MT"/>
          <w:kern w:val="0"/>
          <w:sz w:val="24"/>
          <w:shd w:val="clear" w:color="auto" w:fill="FFFFFF"/>
          <w:lang w:val="en-US"/>
        </w:rPr>
        <w:t>, </w:t>
      </w:r>
      <w:r w:rsidRPr="00B6447E">
        <w:rPr>
          <w:rFonts w:ascii="Times New Roman" w:eastAsia="Arial MT" w:hAnsi="Times New Roman" w:cs="Arial MT"/>
          <w:i/>
          <w:iCs/>
          <w:kern w:val="0"/>
          <w:sz w:val="24"/>
          <w:shd w:val="clear" w:color="auto" w:fill="FFFFFF"/>
          <w:lang w:val="en-US"/>
        </w:rPr>
        <w:t>48</w:t>
      </w:r>
      <w:r w:rsidRPr="00B6447E">
        <w:rPr>
          <w:rFonts w:ascii="Times New Roman" w:eastAsia="Arial MT" w:hAnsi="Times New Roman" w:cs="Arial MT"/>
          <w:kern w:val="0"/>
          <w:sz w:val="24"/>
          <w:shd w:val="clear" w:color="auto" w:fill="FFFFFF"/>
          <w:lang w:val="en-US"/>
        </w:rPr>
        <w:t>, pp.607-629. https://doi.org/10.1007/s11747-019-00654-w</w:t>
      </w:r>
    </w:p>
    <w:p w14:paraId="2D161740"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shd w:val="clear" w:color="auto" w:fill="FFFFFF"/>
          <w:lang w:val="en-US"/>
        </w:rPr>
      </w:pPr>
      <w:r w:rsidRPr="00B6447E">
        <w:rPr>
          <w:rFonts w:ascii="Times New Roman" w:eastAsia="Arial MT" w:hAnsi="Times New Roman" w:cs="Arial MT"/>
          <w:kern w:val="0"/>
          <w:sz w:val="24"/>
          <w:shd w:val="clear" w:color="auto" w:fill="FFFFFF"/>
          <w:lang w:val="en-US"/>
        </w:rPr>
        <w:t>Dinh, T. and Schultze, W. (2022) Accounting for R&amp;D on the income statement? Evidence on non-discretionary vs. discretionary R&amp;D capitalization under IFRS in Germany. </w:t>
      </w:r>
      <w:r w:rsidRPr="00B6447E">
        <w:rPr>
          <w:rFonts w:ascii="Times New Roman" w:eastAsia="Arial MT" w:hAnsi="Times New Roman" w:cs="Arial MT"/>
          <w:i/>
          <w:iCs/>
          <w:kern w:val="0"/>
          <w:sz w:val="24"/>
          <w:shd w:val="clear" w:color="auto" w:fill="FFFFFF"/>
          <w:lang w:val="en-US"/>
        </w:rPr>
        <w:t>Journal of International Accounting, Auditing and Taxation</w:t>
      </w:r>
      <w:r w:rsidRPr="00B6447E">
        <w:rPr>
          <w:rFonts w:ascii="Times New Roman" w:eastAsia="Arial MT" w:hAnsi="Times New Roman" w:cs="Arial MT"/>
          <w:kern w:val="0"/>
          <w:sz w:val="24"/>
          <w:shd w:val="clear" w:color="auto" w:fill="FFFFFF"/>
          <w:lang w:val="en-US"/>
        </w:rPr>
        <w:t>, </w:t>
      </w:r>
      <w:r w:rsidRPr="00B6447E">
        <w:rPr>
          <w:rFonts w:ascii="Times New Roman" w:eastAsia="Arial MT" w:hAnsi="Times New Roman" w:cs="Arial MT"/>
          <w:i/>
          <w:iCs/>
          <w:kern w:val="0"/>
          <w:sz w:val="24"/>
          <w:shd w:val="clear" w:color="auto" w:fill="FFFFFF"/>
          <w:lang w:val="en-US"/>
        </w:rPr>
        <w:t>46</w:t>
      </w:r>
      <w:r w:rsidRPr="00B6447E">
        <w:rPr>
          <w:rFonts w:ascii="Times New Roman" w:eastAsia="Arial MT" w:hAnsi="Times New Roman" w:cs="Arial MT"/>
          <w:kern w:val="0"/>
          <w:sz w:val="24"/>
          <w:shd w:val="clear" w:color="auto" w:fill="FFFFFF"/>
          <w:lang w:val="en-US"/>
        </w:rPr>
        <w:t xml:space="preserve">, p.100446. </w:t>
      </w:r>
      <w:hyperlink r:id="rId16" w:history="1">
        <w:r w:rsidRPr="00B6447E">
          <w:rPr>
            <w:rFonts w:ascii="Times New Roman" w:eastAsia="Arial MT" w:hAnsi="Times New Roman" w:cs="Arial MT"/>
            <w:color w:val="0563C1"/>
            <w:kern w:val="0"/>
            <w:sz w:val="24"/>
            <w:u w:val="single"/>
            <w:shd w:val="clear" w:color="auto" w:fill="FFFFFF"/>
            <w:lang w:val="en-US"/>
          </w:rPr>
          <w:t>https://doi.org/10.1016/j.intaccaudtax.2022.100446</w:t>
        </w:r>
      </w:hyperlink>
      <w:r w:rsidRPr="00B6447E">
        <w:rPr>
          <w:rFonts w:ascii="Times New Roman" w:eastAsia="Arial MT" w:hAnsi="Times New Roman" w:cs="Arial MT"/>
          <w:kern w:val="0"/>
          <w:sz w:val="24"/>
          <w:shd w:val="clear" w:color="auto" w:fill="FFFFFF"/>
          <w:lang w:val="en-US"/>
        </w:rPr>
        <w:t xml:space="preserve"> </w:t>
      </w:r>
    </w:p>
    <w:p w14:paraId="4386C02D"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szCs w:val="24"/>
        </w:rPr>
        <w:t>Do Good People</w:t>
      </w:r>
      <w:r w:rsidRPr="00B6447E">
        <w:rPr>
          <w:rFonts w:ascii="Times New Roman" w:eastAsia="Arial MT" w:hAnsi="Times New Roman" w:cs="Arial MT"/>
          <w:kern w:val="0"/>
          <w:sz w:val="24"/>
        </w:rPr>
        <w:t xml:space="preserve"> (2023) </w:t>
      </w:r>
      <w:r w:rsidRPr="00B6447E">
        <w:rPr>
          <w:rFonts w:ascii="Times New Roman" w:eastAsia="Arial MT" w:hAnsi="Times New Roman" w:cs="Arial MT"/>
          <w:i/>
          <w:iCs/>
          <w:kern w:val="0"/>
          <w:sz w:val="24"/>
        </w:rPr>
        <w:t>The benefits of raising environmental awareness</w:t>
      </w:r>
      <w:r w:rsidRPr="00B6447E">
        <w:rPr>
          <w:rFonts w:ascii="Times New Roman" w:eastAsia="Arial MT" w:hAnsi="Times New Roman" w:cs="Arial MT"/>
          <w:kern w:val="0"/>
          <w:sz w:val="24"/>
        </w:rPr>
        <w:t>. Available at: https://www.dogoodpeople.com/csr-trends/sustainability-culture/the-benefits-of-raising-environmental-</w:t>
      </w:r>
      <w:r w:rsidRPr="00B6447E">
        <w:rPr>
          <w:rFonts w:ascii="Times New Roman" w:eastAsia="Arial MT" w:hAnsi="Times New Roman" w:cs="Arial MT"/>
          <w:kern w:val="0"/>
          <w:sz w:val="24"/>
        </w:rPr>
        <w:lastRenderedPageBreak/>
        <w:t>awareness/#:~:text=It%20is%20important%20to%20understand,a%20dynamic%20and%20positive%20manner. (Accessed: 25 January 2024).</w:t>
      </w:r>
    </w:p>
    <w:p w14:paraId="23875498"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Ecotourism World (2023) </w:t>
      </w:r>
      <w:r w:rsidRPr="00B6447E">
        <w:rPr>
          <w:rFonts w:ascii="Times New Roman" w:eastAsia="Arial MT" w:hAnsi="Times New Roman" w:cs="Arial MT"/>
          <w:i/>
          <w:iCs/>
          <w:kern w:val="0"/>
          <w:sz w:val="24"/>
        </w:rPr>
        <w:t>7 Features of Eco-Friendly Hotels</w:t>
      </w:r>
      <w:r w:rsidRPr="00B6447E">
        <w:rPr>
          <w:rFonts w:ascii="Times New Roman" w:eastAsia="Arial MT" w:hAnsi="Times New Roman" w:cs="Arial MT"/>
          <w:kern w:val="0"/>
          <w:sz w:val="24"/>
        </w:rPr>
        <w:t>. Available at: https://ecotourism-world.com/7-features-of-eco-friendly-hotels/ (Accessed: 25 January 2024).</w:t>
      </w:r>
    </w:p>
    <w:p w14:paraId="19C50152"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Event Planning Group (2022) </w:t>
      </w:r>
      <w:r w:rsidRPr="00B6447E">
        <w:rPr>
          <w:rFonts w:ascii="Times New Roman" w:eastAsia="Arial MT" w:hAnsi="Times New Roman" w:cs="Arial MT"/>
          <w:i/>
          <w:iCs/>
          <w:kern w:val="0"/>
          <w:sz w:val="24"/>
        </w:rPr>
        <w:t>THE EVENT LIFECYCLE</w:t>
      </w:r>
      <w:r w:rsidRPr="00B6447E">
        <w:rPr>
          <w:rFonts w:ascii="Times New Roman" w:eastAsia="Arial MT" w:hAnsi="Times New Roman" w:cs="Arial MT"/>
          <w:kern w:val="0"/>
          <w:sz w:val="24"/>
        </w:rPr>
        <w:t>. Available at:</w:t>
      </w:r>
      <w:r w:rsidRPr="00B6447E">
        <w:rPr>
          <w:rFonts w:ascii="Times New Roman" w:eastAsia="Arial MT" w:hAnsi="Times New Roman" w:cs="Arial MT"/>
          <w:kern w:val="0"/>
          <w:sz w:val="24"/>
          <w:lang w:val="en-US"/>
        </w:rPr>
        <w:t xml:space="preserve"> </w:t>
      </w:r>
      <w:r w:rsidRPr="00B6447E">
        <w:rPr>
          <w:rFonts w:ascii="Times New Roman" w:eastAsia="Arial MT" w:hAnsi="Times New Roman" w:cs="Arial MT"/>
          <w:kern w:val="0"/>
          <w:sz w:val="24"/>
        </w:rPr>
        <w:t>https://www.eventplanninggroup.com/event-lifecycle (Accessed: 25 January 2024).</w:t>
      </w:r>
    </w:p>
    <w:p w14:paraId="35D05FCF"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MENTORIFI STAFF (2022) </w:t>
      </w:r>
      <w:r w:rsidRPr="00B6447E">
        <w:rPr>
          <w:rFonts w:ascii="Times New Roman" w:eastAsia="Arial MT" w:hAnsi="Times New Roman" w:cs="Arial MT"/>
          <w:i/>
          <w:iCs/>
          <w:kern w:val="0"/>
          <w:sz w:val="24"/>
        </w:rPr>
        <w:t xml:space="preserve">Conference Feedback: Why Is It Important &amp; How </w:t>
      </w:r>
      <w:proofErr w:type="gramStart"/>
      <w:r w:rsidRPr="00B6447E">
        <w:rPr>
          <w:rFonts w:ascii="Times New Roman" w:eastAsia="Arial MT" w:hAnsi="Times New Roman" w:cs="Arial MT"/>
          <w:i/>
          <w:iCs/>
          <w:kern w:val="0"/>
          <w:sz w:val="24"/>
        </w:rPr>
        <w:t>To</w:t>
      </w:r>
      <w:proofErr w:type="gramEnd"/>
      <w:r w:rsidRPr="00B6447E">
        <w:rPr>
          <w:rFonts w:ascii="Times New Roman" w:eastAsia="Arial MT" w:hAnsi="Times New Roman" w:cs="Arial MT"/>
          <w:i/>
          <w:iCs/>
          <w:kern w:val="0"/>
          <w:sz w:val="24"/>
        </w:rPr>
        <w:t xml:space="preserve"> Collect It</w:t>
      </w:r>
      <w:r w:rsidRPr="00B6447E">
        <w:rPr>
          <w:rFonts w:ascii="Times New Roman" w:eastAsia="Arial MT" w:hAnsi="Times New Roman" w:cs="Arial MT"/>
          <w:kern w:val="0"/>
          <w:sz w:val="24"/>
        </w:rPr>
        <w:t>. Available at: https://www.eventible.com/learning/conference-feedback/#whether-an-event-was-successful-according (Accessed: 25 January 2024).</w:t>
      </w:r>
    </w:p>
    <w:p w14:paraId="15F86ACF"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Michalis, B. (2023) </w:t>
      </w:r>
      <w:r w:rsidRPr="00B6447E">
        <w:rPr>
          <w:rFonts w:ascii="Times New Roman" w:eastAsia="Arial MT" w:hAnsi="Times New Roman" w:cs="Arial MT"/>
          <w:i/>
          <w:iCs/>
          <w:kern w:val="0"/>
          <w:sz w:val="24"/>
        </w:rPr>
        <w:t>The Increasing Importance of Sustainability in Hotels</w:t>
      </w:r>
      <w:r w:rsidRPr="00B6447E">
        <w:rPr>
          <w:rFonts w:ascii="Times New Roman" w:eastAsia="Arial MT" w:hAnsi="Times New Roman" w:cs="Arial MT"/>
          <w:kern w:val="0"/>
          <w:sz w:val="24"/>
        </w:rPr>
        <w:t>. Available at: https://www.canarytechnologies.com/post/sustainability-in-hotels#:~:text=The%20Cost%2Dsaving%20Benefits%20of%20Sustainability,-%E2%80%8D&amp;text=Sustainability%20initiatives%E2%80%94like%20energy%20and,to%20cost%20savings%20for%20hotels.&amp;text=While%20some%20sustainable%20practices%20may,generate%20long%2Dterm%20financial%20benefits. (Accessed: 25 January 2024).</w:t>
      </w:r>
    </w:p>
    <w:p w14:paraId="76263C2C"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Myers, P. (2023) </w:t>
      </w:r>
      <w:r w:rsidRPr="00B6447E">
        <w:rPr>
          <w:rFonts w:ascii="Times New Roman" w:eastAsia="Arial MT" w:hAnsi="Times New Roman" w:cs="Arial MT"/>
          <w:i/>
          <w:iCs/>
          <w:kern w:val="0"/>
          <w:sz w:val="24"/>
        </w:rPr>
        <w:t xml:space="preserve">Top 2023 Event Trends You Should Know About—And </w:t>
      </w:r>
      <w:proofErr w:type="gramStart"/>
      <w:r w:rsidRPr="00B6447E">
        <w:rPr>
          <w:rFonts w:ascii="Times New Roman" w:eastAsia="Arial MT" w:hAnsi="Times New Roman" w:cs="Arial MT"/>
          <w:i/>
          <w:iCs/>
          <w:kern w:val="0"/>
          <w:sz w:val="24"/>
        </w:rPr>
        <w:t>Incorporate</w:t>
      </w:r>
      <w:proofErr w:type="gramEnd"/>
      <w:r w:rsidRPr="00B6447E">
        <w:rPr>
          <w:rFonts w:ascii="Times New Roman" w:eastAsia="Arial MT" w:hAnsi="Times New Roman" w:cs="Arial MT"/>
          <w:i/>
          <w:iCs/>
          <w:kern w:val="0"/>
          <w:sz w:val="24"/>
        </w:rPr>
        <w:t>—into Your Event Planning Strategies</w:t>
      </w:r>
      <w:r w:rsidRPr="00B6447E">
        <w:rPr>
          <w:rFonts w:ascii="Times New Roman" w:eastAsia="Arial MT" w:hAnsi="Times New Roman" w:cs="Arial MT"/>
          <w:kern w:val="0"/>
          <w:sz w:val="24"/>
        </w:rPr>
        <w:t>. Available at: https://www.thecastlegrp.com/event-trends-2023/ (Accessed: 25 January 2024).</w:t>
      </w:r>
    </w:p>
    <w:p w14:paraId="33DF4DEF"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Perfect Venue (2023) </w:t>
      </w:r>
      <w:r w:rsidRPr="00B6447E">
        <w:rPr>
          <w:rFonts w:ascii="Times New Roman" w:eastAsia="Arial MT" w:hAnsi="Times New Roman" w:cs="Arial MT"/>
          <w:i/>
          <w:iCs/>
          <w:kern w:val="0"/>
          <w:sz w:val="24"/>
        </w:rPr>
        <w:t>Top Event Management Skills Every Event Pro Should Have</w:t>
      </w:r>
      <w:r w:rsidRPr="00B6447E">
        <w:rPr>
          <w:rFonts w:ascii="Times New Roman" w:eastAsia="Arial MT" w:hAnsi="Times New Roman" w:cs="Arial MT"/>
          <w:kern w:val="0"/>
          <w:sz w:val="24"/>
        </w:rPr>
        <w:t>. Available at: https://www.perfectvenue.com/post/event-management-skills (Accessed: 25 January 2024).</w:t>
      </w:r>
    </w:p>
    <w:p w14:paraId="18BD9DAC"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Resource Centre (2019) </w:t>
      </w:r>
      <w:r w:rsidRPr="00B6447E">
        <w:rPr>
          <w:rFonts w:ascii="Times New Roman" w:eastAsia="Arial MT" w:hAnsi="Times New Roman" w:cs="Arial MT"/>
          <w:i/>
          <w:iCs/>
          <w:kern w:val="0"/>
          <w:sz w:val="24"/>
        </w:rPr>
        <w:t>Event planning checklist</w:t>
      </w:r>
      <w:r w:rsidRPr="00B6447E">
        <w:rPr>
          <w:rFonts w:ascii="Times New Roman" w:eastAsia="Arial MT" w:hAnsi="Times New Roman" w:cs="Arial MT"/>
          <w:kern w:val="0"/>
          <w:sz w:val="24"/>
        </w:rPr>
        <w:t>. Available at: https://www.resourcecentre.org.uk/information/event-planning-checklist/ (Accessed: 25 January 2024).</w:t>
      </w:r>
    </w:p>
    <w:p w14:paraId="3D568CC7"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Ronning, G. (2023) </w:t>
      </w:r>
      <w:r w:rsidRPr="00B6447E">
        <w:rPr>
          <w:rFonts w:ascii="Times New Roman" w:eastAsia="Arial MT" w:hAnsi="Times New Roman" w:cs="Arial MT"/>
          <w:i/>
          <w:iCs/>
          <w:kern w:val="0"/>
          <w:sz w:val="24"/>
        </w:rPr>
        <w:t xml:space="preserve">12 Tips to Engage Your Webinar Audience </w:t>
      </w:r>
      <w:proofErr w:type="gramStart"/>
      <w:r w:rsidRPr="00B6447E">
        <w:rPr>
          <w:rFonts w:ascii="Times New Roman" w:eastAsia="Arial MT" w:hAnsi="Times New Roman" w:cs="Arial MT"/>
          <w:i/>
          <w:iCs/>
          <w:kern w:val="0"/>
          <w:sz w:val="24"/>
        </w:rPr>
        <w:t>From</w:t>
      </w:r>
      <w:proofErr w:type="gramEnd"/>
      <w:r w:rsidRPr="00B6447E">
        <w:rPr>
          <w:rFonts w:ascii="Times New Roman" w:eastAsia="Arial MT" w:hAnsi="Times New Roman" w:cs="Arial MT"/>
          <w:i/>
          <w:iCs/>
          <w:kern w:val="0"/>
          <w:sz w:val="24"/>
        </w:rPr>
        <w:t xml:space="preserve"> the Start (+ Welcome Speech for Conference Examples)</w:t>
      </w:r>
      <w:r w:rsidRPr="00B6447E">
        <w:rPr>
          <w:rFonts w:ascii="Times New Roman" w:eastAsia="Arial MT" w:hAnsi="Times New Roman" w:cs="Arial MT"/>
          <w:kern w:val="0"/>
          <w:sz w:val="24"/>
        </w:rPr>
        <w:t>. Available at: https://stealthseminar.com/12-tips-to-engage-your-webinar-audience-from-the-start-welcome-speech-for-webinar-sample/ (Accessed: 25 January 2024).</w:t>
      </w:r>
    </w:p>
    <w:p w14:paraId="3C637819"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Tow, H. (2019) </w:t>
      </w:r>
      <w:r w:rsidRPr="00B6447E">
        <w:rPr>
          <w:rFonts w:ascii="Times New Roman" w:eastAsia="Arial MT" w:hAnsi="Times New Roman" w:cs="Arial MT"/>
          <w:i/>
          <w:iCs/>
          <w:kern w:val="0"/>
          <w:sz w:val="24"/>
        </w:rPr>
        <w:t>15 Essential Event Planning Skills You Need to Succeed</w:t>
      </w:r>
      <w:r w:rsidRPr="00B6447E">
        <w:rPr>
          <w:rFonts w:ascii="Times New Roman" w:eastAsia="Arial MT" w:hAnsi="Times New Roman" w:cs="Arial MT"/>
          <w:kern w:val="0"/>
          <w:sz w:val="24"/>
        </w:rPr>
        <w:t>. Available at: https://www.g2.com/articles/event-planning-skills (Accessed: 25 January 2024).</w:t>
      </w:r>
    </w:p>
    <w:p w14:paraId="4F032DB3"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Travel Perk (2023) </w:t>
      </w:r>
      <w:r w:rsidRPr="00B6447E">
        <w:rPr>
          <w:rFonts w:ascii="Times New Roman" w:eastAsia="Arial MT" w:hAnsi="Times New Roman" w:cs="Arial MT"/>
          <w:i/>
          <w:iCs/>
          <w:kern w:val="0"/>
          <w:sz w:val="24"/>
        </w:rPr>
        <w:t>An event manager’s guide to corporate event planning</w:t>
      </w:r>
      <w:r w:rsidRPr="00B6447E">
        <w:rPr>
          <w:rFonts w:ascii="Times New Roman" w:eastAsia="Arial MT" w:hAnsi="Times New Roman" w:cs="Arial MT"/>
          <w:kern w:val="0"/>
          <w:sz w:val="24"/>
        </w:rPr>
        <w:t xml:space="preserve">. Available at: </w:t>
      </w:r>
      <w:r w:rsidRPr="00B6447E">
        <w:rPr>
          <w:rFonts w:ascii="Times New Roman" w:eastAsia="Arial MT" w:hAnsi="Times New Roman" w:cs="Arial MT"/>
          <w:kern w:val="0"/>
          <w:sz w:val="24"/>
        </w:rPr>
        <w:lastRenderedPageBreak/>
        <w:t>https://www.travelperk.com/guides/corporate-event-management/event-manager-skills/ (Accessed: 25 January 2024).</w:t>
      </w:r>
    </w:p>
    <w:p w14:paraId="47FD04F8"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WP Event Manager (2023) </w:t>
      </w:r>
      <w:r w:rsidRPr="00B6447E">
        <w:rPr>
          <w:rFonts w:ascii="Times New Roman" w:eastAsia="Arial MT" w:hAnsi="Times New Roman" w:cs="Arial MT"/>
          <w:i/>
          <w:iCs/>
          <w:kern w:val="0"/>
          <w:sz w:val="24"/>
        </w:rPr>
        <w:t>5 New Trends in The Event Management Industry in 2023</w:t>
      </w:r>
      <w:r w:rsidRPr="00B6447E">
        <w:rPr>
          <w:rFonts w:ascii="Times New Roman" w:eastAsia="Arial MT" w:hAnsi="Times New Roman" w:cs="Arial MT"/>
          <w:kern w:val="0"/>
          <w:sz w:val="24"/>
        </w:rPr>
        <w:t>. Available at: https://wp-eventmanager.com/trends-in-event-management-industry-2023/#5_new_trends_in_the_event_management_industry_in_2023 (Accessed: 25 January 2024).</w:t>
      </w:r>
    </w:p>
    <w:p w14:paraId="50B468DF"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r w:rsidRPr="00B6447E">
        <w:rPr>
          <w:rFonts w:ascii="Times New Roman" w:eastAsia="Arial MT" w:hAnsi="Times New Roman" w:cs="Arial MT"/>
          <w:kern w:val="0"/>
          <w:sz w:val="24"/>
        </w:rPr>
        <w:t xml:space="preserve">Younts, D. (2021) </w:t>
      </w:r>
      <w:r w:rsidRPr="00B6447E">
        <w:rPr>
          <w:rFonts w:ascii="Times New Roman" w:eastAsia="Arial MT" w:hAnsi="Times New Roman" w:cs="Arial MT"/>
          <w:i/>
          <w:iCs/>
          <w:kern w:val="0"/>
          <w:sz w:val="24"/>
        </w:rPr>
        <w:t>The Perfect Plan: What Are the Five Stages of Event Planning</w:t>
      </w:r>
      <w:r w:rsidRPr="00B6447E">
        <w:rPr>
          <w:rFonts w:ascii="Times New Roman" w:eastAsia="Arial MT" w:hAnsi="Times New Roman" w:cs="Arial MT"/>
          <w:kern w:val="0"/>
          <w:sz w:val="24"/>
        </w:rPr>
        <w:t>. Available at: https://www.midlothiancenter.com/the-perfect-plan-what-are-the-five-stages-of-event-planning/ (Accessed: 25 January 2024).</w:t>
      </w:r>
    </w:p>
    <w:p w14:paraId="3428177E" w14:textId="77777777" w:rsidR="00B6447E" w:rsidRPr="00B6447E" w:rsidRDefault="00B6447E" w:rsidP="00B6447E">
      <w:pPr>
        <w:widowControl w:val="0"/>
        <w:autoSpaceDE w:val="0"/>
        <w:autoSpaceDN w:val="0"/>
        <w:spacing w:before="120" w:after="120" w:line="360" w:lineRule="auto"/>
        <w:jc w:val="both"/>
        <w:rPr>
          <w:rFonts w:ascii="Times New Roman" w:eastAsia="Arial MT" w:hAnsi="Times New Roman" w:cs="Arial MT"/>
          <w:kern w:val="0"/>
          <w:sz w:val="24"/>
        </w:rPr>
      </w:pPr>
    </w:p>
    <w:p w14:paraId="34B5B07B" w14:textId="77777777" w:rsidR="00B6447E" w:rsidRPr="008F53B8" w:rsidRDefault="00B6447E" w:rsidP="008F53B8">
      <w:pPr>
        <w:rPr>
          <w:rFonts w:ascii="Times New Roman" w:hAnsi="Times New Roman" w:cs="Times New Roman"/>
          <w:sz w:val="32"/>
          <w:szCs w:val="32"/>
        </w:rPr>
      </w:pPr>
    </w:p>
    <w:sectPr w:rsidR="00B6447E" w:rsidRPr="008F53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DA4F83"/>
    <w:multiLevelType w:val="hybridMultilevel"/>
    <w:tmpl w:val="2B98AF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90196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853"/>
    <w:rsid w:val="001D616F"/>
    <w:rsid w:val="00246853"/>
    <w:rsid w:val="0071188C"/>
    <w:rsid w:val="007C61F6"/>
    <w:rsid w:val="008F53B8"/>
    <w:rsid w:val="009D2795"/>
    <w:rsid w:val="009F5735"/>
    <w:rsid w:val="00B24265"/>
    <w:rsid w:val="00B6447E"/>
    <w:rsid w:val="00C36A6D"/>
    <w:rsid w:val="00C40966"/>
    <w:rsid w:val="00DC000C"/>
    <w:rsid w:val="00E8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A9D1C"/>
  <w15:chartTrackingRefBased/>
  <w15:docId w15:val="{061AB176-35BF-4B21-A0FD-5D58625A3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6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6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6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853"/>
    <w:rPr>
      <w:rFonts w:eastAsiaTheme="majorEastAsia" w:cstheme="majorBidi"/>
      <w:color w:val="272727" w:themeColor="text1" w:themeTint="D8"/>
    </w:rPr>
  </w:style>
  <w:style w:type="paragraph" w:styleId="Title">
    <w:name w:val="Title"/>
    <w:basedOn w:val="Normal"/>
    <w:next w:val="Normal"/>
    <w:link w:val="TitleChar"/>
    <w:uiPriority w:val="10"/>
    <w:qFormat/>
    <w:rsid w:val="00246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853"/>
    <w:pPr>
      <w:spacing w:before="160"/>
      <w:jc w:val="center"/>
    </w:pPr>
    <w:rPr>
      <w:i/>
      <w:iCs/>
      <w:color w:val="404040" w:themeColor="text1" w:themeTint="BF"/>
    </w:rPr>
  </w:style>
  <w:style w:type="character" w:customStyle="1" w:styleId="QuoteChar">
    <w:name w:val="Quote Char"/>
    <w:basedOn w:val="DefaultParagraphFont"/>
    <w:link w:val="Quote"/>
    <w:uiPriority w:val="29"/>
    <w:rsid w:val="00246853"/>
    <w:rPr>
      <w:i/>
      <w:iCs/>
      <w:color w:val="404040" w:themeColor="text1" w:themeTint="BF"/>
    </w:rPr>
  </w:style>
  <w:style w:type="paragraph" w:styleId="ListParagraph">
    <w:name w:val="List Paragraph"/>
    <w:basedOn w:val="Normal"/>
    <w:uiPriority w:val="34"/>
    <w:qFormat/>
    <w:rsid w:val="00246853"/>
    <w:pPr>
      <w:ind w:left="720"/>
      <w:contextualSpacing/>
    </w:pPr>
  </w:style>
  <w:style w:type="character" w:styleId="IntenseEmphasis">
    <w:name w:val="Intense Emphasis"/>
    <w:basedOn w:val="DefaultParagraphFont"/>
    <w:uiPriority w:val="21"/>
    <w:qFormat/>
    <w:rsid w:val="00246853"/>
    <w:rPr>
      <w:i/>
      <w:iCs/>
      <w:color w:val="0F4761" w:themeColor="accent1" w:themeShade="BF"/>
    </w:rPr>
  </w:style>
  <w:style w:type="paragraph" w:styleId="IntenseQuote">
    <w:name w:val="Intense Quote"/>
    <w:basedOn w:val="Normal"/>
    <w:next w:val="Normal"/>
    <w:link w:val="IntenseQuoteChar"/>
    <w:uiPriority w:val="30"/>
    <w:qFormat/>
    <w:rsid w:val="00246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853"/>
    <w:rPr>
      <w:i/>
      <w:iCs/>
      <w:color w:val="0F4761" w:themeColor="accent1" w:themeShade="BF"/>
    </w:rPr>
  </w:style>
  <w:style w:type="character" w:styleId="IntenseReference">
    <w:name w:val="Intense Reference"/>
    <w:basedOn w:val="DefaultParagraphFont"/>
    <w:uiPriority w:val="32"/>
    <w:qFormat/>
    <w:rsid w:val="00246853"/>
    <w:rPr>
      <w:b/>
      <w:bCs/>
      <w:smallCaps/>
      <w:color w:val="0F4761" w:themeColor="accent1" w:themeShade="BF"/>
      <w:spacing w:val="5"/>
    </w:rPr>
  </w:style>
  <w:style w:type="table" w:styleId="TableGrid">
    <w:name w:val="Table Grid"/>
    <w:basedOn w:val="TableNormal"/>
    <w:uiPriority w:val="39"/>
    <w:rsid w:val="00B6447E"/>
    <w:pPr>
      <w:spacing w:after="0" w:line="240" w:lineRule="auto"/>
    </w:pPr>
    <w:rPr>
      <w:rFonts w:ascii="Calibri" w:eastAsia="Calibri" w:hAnsi="Calibri" w:cs="Times New Roman"/>
      <w:lang w:val="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941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a\Desktop\INTERNATIONAL_MEETINGS_MANAGEMENT_FOR_THE_HOTEL_INDUSTRY_2.docx" TargetMode="External"/><Relationship Id="rId13" Type="http://schemas.openxmlformats.org/officeDocument/2006/relationships/hyperlink" Target="file:///C:\Users\na\Desktop\INTERNATIONAL_MEETINGS_MANAGEMENT_FOR_THE_HOTEL_INDUSTRY_2.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na\Desktop\INTERNATIONAL_MEETINGS_MANAGEMENT_FOR_THE_HOTEL_INDUSTRY_2.docx" TargetMode="External"/><Relationship Id="rId12" Type="http://schemas.openxmlformats.org/officeDocument/2006/relationships/hyperlink" Target="file:///C:\Users\na\Desktop\INTERNATIONAL_MEETINGS_MANAGEMENT_FOR_THE_HOTEL_INDUSTRY_2.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ntaccaudtax.2022.100446" TargetMode="External"/><Relationship Id="rId1" Type="http://schemas.openxmlformats.org/officeDocument/2006/relationships/numbering" Target="numbering.xml"/><Relationship Id="rId6" Type="http://schemas.openxmlformats.org/officeDocument/2006/relationships/hyperlink" Target="file:///C:\Users\na\Desktop\INTERNATIONAL_MEETINGS_MANAGEMENT_FOR_THE_HOTEL_INDUSTRY_2.docx" TargetMode="External"/><Relationship Id="rId11" Type="http://schemas.openxmlformats.org/officeDocument/2006/relationships/hyperlink" Target="file:///C:\Users\na\Desktop\INTERNATIONAL_MEETINGS_MANAGEMENT_FOR_THE_HOTEL_INDUSTRY_2.docx" TargetMode="External"/><Relationship Id="rId5" Type="http://schemas.openxmlformats.org/officeDocument/2006/relationships/hyperlink" Target="file:///C:\Users\na\Desktop\INTERNATIONAL_MEETINGS_MANAGEMENT_FOR_THE_HOTEL_INDUSTRY_2.docx" TargetMode="External"/><Relationship Id="rId15" Type="http://schemas.openxmlformats.org/officeDocument/2006/relationships/hyperlink" Target="https://doi.org/10.1080/14631377.2019.1705082" TargetMode="External"/><Relationship Id="rId10" Type="http://schemas.openxmlformats.org/officeDocument/2006/relationships/hyperlink" Target="file:///C:\Users\na\Desktop\INTERNATIONAL_MEETINGS_MANAGEMENT_FOR_THE_HOTEL_INDUSTRY_2.docx" TargetMode="External"/><Relationship Id="rId4" Type="http://schemas.openxmlformats.org/officeDocument/2006/relationships/webSettings" Target="webSettings.xml"/><Relationship Id="rId9" Type="http://schemas.openxmlformats.org/officeDocument/2006/relationships/hyperlink" Target="file:///C:\Users\na\Desktop\INTERNATIONAL_MEETINGS_MANAGEMENT_FOR_THE_HOTEL_INDUSTRY_2.docx" TargetMode="External"/><Relationship Id="rId14" Type="http://schemas.openxmlformats.org/officeDocument/2006/relationships/hyperlink" Target="file:///C:\Users\na\Desktop\INTERNATIONAL_MEETINGS_MANAGEMENT_FOR_THE_HOTEL_INDUSTRY_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17</Pages>
  <Words>3747</Words>
  <Characters>21358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Mihai Anton (2122258)</dc:creator>
  <cp:keywords/>
  <dc:description/>
  <cp:lastModifiedBy>Gabriel Mihai Anton (2122258)</cp:lastModifiedBy>
  <cp:revision>5</cp:revision>
  <dcterms:created xsi:type="dcterms:W3CDTF">2024-02-28T10:19:00Z</dcterms:created>
  <dcterms:modified xsi:type="dcterms:W3CDTF">2024-02-28T11:42:00Z</dcterms:modified>
</cp:coreProperties>
</file>