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0A963" w14:textId="24B8591E" w:rsidR="000C34F5" w:rsidRDefault="008F6C52" w:rsidP="00AA755A">
      <w:pPr>
        <w:rPr>
          <w:b/>
          <w:bCs/>
        </w:rPr>
      </w:pPr>
      <w:r>
        <w:rPr>
          <w:noProof/>
        </w:rPr>
        <w:drawing>
          <wp:inline distT="0" distB="0" distL="0" distR="0" wp14:anchorId="4F3F8AAC" wp14:editId="53B7B9DB">
            <wp:extent cx="1760376" cy="977900"/>
            <wp:effectExtent l="0" t="0" r="0" b="0"/>
            <wp:docPr id="1530265515"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65515" name="Picture 1" descr="A black and yellow logo&#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66518" cy="981312"/>
                    </a:xfrm>
                    <a:prstGeom prst="rect">
                      <a:avLst/>
                    </a:prstGeom>
                    <a:noFill/>
                    <a:ln>
                      <a:noFill/>
                    </a:ln>
                  </pic:spPr>
                </pic:pic>
              </a:graphicData>
            </a:graphic>
          </wp:inline>
        </w:drawing>
      </w:r>
    </w:p>
    <w:p w14:paraId="0F960312" w14:textId="77777777" w:rsidR="008F6C52" w:rsidRDefault="008F6C52" w:rsidP="00AA755A">
      <w:pPr>
        <w:rPr>
          <w:b/>
          <w:bCs/>
        </w:rPr>
      </w:pPr>
    </w:p>
    <w:p w14:paraId="7577D537" w14:textId="77777777" w:rsidR="008F6C52" w:rsidRDefault="008F6C52" w:rsidP="00AA755A">
      <w:pPr>
        <w:rPr>
          <w:b/>
          <w:bCs/>
        </w:rPr>
      </w:pPr>
    </w:p>
    <w:p w14:paraId="24F9E888" w14:textId="77777777" w:rsidR="00715B50" w:rsidRDefault="00715B50" w:rsidP="00AA755A">
      <w:pPr>
        <w:rPr>
          <w:b/>
          <w:bCs/>
        </w:rPr>
      </w:pPr>
    </w:p>
    <w:p w14:paraId="451D7151" w14:textId="77777777" w:rsidR="00715B50" w:rsidRDefault="00715B50" w:rsidP="00715B50">
      <w:pPr>
        <w:rPr>
          <w:rFonts w:ascii="Arial" w:hAnsi="Arial" w:cs="Arial"/>
          <w:sz w:val="22"/>
          <w:szCs w:val="22"/>
        </w:rPr>
      </w:pPr>
      <w:r w:rsidRPr="00762993">
        <w:rPr>
          <w:rFonts w:ascii="Arial" w:hAnsi="Arial" w:cs="Arial"/>
          <w:sz w:val="22"/>
          <w:szCs w:val="22"/>
        </w:rPr>
        <w:t>Student Name</w:t>
      </w:r>
      <w:r>
        <w:rPr>
          <w:rFonts w:ascii="Arial" w:hAnsi="Arial" w:cs="Arial"/>
          <w:sz w:val="22"/>
          <w:szCs w:val="22"/>
        </w:rPr>
        <w:t xml:space="preserve">: Alicia Loy Williams </w:t>
      </w:r>
    </w:p>
    <w:p w14:paraId="1591180E" w14:textId="77777777" w:rsidR="00715B50" w:rsidRDefault="00715B50" w:rsidP="00715B50">
      <w:pPr>
        <w:rPr>
          <w:rFonts w:ascii="Arial" w:hAnsi="Arial" w:cs="Arial"/>
          <w:sz w:val="22"/>
          <w:szCs w:val="22"/>
        </w:rPr>
      </w:pPr>
      <w:r>
        <w:rPr>
          <w:rFonts w:ascii="Arial" w:hAnsi="Arial" w:cs="Arial"/>
          <w:sz w:val="22"/>
          <w:szCs w:val="22"/>
        </w:rPr>
        <w:t>Student ID: 2435009</w:t>
      </w:r>
    </w:p>
    <w:p w14:paraId="7A548C93" w14:textId="77777777" w:rsidR="00715B50" w:rsidRDefault="00715B50" w:rsidP="00715B50">
      <w:pPr>
        <w:rPr>
          <w:rFonts w:ascii="Arial" w:hAnsi="Arial" w:cs="Arial"/>
          <w:sz w:val="22"/>
          <w:szCs w:val="22"/>
        </w:rPr>
      </w:pPr>
    </w:p>
    <w:p w14:paraId="18A1EC26" w14:textId="1871F876" w:rsidR="00715B50" w:rsidRDefault="00715B50" w:rsidP="00715B50">
      <w:pPr>
        <w:rPr>
          <w:rFonts w:ascii="Arial" w:hAnsi="Arial" w:cs="Arial"/>
          <w:sz w:val="22"/>
          <w:szCs w:val="22"/>
        </w:rPr>
      </w:pPr>
      <w:r>
        <w:rPr>
          <w:rFonts w:ascii="Arial" w:hAnsi="Arial" w:cs="Arial"/>
          <w:sz w:val="22"/>
          <w:szCs w:val="22"/>
        </w:rPr>
        <w:t xml:space="preserve">Module Name: </w:t>
      </w:r>
      <w:r w:rsidR="00A13A5A">
        <w:rPr>
          <w:rFonts w:ascii="Arial" w:hAnsi="Arial" w:cs="Arial"/>
          <w:sz w:val="22"/>
          <w:szCs w:val="22"/>
        </w:rPr>
        <w:t>Introduction to Health and Social Care</w:t>
      </w:r>
    </w:p>
    <w:p w14:paraId="16ED3451" w14:textId="2FA4F6C1" w:rsidR="00715B50" w:rsidRDefault="00715B50" w:rsidP="00715B50">
      <w:pPr>
        <w:rPr>
          <w:rFonts w:ascii="Arial" w:hAnsi="Arial" w:cs="Arial"/>
          <w:sz w:val="22"/>
          <w:szCs w:val="22"/>
        </w:rPr>
      </w:pPr>
      <w:r>
        <w:rPr>
          <w:rFonts w:ascii="Arial" w:hAnsi="Arial" w:cs="Arial"/>
          <w:sz w:val="22"/>
          <w:szCs w:val="22"/>
        </w:rPr>
        <w:t>Module code: LCHS400</w:t>
      </w:r>
      <w:r w:rsidR="009B6CFB">
        <w:rPr>
          <w:rFonts w:ascii="Arial" w:hAnsi="Arial" w:cs="Arial"/>
          <w:sz w:val="22"/>
          <w:szCs w:val="22"/>
        </w:rPr>
        <w:t>3</w:t>
      </w:r>
      <w:r w:rsidR="00A80BD1">
        <w:rPr>
          <w:rFonts w:ascii="Arial" w:hAnsi="Arial" w:cs="Arial"/>
          <w:sz w:val="22"/>
          <w:szCs w:val="22"/>
        </w:rPr>
        <w:t>_LON</w:t>
      </w:r>
    </w:p>
    <w:p w14:paraId="24FCB7FB" w14:textId="31584C58" w:rsidR="00715B50" w:rsidRPr="00762993" w:rsidRDefault="00715B50" w:rsidP="00715B50">
      <w:pPr>
        <w:rPr>
          <w:rFonts w:ascii="Arial" w:hAnsi="Arial" w:cs="Arial"/>
          <w:sz w:val="22"/>
          <w:szCs w:val="22"/>
        </w:rPr>
      </w:pPr>
      <w:r>
        <w:rPr>
          <w:rFonts w:ascii="Arial" w:hAnsi="Arial" w:cs="Arial"/>
          <w:sz w:val="22"/>
          <w:szCs w:val="22"/>
        </w:rPr>
        <w:t>Lecture</w:t>
      </w:r>
      <w:r w:rsidR="00B5001D">
        <w:rPr>
          <w:rFonts w:ascii="Arial" w:hAnsi="Arial" w:cs="Arial"/>
          <w:sz w:val="22"/>
          <w:szCs w:val="22"/>
        </w:rPr>
        <w:t>r</w:t>
      </w:r>
      <w:r>
        <w:rPr>
          <w:rFonts w:ascii="Arial" w:hAnsi="Arial" w:cs="Arial"/>
          <w:sz w:val="22"/>
          <w:szCs w:val="22"/>
        </w:rPr>
        <w:t xml:space="preserve"> Name: </w:t>
      </w:r>
      <w:r w:rsidR="00A80BD1">
        <w:rPr>
          <w:rFonts w:ascii="Arial" w:hAnsi="Arial" w:cs="Arial"/>
          <w:sz w:val="22"/>
          <w:szCs w:val="22"/>
        </w:rPr>
        <w:t>Pi</w:t>
      </w:r>
      <w:r w:rsidR="00B5001D">
        <w:rPr>
          <w:rFonts w:ascii="Arial" w:hAnsi="Arial" w:cs="Arial"/>
          <w:sz w:val="22"/>
          <w:szCs w:val="22"/>
        </w:rPr>
        <w:t>ng Wu</w:t>
      </w:r>
    </w:p>
    <w:p w14:paraId="03E00B48" w14:textId="77777777" w:rsidR="00715B50" w:rsidRDefault="00715B50" w:rsidP="00AA755A">
      <w:pPr>
        <w:rPr>
          <w:b/>
          <w:bCs/>
        </w:rPr>
      </w:pPr>
    </w:p>
    <w:p w14:paraId="27F52DB7" w14:textId="77777777" w:rsidR="000C34F5" w:rsidRDefault="000C34F5" w:rsidP="00AA755A">
      <w:pPr>
        <w:rPr>
          <w:b/>
          <w:bCs/>
        </w:rPr>
      </w:pPr>
    </w:p>
    <w:p w14:paraId="63D5ACA1" w14:textId="77777777" w:rsidR="000C34F5" w:rsidRDefault="000C34F5" w:rsidP="00AA755A">
      <w:pPr>
        <w:rPr>
          <w:b/>
          <w:bCs/>
        </w:rPr>
      </w:pPr>
    </w:p>
    <w:p w14:paraId="6D558FD0" w14:textId="77777777" w:rsidR="000C34F5" w:rsidRDefault="000C34F5" w:rsidP="00AA755A">
      <w:pPr>
        <w:rPr>
          <w:b/>
          <w:bCs/>
        </w:rPr>
      </w:pPr>
    </w:p>
    <w:p w14:paraId="38EB5E78" w14:textId="77777777" w:rsidR="000C34F5" w:rsidRDefault="000C34F5" w:rsidP="00AA755A">
      <w:pPr>
        <w:rPr>
          <w:b/>
          <w:bCs/>
        </w:rPr>
      </w:pPr>
    </w:p>
    <w:p w14:paraId="20CB3B5E" w14:textId="77777777" w:rsidR="000C34F5" w:rsidRDefault="000C34F5" w:rsidP="00AA755A">
      <w:pPr>
        <w:rPr>
          <w:b/>
          <w:bCs/>
        </w:rPr>
      </w:pPr>
    </w:p>
    <w:p w14:paraId="409358BB" w14:textId="77777777" w:rsidR="000C34F5" w:rsidRDefault="000C34F5" w:rsidP="00AA755A">
      <w:pPr>
        <w:rPr>
          <w:b/>
          <w:bCs/>
        </w:rPr>
      </w:pPr>
    </w:p>
    <w:p w14:paraId="2F04AA3F" w14:textId="77777777" w:rsidR="000C34F5" w:rsidRDefault="000C34F5" w:rsidP="00AA755A">
      <w:pPr>
        <w:rPr>
          <w:b/>
          <w:bCs/>
        </w:rPr>
      </w:pPr>
    </w:p>
    <w:p w14:paraId="73CAC8D8" w14:textId="77777777" w:rsidR="000C34F5" w:rsidRDefault="000C34F5" w:rsidP="00AA755A">
      <w:pPr>
        <w:rPr>
          <w:b/>
          <w:bCs/>
        </w:rPr>
      </w:pPr>
    </w:p>
    <w:p w14:paraId="0AA37235" w14:textId="77777777" w:rsidR="000C34F5" w:rsidRDefault="000C34F5" w:rsidP="00AA755A">
      <w:pPr>
        <w:rPr>
          <w:b/>
          <w:bCs/>
        </w:rPr>
      </w:pPr>
    </w:p>
    <w:p w14:paraId="13BBA1EA" w14:textId="77777777" w:rsidR="000C34F5" w:rsidRDefault="000C34F5" w:rsidP="00AA755A">
      <w:pPr>
        <w:rPr>
          <w:b/>
          <w:bCs/>
        </w:rPr>
      </w:pPr>
    </w:p>
    <w:p w14:paraId="34E86D6B" w14:textId="77777777" w:rsidR="000C34F5" w:rsidRDefault="000C34F5" w:rsidP="00AA755A">
      <w:pPr>
        <w:rPr>
          <w:b/>
          <w:bCs/>
        </w:rPr>
      </w:pPr>
    </w:p>
    <w:p w14:paraId="346AE3D1" w14:textId="77777777" w:rsidR="000C34F5" w:rsidRDefault="000C34F5" w:rsidP="00AA755A">
      <w:pPr>
        <w:rPr>
          <w:b/>
          <w:bCs/>
        </w:rPr>
      </w:pPr>
    </w:p>
    <w:p w14:paraId="7F8FA5E7" w14:textId="77777777" w:rsidR="000C34F5" w:rsidRDefault="000C34F5" w:rsidP="00AA755A">
      <w:pPr>
        <w:rPr>
          <w:b/>
          <w:bCs/>
        </w:rPr>
      </w:pPr>
    </w:p>
    <w:p w14:paraId="5348AAE6" w14:textId="77777777" w:rsidR="00213BC4" w:rsidRDefault="00213BC4" w:rsidP="00AA755A">
      <w:pPr>
        <w:rPr>
          <w:b/>
          <w:bCs/>
        </w:rPr>
      </w:pPr>
    </w:p>
    <w:p w14:paraId="617754A3" w14:textId="77777777" w:rsidR="00213BC4" w:rsidRDefault="00213BC4" w:rsidP="00AA755A">
      <w:pPr>
        <w:rPr>
          <w:b/>
          <w:bCs/>
        </w:rPr>
      </w:pPr>
    </w:p>
    <w:p w14:paraId="4E28CF1E" w14:textId="77777777" w:rsidR="00213BC4" w:rsidRDefault="00213BC4" w:rsidP="00AA755A">
      <w:pPr>
        <w:rPr>
          <w:b/>
          <w:bCs/>
        </w:rPr>
      </w:pPr>
    </w:p>
    <w:sdt>
      <w:sdtPr>
        <w:rPr>
          <w:rFonts w:asciiTheme="minorHAnsi" w:eastAsiaTheme="minorHAnsi" w:hAnsiTheme="minorHAnsi" w:cstheme="minorBidi"/>
          <w:color w:val="auto"/>
          <w:kern w:val="2"/>
          <w:sz w:val="24"/>
          <w:szCs w:val="24"/>
          <w:lang w:eastAsia="en-US"/>
          <w14:ligatures w14:val="standardContextual"/>
        </w:rPr>
        <w:id w:val="-26181407"/>
        <w:docPartObj>
          <w:docPartGallery w:val="Table of Contents"/>
          <w:docPartUnique/>
        </w:docPartObj>
      </w:sdtPr>
      <w:sdtEndPr>
        <w:rPr>
          <w:b/>
          <w:bCs/>
        </w:rPr>
      </w:sdtEndPr>
      <w:sdtContent>
        <w:p w14:paraId="4CB00524" w14:textId="3E6336C4" w:rsidR="00213BC4" w:rsidRDefault="00213BC4">
          <w:pPr>
            <w:pStyle w:val="TOCHeading"/>
          </w:pPr>
          <w:r>
            <w:t>Contents</w:t>
          </w:r>
        </w:p>
        <w:p w14:paraId="5225982D" w14:textId="7F680D72" w:rsidR="00213BC4" w:rsidRDefault="00213B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501384" w:history="1">
            <w:r w:rsidRPr="00DB7892">
              <w:rPr>
                <w:rStyle w:val="Hyperlink"/>
                <w:noProof/>
              </w:rPr>
              <w:t>Introduction</w:t>
            </w:r>
            <w:r>
              <w:rPr>
                <w:noProof/>
                <w:webHidden/>
              </w:rPr>
              <w:tab/>
            </w:r>
            <w:r>
              <w:rPr>
                <w:noProof/>
                <w:webHidden/>
              </w:rPr>
              <w:fldChar w:fldCharType="begin"/>
            </w:r>
            <w:r>
              <w:rPr>
                <w:noProof/>
                <w:webHidden/>
              </w:rPr>
              <w:instrText xml:space="preserve"> PAGEREF _Toc216501384 \h </w:instrText>
            </w:r>
            <w:r>
              <w:rPr>
                <w:noProof/>
                <w:webHidden/>
              </w:rPr>
            </w:r>
            <w:r>
              <w:rPr>
                <w:noProof/>
                <w:webHidden/>
              </w:rPr>
              <w:fldChar w:fldCharType="separate"/>
            </w:r>
            <w:r>
              <w:rPr>
                <w:noProof/>
                <w:webHidden/>
              </w:rPr>
              <w:t>3</w:t>
            </w:r>
            <w:r>
              <w:rPr>
                <w:noProof/>
                <w:webHidden/>
              </w:rPr>
              <w:fldChar w:fldCharType="end"/>
            </w:r>
          </w:hyperlink>
        </w:p>
        <w:p w14:paraId="074BC6D3" w14:textId="7986D4A0" w:rsidR="00213BC4" w:rsidRDefault="00213BC4">
          <w:pPr>
            <w:pStyle w:val="TOC1"/>
            <w:tabs>
              <w:tab w:val="right" w:leader="dot" w:pos="9016"/>
            </w:tabs>
            <w:rPr>
              <w:rFonts w:eastAsiaTheme="minorEastAsia"/>
              <w:noProof/>
              <w:lang w:eastAsia="en-GB"/>
            </w:rPr>
          </w:pPr>
          <w:hyperlink w:anchor="_Toc216501385" w:history="1">
            <w:r w:rsidRPr="00DB7892">
              <w:rPr>
                <w:rStyle w:val="Hyperlink"/>
                <w:noProof/>
              </w:rPr>
              <w:t>1. Importance of Effective Communication in Mrs Mann’s Care</w:t>
            </w:r>
            <w:r>
              <w:rPr>
                <w:noProof/>
                <w:webHidden/>
              </w:rPr>
              <w:tab/>
            </w:r>
            <w:r>
              <w:rPr>
                <w:noProof/>
                <w:webHidden/>
              </w:rPr>
              <w:fldChar w:fldCharType="begin"/>
            </w:r>
            <w:r>
              <w:rPr>
                <w:noProof/>
                <w:webHidden/>
              </w:rPr>
              <w:instrText xml:space="preserve"> PAGEREF _Toc216501385 \h </w:instrText>
            </w:r>
            <w:r>
              <w:rPr>
                <w:noProof/>
                <w:webHidden/>
              </w:rPr>
            </w:r>
            <w:r>
              <w:rPr>
                <w:noProof/>
                <w:webHidden/>
              </w:rPr>
              <w:fldChar w:fldCharType="separate"/>
            </w:r>
            <w:r>
              <w:rPr>
                <w:noProof/>
                <w:webHidden/>
              </w:rPr>
              <w:t>3</w:t>
            </w:r>
            <w:r>
              <w:rPr>
                <w:noProof/>
                <w:webHidden/>
              </w:rPr>
              <w:fldChar w:fldCharType="end"/>
            </w:r>
          </w:hyperlink>
        </w:p>
        <w:p w14:paraId="01174347" w14:textId="14865F8A" w:rsidR="00213BC4" w:rsidRDefault="00213BC4">
          <w:pPr>
            <w:pStyle w:val="TOC1"/>
            <w:tabs>
              <w:tab w:val="right" w:leader="dot" w:pos="9016"/>
            </w:tabs>
            <w:rPr>
              <w:rFonts w:eastAsiaTheme="minorEastAsia"/>
              <w:noProof/>
              <w:lang w:eastAsia="en-GB"/>
            </w:rPr>
          </w:pPr>
          <w:hyperlink w:anchor="_Toc216501386" w:history="1">
            <w:r w:rsidRPr="00DB7892">
              <w:rPr>
                <w:rStyle w:val="Hyperlink"/>
                <w:noProof/>
              </w:rPr>
              <w:t>2. Importance of Good Administrative Skills and Record-Keeping</w:t>
            </w:r>
            <w:r>
              <w:rPr>
                <w:noProof/>
                <w:webHidden/>
              </w:rPr>
              <w:tab/>
            </w:r>
            <w:r>
              <w:rPr>
                <w:noProof/>
                <w:webHidden/>
              </w:rPr>
              <w:fldChar w:fldCharType="begin"/>
            </w:r>
            <w:r>
              <w:rPr>
                <w:noProof/>
                <w:webHidden/>
              </w:rPr>
              <w:instrText xml:space="preserve"> PAGEREF _Toc216501386 \h </w:instrText>
            </w:r>
            <w:r>
              <w:rPr>
                <w:noProof/>
                <w:webHidden/>
              </w:rPr>
            </w:r>
            <w:r>
              <w:rPr>
                <w:noProof/>
                <w:webHidden/>
              </w:rPr>
              <w:fldChar w:fldCharType="separate"/>
            </w:r>
            <w:r>
              <w:rPr>
                <w:noProof/>
                <w:webHidden/>
              </w:rPr>
              <w:t>4</w:t>
            </w:r>
            <w:r>
              <w:rPr>
                <w:noProof/>
                <w:webHidden/>
              </w:rPr>
              <w:fldChar w:fldCharType="end"/>
            </w:r>
          </w:hyperlink>
        </w:p>
        <w:p w14:paraId="747CBE3A" w14:textId="20F9FC0E" w:rsidR="00213BC4" w:rsidRDefault="00213BC4">
          <w:pPr>
            <w:pStyle w:val="TOC1"/>
            <w:tabs>
              <w:tab w:val="right" w:leader="dot" w:pos="9016"/>
            </w:tabs>
            <w:rPr>
              <w:rFonts w:eastAsiaTheme="minorEastAsia"/>
              <w:noProof/>
              <w:lang w:eastAsia="en-GB"/>
            </w:rPr>
          </w:pPr>
          <w:hyperlink w:anchor="_Toc216501387" w:history="1">
            <w:r w:rsidRPr="00DB7892">
              <w:rPr>
                <w:rStyle w:val="Hyperlink"/>
                <w:noProof/>
              </w:rPr>
              <w:t>3. Importance of Collaborative Working with Other Professionals</w:t>
            </w:r>
            <w:r>
              <w:rPr>
                <w:noProof/>
                <w:webHidden/>
              </w:rPr>
              <w:tab/>
            </w:r>
            <w:r>
              <w:rPr>
                <w:noProof/>
                <w:webHidden/>
              </w:rPr>
              <w:fldChar w:fldCharType="begin"/>
            </w:r>
            <w:r>
              <w:rPr>
                <w:noProof/>
                <w:webHidden/>
              </w:rPr>
              <w:instrText xml:space="preserve"> PAGEREF _Toc216501387 \h </w:instrText>
            </w:r>
            <w:r>
              <w:rPr>
                <w:noProof/>
                <w:webHidden/>
              </w:rPr>
            </w:r>
            <w:r>
              <w:rPr>
                <w:noProof/>
                <w:webHidden/>
              </w:rPr>
              <w:fldChar w:fldCharType="separate"/>
            </w:r>
            <w:r>
              <w:rPr>
                <w:noProof/>
                <w:webHidden/>
              </w:rPr>
              <w:t>5</w:t>
            </w:r>
            <w:r>
              <w:rPr>
                <w:noProof/>
                <w:webHidden/>
              </w:rPr>
              <w:fldChar w:fldCharType="end"/>
            </w:r>
          </w:hyperlink>
        </w:p>
        <w:p w14:paraId="709AA331" w14:textId="1E111BF5" w:rsidR="00213BC4" w:rsidRDefault="00213BC4">
          <w:pPr>
            <w:pStyle w:val="TOC1"/>
            <w:tabs>
              <w:tab w:val="right" w:leader="dot" w:pos="9016"/>
            </w:tabs>
            <w:rPr>
              <w:rFonts w:eastAsiaTheme="minorEastAsia"/>
              <w:noProof/>
              <w:lang w:eastAsia="en-GB"/>
            </w:rPr>
          </w:pPr>
          <w:hyperlink w:anchor="_Toc216501388" w:history="1">
            <w:r w:rsidRPr="00DB7892">
              <w:rPr>
                <w:rStyle w:val="Hyperlink"/>
                <w:noProof/>
              </w:rPr>
              <w:t>Conclusion</w:t>
            </w:r>
            <w:r>
              <w:rPr>
                <w:noProof/>
                <w:webHidden/>
              </w:rPr>
              <w:tab/>
            </w:r>
            <w:r>
              <w:rPr>
                <w:noProof/>
                <w:webHidden/>
              </w:rPr>
              <w:fldChar w:fldCharType="begin"/>
            </w:r>
            <w:r>
              <w:rPr>
                <w:noProof/>
                <w:webHidden/>
              </w:rPr>
              <w:instrText xml:space="preserve"> PAGEREF _Toc216501388 \h </w:instrText>
            </w:r>
            <w:r>
              <w:rPr>
                <w:noProof/>
                <w:webHidden/>
              </w:rPr>
            </w:r>
            <w:r>
              <w:rPr>
                <w:noProof/>
                <w:webHidden/>
              </w:rPr>
              <w:fldChar w:fldCharType="separate"/>
            </w:r>
            <w:r>
              <w:rPr>
                <w:noProof/>
                <w:webHidden/>
              </w:rPr>
              <w:t>6</w:t>
            </w:r>
            <w:r>
              <w:rPr>
                <w:noProof/>
                <w:webHidden/>
              </w:rPr>
              <w:fldChar w:fldCharType="end"/>
            </w:r>
          </w:hyperlink>
        </w:p>
        <w:p w14:paraId="7773785F" w14:textId="35599C44" w:rsidR="00213BC4" w:rsidRDefault="00213BC4">
          <w:pPr>
            <w:pStyle w:val="TOC1"/>
            <w:tabs>
              <w:tab w:val="right" w:leader="dot" w:pos="9016"/>
            </w:tabs>
            <w:rPr>
              <w:rFonts w:eastAsiaTheme="minorEastAsia"/>
              <w:noProof/>
              <w:lang w:eastAsia="en-GB"/>
            </w:rPr>
          </w:pPr>
          <w:hyperlink w:anchor="_Toc216501389" w:history="1">
            <w:r w:rsidRPr="00DB7892">
              <w:rPr>
                <w:rStyle w:val="Hyperlink"/>
                <w:noProof/>
              </w:rPr>
              <w:t>Harvard Reference List</w:t>
            </w:r>
            <w:r>
              <w:rPr>
                <w:noProof/>
                <w:webHidden/>
              </w:rPr>
              <w:tab/>
            </w:r>
            <w:r>
              <w:rPr>
                <w:noProof/>
                <w:webHidden/>
              </w:rPr>
              <w:fldChar w:fldCharType="begin"/>
            </w:r>
            <w:r>
              <w:rPr>
                <w:noProof/>
                <w:webHidden/>
              </w:rPr>
              <w:instrText xml:space="preserve"> PAGEREF _Toc216501389 \h </w:instrText>
            </w:r>
            <w:r>
              <w:rPr>
                <w:noProof/>
                <w:webHidden/>
              </w:rPr>
            </w:r>
            <w:r>
              <w:rPr>
                <w:noProof/>
                <w:webHidden/>
              </w:rPr>
              <w:fldChar w:fldCharType="separate"/>
            </w:r>
            <w:r>
              <w:rPr>
                <w:noProof/>
                <w:webHidden/>
              </w:rPr>
              <w:t>7</w:t>
            </w:r>
            <w:r>
              <w:rPr>
                <w:noProof/>
                <w:webHidden/>
              </w:rPr>
              <w:fldChar w:fldCharType="end"/>
            </w:r>
          </w:hyperlink>
        </w:p>
        <w:p w14:paraId="17C20FC5" w14:textId="23DDD22B" w:rsidR="00213BC4" w:rsidRDefault="00213BC4">
          <w:r>
            <w:rPr>
              <w:b/>
              <w:bCs/>
            </w:rPr>
            <w:fldChar w:fldCharType="end"/>
          </w:r>
        </w:p>
      </w:sdtContent>
    </w:sdt>
    <w:p w14:paraId="7294ACA4" w14:textId="77777777" w:rsidR="00213BC4" w:rsidRDefault="00213BC4" w:rsidP="00AA755A">
      <w:pPr>
        <w:rPr>
          <w:b/>
          <w:bCs/>
        </w:rPr>
      </w:pPr>
    </w:p>
    <w:p w14:paraId="7C863F7A" w14:textId="77777777" w:rsidR="00213BC4" w:rsidRDefault="00213BC4" w:rsidP="00AA755A">
      <w:pPr>
        <w:rPr>
          <w:b/>
          <w:bCs/>
        </w:rPr>
      </w:pPr>
    </w:p>
    <w:p w14:paraId="79E26A69" w14:textId="77777777" w:rsidR="00213BC4" w:rsidRDefault="00213BC4" w:rsidP="00AA755A">
      <w:pPr>
        <w:rPr>
          <w:b/>
          <w:bCs/>
        </w:rPr>
      </w:pPr>
    </w:p>
    <w:p w14:paraId="28DB951E" w14:textId="77777777" w:rsidR="00213BC4" w:rsidRDefault="00213BC4" w:rsidP="00AA755A">
      <w:pPr>
        <w:rPr>
          <w:b/>
          <w:bCs/>
        </w:rPr>
      </w:pPr>
    </w:p>
    <w:p w14:paraId="5F59A00E" w14:textId="77777777" w:rsidR="00213BC4" w:rsidRDefault="00213BC4" w:rsidP="00AA755A">
      <w:pPr>
        <w:rPr>
          <w:b/>
          <w:bCs/>
        </w:rPr>
      </w:pPr>
    </w:p>
    <w:p w14:paraId="1355F9C0" w14:textId="77777777" w:rsidR="00213BC4" w:rsidRDefault="00213BC4" w:rsidP="00AA755A">
      <w:pPr>
        <w:rPr>
          <w:b/>
          <w:bCs/>
        </w:rPr>
      </w:pPr>
    </w:p>
    <w:p w14:paraId="11C7DDD8" w14:textId="77777777" w:rsidR="00213BC4" w:rsidRDefault="00213BC4" w:rsidP="00AA755A">
      <w:pPr>
        <w:rPr>
          <w:b/>
          <w:bCs/>
        </w:rPr>
      </w:pPr>
    </w:p>
    <w:p w14:paraId="15E05CE9" w14:textId="77777777" w:rsidR="00213BC4" w:rsidRDefault="00213BC4" w:rsidP="00AA755A">
      <w:pPr>
        <w:rPr>
          <w:b/>
          <w:bCs/>
        </w:rPr>
      </w:pPr>
    </w:p>
    <w:p w14:paraId="04FF753E" w14:textId="77777777" w:rsidR="00213BC4" w:rsidRDefault="00213BC4" w:rsidP="00AA755A">
      <w:pPr>
        <w:rPr>
          <w:b/>
          <w:bCs/>
        </w:rPr>
      </w:pPr>
    </w:p>
    <w:p w14:paraId="08A61E2C" w14:textId="77777777" w:rsidR="00213BC4" w:rsidRDefault="00213BC4" w:rsidP="00AA755A">
      <w:pPr>
        <w:rPr>
          <w:b/>
          <w:bCs/>
        </w:rPr>
      </w:pPr>
    </w:p>
    <w:p w14:paraId="208B39E2" w14:textId="77777777" w:rsidR="00213BC4" w:rsidRDefault="00213BC4" w:rsidP="00AA755A">
      <w:pPr>
        <w:rPr>
          <w:b/>
          <w:bCs/>
        </w:rPr>
      </w:pPr>
    </w:p>
    <w:p w14:paraId="45C401BA" w14:textId="77777777" w:rsidR="00213BC4" w:rsidRDefault="00213BC4" w:rsidP="00AA755A">
      <w:pPr>
        <w:rPr>
          <w:b/>
          <w:bCs/>
        </w:rPr>
      </w:pPr>
    </w:p>
    <w:p w14:paraId="3D282107" w14:textId="77777777" w:rsidR="00213BC4" w:rsidRDefault="00213BC4" w:rsidP="00AA755A">
      <w:pPr>
        <w:rPr>
          <w:b/>
          <w:bCs/>
        </w:rPr>
      </w:pPr>
    </w:p>
    <w:p w14:paraId="40E65266" w14:textId="77777777" w:rsidR="00213BC4" w:rsidRDefault="00213BC4" w:rsidP="00AA755A">
      <w:pPr>
        <w:rPr>
          <w:b/>
          <w:bCs/>
        </w:rPr>
      </w:pPr>
    </w:p>
    <w:p w14:paraId="4D07F38E" w14:textId="77777777" w:rsidR="00213BC4" w:rsidRDefault="00213BC4" w:rsidP="00AA755A">
      <w:pPr>
        <w:rPr>
          <w:b/>
          <w:bCs/>
        </w:rPr>
      </w:pPr>
    </w:p>
    <w:p w14:paraId="2F10A3A2" w14:textId="77777777" w:rsidR="00213BC4" w:rsidRDefault="00213BC4" w:rsidP="00AA755A">
      <w:pPr>
        <w:rPr>
          <w:b/>
          <w:bCs/>
        </w:rPr>
      </w:pPr>
    </w:p>
    <w:p w14:paraId="4FE29FFA" w14:textId="77777777" w:rsidR="00213BC4" w:rsidRDefault="00213BC4" w:rsidP="00AA755A">
      <w:pPr>
        <w:rPr>
          <w:b/>
          <w:bCs/>
        </w:rPr>
      </w:pPr>
    </w:p>
    <w:p w14:paraId="1FC1337F" w14:textId="77777777" w:rsidR="00213BC4" w:rsidRDefault="00213BC4" w:rsidP="00AA755A">
      <w:pPr>
        <w:rPr>
          <w:b/>
          <w:bCs/>
        </w:rPr>
      </w:pPr>
    </w:p>
    <w:p w14:paraId="7F41ECAF" w14:textId="77777777" w:rsidR="00213BC4" w:rsidRDefault="00213BC4" w:rsidP="00AA755A">
      <w:pPr>
        <w:rPr>
          <w:b/>
          <w:bCs/>
        </w:rPr>
      </w:pPr>
    </w:p>
    <w:p w14:paraId="593B0EBC" w14:textId="77777777" w:rsidR="000C34F5" w:rsidRDefault="000C34F5" w:rsidP="00AA755A">
      <w:pPr>
        <w:rPr>
          <w:b/>
          <w:bCs/>
        </w:rPr>
      </w:pPr>
    </w:p>
    <w:p w14:paraId="1A38036B" w14:textId="77777777" w:rsidR="000C34F5" w:rsidRPr="00AA755A" w:rsidRDefault="000C34F5" w:rsidP="000C34F5">
      <w:r w:rsidRPr="00AA755A">
        <w:lastRenderedPageBreak/>
        <w:t>Report on Communication, Administration, and Multi-Agency Working in the Care of Mrs Mann</w:t>
      </w:r>
    </w:p>
    <w:p w14:paraId="2E76AF83" w14:textId="77777777" w:rsidR="000C34F5" w:rsidRDefault="000C34F5" w:rsidP="00AA755A">
      <w:pPr>
        <w:rPr>
          <w:b/>
          <w:bCs/>
        </w:rPr>
      </w:pPr>
    </w:p>
    <w:p w14:paraId="760B9307" w14:textId="49B13623" w:rsidR="00AA755A" w:rsidRPr="00AA755A" w:rsidRDefault="00AA755A" w:rsidP="00213BC4">
      <w:pPr>
        <w:pStyle w:val="Heading1"/>
      </w:pPr>
      <w:bookmarkStart w:id="0" w:name="_Toc216501384"/>
      <w:r w:rsidRPr="00AA755A">
        <w:t>Introduction</w:t>
      </w:r>
      <w:bookmarkEnd w:id="0"/>
      <w:r w:rsidRPr="00AA755A">
        <w:t xml:space="preserve"> </w:t>
      </w:r>
    </w:p>
    <w:p w14:paraId="113B7026" w14:textId="34438ACE" w:rsidR="00D851A9" w:rsidRPr="00D851A9" w:rsidRDefault="001D314D" w:rsidP="00D851A9">
      <w:proofErr w:type="gramStart"/>
      <w:r w:rsidRPr="001D314D">
        <w:t>In order to</w:t>
      </w:r>
      <w:proofErr w:type="gramEnd"/>
      <w:r w:rsidRPr="001D314D">
        <w:t xml:space="preserve"> provide high-quality health and social care, it is essential to communicate effectively, administer accurate information and maintain strong multi-agency collaboration</w:t>
      </w:r>
      <w:r w:rsidR="004F48DA">
        <w:t xml:space="preserve">. </w:t>
      </w:r>
      <w:r w:rsidR="00D851A9" w:rsidRPr="00D851A9">
        <w:t xml:space="preserve">These elements are extremely important, especially when providing support for adults with complex needs like in Mrs Manns situation. Mrs Manns is a 72-year-old woman recently discharged from hospital after hip replacement surgery. Her situation is complex because she </w:t>
      </w:r>
      <w:r w:rsidR="00213BC4" w:rsidRPr="00D851A9">
        <w:t>has</w:t>
      </w:r>
      <w:r w:rsidR="00213BC4">
        <w:t xml:space="preserve"> </w:t>
      </w:r>
      <w:r w:rsidR="00213BC4" w:rsidRPr="00D851A9">
        <w:t>limited</w:t>
      </w:r>
      <w:r w:rsidR="00D851A9" w:rsidRPr="00D851A9">
        <w:t xml:space="preserve"> English and a reliance on domiciliary carers, her daughter, her GP, and a community physiotherapist. There have been recent concerns over inconsistent documentation and a delayed medication change. Communication failures and administrative delays pose serious risks. The purpose of this report is to examine the key professional responsibilities involved in providing Mrs Mann with safe, person-centred care. The following elements are discussed alongside any relevant legislation, communication models, and sector policies that guide best practice.</w:t>
      </w:r>
    </w:p>
    <w:p w14:paraId="5D995EFD" w14:textId="77777777" w:rsidR="00E5317C" w:rsidRDefault="00E5317C"/>
    <w:p w14:paraId="5793FA3C" w14:textId="4E9ED00B" w:rsidR="004624F7" w:rsidRDefault="004624F7" w:rsidP="00213BC4">
      <w:pPr>
        <w:pStyle w:val="Heading1"/>
      </w:pPr>
      <w:bookmarkStart w:id="1" w:name="_Toc216501385"/>
      <w:r w:rsidRPr="004624F7">
        <w:t>1. Importance of Effective Communication in Mrs Mann’s Care</w:t>
      </w:r>
      <w:bookmarkEnd w:id="1"/>
    </w:p>
    <w:p w14:paraId="4FBB91ED" w14:textId="02FC0A5D" w:rsidR="00B7649B" w:rsidRPr="00B7649B" w:rsidRDefault="00B7649B" w:rsidP="00B7649B">
      <w:r w:rsidRPr="00B7649B">
        <w:t xml:space="preserve">To support Mrs Mann effectively, it is essential to communicate clearly and address her needs, preferences, and health concerns. Since she speaks limited English and Urdu as her first language, Thompson (2018) recommends that communication methods be adapted to prevent misunderstandings, enhance inclusion, and ensure safe, person-centred care (Thompson, 2018). According to the Equality Act 2010, there is a legal duty on health and social care organisations to make reasonable and appropriate </w:t>
      </w:r>
      <w:r w:rsidR="004624F7" w:rsidRPr="00B7649B">
        <w:t>accommodation,</w:t>
      </w:r>
      <w:r w:rsidRPr="00B7649B">
        <w:t xml:space="preserve"> so individuals do not experience any drawback due to language, age, disability or cultural background (Equality Act 2010).</w:t>
      </w:r>
    </w:p>
    <w:p w14:paraId="5D72078A" w14:textId="1C1D1FC2" w:rsidR="00150263" w:rsidRDefault="00B7649B">
      <w:r w:rsidRPr="00B7649B">
        <w:t>Mrs Mann is entitled to adopt these changes, which include providing translated information when available, using simple language and visual aids, as well as supporting non-verbal cues during communication (HCPC, 2016). These adjustments help ensure informed consent, dignity and equality in care delivery.</w:t>
      </w:r>
    </w:p>
    <w:p w14:paraId="629E0A6F" w14:textId="333CA8EF" w:rsidR="00150263" w:rsidRPr="00150263" w:rsidRDefault="00150263" w:rsidP="00150263">
      <w:r w:rsidRPr="00150263">
        <w:t xml:space="preserve">There are multiple models that support this interaction. Egan (1998) emphasised the importance of sitting attentively, retaining an open posture, leaning forward slightly, </w:t>
      </w:r>
      <w:r w:rsidRPr="00150263">
        <w:lastRenderedPageBreak/>
        <w:t>maintaining appropriate eye contact, and staying relaxed in the SOLER model. In communicating with individuals who may have difficulty expressing themselves verbally, these behaviours convey empathy and attentiveness. Non-verbal communication such as facial expressions, tone of voice and body language becomes especially important in overcoming language barriers (Thompson, 2018).</w:t>
      </w:r>
    </w:p>
    <w:p w14:paraId="4784EC50" w14:textId="77777777" w:rsidR="00246D8D" w:rsidRPr="00246D8D" w:rsidRDefault="00246D8D" w:rsidP="00246D8D">
      <w:r w:rsidRPr="00246D8D">
        <w:t> There is an important role that family members play in communication. It is common for Mrs Mann's daughter to assist with interpretation, however best practice guidance suggests that family members should not be relied upon for sensitive or complex discussions (such as medication changes and consent) due to concerns about accuracy, confidentiality, and autonomy (NHS England, 2022). Professional interpreters should be used to make sure ethical and legally compliant communication.</w:t>
      </w:r>
    </w:p>
    <w:p w14:paraId="516A9154" w14:textId="77777777" w:rsidR="00246D8D" w:rsidRPr="00246D8D" w:rsidRDefault="00246D8D" w:rsidP="00246D8D">
      <w:r w:rsidRPr="00246D8D">
        <w:t>In most circumstances, older adults may have culturally specific presumptions and beliefs regarding modesty, gender of carers and expression of pain. There is importance in always listening and asking open questions helps professionals respect individual beliefs and preferences, thus improving trust and engagement (HCPC, 2016).</w:t>
      </w:r>
    </w:p>
    <w:p w14:paraId="73BE723E" w14:textId="77777777" w:rsidR="00D11D70" w:rsidRPr="00D11D70" w:rsidRDefault="00D11D70" w:rsidP="00D11D70">
      <w:r w:rsidRPr="00D11D70">
        <w:t>Communication between different professionals and colleagues is also important. If communication is not effective, it can lead to delayed medication adjustment. This can lead to the safety of a patient being compromised. Suggestions that can make this communication successful are clear handovers, accurate documentation and timely information sharing between carers, the GP and physiotherapist. These are essential for continuity of care (NHS England, 2021). Productive communication ensures Mrs Mann is respected, safe and actively involved in her care.</w:t>
      </w:r>
    </w:p>
    <w:p w14:paraId="45B5E7B3" w14:textId="77777777" w:rsidR="00150263" w:rsidRDefault="00150263"/>
    <w:p w14:paraId="23E98D11" w14:textId="684535E7" w:rsidR="004F3523" w:rsidRPr="004F3523" w:rsidRDefault="004F3523" w:rsidP="00213BC4">
      <w:pPr>
        <w:pStyle w:val="Heading1"/>
      </w:pPr>
      <w:bookmarkStart w:id="2" w:name="_Toc216501386"/>
      <w:r w:rsidRPr="004F3523">
        <w:t>2. Importance of Good Administrative Skills and Record-Keeping</w:t>
      </w:r>
      <w:bookmarkEnd w:id="2"/>
      <w:r w:rsidRPr="004F3523">
        <w:t xml:space="preserve"> </w:t>
      </w:r>
    </w:p>
    <w:p w14:paraId="51D5944D" w14:textId="77777777" w:rsidR="004F3523" w:rsidRPr="004F3523" w:rsidRDefault="004F3523" w:rsidP="004F3523">
      <w:r w:rsidRPr="004F3523">
        <w:t> </w:t>
      </w:r>
    </w:p>
    <w:p w14:paraId="09A7209F" w14:textId="77777777" w:rsidR="004F3523" w:rsidRPr="004F3523" w:rsidRDefault="004F3523" w:rsidP="004F3523">
      <w:r w:rsidRPr="004F3523">
        <w:t xml:space="preserve">It is essential to ensure information is accurate, consistent, and easily accessible to authorised professionals </w:t>
      </w:r>
      <w:proofErr w:type="gramStart"/>
      <w:r w:rsidRPr="004F3523">
        <w:t>in order to</w:t>
      </w:r>
      <w:proofErr w:type="gramEnd"/>
      <w:r w:rsidRPr="004F3523">
        <w:t xml:space="preserve"> ensure safe and effective care. It can be demonstrated through Mrs Mann's case that insufficient documentation and a delayed medication change are examples of poor administrative practice (Skills for Care, 2019) that can put patients at risk.</w:t>
      </w:r>
    </w:p>
    <w:p w14:paraId="6B9B34A6" w14:textId="77777777" w:rsidR="004F3523" w:rsidRPr="004F3523" w:rsidRDefault="004F3523" w:rsidP="004F3523">
      <w:r w:rsidRPr="004F3523">
        <w:t> </w:t>
      </w:r>
    </w:p>
    <w:p w14:paraId="3C3FA9AF" w14:textId="77777777" w:rsidR="004F3523" w:rsidRPr="004F3523" w:rsidRDefault="004F3523" w:rsidP="004F3523">
      <w:r w:rsidRPr="004F3523">
        <w:t xml:space="preserve">The Data Protection Act 2018 and UK GDPR have clear principles for handling personal data, including lawfulness, accuracy, security and confidentiality (Department of Health and Social Care, 2018). Mrs Mann’s care records </w:t>
      </w:r>
      <w:proofErr w:type="gramStart"/>
      <w:r w:rsidRPr="004F3523">
        <w:t>have to</w:t>
      </w:r>
      <w:proofErr w:type="gramEnd"/>
      <w:r w:rsidRPr="004F3523">
        <w:t xml:space="preserve"> be stored safely, updated </w:t>
      </w:r>
      <w:r w:rsidRPr="004F3523">
        <w:lastRenderedPageBreak/>
        <w:t>regularly and shared only with those directly working on her care. If there is any failure with meeting these requirements, it could lead to a data breach and compromise safety.</w:t>
      </w:r>
    </w:p>
    <w:p w14:paraId="715D6F45" w14:textId="77777777" w:rsidR="004F3523" w:rsidRPr="004F3523" w:rsidRDefault="004F3523" w:rsidP="004F3523">
      <w:r w:rsidRPr="004F3523">
        <w:t> </w:t>
      </w:r>
    </w:p>
    <w:p w14:paraId="28829BF6" w14:textId="77777777" w:rsidR="004F3523" w:rsidRPr="004F3523" w:rsidRDefault="004F3523" w:rsidP="004F3523">
      <w:r w:rsidRPr="004F3523">
        <w:t>To maintain effective records, notes should be accurate, timely, and objective. Care records should clearly document interventions provided, medication administered, mobility progress and any concerns observed or risk factors (CQC, 2023). Keeping accurate records is particularly crucial when there are several carers providing support. This ensures continuity and consistency between the carers. Wrong or incomplete documentation could lead to duplicate tasks, missed care or incorrect clinical decisions.</w:t>
      </w:r>
    </w:p>
    <w:p w14:paraId="5DA1A17D" w14:textId="77777777" w:rsidR="00F4019E" w:rsidRPr="00F4019E" w:rsidRDefault="00F4019E" w:rsidP="00F4019E">
      <w:r w:rsidRPr="00F4019E">
        <w:t>Legislation and policy frameworks can be useful when it comes to reinforcing these responsibilities. Taking good care of patients' needs, keeping accurate medication records, and conducting risk assessments are required by the Care Quality Commission (CQC, 2023). Additionally, NICE guidance also places emphasis on the importance of accurate documentation in medication management to prevent errors (NICE, 2014). When accidents or near misses occur, they must be reported and recorded immediately to aid in supporting learning and service improvement.</w:t>
      </w:r>
    </w:p>
    <w:p w14:paraId="7A84ED2D" w14:textId="1EA64125" w:rsidR="007A3EA9" w:rsidRPr="007A3EA9" w:rsidRDefault="007A3EA9" w:rsidP="007A3EA9">
      <w:r w:rsidRPr="007A3EA9">
        <w:t xml:space="preserve">There are different administrative skills used such as updating care plans, managing appointments and ensuring multidisciplinary information is current. For example, if a patient has hip replacement surgery, documentation relating to physiotherapy progress, pain management and mobility risk is essential. Correct and precise records support safeguarding by identifying patterns of deterioration or unmet needs. </w:t>
      </w:r>
    </w:p>
    <w:p w14:paraId="588BD6F3" w14:textId="77777777" w:rsidR="007A3EA9" w:rsidRPr="007A3EA9" w:rsidRDefault="007A3EA9" w:rsidP="007A3EA9">
      <w:r w:rsidRPr="007A3EA9">
        <w:t>In conclusion, good administrative practice protects service users’ rights, ensures legal compliance and supports safe, coordinated care. For Mrs Mann, accurate record-keeping is essential to reducing risk and promoting recovery.</w:t>
      </w:r>
    </w:p>
    <w:p w14:paraId="07C20F02" w14:textId="77777777" w:rsidR="007A3EA9" w:rsidRPr="007A3EA9" w:rsidRDefault="007A3EA9" w:rsidP="007A3EA9">
      <w:r w:rsidRPr="007A3EA9">
        <w:t> </w:t>
      </w:r>
    </w:p>
    <w:p w14:paraId="5044289F" w14:textId="615D6CB7" w:rsidR="00C03B1D" w:rsidRPr="00C03B1D" w:rsidRDefault="00C03B1D" w:rsidP="00213BC4">
      <w:pPr>
        <w:pStyle w:val="Heading1"/>
      </w:pPr>
      <w:bookmarkStart w:id="3" w:name="_Toc216501387"/>
      <w:r w:rsidRPr="00C03B1D">
        <w:t xml:space="preserve">3. Importance of </w:t>
      </w:r>
      <w:r w:rsidRPr="00C03B1D">
        <w:rPr>
          <w:rStyle w:val="Heading1Char"/>
        </w:rPr>
        <w:t>Collaborative</w:t>
      </w:r>
      <w:r w:rsidRPr="00C03B1D">
        <w:t xml:space="preserve"> Working with Other Professionals</w:t>
      </w:r>
      <w:bookmarkEnd w:id="3"/>
      <w:r w:rsidRPr="00C03B1D">
        <w:t xml:space="preserve"> </w:t>
      </w:r>
    </w:p>
    <w:p w14:paraId="61D74D6D" w14:textId="77777777" w:rsidR="00C03B1D" w:rsidRPr="00C03B1D" w:rsidRDefault="00C03B1D" w:rsidP="00C03B1D">
      <w:r w:rsidRPr="00C03B1D">
        <w:t> </w:t>
      </w:r>
    </w:p>
    <w:p w14:paraId="1BC23D7E" w14:textId="77777777" w:rsidR="00C03B1D" w:rsidRPr="00C03B1D" w:rsidRDefault="00C03B1D" w:rsidP="00C03B1D">
      <w:r w:rsidRPr="00C03B1D">
        <w:t>A physiotherapist, Mrs Mann's GP, and her domiciliary carers must work collaboratively to support her health care needs. Each professional comes from a different educational background and contributes specialist knowledge, and coordinated working ensures holistic, person-centred care (NHS England, 2022).</w:t>
      </w:r>
    </w:p>
    <w:p w14:paraId="264F5D10" w14:textId="77777777" w:rsidR="00A6618E" w:rsidRPr="00A6618E" w:rsidRDefault="00A6618E" w:rsidP="00A6618E">
      <w:r w:rsidRPr="00A6618E">
        <w:lastRenderedPageBreak/>
        <w:t>Effective collaboration relies on timely communication like in-person, online meetings and a shared understanding. As caregivers, we are responsible for observing changes in mobility and pain, and as physiotherapists and doctors our responsibility is to clearly communicate our treatment plans and medication changes. Structured communication tools such as SBAR (Situation, Background, Assessment, Recommendation) improve clarity and reduce errors in information transfer (NHS England, 2021).</w:t>
      </w:r>
    </w:p>
    <w:p w14:paraId="4DB1F924" w14:textId="77777777" w:rsidR="00A6618E" w:rsidRPr="00A6618E" w:rsidRDefault="00A6618E" w:rsidP="00A6618E">
      <w:r w:rsidRPr="00A6618E">
        <w:t> </w:t>
      </w:r>
    </w:p>
    <w:p w14:paraId="3FAFBB1C" w14:textId="77777777" w:rsidR="00A6618E" w:rsidRPr="00A6618E" w:rsidRDefault="00A6618E" w:rsidP="00A6618E">
      <w:r w:rsidRPr="00A6618E">
        <w:t>The challenges of working with multiple agencies include time constraints, role ambiguity, organisational differences, and communication delays. Mrs Mann’s delayed medication adjustment demonstrated how failures in coordination can affect safety. If Mrs Mann's needs are not fully met, like having a translator, it can later complicate collaboration.</w:t>
      </w:r>
    </w:p>
    <w:p w14:paraId="3C5A04E4" w14:textId="733D0B1D" w:rsidR="00A6618E" w:rsidRPr="00A6618E" w:rsidRDefault="00A6618E" w:rsidP="00A6618E">
      <w:r w:rsidRPr="00A6618E">
        <w:t xml:space="preserve">Strategies to overcome these challenges include shared documentation systems, clear role definitions, making </w:t>
      </w:r>
      <w:proofErr w:type="gramStart"/>
      <w:r w:rsidRPr="00A6618E">
        <w:t>future plans</w:t>
      </w:r>
      <w:proofErr w:type="gramEnd"/>
      <w:r w:rsidRPr="00A6618E">
        <w:t xml:space="preserve"> and sharing these with the MDT, regular reviews and a culture of mutual respect (NHS England, 2022). Additionally, it is also important to involve Mrs Mann and her daughter in decision-making to ensure care remains person-centred. Professional interpreter services further support accuracy and inclusivity.</w:t>
      </w:r>
    </w:p>
    <w:p w14:paraId="647A6AA7" w14:textId="77777777" w:rsidR="00A6618E" w:rsidRPr="00A6618E" w:rsidRDefault="00A6618E" w:rsidP="00A6618E">
      <w:r w:rsidRPr="00A6618E">
        <w:t>Overall, collaborative working improves safety, reduces duplication and supports effective rehabilitation, ensuring Mrs Mann receives coordinated care across all services.</w:t>
      </w:r>
    </w:p>
    <w:p w14:paraId="40A78C9E" w14:textId="77777777" w:rsidR="00331B7C" w:rsidRDefault="00331B7C" w:rsidP="00331B7C">
      <w:pPr>
        <w:rPr>
          <w:b/>
          <w:bCs/>
        </w:rPr>
      </w:pPr>
    </w:p>
    <w:p w14:paraId="684DE294" w14:textId="07E03D97" w:rsidR="00331B7C" w:rsidRPr="00331B7C" w:rsidRDefault="00331B7C" w:rsidP="00213BC4">
      <w:pPr>
        <w:pStyle w:val="Heading1"/>
      </w:pPr>
      <w:bookmarkStart w:id="4" w:name="_Toc216501388"/>
      <w:r w:rsidRPr="00331B7C">
        <w:t>Conclusion</w:t>
      </w:r>
      <w:bookmarkEnd w:id="4"/>
      <w:r w:rsidRPr="00331B7C">
        <w:t xml:space="preserve"> </w:t>
      </w:r>
    </w:p>
    <w:p w14:paraId="0EFA2BE0" w14:textId="77777777" w:rsidR="00331B7C" w:rsidRPr="00331B7C" w:rsidRDefault="00331B7C" w:rsidP="00331B7C">
      <w:r w:rsidRPr="00331B7C">
        <w:t>Mrs Mann’s case shows how important it is to effectively communicate, have accurate administration and collaborative working in delivering safe, inclusive care. Communication guided by the Equality Act 2010 and supported by models such as SOLER ensures her language and cultural needs are respected. Assuring confidentiality and continuity of care through good administrative practices and adhering to the Data Protection Act 2018 is essential. Collaborative working between carers, physiotherapists, GPs and any other individual a part of the MDT must ensure coordinated decision-making and reduce risk. This combination contributes to Mrs Mann's safety, dignity, and independence during recovery, illustrating the best practices in health and social care.</w:t>
      </w:r>
    </w:p>
    <w:p w14:paraId="6C9365BA" w14:textId="77777777" w:rsidR="004F3523" w:rsidRDefault="004F3523"/>
    <w:p w14:paraId="632C3C6B" w14:textId="77777777" w:rsidR="00213BC4" w:rsidRPr="00213BC4" w:rsidRDefault="00213BC4" w:rsidP="00213BC4">
      <w:pPr>
        <w:pStyle w:val="Heading1"/>
      </w:pPr>
      <w:bookmarkStart w:id="5" w:name="_Toc216501389"/>
      <w:r w:rsidRPr="00213BC4">
        <w:lastRenderedPageBreak/>
        <w:t>Harvard Reference List</w:t>
      </w:r>
      <w:bookmarkEnd w:id="5"/>
    </w:p>
    <w:p w14:paraId="3316B574" w14:textId="77777777" w:rsidR="00213BC4" w:rsidRPr="00213BC4" w:rsidRDefault="00213BC4" w:rsidP="00213BC4"/>
    <w:p w14:paraId="093C0227" w14:textId="10CC8A2A" w:rsidR="00213BC4" w:rsidRPr="00213BC4" w:rsidRDefault="00213BC4" w:rsidP="00213BC4">
      <w:r w:rsidRPr="00213BC4">
        <w:t>Care Quality Commission (CQC) (2023) </w:t>
      </w:r>
      <w:r w:rsidRPr="00213BC4">
        <w:rPr>
          <w:i/>
          <w:iCs/>
        </w:rPr>
        <w:t>Regulation 17: Good governance.</w:t>
      </w:r>
      <w:r w:rsidRPr="00213BC4">
        <w:t xml:space="preserve"> Available at: https://www.cqc.org.uk </w:t>
      </w:r>
    </w:p>
    <w:p w14:paraId="5E2B51EE" w14:textId="77777777" w:rsidR="00213BC4" w:rsidRPr="00213BC4" w:rsidRDefault="00213BC4" w:rsidP="00213BC4"/>
    <w:p w14:paraId="3EF30767" w14:textId="6D76C45C" w:rsidR="00213BC4" w:rsidRPr="00213BC4" w:rsidRDefault="00213BC4" w:rsidP="00213BC4">
      <w:r w:rsidRPr="00213BC4">
        <w:t>Department of Health and Social Care (2018) </w:t>
      </w:r>
      <w:r w:rsidRPr="00213BC4">
        <w:rPr>
          <w:i/>
          <w:iCs/>
        </w:rPr>
        <w:t>Guide to the Data Protection Act 2018.</w:t>
      </w:r>
      <w:r w:rsidRPr="00213BC4">
        <w:t xml:space="preserve"> Available at: https://www.gov.uk </w:t>
      </w:r>
    </w:p>
    <w:p w14:paraId="0C6FE27F" w14:textId="77777777" w:rsidR="00213BC4" w:rsidRPr="00213BC4" w:rsidRDefault="00213BC4" w:rsidP="00213BC4"/>
    <w:p w14:paraId="3B50E114" w14:textId="77777777" w:rsidR="00213BC4" w:rsidRPr="00213BC4" w:rsidRDefault="00213BC4" w:rsidP="00213BC4">
      <w:r w:rsidRPr="00213BC4">
        <w:t>Egan, G. (1998) </w:t>
      </w:r>
      <w:r w:rsidRPr="00213BC4">
        <w:rPr>
          <w:i/>
          <w:iCs/>
        </w:rPr>
        <w:t>The Skilled Helper.</w:t>
      </w:r>
      <w:r w:rsidRPr="00213BC4">
        <w:t xml:space="preserve"> 6th </w:t>
      </w:r>
      <w:proofErr w:type="spellStart"/>
      <w:r w:rsidRPr="00213BC4">
        <w:t>edn</w:t>
      </w:r>
      <w:proofErr w:type="spellEnd"/>
      <w:r w:rsidRPr="00213BC4">
        <w:t>. Pacific Grove, CA: Brooks/Cole.</w:t>
      </w:r>
    </w:p>
    <w:p w14:paraId="28D785EC" w14:textId="77777777" w:rsidR="00213BC4" w:rsidRPr="00213BC4" w:rsidRDefault="00213BC4" w:rsidP="00213BC4"/>
    <w:p w14:paraId="6F39776A" w14:textId="1666138B" w:rsidR="00213BC4" w:rsidRPr="00213BC4" w:rsidRDefault="00213BC4" w:rsidP="00213BC4">
      <w:r w:rsidRPr="00213BC4">
        <w:t xml:space="preserve">Equality Act 2010. London: UK Government. Available at: https://www.legislation.gov.uk </w:t>
      </w:r>
    </w:p>
    <w:p w14:paraId="0AA6FEB2" w14:textId="77777777" w:rsidR="00213BC4" w:rsidRPr="00213BC4" w:rsidRDefault="00213BC4" w:rsidP="00213BC4"/>
    <w:p w14:paraId="43859668" w14:textId="7614255B" w:rsidR="00213BC4" w:rsidRPr="00213BC4" w:rsidRDefault="00213BC4" w:rsidP="00213BC4">
      <w:r w:rsidRPr="00213BC4">
        <w:t>Health and Care Professions Council (HCPC) (2016) </w:t>
      </w:r>
      <w:r w:rsidRPr="00213BC4">
        <w:rPr>
          <w:i/>
          <w:iCs/>
        </w:rPr>
        <w:t>Communicating effectively.</w:t>
      </w:r>
      <w:r w:rsidRPr="00213BC4">
        <w:t xml:space="preserve"> Available at: https://www.hcpc-uk.org </w:t>
      </w:r>
    </w:p>
    <w:p w14:paraId="76E7DFE8" w14:textId="77777777" w:rsidR="00213BC4" w:rsidRPr="00213BC4" w:rsidRDefault="00213BC4" w:rsidP="00213BC4"/>
    <w:p w14:paraId="3885B61A" w14:textId="20C79875" w:rsidR="00213BC4" w:rsidRPr="00213BC4" w:rsidRDefault="00213BC4" w:rsidP="00213BC4">
      <w:r w:rsidRPr="00213BC4">
        <w:t>NHS England (2021) </w:t>
      </w:r>
      <w:r w:rsidRPr="00213BC4">
        <w:rPr>
          <w:i/>
          <w:iCs/>
        </w:rPr>
        <w:t>SBAR communication tool.</w:t>
      </w:r>
      <w:r w:rsidRPr="00213BC4">
        <w:t xml:space="preserve"> Available at: https://www.england.nhs.uk </w:t>
      </w:r>
    </w:p>
    <w:p w14:paraId="7CA7CFCB" w14:textId="77777777" w:rsidR="00213BC4" w:rsidRPr="00213BC4" w:rsidRDefault="00213BC4" w:rsidP="00213BC4"/>
    <w:p w14:paraId="4CDBA278" w14:textId="1C8E7913" w:rsidR="00213BC4" w:rsidRPr="00213BC4" w:rsidRDefault="00213BC4" w:rsidP="00213BC4">
      <w:r w:rsidRPr="00213BC4">
        <w:t>NHS England (2022) </w:t>
      </w:r>
      <w:r w:rsidRPr="00213BC4">
        <w:rPr>
          <w:i/>
          <w:iCs/>
        </w:rPr>
        <w:t>Working in partnership with people and communities.</w:t>
      </w:r>
      <w:r w:rsidRPr="00213BC4">
        <w:t xml:space="preserve"> Available at: https://www.england.nhs.uk </w:t>
      </w:r>
    </w:p>
    <w:p w14:paraId="20F4BC06" w14:textId="77777777" w:rsidR="00213BC4" w:rsidRPr="00213BC4" w:rsidRDefault="00213BC4" w:rsidP="00213BC4"/>
    <w:p w14:paraId="67DDF144" w14:textId="271FD98C" w:rsidR="00213BC4" w:rsidRPr="00213BC4" w:rsidRDefault="00213BC4" w:rsidP="00213BC4">
      <w:r w:rsidRPr="00213BC4">
        <w:t>NICE (2014) </w:t>
      </w:r>
      <w:r w:rsidRPr="00213BC4">
        <w:rPr>
          <w:i/>
          <w:iCs/>
        </w:rPr>
        <w:t>Managing medicines in care homes (SC1).</w:t>
      </w:r>
      <w:r w:rsidRPr="00213BC4">
        <w:t> Available at: https://www.nice.org.uk</w:t>
      </w:r>
      <w:r>
        <w:t>.</w:t>
      </w:r>
    </w:p>
    <w:p w14:paraId="487DBBA8" w14:textId="77777777" w:rsidR="00213BC4" w:rsidRPr="00213BC4" w:rsidRDefault="00213BC4" w:rsidP="00213BC4"/>
    <w:p w14:paraId="1A9502D6" w14:textId="19F8798D" w:rsidR="00213BC4" w:rsidRPr="00213BC4" w:rsidRDefault="00213BC4" w:rsidP="00213BC4">
      <w:r w:rsidRPr="00213BC4">
        <w:t>Skills for Care (2019) </w:t>
      </w:r>
      <w:r w:rsidRPr="00213BC4">
        <w:rPr>
          <w:i/>
          <w:iCs/>
        </w:rPr>
        <w:t>Record keeping: Good practice guide.</w:t>
      </w:r>
      <w:r w:rsidRPr="00213BC4">
        <w:t> Available at: https://www.skillsforcare.org.uk</w:t>
      </w:r>
      <w:r>
        <w:t>.</w:t>
      </w:r>
    </w:p>
    <w:p w14:paraId="619A874F" w14:textId="77777777" w:rsidR="00213BC4" w:rsidRPr="00213BC4" w:rsidRDefault="00213BC4" w:rsidP="00213BC4"/>
    <w:p w14:paraId="0045CB0D" w14:textId="77777777" w:rsidR="00213BC4" w:rsidRPr="00213BC4" w:rsidRDefault="00213BC4" w:rsidP="00213BC4">
      <w:r w:rsidRPr="00213BC4">
        <w:t>Thompson, N. (2018) </w:t>
      </w:r>
      <w:r w:rsidRPr="00213BC4">
        <w:rPr>
          <w:i/>
          <w:iCs/>
        </w:rPr>
        <w:t>Effective Communication: A Guide for Health and Social Care.</w:t>
      </w:r>
      <w:r w:rsidRPr="00213BC4">
        <w:t xml:space="preserve"> 3rd </w:t>
      </w:r>
      <w:proofErr w:type="spellStart"/>
      <w:r w:rsidRPr="00213BC4">
        <w:t>edn</w:t>
      </w:r>
      <w:proofErr w:type="spellEnd"/>
      <w:r w:rsidRPr="00213BC4">
        <w:t>. London: Palgrave.</w:t>
      </w:r>
    </w:p>
    <w:p w14:paraId="108B740A" w14:textId="77777777" w:rsidR="00213BC4" w:rsidRPr="00213BC4" w:rsidRDefault="00213BC4" w:rsidP="00213BC4"/>
    <w:p w14:paraId="25BDCD1E" w14:textId="77777777" w:rsidR="00213BC4" w:rsidRDefault="00213BC4"/>
    <w:sectPr w:rsidR="00213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315F1"/>
    <w:multiLevelType w:val="multilevel"/>
    <w:tmpl w:val="03A41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06966"/>
    <w:multiLevelType w:val="multilevel"/>
    <w:tmpl w:val="702EF1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E0C7D"/>
    <w:multiLevelType w:val="multilevel"/>
    <w:tmpl w:val="7B5C00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885103"/>
    <w:multiLevelType w:val="multilevel"/>
    <w:tmpl w:val="67942A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D31D0"/>
    <w:multiLevelType w:val="multilevel"/>
    <w:tmpl w:val="6FC8D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593C54"/>
    <w:multiLevelType w:val="multilevel"/>
    <w:tmpl w:val="5ACCBF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808323391">
    <w:abstractNumId w:val="5"/>
  </w:num>
  <w:num w:numId="2" w16cid:durableId="898830990">
    <w:abstractNumId w:val="3"/>
  </w:num>
  <w:num w:numId="3" w16cid:durableId="119036893">
    <w:abstractNumId w:val="1"/>
  </w:num>
  <w:num w:numId="4" w16cid:durableId="845092065">
    <w:abstractNumId w:val="2"/>
  </w:num>
  <w:num w:numId="5" w16cid:durableId="1770390859">
    <w:abstractNumId w:val="0"/>
  </w:num>
  <w:num w:numId="6" w16cid:durableId="19742857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55A"/>
    <w:rsid w:val="000C34F5"/>
    <w:rsid w:val="00117902"/>
    <w:rsid w:val="00150263"/>
    <w:rsid w:val="001D314D"/>
    <w:rsid w:val="00213BC4"/>
    <w:rsid w:val="00246D8D"/>
    <w:rsid w:val="002A50EF"/>
    <w:rsid w:val="00331B7C"/>
    <w:rsid w:val="00410D0F"/>
    <w:rsid w:val="004624F7"/>
    <w:rsid w:val="004B4087"/>
    <w:rsid w:val="004F3523"/>
    <w:rsid w:val="004F48DA"/>
    <w:rsid w:val="0071291D"/>
    <w:rsid w:val="00715B50"/>
    <w:rsid w:val="007A3EA9"/>
    <w:rsid w:val="007C2608"/>
    <w:rsid w:val="008F6C52"/>
    <w:rsid w:val="009B6CFB"/>
    <w:rsid w:val="00A13A5A"/>
    <w:rsid w:val="00A6618E"/>
    <w:rsid w:val="00A80BD1"/>
    <w:rsid w:val="00AA755A"/>
    <w:rsid w:val="00AC5F75"/>
    <w:rsid w:val="00B435C5"/>
    <w:rsid w:val="00B5001D"/>
    <w:rsid w:val="00B758F2"/>
    <w:rsid w:val="00B7649B"/>
    <w:rsid w:val="00C03B1D"/>
    <w:rsid w:val="00CF26EC"/>
    <w:rsid w:val="00D11D70"/>
    <w:rsid w:val="00D851A9"/>
    <w:rsid w:val="00E5317C"/>
    <w:rsid w:val="00E7303D"/>
    <w:rsid w:val="00ED4B7B"/>
    <w:rsid w:val="00EE59D1"/>
    <w:rsid w:val="00F40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5A15A"/>
  <w15:chartTrackingRefBased/>
  <w15:docId w15:val="{02B9456A-8DDF-427D-A787-A27B26C46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5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5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5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5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5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5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5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5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5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5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5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5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5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5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5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5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5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55A"/>
    <w:rPr>
      <w:rFonts w:eastAsiaTheme="majorEastAsia" w:cstheme="majorBidi"/>
      <w:color w:val="272727" w:themeColor="text1" w:themeTint="D8"/>
    </w:rPr>
  </w:style>
  <w:style w:type="paragraph" w:styleId="Title">
    <w:name w:val="Title"/>
    <w:basedOn w:val="Normal"/>
    <w:next w:val="Normal"/>
    <w:link w:val="TitleChar"/>
    <w:uiPriority w:val="10"/>
    <w:qFormat/>
    <w:rsid w:val="00AA75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5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5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5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55A"/>
    <w:pPr>
      <w:spacing w:before="160"/>
      <w:jc w:val="center"/>
    </w:pPr>
    <w:rPr>
      <w:i/>
      <w:iCs/>
      <w:color w:val="404040" w:themeColor="text1" w:themeTint="BF"/>
    </w:rPr>
  </w:style>
  <w:style w:type="character" w:customStyle="1" w:styleId="QuoteChar">
    <w:name w:val="Quote Char"/>
    <w:basedOn w:val="DefaultParagraphFont"/>
    <w:link w:val="Quote"/>
    <w:uiPriority w:val="29"/>
    <w:rsid w:val="00AA755A"/>
    <w:rPr>
      <w:i/>
      <w:iCs/>
      <w:color w:val="404040" w:themeColor="text1" w:themeTint="BF"/>
    </w:rPr>
  </w:style>
  <w:style w:type="paragraph" w:styleId="ListParagraph">
    <w:name w:val="List Paragraph"/>
    <w:basedOn w:val="Normal"/>
    <w:uiPriority w:val="34"/>
    <w:qFormat/>
    <w:rsid w:val="00AA755A"/>
    <w:pPr>
      <w:ind w:left="720"/>
      <w:contextualSpacing/>
    </w:pPr>
  </w:style>
  <w:style w:type="character" w:styleId="IntenseEmphasis">
    <w:name w:val="Intense Emphasis"/>
    <w:basedOn w:val="DefaultParagraphFont"/>
    <w:uiPriority w:val="21"/>
    <w:qFormat/>
    <w:rsid w:val="00AA755A"/>
    <w:rPr>
      <w:i/>
      <w:iCs/>
      <w:color w:val="0F4761" w:themeColor="accent1" w:themeShade="BF"/>
    </w:rPr>
  </w:style>
  <w:style w:type="paragraph" w:styleId="IntenseQuote">
    <w:name w:val="Intense Quote"/>
    <w:basedOn w:val="Normal"/>
    <w:next w:val="Normal"/>
    <w:link w:val="IntenseQuoteChar"/>
    <w:uiPriority w:val="30"/>
    <w:qFormat/>
    <w:rsid w:val="00AA75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55A"/>
    <w:rPr>
      <w:i/>
      <w:iCs/>
      <w:color w:val="0F4761" w:themeColor="accent1" w:themeShade="BF"/>
    </w:rPr>
  </w:style>
  <w:style w:type="character" w:styleId="IntenseReference">
    <w:name w:val="Intense Reference"/>
    <w:basedOn w:val="DefaultParagraphFont"/>
    <w:uiPriority w:val="32"/>
    <w:qFormat/>
    <w:rsid w:val="00AA755A"/>
    <w:rPr>
      <w:b/>
      <w:bCs/>
      <w:smallCaps/>
      <w:color w:val="0F4761" w:themeColor="accent1" w:themeShade="BF"/>
      <w:spacing w:val="5"/>
    </w:rPr>
  </w:style>
  <w:style w:type="character" w:styleId="Hyperlink">
    <w:name w:val="Hyperlink"/>
    <w:basedOn w:val="DefaultParagraphFont"/>
    <w:uiPriority w:val="99"/>
    <w:unhideWhenUsed/>
    <w:rsid w:val="00E5317C"/>
    <w:rPr>
      <w:color w:val="467886" w:themeColor="hyperlink"/>
      <w:u w:val="single"/>
    </w:rPr>
  </w:style>
  <w:style w:type="character" w:styleId="UnresolvedMention">
    <w:name w:val="Unresolved Mention"/>
    <w:basedOn w:val="DefaultParagraphFont"/>
    <w:uiPriority w:val="99"/>
    <w:semiHidden/>
    <w:unhideWhenUsed/>
    <w:rsid w:val="00E5317C"/>
    <w:rPr>
      <w:color w:val="605E5C"/>
      <w:shd w:val="clear" w:color="auto" w:fill="E1DFDD"/>
    </w:rPr>
  </w:style>
  <w:style w:type="paragraph" w:styleId="TOCHeading">
    <w:name w:val="TOC Heading"/>
    <w:basedOn w:val="Heading1"/>
    <w:next w:val="Normal"/>
    <w:uiPriority w:val="39"/>
    <w:unhideWhenUsed/>
    <w:qFormat/>
    <w:rsid w:val="00213BC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13BC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727B7-3301-485B-AC34-69790B270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1658</Words>
  <Characters>9456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2</cp:revision>
  <dcterms:created xsi:type="dcterms:W3CDTF">2025-12-13T08:07:00Z</dcterms:created>
  <dcterms:modified xsi:type="dcterms:W3CDTF">2025-12-13T08:07:00Z</dcterms:modified>
</cp:coreProperties>
</file>