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85F30E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E62C3">
              <w:rPr>
                <w:b/>
                <w:color w:val="auto"/>
                <w:sz w:val="32"/>
              </w:rPr>
              <w:t>Cerys Jones</w:t>
            </w:r>
            <w:r>
              <w:rPr>
                <w:b/>
                <w:color w:val="auto"/>
                <w:sz w:val="32"/>
              </w:rPr>
              <w:t>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43AC114" w:rsidR="00575A8F" w:rsidRDefault="00293009" w:rsidP="00E6298B">
            <w:pPr>
              <w:overflowPunct/>
              <w:autoSpaceDE/>
              <w:autoSpaceDN/>
              <w:adjustRightInd/>
              <w:ind w:right="107"/>
              <w:textAlignment w:val="auto"/>
              <w:rPr>
                <w:b/>
                <w:color w:val="auto"/>
                <w:sz w:val="32"/>
              </w:rPr>
            </w:pPr>
            <w:r>
              <w:rPr>
                <w:b/>
                <w:color w:val="auto"/>
                <w:sz w:val="32"/>
              </w:rPr>
              <w:t>2319754</w:t>
            </w:r>
            <w:r w:rsidR="00575A8F">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465FA">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465FA">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465FA">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465FA">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465FA">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465FA">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465FA">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465FA">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465FA">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465FA">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465FA">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465FA">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57491F1" w:rsidR="00AA666E" w:rsidRPr="00025650" w:rsidRDefault="00025650" w:rsidP="00E6298B">
      <w:pPr>
        <w:ind w:right="107"/>
        <w:jc w:val="both"/>
        <w:rPr>
          <w:b/>
          <w:sz w:val="24"/>
          <w:szCs w:val="24"/>
        </w:rPr>
      </w:pPr>
      <w:r w:rsidRPr="00025650">
        <w:rPr>
          <w:b/>
          <w:sz w:val="24"/>
          <w:szCs w:val="24"/>
        </w:rPr>
        <w:t>ANSWER:</w:t>
      </w:r>
      <w:r w:rsidR="005417AF">
        <w:rPr>
          <w:b/>
          <w:sz w:val="24"/>
          <w:szCs w:val="24"/>
        </w:rPr>
        <w:t xml:space="preserve"> 10</w:t>
      </w:r>
      <w:r w:rsidR="00F50033">
        <w:rPr>
          <w:b/>
          <w:sz w:val="24"/>
          <w:szCs w:val="24"/>
        </w:rPr>
        <w:t>57</w:t>
      </w:r>
      <w:r w:rsidR="005417AF">
        <w:rPr>
          <w:b/>
          <w:sz w:val="24"/>
          <w:szCs w:val="24"/>
        </w:rPr>
        <w:t>words</w:t>
      </w:r>
    </w:p>
    <w:p w14:paraId="616003F9" w14:textId="77777777" w:rsidR="00FF7784" w:rsidRPr="00270EEB" w:rsidRDefault="00FF7784" w:rsidP="00E6298B">
      <w:pPr>
        <w:ind w:right="107"/>
        <w:jc w:val="both"/>
        <w:rPr>
          <w:sz w:val="24"/>
          <w:szCs w:val="24"/>
        </w:rPr>
      </w:pPr>
    </w:p>
    <w:p w14:paraId="3D115FCF" w14:textId="77777777" w:rsidR="0002682E" w:rsidRPr="00D1119C" w:rsidRDefault="0002682E" w:rsidP="0002682E">
      <w:pPr>
        <w:ind w:right="107"/>
        <w:jc w:val="both"/>
        <w:rPr>
          <w:rFonts w:ascii="Aptos" w:hAnsi="Aptos"/>
          <w:sz w:val="22"/>
          <w:szCs w:val="22"/>
        </w:rPr>
      </w:pPr>
      <w:r w:rsidRPr="00D1119C">
        <w:rPr>
          <w:rFonts w:ascii="Aptos" w:hAnsi="Aptos"/>
          <w:sz w:val="22"/>
          <w:szCs w:val="22"/>
        </w:rPr>
        <w:t xml:space="preserve">Within this essay I will be discussing the various coping strategies I have utilised to develop resilience and minimise stress since being attested as a Police Constable. This essay will begin by providing a brief introduction to the concepts of stress and resilience by outlining their definitions and why it is imperative to manage stress and build resilience as a Police Constable. Next, this essay will outline the various coping strategies I have used and the usefulness of these. The last part of the essay will evaluate the various coping strategies I have and will continue to use going forward in my career. </w:t>
      </w:r>
    </w:p>
    <w:p w14:paraId="079908D9" w14:textId="77777777" w:rsidR="00CA28C7" w:rsidRPr="00D1119C" w:rsidRDefault="00CA28C7" w:rsidP="0002682E">
      <w:pPr>
        <w:ind w:right="107"/>
        <w:jc w:val="both"/>
        <w:rPr>
          <w:rFonts w:ascii="Aptos" w:hAnsi="Aptos"/>
          <w:sz w:val="22"/>
          <w:szCs w:val="22"/>
        </w:rPr>
      </w:pPr>
    </w:p>
    <w:p w14:paraId="5E955CA4" w14:textId="77777777" w:rsidR="0002682E" w:rsidRPr="00D1119C" w:rsidRDefault="0002682E" w:rsidP="0002682E">
      <w:pPr>
        <w:ind w:right="107"/>
        <w:jc w:val="both"/>
        <w:rPr>
          <w:rFonts w:ascii="Aptos" w:hAnsi="Aptos"/>
          <w:sz w:val="22"/>
          <w:szCs w:val="22"/>
        </w:rPr>
      </w:pPr>
      <w:r w:rsidRPr="00D1119C">
        <w:rPr>
          <w:rFonts w:ascii="Aptos" w:hAnsi="Aptos"/>
          <w:sz w:val="22"/>
          <w:szCs w:val="22"/>
        </w:rPr>
        <w:t xml:space="preserve">Stress can be defined as a condition that arises when demands and changes in an individual’s life negatively affects their ability to cope and function effectively (Folkman, 2010; Beehr and Newman, 1978). Nielsen et al. (2008) conceptualise stress as compromising of three factors; external stressors such as the environment, physiological and psychological reactions to stress and vulnerability to stress. Resilience is defined as an individual’s ability to bounce back from stress and hardship (Bonnano, 2004; Luthan, 2002). Resilience relies on an individual’s determination to bounce back and their own belief in their ability to do so (Goerling, 2012). Resilience to stress is incredibly important within the role of a police officer because officers are at a heightened risk of developing mental health issues such as depression, anxiety and PTSD as well as health conditions due to the nature of the job such as heart disease and diabetes (Anderson et al. 2015). Sheard, Burnett and St Clair-Thompson (2019) surveyed police constables and found that 88% reported that the job impacted on their mental health, two-thirds reported having mental health issues and many reported extreme burnout and high levels of stress. Therefore, it is incredibly important that officers develop resilience and have in place coping strategies to help cope with the nature of the job. Positive coping strategies can help officers to limit the effects of stress and allow for them to find a “mental balance” in order to manage stress effectively (Galanis, Fragkou and Katsoulas, 2021, p.7). </w:t>
      </w:r>
    </w:p>
    <w:p w14:paraId="7A0D0889" w14:textId="77777777" w:rsidR="005417AF" w:rsidRPr="00D1119C" w:rsidRDefault="005417AF" w:rsidP="0002682E">
      <w:pPr>
        <w:ind w:right="107"/>
        <w:jc w:val="both"/>
        <w:rPr>
          <w:rFonts w:ascii="Aptos" w:hAnsi="Aptos"/>
          <w:sz w:val="22"/>
          <w:szCs w:val="22"/>
        </w:rPr>
      </w:pPr>
    </w:p>
    <w:p w14:paraId="355B0B22" w14:textId="7767940D" w:rsidR="005417AF" w:rsidRPr="00D1119C" w:rsidRDefault="0002682E" w:rsidP="0002682E">
      <w:pPr>
        <w:ind w:right="107"/>
        <w:jc w:val="both"/>
        <w:rPr>
          <w:rFonts w:ascii="Aptos" w:hAnsi="Aptos"/>
          <w:sz w:val="22"/>
          <w:szCs w:val="22"/>
        </w:rPr>
      </w:pPr>
      <w:r w:rsidRPr="00D1119C">
        <w:rPr>
          <w:rFonts w:ascii="Aptos" w:hAnsi="Aptos"/>
          <w:sz w:val="22"/>
          <w:szCs w:val="22"/>
        </w:rPr>
        <w:t xml:space="preserve">The first coping strategy I have used is running. I am a keen runner and I aim to run at least five times a week with goals to one day complete a half marathon. I find that after I do a run I feel psychologically refreshed and during the run I always aim to let go of any negative thoughts I have and focus on nature and the environment around me. I feel that running does contribute not only to improved fitness for myself which is important in my role but also improved mental wellbeing. There is an array of literature that supports the theory that running or physical activity in general has a positive effect on mental health and reducing stress. Gerber et al. (2010) found that in their study of Swiss police and emergency workers, physical exercise was a vital coping mechanism and that it reduced stressed. Furthermore, Kim and Mckenzie (2014) found in their study that exercise contributed to individuals ability to cope,  problem solving, helped focus their thoughts and even contributed to effective time management. Deuster and Silverman (2013, p. 24) also found that exercise has a positive effect on resilience because </w:t>
      </w:r>
      <w:r w:rsidRPr="00D1119C">
        <w:rPr>
          <w:rFonts w:ascii="Aptos" w:hAnsi="Aptos"/>
          <w:sz w:val="22"/>
          <w:szCs w:val="22"/>
        </w:rPr>
        <w:lastRenderedPageBreak/>
        <w:t xml:space="preserve">it can “induce positive physiologic and psychological benefits, protect against potential consequences of stressful events and prevent many chronic diseases”. </w:t>
      </w:r>
    </w:p>
    <w:p w14:paraId="0FB06965" w14:textId="77777777" w:rsidR="005417AF" w:rsidRPr="00D1119C" w:rsidRDefault="005417AF" w:rsidP="0002682E">
      <w:pPr>
        <w:ind w:right="107"/>
        <w:jc w:val="both"/>
        <w:rPr>
          <w:rFonts w:ascii="Aptos" w:hAnsi="Aptos"/>
          <w:sz w:val="22"/>
          <w:szCs w:val="22"/>
        </w:rPr>
      </w:pPr>
    </w:p>
    <w:p w14:paraId="36282099" w14:textId="6DD33CF4" w:rsidR="0002682E" w:rsidRPr="00D1119C" w:rsidRDefault="0002682E" w:rsidP="0002682E">
      <w:pPr>
        <w:ind w:right="107"/>
        <w:jc w:val="both"/>
        <w:rPr>
          <w:rFonts w:ascii="Aptos" w:hAnsi="Aptos"/>
          <w:sz w:val="22"/>
          <w:szCs w:val="22"/>
        </w:rPr>
      </w:pPr>
      <w:r w:rsidRPr="00D1119C">
        <w:rPr>
          <w:rFonts w:ascii="Aptos" w:hAnsi="Aptos"/>
          <w:sz w:val="22"/>
          <w:szCs w:val="22"/>
        </w:rPr>
        <w:t>The second coping strategy that I have utilised is reading. I am an avid reader and I aim to try and read a few books a month. I find reading, like running, calms and destresses me as I immerse myself into the reality that is the storyline of the book. There is limited research into how reading can help to reduce stress so this is an under researched area. However, research does give an idea of how reading can contribute to stress reduction. Bibliotherapy is a creative arts therapy that uses reading to help relieve emotional and behaviour conditions (Vries et al. 2017). Bibliotherapy believes that reading when coupled with discussion</w:t>
      </w:r>
      <w:r w:rsidR="00D54FE6">
        <w:rPr>
          <w:rFonts w:ascii="Aptos" w:hAnsi="Aptos"/>
          <w:sz w:val="22"/>
          <w:szCs w:val="22"/>
        </w:rPr>
        <w:t>,</w:t>
      </w:r>
      <w:r w:rsidRPr="00D1119C">
        <w:rPr>
          <w:rFonts w:ascii="Aptos" w:hAnsi="Aptos"/>
          <w:sz w:val="22"/>
          <w:szCs w:val="22"/>
        </w:rPr>
        <w:t xml:space="preserve"> can have positive effects on an individual’s psychological, cognitive, social and behavioural condition as it can help to relieve stress, cope with difficult situations and provide a sense of comfort through imagination (Vries et al. 2017; Poerio and Totterdell, 2020). Furthermore, Watson (2016) found in their study that 56% of students dealt with stress by reading and that reading made students feel relaxed and relieved of stress. This is corroborated by Schabasser (2024) who found in a survey of 150 respondents reading was one of the leading activities that helped respondents relieve stress. This research found that reading helps people relax and made them feel that reading was a tool to improving their mental health. Readers in Poerio and Tottderdell (2020) study reported reduced levels of mental health issues such as depression, anxiety and stress and improvements in terms of self-esteem and their ability to deal with negative and challenging situations. </w:t>
      </w:r>
    </w:p>
    <w:p w14:paraId="66EF86B6" w14:textId="77777777" w:rsidR="005417AF" w:rsidRPr="00D1119C" w:rsidRDefault="005417AF" w:rsidP="0002682E">
      <w:pPr>
        <w:ind w:right="107"/>
        <w:jc w:val="both"/>
        <w:rPr>
          <w:rFonts w:ascii="Aptos" w:hAnsi="Aptos"/>
          <w:sz w:val="22"/>
          <w:szCs w:val="22"/>
        </w:rPr>
      </w:pPr>
    </w:p>
    <w:p w14:paraId="3C776732" w14:textId="77777777" w:rsidR="0002682E" w:rsidRPr="00D1119C" w:rsidRDefault="0002682E" w:rsidP="0002682E">
      <w:pPr>
        <w:ind w:right="107"/>
        <w:jc w:val="both"/>
        <w:rPr>
          <w:rFonts w:ascii="Aptos" w:hAnsi="Aptos"/>
          <w:sz w:val="22"/>
          <w:szCs w:val="22"/>
        </w:rPr>
      </w:pPr>
      <w:r w:rsidRPr="00D1119C">
        <w:rPr>
          <w:rFonts w:ascii="Aptos" w:hAnsi="Aptos"/>
          <w:sz w:val="22"/>
          <w:szCs w:val="22"/>
        </w:rPr>
        <w:t xml:space="preserve">Both of these coping strategies have been beneficial in helping me to reduce stress and build resilience when dealing with the demands of being a police officer. However, it cannot be ignored that during certain stressful times I do lack the motivation to engage in physical activity. Plus, at times I do not have the time or energy to run because certain days at work can be challenging. This is a downside to my coping strategy but one that has also been evidenced by Rao et al. (2012) and Schultchen et al. (2019) who find that exhaustion and lack of time can have a negative contribution to physical activity. Plus, I have to be wary that the job is already physically demanding so I could be susceptible to musculoskeletal injuries or other issues such as burnout. Due to this I have decided to reduce my amount of runs each week to two or three so that I do not risk exerting myself too much. Instead, I will focus more on my reading and aim to read every week to de-stress myself and calm my mind. Therefore, reading will be my main coping strategy to reduce stress and build resilience as it has less risk factors associated with it, as even on days when I feel burnt out and stressed, reading provides me with a cathartic release and peace of mind. </w:t>
      </w:r>
    </w:p>
    <w:p w14:paraId="4BBECC4B" w14:textId="77777777" w:rsidR="0002682E" w:rsidRPr="0002682E" w:rsidRDefault="0002682E" w:rsidP="0002682E">
      <w:pPr>
        <w:ind w:right="107"/>
        <w:jc w:val="both"/>
        <w:rPr>
          <w:sz w:val="24"/>
          <w:szCs w:val="24"/>
        </w:rPr>
      </w:pPr>
    </w:p>
    <w:p w14:paraId="71B03EFF" w14:textId="77777777" w:rsidR="0002682E" w:rsidRPr="0002682E" w:rsidRDefault="0002682E" w:rsidP="0002682E">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7D9BC8B" w:rsidR="003B2A14" w:rsidRPr="00450C83" w:rsidRDefault="003B2A14" w:rsidP="00E6298B">
      <w:pPr>
        <w:ind w:right="107"/>
        <w:jc w:val="both"/>
        <w:rPr>
          <w:b/>
          <w:sz w:val="24"/>
          <w:szCs w:val="24"/>
        </w:rPr>
      </w:pPr>
      <w:r w:rsidRPr="00450C83">
        <w:rPr>
          <w:b/>
          <w:sz w:val="24"/>
          <w:szCs w:val="24"/>
        </w:rPr>
        <w:t>ANSWER:</w:t>
      </w:r>
      <w:r w:rsidR="0083163F">
        <w:rPr>
          <w:b/>
          <w:sz w:val="24"/>
          <w:szCs w:val="24"/>
        </w:rPr>
        <w:t xml:space="preserve"> 19</w:t>
      </w:r>
      <w:r w:rsidR="00F06BD6">
        <w:rPr>
          <w:b/>
          <w:sz w:val="24"/>
          <w:szCs w:val="24"/>
        </w:rPr>
        <w:t>75</w:t>
      </w:r>
      <w:r w:rsidR="0083163F">
        <w:rPr>
          <w:b/>
          <w:sz w:val="24"/>
          <w:szCs w:val="24"/>
        </w:rPr>
        <w:t xml:space="preserve"> words</w:t>
      </w:r>
    </w:p>
    <w:p w14:paraId="6A73DBDF" w14:textId="77777777" w:rsidR="00AA666E" w:rsidRPr="00270EEB" w:rsidRDefault="00AA666E" w:rsidP="00E6298B">
      <w:pPr>
        <w:ind w:right="107"/>
        <w:jc w:val="both"/>
        <w:rPr>
          <w:sz w:val="24"/>
          <w:szCs w:val="24"/>
        </w:rPr>
      </w:pPr>
    </w:p>
    <w:p w14:paraId="4D6FEDB4" w14:textId="1420C038"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Conflict is unfortunately a routine factor in our lives. Conflict manifests itself in a variety of different ways</w:t>
      </w:r>
      <w:r w:rsidR="00000080">
        <w:rPr>
          <w:rFonts w:ascii="Aptos" w:eastAsia="Aptos" w:hAnsi="Aptos" w:cs="Times New Roman"/>
          <w:color w:val="auto"/>
          <w:kern w:val="2"/>
          <w:sz w:val="22"/>
          <w:szCs w:val="22"/>
          <w:lang w:eastAsia="en-US"/>
          <w14:ligatures w14:val="standardContextual"/>
        </w:rPr>
        <w:t>.</w:t>
      </w:r>
      <w:r w:rsidRPr="00E45BED">
        <w:rPr>
          <w:rFonts w:ascii="Aptos" w:eastAsia="Aptos" w:hAnsi="Aptos" w:cs="Times New Roman"/>
          <w:color w:val="auto"/>
          <w:kern w:val="2"/>
          <w:sz w:val="22"/>
          <w:szCs w:val="22"/>
          <w:lang w:eastAsia="en-US"/>
          <w14:ligatures w14:val="standardContextual"/>
        </w:rPr>
        <w:t xml:space="preserve"> For example, conflict can be “intrapersonal, interpersonal, intragroup, intergroup and international” (Chijoko et al. 2020, p.288). Conflict can be caused by a number of different factors with the underlying cause of conflict often being multifaceted, confusing and complex. Research shows that conflict can result from differences of opinion, class struggles, life uncertainties and differences in societal, cultural or religious beliefs (Deutch, Coleman and Marcus, 2006). Our role as police officers is to try and intervene in this conflict in order to manage and restore peace. Police officers are trained to deal with conflict and are governed by laws and legislation such as PACE, conflict management guidelines and officer safety training tactics which guide officers in how they can deal with conflict situations. This essay will discuss conflict management and do so by critically assessing an incident I have been involved with that involves conflict. This will be done by critically assessing the social and legislative context only as there were no cultural, ethnicity and language issues that arose during the incident. The essay will then critically evaluate the theory of Betaris box and will do so through discussion of communication skills I utilised during the incident. This essay will begin by discussing the incident itself for context. </w:t>
      </w:r>
    </w:p>
    <w:p w14:paraId="59FEF119" w14:textId="77777777"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A call came from neighbours stating that they thought a domestic was taking place as they could hear screaming, shouting and crashing coming from a specific flat and the neighbours could hear a female shouting “get off me, you are hurting me”. On attendance myself and my colleague split both parties up and while speaking to the female she disclosed what had happened and stated that her and her partner were arguing and the male had pushed her over and dragged her out of the house. I arrested the male at the address for DV common assault, I handcuffed him, searched him and put him in the back of the police van. </w:t>
      </w:r>
    </w:p>
    <w:p w14:paraId="24743CB4" w14:textId="77777777"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lastRenderedPageBreak/>
        <w:t>This was a domestic incident. Domestic violence is any behaviour that involves those over the age of 16 and who are personally connected. The behaviour exhibited is abusive and considers any of the following forms of abuse:</w:t>
      </w:r>
    </w:p>
    <w:p w14:paraId="1A497918" w14:textId="77777777" w:rsidR="00E45BED" w:rsidRPr="00E45BED" w:rsidRDefault="00E45BED" w:rsidP="009465FA">
      <w:pPr>
        <w:numPr>
          <w:ilvl w:val="0"/>
          <w:numId w:val="5"/>
        </w:numPr>
        <w:overflowPunct/>
        <w:autoSpaceDE/>
        <w:autoSpaceDN/>
        <w:adjustRightInd/>
        <w:spacing w:after="160" w:line="259" w:lineRule="auto"/>
        <w:contextualSpacing/>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Physical or sexual</w:t>
      </w:r>
    </w:p>
    <w:p w14:paraId="0FB74DF0" w14:textId="77777777" w:rsidR="00E45BED" w:rsidRPr="00E45BED" w:rsidRDefault="00E45BED" w:rsidP="009465FA">
      <w:pPr>
        <w:numPr>
          <w:ilvl w:val="0"/>
          <w:numId w:val="5"/>
        </w:numPr>
        <w:overflowPunct/>
        <w:autoSpaceDE/>
        <w:autoSpaceDN/>
        <w:adjustRightInd/>
        <w:spacing w:after="160" w:line="259" w:lineRule="auto"/>
        <w:contextualSpacing/>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Violent or threatening behaviour </w:t>
      </w:r>
    </w:p>
    <w:p w14:paraId="063596DB" w14:textId="77777777" w:rsidR="00E45BED" w:rsidRPr="00E45BED" w:rsidRDefault="00E45BED" w:rsidP="009465FA">
      <w:pPr>
        <w:numPr>
          <w:ilvl w:val="0"/>
          <w:numId w:val="5"/>
        </w:numPr>
        <w:overflowPunct/>
        <w:autoSpaceDE/>
        <w:autoSpaceDN/>
        <w:adjustRightInd/>
        <w:spacing w:after="160" w:line="259" w:lineRule="auto"/>
        <w:contextualSpacing/>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Controlling or coercive behaviour </w:t>
      </w:r>
    </w:p>
    <w:p w14:paraId="50E8F88B" w14:textId="77777777" w:rsidR="00E45BED" w:rsidRPr="00E45BED" w:rsidRDefault="00E45BED" w:rsidP="009465FA">
      <w:pPr>
        <w:numPr>
          <w:ilvl w:val="0"/>
          <w:numId w:val="5"/>
        </w:numPr>
        <w:overflowPunct/>
        <w:autoSpaceDE/>
        <w:autoSpaceDN/>
        <w:adjustRightInd/>
        <w:spacing w:after="160" w:line="259" w:lineRule="auto"/>
        <w:contextualSpacing/>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Economic abuse </w:t>
      </w:r>
    </w:p>
    <w:p w14:paraId="1493D40D" w14:textId="77777777" w:rsidR="00E45BED" w:rsidRDefault="00E45BED" w:rsidP="009465FA">
      <w:pPr>
        <w:numPr>
          <w:ilvl w:val="0"/>
          <w:numId w:val="5"/>
        </w:numPr>
        <w:overflowPunct/>
        <w:autoSpaceDE/>
        <w:autoSpaceDN/>
        <w:adjustRightInd/>
        <w:spacing w:after="160" w:line="259" w:lineRule="auto"/>
        <w:contextualSpacing/>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Psychological, emotional or other abuse </w:t>
      </w:r>
    </w:p>
    <w:p w14:paraId="326EBC05" w14:textId="77777777" w:rsidR="00B611B5" w:rsidRPr="00E45BED" w:rsidRDefault="00B611B5" w:rsidP="00B611B5">
      <w:pPr>
        <w:overflowPunct/>
        <w:autoSpaceDE/>
        <w:autoSpaceDN/>
        <w:adjustRightInd/>
        <w:spacing w:after="160" w:line="259" w:lineRule="auto"/>
        <w:contextualSpacing/>
        <w:textAlignment w:val="auto"/>
        <w:rPr>
          <w:rFonts w:ascii="Aptos" w:eastAsia="Aptos" w:hAnsi="Aptos" w:cs="Times New Roman"/>
          <w:color w:val="auto"/>
          <w:kern w:val="2"/>
          <w:sz w:val="22"/>
          <w:szCs w:val="22"/>
          <w:lang w:eastAsia="en-US"/>
          <w14:ligatures w14:val="standardContextual"/>
        </w:rPr>
      </w:pPr>
    </w:p>
    <w:p w14:paraId="063AAB40" w14:textId="13B45645"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This behaviour can be a course of conduct or a single incident (GOV.UK, 2012). Domestic violence is prevalent in society with the Crime Survey for England and Wales estimating that in the year ending March 2023 there were 2.1 million people aged 16 and over who experienced domestic abuse/violence (ONS, 2023). In terms of police recorded crime there were 889,918 domestic abuse related incidents recorded by the police in the same year. Research estimates that “1 in 5 adults experience domestic violence in their lifetime” and for “every three victims, two are female and one is male” (National Centre for Domestic violence, 2024, p.1). Statistics do suggest that domestic violence is mainly experienced by females with 94.6% of perpetrators being men (Women’s Aid, 2023). Domestic violence has a substantial effect on victims with one study by Trevillion et al. (2012) f</w:t>
      </w:r>
      <w:r w:rsidR="00E4165E">
        <w:rPr>
          <w:rFonts w:ascii="Aptos" w:eastAsia="Aptos" w:hAnsi="Aptos" w:cs="Times New Roman"/>
          <w:color w:val="auto"/>
          <w:kern w:val="2"/>
          <w:sz w:val="22"/>
          <w:szCs w:val="22"/>
          <w:lang w:eastAsia="en-US"/>
          <w14:ligatures w14:val="standardContextual"/>
        </w:rPr>
        <w:t>i</w:t>
      </w:r>
      <w:r w:rsidRPr="00E45BED">
        <w:rPr>
          <w:rFonts w:ascii="Aptos" w:eastAsia="Aptos" w:hAnsi="Aptos" w:cs="Times New Roman"/>
          <w:color w:val="auto"/>
          <w:kern w:val="2"/>
          <w:sz w:val="22"/>
          <w:szCs w:val="22"/>
          <w:lang w:eastAsia="en-US"/>
          <w14:ligatures w14:val="standardContextual"/>
        </w:rPr>
        <w:t xml:space="preserve">nding that victims of domestic violence are 3x more likely to experience depression, 4x more likely to experience anxiety and 7x more likely to experience PTSD. Furthermore, substance misuse, eating disorders and psychosis have also been reported to be associated with domestic violence (Oram, Khalifeh and Howard, 2017). </w:t>
      </w:r>
    </w:p>
    <w:p w14:paraId="13C87664" w14:textId="63767668"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However, statistics on domestic violence should be reviewed with caution. In terms of the CSEW 2023 report</w:t>
      </w:r>
      <w:r w:rsidR="00170590">
        <w:rPr>
          <w:rFonts w:ascii="Aptos" w:eastAsia="Aptos" w:hAnsi="Aptos" w:cs="Times New Roman"/>
          <w:color w:val="auto"/>
          <w:kern w:val="2"/>
          <w:sz w:val="22"/>
          <w:szCs w:val="22"/>
          <w:lang w:eastAsia="en-US"/>
          <w14:ligatures w14:val="standardContextual"/>
        </w:rPr>
        <w:t>,</w:t>
      </w:r>
      <w:r w:rsidRPr="00E45BED">
        <w:rPr>
          <w:rFonts w:ascii="Aptos" w:eastAsia="Aptos" w:hAnsi="Aptos" w:cs="Times New Roman"/>
          <w:color w:val="auto"/>
          <w:kern w:val="2"/>
          <w:sz w:val="22"/>
          <w:szCs w:val="22"/>
          <w:lang w:eastAsia="en-US"/>
          <w14:ligatures w14:val="standardContextual"/>
        </w:rPr>
        <w:t xml:space="preserve"> the statistics are only based on 8 out of the 12 months due to an error in the collection of the survey. This report excluded Devon and Cornwall borough (ONS, 2023). Furthermore, studies estimate that around 85% of domestic violence is not reported to the police</w:t>
      </w:r>
      <w:r w:rsidR="00170590">
        <w:rPr>
          <w:rFonts w:ascii="Aptos" w:eastAsia="Aptos" w:hAnsi="Aptos" w:cs="Times New Roman"/>
          <w:color w:val="auto"/>
          <w:kern w:val="2"/>
          <w:sz w:val="22"/>
          <w:szCs w:val="22"/>
          <w:lang w:eastAsia="en-US"/>
          <w14:ligatures w14:val="standardContextual"/>
        </w:rPr>
        <w:t xml:space="preserve"> (Victim Support, 2018)</w:t>
      </w:r>
      <w:r w:rsidRPr="00E45BED">
        <w:rPr>
          <w:rFonts w:ascii="Aptos" w:eastAsia="Aptos" w:hAnsi="Aptos" w:cs="Times New Roman"/>
          <w:color w:val="auto"/>
          <w:kern w:val="2"/>
          <w:sz w:val="22"/>
          <w:szCs w:val="22"/>
          <w:lang w:eastAsia="en-US"/>
          <w14:ligatures w14:val="standardContextual"/>
        </w:rPr>
        <w:t xml:space="preserve">. There are an abundance of reasons why victims may not report domestic violence but this can include lack of trust in the police, concerns about the perpetrator and children involved, fear, shame, fear of not being believed and many more reasons (Couto, O’Leary and Brennan, 2023; Victim Support, 2018). Therefore, the true extent of domestic violence, its prevalence and effects are unknown. </w:t>
      </w:r>
    </w:p>
    <w:p w14:paraId="0C72A064" w14:textId="13A9A50C"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The legislative context of this incident centres around common assault. Common Assault is defined as “any act (and not mere omission to act) by which a person intentionally or recklessly causes another to suffer or apprehend immediate unlawful violence” (CPS, 2022</w:t>
      </w:r>
      <w:r w:rsidR="00FC2467">
        <w:rPr>
          <w:rFonts w:ascii="Aptos" w:eastAsia="Aptos" w:hAnsi="Aptos" w:cs="Times New Roman"/>
          <w:color w:val="auto"/>
          <w:kern w:val="2"/>
          <w:sz w:val="22"/>
          <w:szCs w:val="22"/>
          <w:lang w:eastAsia="en-US"/>
          <w14:ligatures w14:val="standardContextual"/>
        </w:rPr>
        <w:t>, p.1</w:t>
      </w:r>
      <w:r w:rsidRPr="00E45BED">
        <w:rPr>
          <w:rFonts w:ascii="Aptos" w:eastAsia="Aptos" w:hAnsi="Aptos" w:cs="Times New Roman"/>
          <w:color w:val="auto"/>
          <w:kern w:val="2"/>
          <w:sz w:val="22"/>
          <w:szCs w:val="22"/>
          <w:lang w:eastAsia="en-US"/>
          <w14:ligatures w14:val="standardContextual"/>
        </w:rPr>
        <w:t xml:space="preserve">). Common assault does not need an assault to take place, if the victim feels like they are going to be assaulted then this is also common assault (CPS, 2022). Common assault includes minor injuries or actions such as pushing or spitting. In terms of domestic violence, changes have come into place which allow victims of domestic violence more time to report offences of common assault. Law now allows for prosecutions to commence two years after the incident was formally reported instead of six months, this allows victims more time to report an offence as often than not domestic violence is not reported straight away (GOV.UK, 2022). </w:t>
      </w:r>
    </w:p>
    <w:p w14:paraId="247FC970" w14:textId="77777777"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Academics have attempted to understand the causes of conflict within policing interventions through a number of different theories. One theory is that of Betaris Box. In simple terms Betaris Box helps to explain how our attitudes and behaviours as police officers shape the attitudes and behaviours of those that we deal with (Jurczyk, 2022). This theory thus suggests if you treat someone with dignity, respect and in a friendly manner then their attitudes and behaviours will reflect this or if you treat them aggressively or abruptly they will reflect that instead. In terms of policing this theory suggests officers should engage in positive attitudes so as to get a positive response from individuals. I have seen this theory in action during my time as a police officer and especially in the context of the incident I am </w:t>
      </w:r>
      <w:r w:rsidRPr="00E45BED">
        <w:rPr>
          <w:rFonts w:ascii="Aptos" w:eastAsia="Aptos" w:hAnsi="Aptos" w:cs="Times New Roman"/>
          <w:color w:val="auto"/>
          <w:kern w:val="2"/>
          <w:sz w:val="22"/>
          <w:szCs w:val="22"/>
          <w:lang w:eastAsia="en-US"/>
          <w14:ligatures w14:val="standardContextual"/>
        </w:rPr>
        <w:lastRenderedPageBreak/>
        <w:t xml:space="preserve">discussing in this essay. The male who I arrested for DV common assault was not happy about being arrested. He did resist when he was arrested however I resolved to calming him down by talking to him. A communication skill I utilised was building rapport with the male and showing him respect. I kept my tone of voice relaxed, calm and did not engage in any loud or aggressive speech which I found worked in calming the male down. The male asked me if he could have a cigarette while we waited for the van to arrive to take him to custody and I allowed it. I found that this helped calm him down and he thanked me for letting him have a cigarette to calm his nerves and apologised for being difficult. I found treating the male with respect to be a useful communication skill as it calmed him down and made him compliant. </w:t>
      </w:r>
    </w:p>
    <w:p w14:paraId="555F8E80" w14:textId="77777777"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Respect has been shown to be useful communication skills in escalating conflict. </w:t>
      </w:r>
      <w:r w:rsidRPr="00E45BED">
        <w:rPr>
          <w:rFonts w:ascii="Minion-Regular" w:eastAsia="Aptos" w:hAnsi="Minion-Regular" w:cs="Minion-Regular"/>
          <w:color w:val="auto"/>
          <w:sz w:val="23"/>
          <w:szCs w:val="23"/>
          <w:lang w:eastAsia="en-US"/>
          <w14:ligatures w14:val="standardContextual"/>
        </w:rPr>
        <w:t>Todak and White (2019) found respect to be a calming tactic in resolving conflict in their study. Todak and White (2019) found that showing individuals respect helped to reduce tension and build rapport. This is an important tool as a police officer and can help break the ice when dealing with conflict situations with offenders. However, some studies do not find an association between decreased conflict and respect (Jackel, Zerres and Huffmeier, 2024). Furthermore, there are also limited studies in terms of policing and conflict management techniques like respect, thus more work needs to be done in this area. Also, this skill does not work for everyone. During this incident another colleague of mine tried engaging with the male the same way I did but it did not work, it appeared to anger the male more. Therefore, the theory of Betaris box and engaging in positive attributes such as respect is not generalisable.</w:t>
      </w:r>
    </w:p>
    <w:p w14:paraId="4DEAA2E9" w14:textId="2E0DA71F"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t>Another communication skill I utilised during this Incident was active listening skills. I actively listened to the males side of the story and actively listened to him talk about his life so as to build rapport with the male. I showed positive interest in what he had to say and like Betaris Box explains this helped me to shape his attitude towards me which ended up</w:t>
      </w:r>
      <w:r w:rsidR="00CD6DA5">
        <w:rPr>
          <w:rFonts w:ascii="Aptos" w:eastAsia="Aptos" w:hAnsi="Aptos" w:cs="Times New Roman"/>
          <w:color w:val="auto"/>
          <w:kern w:val="2"/>
          <w:sz w:val="22"/>
          <w:szCs w:val="22"/>
          <w:lang w:eastAsia="en-US"/>
          <w14:ligatures w14:val="standardContextual"/>
        </w:rPr>
        <w:t xml:space="preserve"> being</w:t>
      </w:r>
      <w:r w:rsidRPr="00E45BED">
        <w:rPr>
          <w:rFonts w:ascii="Aptos" w:eastAsia="Aptos" w:hAnsi="Aptos" w:cs="Times New Roman"/>
          <w:color w:val="auto"/>
          <w:kern w:val="2"/>
          <w:sz w:val="22"/>
          <w:szCs w:val="22"/>
          <w:lang w:eastAsia="en-US"/>
          <w14:ligatures w14:val="standardContextual"/>
        </w:rPr>
        <w:t xml:space="preserve"> positive. Although the male was arrested he was arrested on suspicion of dv common assault, that means he is innocent until proven guilty and thus he should be treated with the same respect as everyone else I encounter In my job. I actively listened to the male as he told me his side of the story and I reminded him that he will have his chance to explain everything in interview. Allowing him to tell his side calmed him down and It allowed the male to feel heard and respected. Active listening also involved me making the male aware I was listening by nodding my head, paraphrasing what he has just told me so he can know I listened and mirroring what he said. All of these helped me to build rapport and show the male I was listening. </w:t>
      </w:r>
    </w:p>
    <w:p w14:paraId="3D789964" w14:textId="68D28B0C" w:rsidR="00E45BED" w:rsidRPr="00E45BED" w:rsidRDefault="00E45BED" w:rsidP="00E45BED">
      <w:pPr>
        <w:overflowPunct/>
        <w:autoSpaceDE/>
        <w:autoSpaceDN/>
        <w:adjustRightInd/>
        <w:spacing w:after="160" w:line="259" w:lineRule="auto"/>
        <w:textAlignment w:val="auto"/>
        <w:rPr>
          <w:rFonts w:ascii="Minion-Regular" w:eastAsia="Aptos" w:hAnsi="Minion-Regular" w:cs="Minion-Regular"/>
          <w:color w:val="auto"/>
          <w:sz w:val="23"/>
          <w:szCs w:val="23"/>
          <w:lang w:eastAsia="en-US"/>
          <w14:ligatures w14:val="standardContextual"/>
        </w:rPr>
      </w:pPr>
      <w:r w:rsidRPr="00E45BED">
        <w:rPr>
          <w:rFonts w:ascii="Aptos" w:eastAsia="Aptos" w:hAnsi="Aptos" w:cs="Times New Roman"/>
          <w:color w:val="auto"/>
          <w:kern w:val="2"/>
          <w:sz w:val="22"/>
          <w:szCs w:val="22"/>
          <w:lang w:eastAsia="en-US"/>
          <w14:ligatures w14:val="standardContextual"/>
        </w:rPr>
        <w:t xml:space="preserve">Active listening has been found to be a useful tool in conflict management. Researchers such as Todak and White (2019) found that when officers let individuals vent and tell their side of the story it helps to build trust and deescalate conflict. Other researchers such as McMains and Mullins (2001), Royce (2005) and Chananis and Gava (2014) all found in their studies that actively listening to individuals was associated with higher rates of engagement and agreement in situations and active listening increased trust and control of situations. Active listening allows for rapport to be built which helps to facilitate cooperation </w:t>
      </w:r>
      <w:r w:rsidRPr="00E45BED">
        <w:rPr>
          <w:rFonts w:ascii="Minion-Regular" w:eastAsia="Aptos" w:hAnsi="Minion-Regular" w:cs="Minion-Regular"/>
          <w:color w:val="auto"/>
          <w:sz w:val="23"/>
          <w:szCs w:val="23"/>
          <w:lang w:eastAsia="en-US"/>
          <w14:ligatures w14:val="standardContextual"/>
        </w:rPr>
        <w:t xml:space="preserve">in conflict situations. Studies such as Drolet and Morris (2000) and Campell, Davis and Skinner (2006) show that active listening and rapport builds trust and decreases conflict as it shows an individual you care about what they have to say. Kassin et al (2007) found that rapport was the fourth highest rated intervention used by police officers in dealing with conflict situations. </w:t>
      </w:r>
      <w:r w:rsidRPr="00E45BED">
        <w:rPr>
          <w:rFonts w:ascii="Aptos" w:eastAsia="Aptos" w:hAnsi="Aptos" w:cs="Times New Roman"/>
          <w:color w:val="auto"/>
          <w:kern w:val="2"/>
          <w:sz w:val="22"/>
          <w:szCs w:val="22"/>
          <w:lang w:eastAsia="en-US"/>
          <w14:ligatures w14:val="standardContextual"/>
        </w:rPr>
        <w:t xml:space="preserve">However, active listening will not always work with individuals and with every situation. There will be times where individuals </w:t>
      </w:r>
      <w:r w:rsidR="005A43B9" w:rsidRPr="00E45BED">
        <w:rPr>
          <w:rFonts w:ascii="Aptos" w:eastAsia="Aptos" w:hAnsi="Aptos" w:cs="Times New Roman"/>
          <w:color w:val="auto"/>
          <w:kern w:val="2"/>
          <w:sz w:val="22"/>
          <w:szCs w:val="22"/>
          <w:lang w:eastAsia="en-US"/>
          <w14:ligatures w14:val="standardContextual"/>
        </w:rPr>
        <w:t>won’t</w:t>
      </w:r>
      <w:r w:rsidRPr="00E45BED">
        <w:rPr>
          <w:rFonts w:ascii="Aptos" w:eastAsia="Aptos" w:hAnsi="Aptos" w:cs="Times New Roman"/>
          <w:color w:val="auto"/>
          <w:kern w:val="2"/>
          <w:sz w:val="22"/>
          <w:szCs w:val="22"/>
          <w:lang w:eastAsia="en-US"/>
          <w14:ligatures w14:val="standardContextual"/>
        </w:rPr>
        <w:t xml:space="preserve"> want to engage and talk about i</w:t>
      </w:r>
      <w:r w:rsidR="00B8124D">
        <w:rPr>
          <w:rFonts w:ascii="Aptos" w:eastAsia="Aptos" w:hAnsi="Aptos" w:cs="Times New Roman"/>
          <w:color w:val="auto"/>
          <w:kern w:val="2"/>
          <w:sz w:val="22"/>
          <w:szCs w:val="22"/>
          <w:lang w:eastAsia="en-US"/>
          <w14:ligatures w14:val="standardContextual"/>
        </w:rPr>
        <w:t xml:space="preserve">ncidents. </w:t>
      </w:r>
      <w:r w:rsidRPr="00E45BED">
        <w:rPr>
          <w:rFonts w:ascii="Aptos" w:eastAsia="Aptos" w:hAnsi="Aptos" w:cs="Times New Roman"/>
          <w:color w:val="auto"/>
          <w:kern w:val="2"/>
          <w:sz w:val="22"/>
          <w:szCs w:val="22"/>
          <w:lang w:eastAsia="en-US"/>
          <w14:ligatures w14:val="standardContextual"/>
        </w:rPr>
        <w:t xml:space="preserve">Thus, although active listening is a vital tool for conflict management, it is not generalisable to every person or situation. Therefore, the theory of Betaris box is again not generalisable due to lack of engagement with officers. </w:t>
      </w:r>
    </w:p>
    <w:p w14:paraId="56A15583" w14:textId="1F8BA6F1" w:rsidR="00E45BED" w:rsidRPr="00E45BED" w:rsidRDefault="00E45BED" w:rsidP="00E45BED">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E45BED">
        <w:rPr>
          <w:rFonts w:ascii="Aptos" w:eastAsia="Aptos" w:hAnsi="Aptos" w:cs="Times New Roman"/>
          <w:color w:val="auto"/>
          <w:kern w:val="2"/>
          <w:sz w:val="22"/>
          <w:szCs w:val="22"/>
          <w:lang w:eastAsia="en-US"/>
          <w14:ligatures w14:val="standardContextual"/>
        </w:rPr>
        <w:lastRenderedPageBreak/>
        <w:t>This essay has discussed and evaluated a policing incident that I have been involved with that includes conflict. This essay discussed the social context of domestic violence and how prevalent it is in todays society and how unfortunately we do not know the true extend of the issue due to under reporting. This essay then drew upon the legislative context of dv common assault. This essay then discussed the theory of Betaris box and how it is a useful theory in understanding how your positive attitudes can shape those around you and how utilising positive communication skills such as active listening, rapport and respect can help to shape conflict situations and minimise or even prevent them from taking place during policing intervention. However, this essay did find that the theory of Betaris box Is not generalisable to every situation. This is due to individual differences, situations, officers perceptions and individuals inability to engage with officers. Plus, more research needs to be done on the theory of Betaris box and policing as there is currently a gap in literature. The same applies for the communication skills I have discussed, although research does suggest respect, rapport and active listening were useful</w:t>
      </w:r>
      <w:r w:rsidR="006F7A0C">
        <w:rPr>
          <w:rFonts w:ascii="Aptos" w:eastAsia="Aptos" w:hAnsi="Aptos" w:cs="Times New Roman"/>
          <w:color w:val="auto"/>
          <w:kern w:val="2"/>
          <w:sz w:val="22"/>
          <w:szCs w:val="22"/>
          <w:lang w:eastAsia="en-US"/>
          <w14:ligatures w14:val="standardContextual"/>
        </w:rPr>
        <w:t xml:space="preserve"> and helped me </w:t>
      </w:r>
      <w:r w:rsidRPr="00E45BED">
        <w:rPr>
          <w:rFonts w:ascii="Aptos" w:eastAsia="Aptos" w:hAnsi="Aptos" w:cs="Times New Roman"/>
          <w:color w:val="auto"/>
          <w:kern w:val="2"/>
          <w:sz w:val="22"/>
          <w:szCs w:val="22"/>
          <w:lang w:eastAsia="en-US"/>
          <w14:ligatures w14:val="standardContextual"/>
        </w:rPr>
        <w:t>engag</w:t>
      </w:r>
      <w:r w:rsidR="006F7A0C">
        <w:rPr>
          <w:rFonts w:ascii="Aptos" w:eastAsia="Aptos" w:hAnsi="Aptos" w:cs="Times New Roman"/>
          <w:color w:val="auto"/>
          <w:kern w:val="2"/>
          <w:sz w:val="22"/>
          <w:szCs w:val="22"/>
          <w:lang w:eastAsia="en-US"/>
          <w14:ligatures w14:val="standardContextual"/>
        </w:rPr>
        <w:t xml:space="preserve">e </w:t>
      </w:r>
      <w:r w:rsidRPr="00E45BED">
        <w:rPr>
          <w:rFonts w:ascii="Aptos" w:eastAsia="Aptos" w:hAnsi="Aptos" w:cs="Times New Roman"/>
          <w:color w:val="auto"/>
          <w:kern w:val="2"/>
          <w:sz w:val="22"/>
          <w:szCs w:val="22"/>
          <w:lang w:eastAsia="en-US"/>
          <w14:ligatures w14:val="standardContextual"/>
        </w:rPr>
        <w:t xml:space="preserve">with the male and calm him down, this will not be generalisable to every situation due to the issues I outlined above.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3EBA8717" w:rsidR="00112751" w:rsidRPr="006553E4" w:rsidRDefault="00112751" w:rsidP="006553E4">
      <w:pPr>
        <w:rPr>
          <w:b/>
          <w:bCs/>
          <w:sz w:val="24"/>
          <w:szCs w:val="24"/>
        </w:rPr>
      </w:pPr>
      <w:r w:rsidRPr="00450C83">
        <w:rPr>
          <w:b/>
          <w:sz w:val="24"/>
          <w:szCs w:val="24"/>
        </w:rPr>
        <w:t>ANSWER:</w:t>
      </w:r>
      <w:r w:rsidR="006553E4">
        <w:rPr>
          <w:b/>
          <w:sz w:val="24"/>
          <w:szCs w:val="24"/>
        </w:rPr>
        <w:t xml:space="preserve"> </w:t>
      </w:r>
      <w:r w:rsidR="006553E4" w:rsidRPr="006553E4">
        <w:rPr>
          <w:b/>
          <w:bCs/>
          <w:sz w:val="24"/>
          <w:szCs w:val="24"/>
        </w:rPr>
        <w:t>19</w:t>
      </w:r>
      <w:r w:rsidR="009465FA">
        <w:rPr>
          <w:b/>
          <w:bCs/>
          <w:sz w:val="24"/>
          <w:szCs w:val="24"/>
        </w:rPr>
        <w:t>02</w:t>
      </w:r>
      <w:r w:rsidR="006553E4" w:rsidRPr="006553E4">
        <w:rPr>
          <w:b/>
          <w:bCs/>
          <w:sz w:val="24"/>
          <w:szCs w:val="24"/>
        </w:rPr>
        <w:t xml:space="preserve"> words </w:t>
      </w:r>
    </w:p>
    <w:p w14:paraId="31C7AA31" w14:textId="77777777" w:rsidR="00112751" w:rsidRPr="00270EEB" w:rsidRDefault="00112751" w:rsidP="00E6298B">
      <w:pPr>
        <w:ind w:right="107"/>
        <w:jc w:val="both"/>
        <w:rPr>
          <w:sz w:val="24"/>
          <w:szCs w:val="24"/>
        </w:rPr>
      </w:pPr>
    </w:p>
    <w:p w14:paraId="06EB85CF" w14:textId="77777777"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Victims are at the heart of the criminal justice process so their participation is key to ensuring that the criminal justice system (CJS) functions effectively as without victims we miss out on key statements, information, evidence and testimony (Holder and Englezos, 2014). As victims are vital they are granted numerous rights under the Victims Code of Practice (VCP) which aims to increase their participation in the process and ensure that the process is fair, equal and respectful (Kunst, Popelier and Varekamp, 2015). It is vital that officers abide by these rights for victims so that they can ensure that victims get the support they need to make their journey through the CJS as smooth, informative and supportive as possible. This essay will be discussing an incident in which I played a significant role with a victim and will reflect on the social and legislative context of the incident only as there were no issues in regards to culture, ethnicity and language. This essay will also discuss the VCP and my responsibilities for upholding these rights. </w:t>
      </w:r>
    </w:p>
    <w:p w14:paraId="1479166B" w14:textId="55CB2A05"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I attended the property of a male who had received threatening voicemail messages from his cousins partner. The voicemails included homophobic threats</w:t>
      </w:r>
      <w:r w:rsidR="000F43CE">
        <w:rPr>
          <w:rFonts w:asciiTheme="minorHAnsi" w:eastAsiaTheme="minorHAnsi" w:hAnsiTheme="minorHAnsi" w:cstheme="minorBidi"/>
          <w:color w:val="auto"/>
          <w:kern w:val="2"/>
          <w:sz w:val="22"/>
          <w:szCs w:val="22"/>
          <w:lang w:eastAsia="en-US"/>
          <w14:ligatures w14:val="standardContextual"/>
        </w:rPr>
        <w:t xml:space="preserve">. </w:t>
      </w:r>
      <w:r w:rsidRPr="00C74602">
        <w:rPr>
          <w:rFonts w:asciiTheme="minorHAnsi" w:eastAsiaTheme="minorHAnsi" w:hAnsiTheme="minorHAnsi" w:cstheme="minorBidi"/>
          <w:color w:val="auto"/>
          <w:kern w:val="2"/>
          <w:sz w:val="22"/>
          <w:szCs w:val="22"/>
          <w:lang w:eastAsia="en-US"/>
          <w14:ligatures w14:val="standardContextual"/>
        </w:rPr>
        <w:t xml:space="preserve">The victim made a statement and agreed to attend court, this investigation is currently at the interview stage. While taking the statement the male disclosed that he suffers from mental health issues and was worried that the male would come to his house and threaten him. As the victim was quite upset about the incident I took my time writing up the statement and actively listening to the male recounting his experience. I let the male take a break half way through so as to not distress him too much. I offered to do the statement at a later date out of respect for the fact that he was visibly upset but he wished to do it there and then. </w:t>
      </w:r>
    </w:p>
    <w:p w14:paraId="045DC488" w14:textId="77777777"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This incident was classified as homophobic malicious communication. A hate crime is defined as: </w:t>
      </w:r>
    </w:p>
    <w:p w14:paraId="1C494C72" w14:textId="163D3583" w:rsidR="00C74602" w:rsidRPr="00C74602" w:rsidRDefault="006A48FF" w:rsidP="00C74602">
      <w:pPr>
        <w:overflowPunct/>
        <w:autoSpaceDE/>
        <w:autoSpaceDN/>
        <w:adjustRightInd/>
        <w:spacing w:after="160" w:line="259" w:lineRule="auto"/>
        <w:jc w:val="center"/>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w:t>
      </w:r>
      <w:r w:rsidR="00C74602" w:rsidRPr="00C74602">
        <w:rPr>
          <w:rFonts w:asciiTheme="minorHAnsi" w:eastAsiaTheme="minorHAnsi" w:hAnsiTheme="minorHAnsi" w:cstheme="minorBidi"/>
          <w:color w:val="auto"/>
          <w:kern w:val="2"/>
          <w:sz w:val="22"/>
          <w:szCs w:val="22"/>
          <w:lang w:eastAsia="en-US"/>
          <w14:ligatures w14:val="standardContextual"/>
        </w:rPr>
        <w:t xml:space="preserve">Any criminal offence which is perceived by the victim or any other person, to be motivated by hostility or prejudice, based on a person’s disability or perceived disability; race or perceived race; or religion or </w:t>
      </w:r>
      <w:r w:rsidR="00C74602" w:rsidRPr="00C74602">
        <w:rPr>
          <w:rFonts w:asciiTheme="minorHAnsi" w:eastAsiaTheme="minorHAnsi" w:hAnsiTheme="minorHAnsi" w:cstheme="minorBidi"/>
          <w:color w:val="auto"/>
          <w:kern w:val="2"/>
          <w:sz w:val="22"/>
          <w:szCs w:val="22"/>
          <w:lang w:eastAsia="en-US"/>
          <w14:ligatures w14:val="standardContextual"/>
        </w:rPr>
        <w:lastRenderedPageBreak/>
        <w:t>perceived religion; or sexual orientation or perceived sexual orientation or transgender identity or perceived transgender identity</w:t>
      </w:r>
      <w:r>
        <w:rPr>
          <w:rFonts w:asciiTheme="minorHAnsi" w:eastAsiaTheme="minorHAnsi" w:hAnsiTheme="minorHAnsi" w:cstheme="minorBidi"/>
          <w:color w:val="auto"/>
          <w:kern w:val="2"/>
          <w:sz w:val="22"/>
          <w:szCs w:val="22"/>
          <w:lang w:eastAsia="en-US"/>
          <w14:ligatures w14:val="standardContextual"/>
        </w:rPr>
        <w:t>”</w:t>
      </w:r>
      <w:r w:rsidR="00C74602" w:rsidRPr="00C74602">
        <w:rPr>
          <w:rFonts w:asciiTheme="minorHAnsi" w:eastAsiaTheme="minorHAnsi" w:hAnsiTheme="minorHAnsi" w:cstheme="minorBidi"/>
          <w:color w:val="auto"/>
          <w:kern w:val="2"/>
          <w:sz w:val="22"/>
          <w:szCs w:val="22"/>
          <w:lang w:eastAsia="en-US"/>
          <w14:ligatures w14:val="standardContextual"/>
        </w:rPr>
        <w:t xml:space="preserve"> (CPS, 2022</w:t>
      </w:r>
      <w:r>
        <w:rPr>
          <w:rFonts w:asciiTheme="minorHAnsi" w:eastAsiaTheme="minorHAnsi" w:hAnsiTheme="minorHAnsi" w:cstheme="minorBidi"/>
          <w:color w:val="auto"/>
          <w:kern w:val="2"/>
          <w:sz w:val="22"/>
          <w:szCs w:val="22"/>
          <w:lang w:eastAsia="en-US"/>
          <w14:ligatures w14:val="standardContextual"/>
        </w:rPr>
        <w:t>, p.1</w:t>
      </w:r>
      <w:r w:rsidR="00C74602" w:rsidRPr="00C74602">
        <w:rPr>
          <w:rFonts w:asciiTheme="minorHAnsi" w:eastAsiaTheme="minorHAnsi" w:hAnsiTheme="minorHAnsi" w:cstheme="minorBidi"/>
          <w:color w:val="auto"/>
          <w:kern w:val="2"/>
          <w:sz w:val="22"/>
          <w:szCs w:val="22"/>
          <w:lang w:eastAsia="en-US"/>
          <w14:ligatures w14:val="standardContextual"/>
        </w:rPr>
        <w:t>).</w:t>
      </w:r>
    </w:p>
    <w:p w14:paraId="430661A1" w14:textId="26588F44"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There are five recognised types of hate crime: Race, religion, disability, sexual orientation and transgender identity (CPS, 2022). As a hate crime needs to be perceived as one by the victim or any other person, the victim was asked if he did perceive it to be one, which he did not. He stated that his cousin has never had an issue with him being gay before. As we perceived it to be one we thus classified it as one. The suspect has to also demonstrate hostility or be motivated by hostility which is evident through his use of the language “Faggot” and “Poof”. </w:t>
      </w:r>
    </w:p>
    <w:p w14:paraId="66DC4620" w14:textId="1FE114D3"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Homophobic hate crime towards the LGBT community has risen since records began in 2012. In the year ending March 2023 there were 145,214 hate crimes, with sexual orientation hate related crimes accounting for 24,102 offences (GOV.UK, 2023). Hate crimes are a common traumatic and frequent experience for the LGBT community and research has shown that LGBT individuals are at an increased risk of developing psychiatric disorders and committing suicide (King et al., 2008; Silenzio et al., 2007). Research has found that LGBT individuals are 3 to 4 times more likely to report lifetime suicide attempts however there is limited research on the risk of suicide in LGBT individuals (Hottes et al., 2016). Due to this it was imperative that I make sure the male was feeling safe and well in his home and he was passed safety advice before we left. Furthermore, offered the male extra support in terms of mental health services but he stated he already had a good support network. </w:t>
      </w:r>
    </w:p>
    <w:p w14:paraId="2B7B19AF" w14:textId="7FA5C2F1"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I put referrals and the appropriate paperwork in place that detailed the hate crime so that the appropriate services would contact the male. This was important because historically LGBT and hate crime victims generally have reported to have limited confidence in the police and their responses to hate crimes (Briones-Robinson, Powers and Socia, 2016). LGBT victims cite concern over secondary victimisation, discrimination, misconduct and lack of care as reasons why they are reluctant to engage with officers in relation to hate crimes which is why many hate crimes go under-reported (Nadal et al., 2015; Herek, Cogan and Gillis, 2002). Therefore, the true extent of hate crime statistics is unknown due to underreporting (Cogan and Gillis, 2002). Furthermore, there is a lack of representation of the LGBT community in the police with only 1000 officers in Gwent Police identifying as LGBT (GOV.uk, 2023). This lack of diversity could also contribute to under-reporting. Recently</w:t>
      </w:r>
      <w:r w:rsidR="000D5C5F">
        <w:rPr>
          <w:rFonts w:asciiTheme="minorHAnsi" w:eastAsiaTheme="minorHAnsi" w:hAnsiTheme="minorHAnsi" w:cstheme="minorBidi"/>
          <w:color w:val="auto"/>
          <w:kern w:val="2"/>
          <w:sz w:val="22"/>
          <w:szCs w:val="22"/>
          <w:lang w:eastAsia="en-US"/>
          <w14:ligatures w14:val="standardContextual"/>
        </w:rPr>
        <w:t>,</w:t>
      </w:r>
      <w:r w:rsidRPr="00C74602">
        <w:rPr>
          <w:rFonts w:asciiTheme="minorHAnsi" w:eastAsiaTheme="minorHAnsi" w:hAnsiTheme="minorHAnsi" w:cstheme="minorBidi"/>
          <w:color w:val="auto"/>
          <w:kern w:val="2"/>
          <w:sz w:val="22"/>
          <w:szCs w:val="22"/>
          <w:lang w:eastAsia="en-US"/>
          <w14:ligatures w14:val="standardContextual"/>
        </w:rPr>
        <w:t xml:space="preserve"> Dorset police became the 13</w:t>
      </w:r>
      <w:r w:rsidRPr="00C74602">
        <w:rPr>
          <w:rFonts w:asciiTheme="minorHAnsi" w:eastAsiaTheme="minorHAnsi" w:hAnsiTheme="minorHAnsi" w:cstheme="minorBidi"/>
          <w:color w:val="auto"/>
          <w:kern w:val="2"/>
          <w:sz w:val="22"/>
          <w:szCs w:val="22"/>
          <w:vertAlign w:val="superscript"/>
          <w:lang w:eastAsia="en-US"/>
          <w14:ligatures w14:val="standardContextual"/>
        </w:rPr>
        <w:t>th</w:t>
      </w:r>
      <w:r w:rsidRPr="00C74602">
        <w:rPr>
          <w:rFonts w:asciiTheme="minorHAnsi" w:eastAsiaTheme="minorHAnsi" w:hAnsiTheme="minorHAnsi" w:cstheme="minorBidi"/>
          <w:color w:val="auto"/>
          <w:kern w:val="2"/>
          <w:sz w:val="22"/>
          <w:szCs w:val="22"/>
          <w:lang w:eastAsia="en-US"/>
          <w14:ligatures w14:val="standardContextual"/>
        </w:rPr>
        <w:t xml:space="preserve"> police force to have to apologise to the LGBT community for their historic treatment of LGBT individuals (BBC, 2024). Due to these factors, it is important to make sure that the male feels listened to, understood and is provided with the support he needs to go ahead with the criminal justice process and I hope that my respectful and calm approach to him helped him feel confident in the police. </w:t>
      </w:r>
    </w:p>
    <w:p w14:paraId="2C95232B" w14:textId="202FA105"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bCs/>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The main offence which underpinned this incident was malicious communication. The Malicious Communications Act 1988 makes it an offence to </w:t>
      </w:r>
      <w:r w:rsidR="00346DAA">
        <w:rPr>
          <w:rFonts w:asciiTheme="minorHAnsi" w:eastAsiaTheme="minorHAnsi" w:hAnsiTheme="minorHAnsi" w:cstheme="minorBidi"/>
          <w:color w:val="auto"/>
          <w:kern w:val="2"/>
          <w:sz w:val="22"/>
          <w:szCs w:val="22"/>
          <w:lang w:eastAsia="en-US"/>
          <w14:ligatures w14:val="standardContextual"/>
        </w:rPr>
        <w:t>“</w:t>
      </w:r>
      <w:r w:rsidRPr="00C74602">
        <w:rPr>
          <w:rFonts w:asciiTheme="minorHAnsi" w:eastAsiaTheme="minorHAnsi" w:hAnsiTheme="minorHAnsi" w:cstheme="minorBidi"/>
          <w:bCs/>
          <w:color w:val="auto"/>
          <w:kern w:val="2"/>
          <w:sz w:val="22"/>
          <w:szCs w:val="22"/>
          <w:lang w:eastAsia="en-US"/>
          <w14:ligatures w14:val="standardContextual"/>
        </w:rPr>
        <w:t>send any kind of written, verbal or electronic communication that conveys a message that: is indecent or grossly offensive; makes a threat; or contains information that is false and known or believed to be false by the sender</w:t>
      </w:r>
      <w:r w:rsidR="00346DAA">
        <w:rPr>
          <w:rFonts w:asciiTheme="minorHAnsi" w:eastAsiaTheme="minorHAnsi" w:hAnsiTheme="minorHAnsi" w:cstheme="minorBidi"/>
          <w:bCs/>
          <w:color w:val="auto"/>
          <w:kern w:val="2"/>
          <w:sz w:val="22"/>
          <w:szCs w:val="22"/>
          <w:lang w:eastAsia="en-US"/>
          <w14:ligatures w14:val="standardContextual"/>
        </w:rPr>
        <w:t>”</w:t>
      </w:r>
      <w:r w:rsidRPr="00C74602">
        <w:rPr>
          <w:rFonts w:asciiTheme="minorHAnsi" w:eastAsiaTheme="minorHAnsi" w:hAnsiTheme="minorHAnsi" w:cstheme="minorBidi"/>
          <w:bCs/>
          <w:color w:val="auto"/>
          <w:kern w:val="2"/>
          <w:sz w:val="22"/>
          <w:szCs w:val="22"/>
          <w:lang w:eastAsia="en-US"/>
          <w14:ligatures w14:val="standardContextual"/>
        </w:rPr>
        <w:t xml:space="preserve"> (</w:t>
      </w:r>
      <w:r w:rsidRPr="00C74602">
        <w:rPr>
          <w:rFonts w:asciiTheme="minorHAnsi" w:eastAsiaTheme="minorHAnsi" w:hAnsiTheme="minorHAnsi" w:cstheme="minorBidi"/>
          <w:bCs/>
          <w:i/>
          <w:iCs/>
          <w:color w:val="auto"/>
          <w:kern w:val="2"/>
          <w:sz w:val="22"/>
          <w:szCs w:val="22"/>
          <w:lang w:eastAsia="en-US"/>
          <w14:ligatures w14:val="standardContextual"/>
        </w:rPr>
        <w:t xml:space="preserve">Malicious Communications Act, </w:t>
      </w:r>
      <w:r w:rsidRPr="00C74602">
        <w:rPr>
          <w:rFonts w:asciiTheme="minorHAnsi" w:eastAsiaTheme="minorHAnsi" w:hAnsiTheme="minorHAnsi" w:cstheme="minorBidi"/>
          <w:bCs/>
          <w:color w:val="auto"/>
          <w:kern w:val="2"/>
          <w:sz w:val="22"/>
          <w:szCs w:val="22"/>
          <w:lang w:eastAsia="en-US"/>
          <w14:ligatures w14:val="standardContextual"/>
        </w:rPr>
        <w:t>1988</w:t>
      </w:r>
      <w:r w:rsidR="000E1CD4">
        <w:rPr>
          <w:rFonts w:asciiTheme="minorHAnsi" w:eastAsiaTheme="minorHAnsi" w:hAnsiTheme="minorHAnsi" w:cstheme="minorBidi"/>
          <w:bCs/>
          <w:color w:val="auto"/>
          <w:kern w:val="2"/>
          <w:sz w:val="22"/>
          <w:szCs w:val="22"/>
          <w:lang w:eastAsia="en-US"/>
          <w14:ligatures w14:val="standardContextual"/>
        </w:rPr>
        <w:t>, p.1</w:t>
      </w:r>
      <w:r w:rsidRPr="00C74602">
        <w:rPr>
          <w:rFonts w:asciiTheme="minorHAnsi" w:eastAsiaTheme="minorHAnsi" w:hAnsiTheme="minorHAnsi" w:cstheme="minorBidi"/>
          <w:bCs/>
          <w:color w:val="auto"/>
          <w:kern w:val="2"/>
          <w:sz w:val="22"/>
          <w:szCs w:val="22"/>
          <w:lang w:eastAsia="en-US"/>
          <w14:ligatures w14:val="standardContextual"/>
        </w:rPr>
        <w:t>). The defendant must intend to cause distress or anxiety to the recipient of the communications which can be unearthed during the interview stage (</w:t>
      </w:r>
      <w:r w:rsidRPr="00C74602">
        <w:rPr>
          <w:rFonts w:asciiTheme="minorHAnsi" w:eastAsiaTheme="minorHAnsi" w:hAnsiTheme="minorHAnsi" w:cstheme="minorBidi"/>
          <w:bCs/>
          <w:i/>
          <w:iCs/>
          <w:color w:val="auto"/>
          <w:kern w:val="2"/>
          <w:sz w:val="22"/>
          <w:szCs w:val="22"/>
          <w:lang w:eastAsia="en-US"/>
          <w14:ligatures w14:val="standardContextual"/>
        </w:rPr>
        <w:t>Malicious Communications Act, 1988</w:t>
      </w:r>
      <w:r w:rsidRPr="00C74602">
        <w:rPr>
          <w:rFonts w:asciiTheme="minorHAnsi" w:eastAsiaTheme="minorHAnsi" w:hAnsiTheme="minorHAnsi" w:cstheme="minorBidi"/>
          <w:bCs/>
          <w:color w:val="auto"/>
          <w:kern w:val="2"/>
          <w:sz w:val="22"/>
          <w:szCs w:val="22"/>
          <w:lang w:eastAsia="en-US"/>
          <w14:ligatures w14:val="standardContextual"/>
        </w:rPr>
        <w:t xml:space="preserve">). There is a high threshold that must be met in terms of the evidential and public interest stage which was communicated to the male at the time of reporting the crime. I did make him aware that this could be difficult to prosecute because of this </w:t>
      </w:r>
      <w:r w:rsidR="008171E6" w:rsidRPr="00C74602">
        <w:rPr>
          <w:rFonts w:asciiTheme="minorHAnsi" w:eastAsiaTheme="minorHAnsi" w:hAnsiTheme="minorHAnsi" w:cstheme="minorBidi"/>
          <w:bCs/>
          <w:color w:val="auto"/>
          <w:kern w:val="2"/>
          <w:sz w:val="22"/>
          <w:szCs w:val="22"/>
          <w:lang w:eastAsia="en-US"/>
          <w14:ligatures w14:val="standardContextual"/>
        </w:rPr>
        <w:t>threshold</w:t>
      </w:r>
      <w:r w:rsidRPr="00C74602">
        <w:rPr>
          <w:rFonts w:asciiTheme="minorHAnsi" w:eastAsiaTheme="minorHAnsi" w:hAnsiTheme="minorHAnsi" w:cstheme="minorBidi"/>
          <w:bCs/>
          <w:color w:val="auto"/>
          <w:kern w:val="2"/>
          <w:sz w:val="22"/>
          <w:szCs w:val="22"/>
          <w:lang w:eastAsia="en-US"/>
          <w14:ligatures w14:val="standardContextual"/>
        </w:rPr>
        <w:t xml:space="preserve"> test as the communication has to be more than just controversial or offensive to one person (Sallavaci, 2018). The legislation surrounding this act has been criticised for “lacking clarity and certainty” because the idea of what constitutes being grossly offensive is not clear (Sallavaci, 2018, p.9).  However, I also explained that because the offence was motivated by a form of prejudice that this could meet the threshold but that would be up for the CPS to decide (CPS, 2022; Sallavaci, 2018). The Malicious communications Act often clashes with Article 10 of the Human Rights Act, the freedom of speech. </w:t>
      </w:r>
      <w:r w:rsidRPr="00C74602">
        <w:rPr>
          <w:rFonts w:asciiTheme="minorHAnsi" w:eastAsiaTheme="minorHAnsi" w:hAnsiTheme="minorHAnsi" w:cstheme="minorBidi"/>
          <w:bCs/>
          <w:color w:val="auto"/>
          <w:kern w:val="2"/>
          <w:sz w:val="22"/>
          <w:szCs w:val="22"/>
          <w:lang w:eastAsia="en-US"/>
          <w14:ligatures w14:val="standardContextual"/>
        </w:rPr>
        <w:lastRenderedPageBreak/>
        <w:t xml:space="preserve">Therefore, unless it can be shown that it is necessary and proportionate to prosecute no prosecution will be brought under this act because of the infringement of this right which was also explained to the male (Sallavaci, 2018). </w:t>
      </w:r>
    </w:p>
    <w:p w14:paraId="7073053B" w14:textId="2D7A30DF"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The V</w:t>
      </w:r>
      <w:r w:rsidR="004B187C">
        <w:rPr>
          <w:rFonts w:asciiTheme="minorHAnsi" w:eastAsiaTheme="minorHAnsi" w:hAnsiTheme="minorHAnsi" w:cstheme="minorBidi"/>
          <w:color w:val="auto"/>
          <w:kern w:val="2"/>
          <w:sz w:val="22"/>
          <w:szCs w:val="22"/>
          <w:lang w:eastAsia="en-US"/>
          <w14:ligatures w14:val="standardContextual"/>
        </w:rPr>
        <w:t>ictims code of practice</w:t>
      </w:r>
      <w:r w:rsidRPr="00C74602">
        <w:rPr>
          <w:rFonts w:asciiTheme="minorHAnsi" w:eastAsiaTheme="minorHAnsi" w:hAnsiTheme="minorHAnsi" w:cstheme="minorBidi"/>
          <w:color w:val="auto"/>
          <w:kern w:val="2"/>
          <w:sz w:val="22"/>
          <w:szCs w:val="22"/>
          <w:lang w:eastAsia="en-US"/>
          <w14:ligatures w14:val="standardContextual"/>
        </w:rPr>
        <w:t xml:space="preserve"> was created to standardise the quality of service that victims receive from the CJS and make sure those dealing with victims do so ethically. The code sets out the minimum standards that are expected and should be implemented by those working within the CJS (HMICFRS,2023). You are eligible under the code if you have: </w:t>
      </w:r>
    </w:p>
    <w:p w14:paraId="079C95C2" w14:textId="2F334D99" w:rsidR="00C74602" w:rsidRPr="00C74602" w:rsidRDefault="00821D07" w:rsidP="00C74602">
      <w:pPr>
        <w:overflowPunct/>
        <w:autoSpaceDE/>
        <w:autoSpaceDN/>
        <w:adjustRightInd/>
        <w:spacing w:after="160" w:line="259" w:lineRule="auto"/>
        <w:ind w:left="720"/>
        <w:jc w:val="center"/>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w:t>
      </w:r>
      <w:r w:rsidR="00C74602" w:rsidRPr="00C74602">
        <w:rPr>
          <w:rFonts w:asciiTheme="minorHAnsi" w:eastAsiaTheme="minorHAnsi" w:hAnsiTheme="minorHAnsi" w:cstheme="minorBidi"/>
          <w:color w:val="auto"/>
          <w:kern w:val="2"/>
          <w:sz w:val="22"/>
          <w:szCs w:val="22"/>
          <w:lang w:eastAsia="en-US"/>
          <w14:ligatures w14:val="standardContextual"/>
        </w:rPr>
        <w:t>Suffered harm, Including physical, mental or emotional harm or economic harm which was directly caused by a criminal offence or a close relative of a person whose death was directly caused by a criminal offence</w:t>
      </w:r>
      <w:r>
        <w:rPr>
          <w:rFonts w:asciiTheme="minorHAnsi" w:eastAsiaTheme="minorHAnsi" w:hAnsiTheme="minorHAnsi" w:cstheme="minorBidi"/>
          <w:color w:val="auto"/>
          <w:kern w:val="2"/>
          <w:sz w:val="22"/>
          <w:szCs w:val="22"/>
          <w:lang w:eastAsia="en-US"/>
          <w14:ligatures w14:val="standardContextual"/>
        </w:rPr>
        <w:t>”</w:t>
      </w:r>
      <w:r w:rsidR="00C74602" w:rsidRPr="00C74602">
        <w:rPr>
          <w:rFonts w:asciiTheme="minorHAnsi" w:eastAsiaTheme="minorHAnsi" w:hAnsiTheme="minorHAnsi" w:cstheme="minorBidi"/>
          <w:color w:val="auto"/>
          <w:kern w:val="2"/>
          <w:sz w:val="22"/>
          <w:szCs w:val="22"/>
          <w:lang w:eastAsia="en-US"/>
          <w14:ligatures w14:val="standardContextual"/>
        </w:rPr>
        <w:t>. (COP, 2023</w:t>
      </w:r>
      <w:r>
        <w:rPr>
          <w:rFonts w:asciiTheme="minorHAnsi" w:eastAsiaTheme="minorHAnsi" w:hAnsiTheme="minorHAnsi" w:cstheme="minorBidi"/>
          <w:color w:val="auto"/>
          <w:kern w:val="2"/>
          <w:sz w:val="22"/>
          <w:szCs w:val="22"/>
          <w:lang w:eastAsia="en-US"/>
          <w14:ligatures w14:val="standardContextual"/>
        </w:rPr>
        <w:t>, p.1</w:t>
      </w:r>
      <w:r w:rsidR="00C74602" w:rsidRPr="00C74602">
        <w:rPr>
          <w:rFonts w:asciiTheme="minorHAnsi" w:eastAsiaTheme="minorHAnsi" w:hAnsiTheme="minorHAnsi" w:cstheme="minorBidi"/>
          <w:color w:val="auto"/>
          <w:kern w:val="2"/>
          <w:sz w:val="22"/>
          <w:szCs w:val="22"/>
          <w:lang w:eastAsia="en-US"/>
          <w14:ligatures w14:val="standardContextual"/>
        </w:rPr>
        <w:t xml:space="preserve">) </w:t>
      </w:r>
    </w:p>
    <w:p w14:paraId="1D29E78E" w14:textId="77777777"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There are 12 main rights that every victim should be eligible for and receive. One of these rights is to be referred to services for support and to have support tailored to your needs. This is important in regards to this incident as the male was not only deemed vulnerable due to his mental health issues but he also had a protected characteristic. One of the characteristics protected under the Equality Act 2010 is sexual orientation (Equality and Human Rights Commission, 2018). Due to these two factors, it was imperative that the male was treated equally. This does not mean he is treated in the same way as everyone else but that his needs are tailored so that he can receive the support he needs. This was done through completing relevant hate crime paperwork and referring the male to victim support but also by giving the male extra support in terms of special measures. Special measures under the Youth Justice and Criminal Evidence Act 1999 are measures that can be put in place for vulnerable or intimidated witnesses so that the quality of their evidence is not diminished by fear or stress of attending court and giving evidence (CPS, 2023). Special measures include using screens or giving evidence via live link (CPS, 2023). Due to the males mental health conditions, he would be classed as a vulnerable victim, therefore I did discuss with the male the idea of special measures which he said he would like however I was honest with the male and told him that the court does decide whether to grant the special measures so I cannot guarantee it happens (CPS, 2023). </w:t>
      </w:r>
    </w:p>
    <w:p w14:paraId="6BA4EF47" w14:textId="77777777"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Under the victims code, victims are also eligible to make a victim personal statement. This is a statement that is read out in court that details how a crime has affected a victim mentally, physically, psychologically or economically and can help influence sentencing decisions (CPS, 2023). The male agreed to completing a victim personal statement and I discussed with him the option of writing one now or waiting to see how the crime had affected him going forward and he agreed to wait a few weeks or months until he completed one so that the full harm suffered could be explained. </w:t>
      </w:r>
    </w:p>
    <w:p w14:paraId="317C5594" w14:textId="3364970F"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Although this incident has not gone to court yet when it does the male will be eligible to be kept up to date and given information about the investigation, prosecution, the trial, trial process, the role of a witness and to be given information on the outcome of the trial and any appeals (COP, 2024). It is imperative that victims are kept up to date and have regular contact so that they know what is happening and feel included in the process. Therefore, going forward </w:t>
      </w:r>
      <w:r w:rsidR="00C64DD8">
        <w:rPr>
          <w:rFonts w:asciiTheme="minorHAnsi" w:eastAsiaTheme="minorHAnsi" w:hAnsiTheme="minorHAnsi" w:cstheme="minorBidi"/>
          <w:color w:val="auto"/>
          <w:kern w:val="2"/>
          <w:sz w:val="22"/>
          <w:szCs w:val="22"/>
          <w:lang w:eastAsia="en-US"/>
          <w14:ligatures w14:val="standardContextual"/>
        </w:rPr>
        <w:t xml:space="preserve">I will </w:t>
      </w:r>
      <w:r w:rsidRPr="00C74602">
        <w:rPr>
          <w:rFonts w:asciiTheme="minorHAnsi" w:eastAsiaTheme="minorHAnsi" w:hAnsiTheme="minorHAnsi" w:cstheme="minorBidi"/>
          <w:color w:val="auto"/>
          <w:kern w:val="2"/>
          <w:sz w:val="22"/>
          <w:szCs w:val="22"/>
          <w:lang w:eastAsia="en-US"/>
          <w14:ligatures w14:val="standardContextual"/>
        </w:rPr>
        <w:t xml:space="preserve">make sure </w:t>
      </w:r>
      <w:r w:rsidR="00C64DD8">
        <w:rPr>
          <w:rFonts w:asciiTheme="minorHAnsi" w:eastAsiaTheme="minorHAnsi" w:hAnsiTheme="minorHAnsi" w:cstheme="minorBidi"/>
          <w:color w:val="auto"/>
          <w:kern w:val="2"/>
          <w:sz w:val="22"/>
          <w:szCs w:val="22"/>
          <w:lang w:eastAsia="en-US"/>
          <w14:ligatures w14:val="standardContextual"/>
        </w:rPr>
        <w:t xml:space="preserve">to </w:t>
      </w:r>
      <w:r w:rsidRPr="00C74602">
        <w:rPr>
          <w:rFonts w:asciiTheme="minorHAnsi" w:eastAsiaTheme="minorHAnsi" w:hAnsiTheme="minorHAnsi" w:cstheme="minorBidi"/>
          <w:color w:val="auto"/>
          <w:kern w:val="2"/>
          <w:sz w:val="22"/>
          <w:szCs w:val="22"/>
          <w:lang w:eastAsia="en-US"/>
          <w14:ligatures w14:val="standardContextual"/>
        </w:rPr>
        <w:t xml:space="preserve">keep the male up to date with what I know and make sure to check in on him. The last right I’m going to discuss is the right to make a complaint if your rights have not been met. Victims are eligible to do this and any complaints made will be investigated. </w:t>
      </w:r>
    </w:p>
    <w:p w14:paraId="09EBE011" w14:textId="77777777" w:rsidR="00C74602" w:rsidRPr="00C74602" w:rsidRDefault="00C74602" w:rsidP="00C7460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4602">
        <w:rPr>
          <w:rFonts w:asciiTheme="minorHAnsi" w:eastAsiaTheme="minorHAnsi" w:hAnsiTheme="minorHAnsi" w:cstheme="minorBidi"/>
          <w:color w:val="auto"/>
          <w:kern w:val="2"/>
          <w:sz w:val="22"/>
          <w:szCs w:val="22"/>
          <w:lang w:eastAsia="en-US"/>
          <w14:ligatures w14:val="standardContextual"/>
        </w:rPr>
        <w:t xml:space="preserve">This essay has discussed an incident in which I dealt with a male victim of the LGBT community. This essay has explored the social, legislative context of the situation and how I navigated this and discussed the VCP, what it is and my responsibilities as officer in case. On reflection I am happy with how I dealt with the male, I made sure that his personal needs were met and that he could be fully supported in giving evidence in court. I made sure I put the relevant referrals in place and the male has been kept up to date with every new </w:t>
      </w:r>
      <w:r w:rsidRPr="00C74602">
        <w:rPr>
          <w:rFonts w:asciiTheme="minorHAnsi" w:eastAsiaTheme="minorHAnsi" w:hAnsiTheme="minorHAnsi" w:cstheme="minorBidi"/>
          <w:color w:val="auto"/>
          <w:kern w:val="2"/>
          <w:sz w:val="22"/>
          <w:szCs w:val="22"/>
          <w:lang w:eastAsia="en-US"/>
          <w14:ligatures w14:val="standardContextual"/>
        </w:rPr>
        <w:lastRenderedPageBreak/>
        <w:t xml:space="preserve">development so far. Going forward I will keep in mind my responsibilities under the VCP and keep the male up to date and provide Information on the next steps of the process.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5AB9A304" w:rsidR="006C7CA5" w:rsidRPr="00D939C9" w:rsidRDefault="006C7CA5" w:rsidP="00D939C9">
      <w:pPr>
        <w:ind w:right="107"/>
        <w:rPr>
          <w:b/>
          <w:bCs/>
          <w:color w:val="000000" w:themeColor="text1"/>
          <w:sz w:val="24"/>
          <w:szCs w:val="24"/>
        </w:rPr>
      </w:pPr>
      <w:r w:rsidRPr="00450C83">
        <w:rPr>
          <w:b/>
          <w:sz w:val="24"/>
          <w:szCs w:val="24"/>
        </w:rPr>
        <w:t>ANSWER:</w:t>
      </w:r>
      <w:r w:rsidR="00D939C9">
        <w:rPr>
          <w:b/>
          <w:sz w:val="24"/>
          <w:szCs w:val="24"/>
        </w:rPr>
        <w:t xml:space="preserve"> </w:t>
      </w:r>
      <w:r w:rsidR="00D939C9" w:rsidRPr="008D47B1">
        <w:rPr>
          <w:b/>
          <w:bCs/>
          <w:color w:val="000000" w:themeColor="text1"/>
          <w:sz w:val="24"/>
          <w:szCs w:val="24"/>
        </w:rPr>
        <w:t>190</w:t>
      </w:r>
      <w:r w:rsidR="0012379E">
        <w:rPr>
          <w:b/>
          <w:bCs/>
          <w:color w:val="000000" w:themeColor="text1"/>
          <w:sz w:val="24"/>
          <w:szCs w:val="24"/>
        </w:rPr>
        <w:t>0</w:t>
      </w:r>
      <w:r w:rsidR="00D939C9">
        <w:rPr>
          <w:b/>
          <w:bCs/>
          <w:color w:val="000000" w:themeColor="text1"/>
          <w:sz w:val="24"/>
          <w:szCs w:val="24"/>
        </w:rPr>
        <w:t xml:space="preserve"> Words</w:t>
      </w:r>
    </w:p>
    <w:p w14:paraId="4228E72D" w14:textId="77777777" w:rsidR="006C7CA5" w:rsidRPr="00270EEB" w:rsidRDefault="006C7CA5" w:rsidP="00E6298B">
      <w:pPr>
        <w:ind w:right="107"/>
        <w:jc w:val="both"/>
        <w:rPr>
          <w:sz w:val="24"/>
          <w:szCs w:val="24"/>
        </w:rPr>
      </w:pPr>
    </w:p>
    <w:p w14:paraId="5D190BB3"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067D">
        <w:rPr>
          <w:rFonts w:asciiTheme="minorHAnsi" w:eastAsiaTheme="minorHAnsi" w:hAnsiTheme="minorHAnsi" w:cstheme="minorBidi"/>
          <w:color w:val="auto"/>
          <w:kern w:val="2"/>
          <w:sz w:val="22"/>
          <w:szCs w:val="22"/>
          <w:lang w:eastAsia="en-US"/>
          <w14:ligatures w14:val="standardContextual"/>
        </w:rPr>
        <w:t xml:space="preserve">Decision making and discretion is at the heart of what Jerome Skolnick describes as the ‘policing personality’ (Stroshine, Alpert and Dunham, 2008). Officers are involved in complex, confusing and fast paced incidents that require them to make decisions quickly, ethically and effectively (COP, 2013). Decisions that officers make take into account threat, harm, risk, resourcing and the situation at hand (IOPC, 2018). No two incidents are the same so as to guide officers into making decisions, decision making frameworks such as the National Decision model (NDM) exists. This essay will critically assess a policing incident I have attended and discuss the use of the NDM and code of ethics and how these models impacted on my decision making and discretion. This essay will then critically review my responsibilities in line with the CPIA when conducting an investigation into the incident. </w:t>
      </w:r>
    </w:p>
    <w:p w14:paraId="24E2B635"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067D">
        <w:rPr>
          <w:rFonts w:asciiTheme="minorHAnsi" w:eastAsiaTheme="minorHAnsi" w:hAnsiTheme="minorHAnsi" w:cstheme="minorBidi"/>
          <w:color w:val="auto"/>
          <w:kern w:val="2"/>
          <w:sz w:val="22"/>
          <w:szCs w:val="22"/>
          <w:lang w:eastAsia="en-US"/>
          <w14:ligatures w14:val="standardContextual"/>
        </w:rPr>
        <w:t xml:space="preserve">The incident that I attended involved a call from a male stating that his partner was having a mental health crisis. The male stated that he had rang ambulance originally as his partner had self-harmed herself and he was concerned about her deteriorating mental health. However, due to the fact that ambulance could hear screaming, shouting and banging in the background they advised the male to ring the police instead. This call began as a mental health concern however became more complex as time went on. </w:t>
      </w:r>
    </w:p>
    <w:p w14:paraId="2874E37A"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067D">
        <w:rPr>
          <w:rFonts w:asciiTheme="minorHAnsi" w:eastAsiaTheme="minorHAnsi" w:hAnsiTheme="minorHAnsi" w:cstheme="minorBidi"/>
          <w:color w:val="auto"/>
          <w:kern w:val="2"/>
          <w:sz w:val="22"/>
          <w:szCs w:val="22"/>
          <w:lang w:eastAsia="en-US"/>
          <w14:ligatures w14:val="standardContextual"/>
        </w:rPr>
        <w:t xml:space="preserve">Police work is built on the concept of discretion. Officers have the freedom to use their own choices and judgements to make decisions and they do this in line with codes of practices and policies (Bronitt and Stenning, 2011). Discretion is a remarkable tool for officers to use however concerns have been raised in its application which can often be disproportionate or discriminative (Myhill and Johnson, 2016). Decisions should be in line with the code of ethics, therefore tools such as the NDM are used to help officers to do this. </w:t>
      </w:r>
    </w:p>
    <w:p w14:paraId="27477918" w14:textId="3106F245"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color w:val="auto"/>
          <w:kern w:val="2"/>
          <w:sz w:val="22"/>
          <w:szCs w:val="22"/>
          <w:lang w:eastAsia="en-US"/>
          <w14:ligatures w14:val="standardContextual"/>
        </w:rPr>
        <w:lastRenderedPageBreak/>
        <w:t>The NDM is a standardised decision making tool which is used to help officers ‘structure a rationale of what they did during an incident and why’ (COP, 2024</w:t>
      </w:r>
      <w:r w:rsidR="004C196C">
        <w:rPr>
          <w:rFonts w:asciiTheme="minorHAnsi" w:eastAsiaTheme="minorHAnsi" w:hAnsiTheme="minorHAnsi" w:cstheme="minorBidi"/>
          <w:color w:val="auto"/>
          <w:kern w:val="2"/>
          <w:sz w:val="22"/>
          <w:szCs w:val="22"/>
          <w:lang w:eastAsia="en-US"/>
          <w14:ligatures w14:val="standardContextual"/>
        </w:rPr>
        <w:t>, p.1</w:t>
      </w:r>
      <w:r w:rsidRPr="00C7067D">
        <w:rPr>
          <w:rFonts w:asciiTheme="minorHAnsi" w:eastAsiaTheme="minorHAnsi" w:hAnsiTheme="minorHAnsi" w:cstheme="minorBidi"/>
          <w:color w:val="auto"/>
          <w:kern w:val="2"/>
          <w:sz w:val="22"/>
          <w:szCs w:val="22"/>
          <w:lang w:eastAsia="en-US"/>
          <w14:ligatures w14:val="standardContextual"/>
        </w:rPr>
        <w:t>). However, it is recognised that due to the nature of policing and the fast-moving nature of the job it is not always possible to structure decisions according to the NDM. If this is the case then decision makers should still take into account integrity and serving and protecting the public when making decisions (COP, 2014)</w:t>
      </w:r>
      <w:r w:rsidRPr="00C7067D">
        <w:rPr>
          <w:rFonts w:asciiTheme="minorHAnsi" w:eastAsiaTheme="minorHAnsi" w:hAnsiTheme="minorHAnsi" w:cstheme="minorBidi"/>
          <w:iCs/>
          <w:color w:val="auto"/>
          <w:kern w:val="2"/>
          <w:sz w:val="22"/>
          <w:szCs w:val="22"/>
          <w:lang w:eastAsia="en-US"/>
          <w14:ligatures w14:val="standardContextual"/>
        </w:rPr>
        <w:t xml:space="preserve">. The NDM has six key elements. The first being the code of ethics which is at the forefront of the NDM and every decision officers make should be </w:t>
      </w:r>
      <w:r w:rsidR="00224A82" w:rsidRPr="00C7067D">
        <w:rPr>
          <w:rFonts w:asciiTheme="minorHAnsi" w:eastAsiaTheme="minorHAnsi" w:hAnsiTheme="minorHAnsi" w:cstheme="minorBidi"/>
          <w:iCs/>
          <w:color w:val="auto"/>
          <w:kern w:val="2"/>
          <w:sz w:val="22"/>
          <w:szCs w:val="22"/>
          <w:lang w:eastAsia="en-US"/>
          <w14:ligatures w14:val="standardContextual"/>
        </w:rPr>
        <w:t>in line</w:t>
      </w:r>
      <w:r w:rsidRPr="00C7067D">
        <w:rPr>
          <w:rFonts w:asciiTheme="minorHAnsi" w:eastAsiaTheme="minorHAnsi" w:hAnsiTheme="minorHAnsi" w:cstheme="minorBidi"/>
          <w:iCs/>
          <w:color w:val="auto"/>
          <w:kern w:val="2"/>
          <w:sz w:val="22"/>
          <w:szCs w:val="22"/>
          <w:lang w:eastAsia="en-US"/>
          <w14:ligatures w14:val="standardContextual"/>
        </w:rPr>
        <w:t xml:space="preserve"> with the code of ethics. The other elements are:</w:t>
      </w:r>
    </w:p>
    <w:p w14:paraId="7BFD42EA" w14:textId="77777777" w:rsidR="00C7067D" w:rsidRPr="00C7067D" w:rsidRDefault="00C7067D" w:rsidP="009465FA">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Gather information and intelligence.</w:t>
      </w:r>
    </w:p>
    <w:p w14:paraId="3DFD09DD" w14:textId="77777777" w:rsidR="00C7067D" w:rsidRPr="00C7067D" w:rsidRDefault="00C7067D" w:rsidP="009465FA">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Assess threat and risk and develop a working strategy.</w:t>
      </w:r>
    </w:p>
    <w:p w14:paraId="2F702AB1" w14:textId="77777777" w:rsidR="00C7067D" w:rsidRPr="00C7067D" w:rsidRDefault="00C7067D" w:rsidP="009465FA">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Consider powers and policy.</w:t>
      </w:r>
    </w:p>
    <w:p w14:paraId="7D22A61C" w14:textId="77777777" w:rsidR="00C7067D" w:rsidRPr="00C7067D" w:rsidRDefault="00C7067D" w:rsidP="009465FA">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Identify options and contingencies.</w:t>
      </w:r>
    </w:p>
    <w:p w14:paraId="354B69E6" w14:textId="77777777" w:rsidR="00C7067D" w:rsidRPr="00C7067D" w:rsidRDefault="00C7067D" w:rsidP="009465FA">
      <w:pPr>
        <w:numPr>
          <w:ilvl w:val="0"/>
          <w:numId w:val="6"/>
        </w:numPr>
        <w:overflowPunct/>
        <w:autoSpaceDE/>
        <w:autoSpaceDN/>
        <w:adjustRightInd/>
        <w:spacing w:after="160" w:line="259" w:lineRule="auto"/>
        <w:contextualSpacing/>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 xml:space="preserve">Take action and review what happened. </w:t>
      </w:r>
    </w:p>
    <w:p w14:paraId="292A5B6C"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(COP, 2024).</w:t>
      </w:r>
    </w:p>
    <w:p w14:paraId="590200EB" w14:textId="04E8C14F"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The first element of the NDM is to gather information and intelligence. This began when I received a call from control room asking to attend the address of a female who appeared to be having a mental health crisis. The original call came from the females partner who was concerned about her welfare. PNC and NICHE checks were requested for both parties and if any previous’ had occurred at the property. These checks came back and it was uncovered that the male and female were both involved in previous domestic incidents. Due to this knowledge, on attendance at the property the working strategy was to split up both parties and speak to them separately so as to minimise any threat or harm and to keep control over the situation. I spoke to the female while my colleague spoke to the male, both disclosed that it was a verbal argument only which came about as a result of the fact that the male no longer wanted the female to live in his property. The female had bruising to her eyes and had other bruises on her arms but through accounts of both parties and PNC checks on the female it was revealed she has a history of self-harm which resembled her injuries.</w:t>
      </w:r>
    </w:p>
    <w:p w14:paraId="3CEA2A89"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 xml:space="preserve">I began to consider the powers and policies, options and contingencies available to me based on the fact no offences had been disclosed and the female was in a mental health crisis. No offences were disclosed at this time so arrest was not proportionate. S163 of the mental health act was not proportionate either as the female was in her own home and had capacity. At the time it appeared that getting the female to engage in 111 opt 2 for mental health support and liaising with control room AMP was the best option, so I decided upon this. During the call to 111 opt 2 the female became reluctant to engage and would not speak about her mental health to the practitioner, having spoken to the practitioner myself they stated that without her engagement they could not help. At the time of this call, an officer was speaking to the male who suddenly disclosed two offences. He disclosed offences of assault and criminal damage. This complicated the situation as originally we wanted to get the female help for her mental health now she was liable for arrest. </w:t>
      </w:r>
    </w:p>
    <w:p w14:paraId="7E6EAA93"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 xml:space="preserve">I knew we needed to take positive action but also take into account the females mental health. When asked if she had anywhere she could stay the female stated she had no friends or family nearby. This coupled with the fact that she was not willing to engage in mental health support meant that it was decided along with supervisor advice that the only course of action that could be taken would be to arrest the female. I considered the impact of the situation if I did not arrest the female. I was concerned if I left the female in the property we would have further calls relating to this property. I knew if she was arrested she could be signposted to mental health support and due to her injuries she needed to be taken to hospital beforehand to get treatment. I used my discretion and decided to arrest the female and took her to hospital for her injuries before being taken to custody. </w:t>
      </w:r>
    </w:p>
    <w:p w14:paraId="7692BD50"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 xml:space="preserve">The last part of the NDM is to review my actions and what happened. I am happy with how I dealt with the situation, although arresting the female was the last thing I wanted to do I was satisfied that this was the </w:t>
      </w:r>
      <w:r w:rsidRPr="00C7067D">
        <w:rPr>
          <w:rFonts w:asciiTheme="minorHAnsi" w:eastAsiaTheme="minorHAnsi" w:hAnsiTheme="minorHAnsi" w:cstheme="minorBidi"/>
          <w:iCs/>
          <w:color w:val="auto"/>
          <w:kern w:val="2"/>
          <w:sz w:val="22"/>
          <w:szCs w:val="22"/>
          <w:lang w:eastAsia="en-US"/>
          <w14:ligatures w14:val="standardContextual"/>
        </w:rPr>
        <w:lastRenderedPageBreak/>
        <w:t xml:space="preserve">only way to keep both the male and female safe in the situation. The female later received help from the hospital and was referred to mental health services. This call was complex and I exhausted a lot of options before coming to the final decision to arrest the female. On reflection I would try and separate the parties better such as take one outside as they did argue when we were there with them. I would also speak to 111 opt 2 first and detail what had happened as letting her do this complicated the situation as she would not engage so they did not understand why she was calling. </w:t>
      </w:r>
    </w:p>
    <w:p w14:paraId="7675A643" w14:textId="2DB7FBA0"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 xml:space="preserve">The NDM is unpinned by the code of ethics and throughout this incident I have made sure to keep my decisions and behaviour in line with the code of ethics. There are now three ethical policing principles which underpin the code of ethics, these are courage, respect and empathy and public service (COP, 2024).  I used courage and took responsibility in my decision to arrest the female, it was a difficult decision to make due to her mental health but one that was necessary in ensuring that both parties would be safe. I made sure that my decision was lawful, proportionate, necessary and did so by liaising with my supervisor for their opinion and support of my decision. I was open and honest with the female in my reason for arresting her and when arrested she did not resist and was aware of why it was necessary. I spent time throughout the incident listening and encouraging the female to explain to me what had happened and detail her relationship with the male, this allowed me to understand the context of the situation and her own mental health struggles. I took into account the females individual needs and made sure that she was signposted to mental health support. Lastly, in line with the code of ethics I reflected on my decision when I returned to the station with my supervisor. </w:t>
      </w:r>
    </w:p>
    <w:p w14:paraId="1A785074"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 xml:space="preserve">The CPIA 1996 ‘aims to ensure that criminal investigations are conducted in a fair, objective and through manner’ (Attorney General’s Office, 2013, p.4). The CPIA details how officers should ‘record, retain and reveal to the prosecutor material obtained in a criminal investigation which may be relevant to the investigation’ (MOJ, 2020, p.3). Material is defined as anything that is obtained in the investigation which may be relevant to the investigation of the offence such as statements and cctv (CPS, 2022). Relevant material is any material that ‘has bearing on any offence under investigation or any person being investigated or on the surrounding circumstances’ (Wood et al., 2023, p.573). Relevant material must be recorded, retained for a specific period of time and revealed to the defence or prosecution and reviewed. Some evidence however is not relevant or used in the investigation and the CPIA still requires officers to provide all unused material in the investigation to the CPS and prosecutor who considers whether disclosure to the defence is necessary, this would include PNC checks and NICHE occurrences (Wood et al., 2023). </w:t>
      </w:r>
    </w:p>
    <w:p w14:paraId="14B32C37" w14:textId="7E2F9B3E"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C7067D">
        <w:rPr>
          <w:rFonts w:asciiTheme="minorHAnsi" w:eastAsiaTheme="minorHAnsi" w:hAnsiTheme="minorHAnsi" w:cstheme="minorBidi"/>
          <w:iCs/>
          <w:color w:val="auto"/>
          <w:kern w:val="2"/>
          <w:sz w:val="22"/>
          <w:szCs w:val="22"/>
          <w:lang w:eastAsia="en-US"/>
          <w14:ligatures w14:val="standardContextual"/>
        </w:rPr>
        <w:t>Disclosure is a process which provides to the defence material which could undermine the prosecution case or assist in their defence (Anderson, Sampson and Gilroy, 2021). The cps will decide which information should be disclosed. Failure to disclose material can have implications for Article 6 of the ECHR as it is a right for any person to have a fair trial (Anderson, Sampson and Gilroy, 2021). This legislation also sets out to disprove the idea that polic</w:t>
      </w:r>
      <w:r w:rsidR="00F72CFD">
        <w:rPr>
          <w:rFonts w:asciiTheme="minorHAnsi" w:eastAsiaTheme="minorHAnsi" w:hAnsiTheme="minorHAnsi" w:cstheme="minorBidi"/>
          <w:iCs/>
          <w:color w:val="auto"/>
          <w:kern w:val="2"/>
          <w:sz w:val="22"/>
          <w:szCs w:val="22"/>
          <w:lang w:eastAsia="en-US"/>
          <w14:ligatures w14:val="standardContextual"/>
        </w:rPr>
        <w:t>e</w:t>
      </w:r>
      <w:r w:rsidRPr="00C7067D">
        <w:rPr>
          <w:rFonts w:asciiTheme="minorHAnsi" w:eastAsiaTheme="minorHAnsi" w:hAnsiTheme="minorHAnsi" w:cstheme="minorBidi"/>
          <w:iCs/>
          <w:color w:val="auto"/>
          <w:kern w:val="2"/>
          <w:sz w:val="22"/>
          <w:szCs w:val="22"/>
          <w:lang w:eastAsia="en-US"/>
          <w14:ligatures w14:val="standardContextual"/>
        </w:rPr>
        <w:t xml:space="preserve"> ignore important facts that could prove innocence (Wood</w:t>
      </w:r>
      <w:r w:rsidRPr="00C7067D">
        <w:rPr>
          <w:rFonts w:asciiTheme="minorHAnsi" w:eastAsiaTheme="minorHAnsi" w:hAnsiTheme="minorHAnsi" w:cstheme="minorBidi"/>
          <w:i/>
          <w:color w:val="auto"/>
          <w:kern w:val="2"/>
          <w:sz w:val="22"/>
          <w:szCs w:val="22"/>
          <w:lang w:eastAsia="en-US"/>
          <w14:ligatures w14:val="standardContextual"/>
        </w:rPr>
        <w:t xml:space="preserve"> </w:t>
      </w:r>
      <w:r w:rsidRPr="00C7067D">
        <w:rPr>
          <w:rFonts w:asciiTheme="minorHAnsi" w:eastAsiaTheme="minorHAnsi" w:hAnsiTheme="minorHAnsi" w:cstheme="minorBidi"/>
          <w:iCs/>
          <w:color w:val="auto"/>
          <w:kern w:val="2"/>
          <w:sz w:val="22"/>
          <w:szCs w:val="22"/>
          <w:lang w:eastAsia="en-US"/>
          <w14:ligatures w14:val="standardContextual"/>
        </w:rPr>
        <w:t xml:space="preserve">et al., 2023). This is seen in high profile cases of miscarriages of justice such as the Birmingham six and Guildford four (Wood et al., 2023). As this incident is at the interview stage I have not </w:t>
      </w:r>
      <w:r w:rsidR="00DE24A7" w:rsidRPr="00C7067D">
        <w:rPr>
          <w:rFonts w:asciiTheme="minorHAnsi" w:eastAsiaTheme="minorHAnsi" w:hAnsiTheme="minorHAnsi" w:cstheme="minorBidi"/>
          <w:iCs/>
          <w:color w:val="auto"/>
          <w:kern w:val="2"/>
          <w:sz w:val="22"/>
          <w:szCs w:val="22"/>
          <w:lang w:eastAsia="en-US"/>
          <w14:ligatures w14:val="standardContextual"/>
        </w:rPr>
        <w:t>begun</w:t>
      </w:r>
      <w:r w:rsidRPr="00C7067D">
        <w:rPr>
          <w:rFonts w:asciiTheme="minorHAnsi" w:eastAsiaTheme="minorHAnsi" w:hAnsiTheme="minorHAnsi" w:cstheme="minorBidi"/>
          <w:iCs/>
          <w:color w:val="auto"/>
          <w:kern w:val="2"/>
          <w:sz w:val="22"/>
          <w:szCs w:val="22"/>
          <w:lang w:eastAsia="en-US"/>
          <w14:ligatures w14:val="standardContextual"/>
        </w:rPr>
        <w:t xml:space="preserve"> to build a case file. When this happens I will disclosure all relevant material to the cps and defence and any unused material that arises during the investigation. I will liaise with the cps in making sure that I disclose and submit all relevant and unused material.</w:t>
      </w:r>
    </w:p>
    <w:p w14:paraId="38B3E4B1" w14:textId="77777777" w:rsidR="00C7067D" w:rsidRPr="00C7067D" w:rsidRDefault="00C7067D" w:rsidP="00C7067D">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7067D">
        <w:rPr>
          <w:rFonts w:asciiTheme="minorHAnsi" w:eastAsiaTheme="minorHAnsi" w:hAnsiTheme="minorHAnsi" w:cstheme="minorBidi"/>
          <w:color w:val="auto"/>
          <w:kern w:val="2"/>
          <w:sz w:val="22"/>
          <w:szCs w:val="22"/>
          <w:lang w:eastAsia="en-US"/>
          <w14:ligatures w14:val="standardContextual"/>
        </w:rPr>
        <w:t xml:space="preserve">This essay has explained a policing incident I have been involved with and discusses my use of discretion and decision making in line with the code of ethics and NDM. This essay has detailed step by step how I gathered information and intelligence, assessed threat, harm and risk and developed a working strategy, considered my different options and contingencies and reviewed my actions during the incident. I am overall happy with how I dealt with the incident but it did teach me to try and explore every option available before having to </w:t>
      </w:r>
      <w:r w:rsidRPr="00C7067D">
        <w:rPr>
          <w:rFonts w:asciiTheme="minorHAnsi" w:eastAsiaTheme="minorHAnsi" w:hAnsiTheme="minorHAnsi" w:cstheme="minorBidi"/>
          <w:color w:val="auto"/>
          <w:kern w:val="2"/>
          <w:sz w:val="22"/>
          <w:szCs w:val="22"/>
          <w:lang w:eastAsia="en-US"/>
          <w14:ligatures w14:val="standardContextual"/>
        </w:rPr>
        <w:lastRenderedPageBreak/>
        <w:t xml:space="preserve">arrest an individual. This essay then reviewed my responsibilities in line with the CPIA and how I will disclose and reveal any information to the cps and prosecution and defence whether it is relevant to my case or not. </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
          <w:sz w:val="24"/>
          <w:szCs w:val="24"/>
        </w:rPr>
      </w:pPr>
    </w:p>
    <w:p w14:paraId="0FA9002C"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Andersen et al. (2015) ‘Applying resilience promotion training among special forces police officers’, </w:t>
      </w:r>
      <w:r w:rsidRPr="00DA7834">
        <w:rPr>
          <w:rFonts w:asciiTheme="minorHAnsi" w:eastAsiaTheme="minorHAnsi" w:hAnsiTheme="minorHAnsi" w:cstheme="minorBidi"/>
          <w:i/>
          <w:color w:val="auto"/>
          <w:kern w:val="2"/>
          <w:sz w:val="22"/>
          <w:szCs w:val="22"/>
          <w:lang w:eastAsia="en-US"/>
          <w14:ligatures w14:val="standardContextual"/>
        </w:rPr>
        <w:t xml:space="preserve">SAGE Open, </w:t>
      </w:r>
      <w:r w:rsidRPr="00DA7834">
        <w:rPr>
          <w:rFonts w:asciiTheme="minorHAnsi" w:eastAsiaTheme="minorHAnsi" w:hAnsiTheme="minorHAnsi" w:cstheme="minorBidi"/>
          <w:color w:val="auto"/>
          <w:kern w:val="2"/>
          <w:sz w:val="22"/>
          <w:szCs w:val="22"/>
          <w:lang w:eastAsia="en-US"/>
          <w14:ligatures w14:val="standardContextual"/>
        </w:rPr>
        <w:t xml:space="preserve">5(2), pp. 1-8. </w:t>
      </w:r>
    </w:p>
    <w:p w14:paraId="25305024" w14:textId="2E5311BA" w:rsidR="00BD7C76" w:rsidRDefault="00BD7C76" w:rsidP="00BD7C76">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BD7C76">
        <w:rPr>
          <w:rFonts w:asciiTheme="minorHAnsi" w:eastAsiaTheme="minorHAnsi" w:hAnsiTheme="minorHAnsi" w:cstheme="minorBidi"/>
          <w:color w:val="auto"/>
          <w:kern w:val="2"/>
          <w:sz w:val="22"/>
          <w:szCs w:val="22"/>
          <w:lang w:eastAsia="en-US"/>
          <w14:ligatures w14:val="standardContextual"/>
        </w:rPr>
        <w:t xml:space="preserve">Anderson, P., Sampson, D. and Gilroy, S. (2021) ‘Digital investigations: relevance and confidence in disclosure’, </w:t>
      </w:r>
      <w:r w:rsidR="006C56B2">
        <w:rPr>
          <w:rFonts w:asciiTheme="minorHAnsi" w:eastAsiaTheme="minorHAnsi" w:hAnsiTheme="minorHAnsi" w:cstheme="minorBidi"/>
          <w:i/>
          <w:iCs/>
          <w:color w:val="auto"/>
          <w:kern w:val="2"/>
          <w:sz w:val="22"/>
          <w:szCs w:val="22"/>
          <w:lang w:eastAsia="en-US"/>
          <w14:ligatures w14:val="standardContextual"/>
        </w:rPr>
        <w:t xml:space="preserve">ERA Forum, </w:t>
      </w:r>
      <w:r w:rsidRPr="00BD7C76">
        <w:rPr>
          <w:rFonts w:asciiTheme="minorHAnsi" w:eastAsiaTheme="minorHAnsi" w:hAnsiTheme="minorHAnsi" w:cstheme="minorBidi"/>
          <w:color w:val="auto"/>
          <w:kern w:val="2"/>
          <w:sz w:val="22"/>
          <w:szCs w:val="22"/>
          <w:lang w:eastAsia="en-US"/>
          <w14:ligatures w14:val="standardContextual"/>
        </w:rPr>
        <w:t xml:space="preserve">22(1), pp. 587-599. </w:t>
      </w:r>
    </w:p>
    <w:p w14:paraId="62D2DC20" w14:textId="5E1064B1" w:rsidR="008E0996" w:rsidRDefault="008E0996" w:rsidP="00BD7C76">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8E0996">
        <w:rPr>
          <w:rFonts w:asciiTheme="minorHAnsi" w:eastAsiaTheme="minorHAnsi" w:hAnsiTheme="minorHAnsi" w:cstheme="minorBidi"/>
          <w:color w:val="auto"/>
          <w:kern w:val="2"/>
          <w:sz w:val="22"/>
          <w:szCs w:val="22"/>
          <w:lang w:eastAsia="en-US"/>
          <w14:ligatures w14:val="standardContextual"/>
        </w:rPr>
        <w:t xml:space="preserve">Attorney General’s Office (2013) </w:t>
      </w:r>
      <w:r w:rsidRPr="008E0996">
        <w:rPr>
          <w:rFonts w:asciiTheme="minorHAnsi" w:eastAsiaTheme="minorHAnsi" w:hAnsiTheme="minorHAnsi" w:cstheme="minorBidi"/>
          <w:i/>
          <w:iCs/>
          <w:color w:val="auto"/>
          <w:kern w:val="2"/>
          <w:sz w:val="22"/>
          <w:szCs w:val="22"/>
          <w:lang w:eastAsia="en-US"/>
          <w14:ligatures w14:val="standardContextual"/>
        </w:rPr>
        <w:t xml:space="preserve">Attorney Generals Guidelines on Disclosure. For investigators, prosecutors and defence practitioners’. </w:t>
      </w:r>
      <w:r w:rsidRPr="008E0996">
        <w:rPr>
          <w:rFonts w:asciiTheme="minorHAnsi" w:eastAsiaTheme="minorHAnsi" w:hAnsiTheme="minorHAnsi" w:cstheme="minorBidi"/>
          <w:color w:val="auto"/>
          <w:kern w:val="2"/>
          <w:sz w:val="22"/>
          <w:szCs w:val="22"/>
          <w:lang w:eastAsia="en-US"/>
          <w14:ligatures w14:val="standardContextual"/>
        </w:rPr>
        <w:t xml:space="preserve">Available at: </w:t>
      </w:r>
      <w:hyperlink r:id="rId20" w:history="1">
        <w:r w:rsidRPr="008E0996">
          <w:rPr>
            <w:rFonts w:asciiTheme="minorHAnsi" w:eastAsiaTheme="minorHAnsi" w:hAnsiTheme="minorHAnsi" w:cstheme="minorBidi"/>
            <w:color w:val="0000FF"/>
            <w:kern w:val="2"/>
            <w:sz w:val="22"/>
            <w:szCs w:val="22"/>
            <w:u w:val="single"/>
            <w:lang w:eastAsia="en-US"/>
            <w14:ligatures w14:val="standardContextual"/>
          </w:rPr>
          <w:t>AG_Disclosure_Guidelines_-_December_2013.pdf (publishing.service.gov.uk)</w:t>
        </w:r>
      </w:hyperlink>
      <w:r w:rsidRPr="008E0996">
        <w:rPr>
          <w:rFonts w:asciiTheme="minorHAnsi" w:eastAsiaTheme="minorHAnsi" w:hAnsiTheme="minorHAnsi" w:cstheme="minorBidi"/>
          <w:color w:val="auto"/>
          <w:kern w:val="2"/>
          <w:sz w:val="22"/>
          <w:szCs w:val="22"/>
          <w:lang w:eastAsia="en-US"/>
          <w14:ligatures w14:val="standardContextual"/>
        </w:rPr>
        <w:t xml:space="preserve"> (Accessed: 02 June 2024). </w:t>
      </w:r>
    </w:p>
    <w:p w14:paraId="5F30A401" w14:textId="269C4B7D" w:rsidR="00F93392" w:rsidRPr="00DA7834" w:rsidRDefault="00F93392" w:rsidP="00F93392">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F93392">
        <w:rPr>
          <w:rFonts w:asciiTheme="minorHAnsi" w:eastAsiaTheme="minorHAnsi" w:hAnsiTheme="minorHAnsi" w:cstheme="minorBidi"/>
          <w:color w:val="auto"/>
          <w:kern w:val="2"/>
          <w:sz w:val="22"/>
          <w:szCs w:val="22"/>
          <w:lang w:eastAsia="en-US"/>
          <w14:ligatures w14:val="standardContextual"/>
        </w:rPr>
        <w:t xml:space="preserve">BBC (2024) </w:t>
      </w:r>
      <w:r w:rsidRPr="00F93392">
        <w:rPr>
          <w:rFonts w:asciiTheme="minorHAnsi" w:eastAsiaTheme="minorHAnsi" w:hAnsiTheme="minorHAnsi" w:cstheme="minorBidi"/>
          <w:i/>
          <w:color w:val="auto"/>
          <w:kern w:val="2"/>
          <w:sz w:val="22"/>
          <w:szCs w:val="22"/>
          <w:lang w:eastAsia="en-US"/>
          <w14:ligatures w14:val="standardContextual"/>
        </w:rPr>
        <w:t xml:space="preserve">Police Chief Apologises to LGBT Community. </w:t>
      </w:r>
      <w:r w:rsidRPr="00F93392">
        <w:rPr>
          <w:rFonts w:asciiTheme="minorHAnsi" w:eastAsiaTheme="minorHAnsi" w:hAnsiTheme="minorHAnsi" w:cstheme="minorBidi"/>
          <w:color w:val="auto"/>
          <w:kern w:val="2"/>
          <w:sz w:val="22"/>
          <w:szCs w:val="22"/>
          <w:lang w:eastAsia="en-US"/>
          <w14:ligatures w14:val="standardContextual"/>
        </w:rPr>
        <w:t xml:space="preserve">Available at: </w:t>
      </w:r>
      <w:hyperlink r:id="rId21" w:history="1">
        <w:r w:rsidRPr="00F93392">
          <w:rPr>
            <w:rFonts w:asciiTheme="minorHAnsi" w:eastAsiaTheme="minorHAnsi" w:hAnsiTheme="minorHAnsi" w:cstheme="minorBidi"/>
            <w:color w:val="0000FF"/>
            <w:kern w:val="2"/>
            <w:sz w:val="22"/>
            <w:szCs w:val="22"/>
            <w:u w:val="single"/>
            <w:lang w:eastAsia="en-US"/>
            <w14:ligatures w14:val="standardContextual"/>
          </w:rPr>
          <w:t>Dorset Police becomes 13th force to apologise to LGBT community - BBC News</w:t>
        </w:r>
      </w:hyperlink>
      <w:r w:rsidRPr="00F93392">
        <w:rPr>
          <w:rFonts w:asciiTheme="minorHAnsi" w:eastAsiaTheme="minorHAnsi" w:hAnsiTheme="minorHAnsi" w:cstheme="minorBidi"/>
          <w:color w:val="auto"/>
          <w:kern w:val="2"/>
          <w:sz w:val="22"/>
          <w:szCs w:val="22"/>
          <w:lang w:eastAsia="en-US"/>
          <w14:ligatures w14:val="standardContextual"/>
        </w:rPr>
        <w:t xml:space="preserve"> (Accessed: 04 May 2024). </w:t>
      </w:r>
    </w:p>
    <w:p w14:paraId="61784697"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Beehr, T.A. and Newman, J.E. (1978) ‘Job stress, employee health and organisational effectiveness: A facet analysis, model and literature review 1’, </w:t>
      </w:r>
      <w:r w:rsidRPr="00DA7834">
        <w:rPr>
          <w:rFonts w:asciiTheme="minorHAnsi" w:eastAsiaTheme="minorHAnsi" w:hAnsiTheme="minorHAnsi" w:cstheme="minorBidi"/>
          <w:i/>
          <w:color w:val="auto"/>
          <w:kern w:val="2"/>
          <w:sz w:val="22"/>
          <w:szCs w:val="22"/>
          <w:lang w:eastAsia="en-US"/>
          <w14:ligatures w14:val="standardContextual"/>
        </w:rPr>
        <w:t xml:space="preserve">Personnel Psychology, </w:t>
      </w:r>
      <w:r w:rsidRPr="00DA7834">
        <w:rPr>
          <w:rFonts w:asciiTheme="minorHAnsi" w:eastAsiaTheme="minorHAnsi" w:hAnsiTheme="minorHAnsi" w:cstheme="minorBidi"/>
          <w:color w:val="auto"/>
          <w:kern w:val="2"/>
          <w:sz w:val="22"/>
          <w:szCs w:val="22"/>
          <w:lang w:eastAsia="en-US"/>
          <w14:ligatures w14:val="standardContextual"/>
        </w:rPr>
        <w:t xml:space="preserve">31(4), pp. 665-699. </w:t>
      </w:r>
    </w:p>
    <w:p w14:paraId="5E38E7F2"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Bonanno, G.A. (2004) ‘Loss, trauma and human resilience: Have we underestimated the human capacity to thrive after extremely aversive events?’, </w:t>
      </w:r>
      <w:r w:rsidRPr="00DA7834">
        <w:rPr>
          <w:rFonts w:asciiTheme="minorHAnsi" w:eastAsiaTheme="minorHAnsi" w:hAnsiTheme="minorHAnsi" w:cstheme="minorBidi"/>
          <w:i/>
          <w:color w:val="auto"/>
          <w:kern w:val="2"/>
          <w:sz w:val="22"/>
          <w:szCs w:val="22"/>
          <w:lang w:eastAsia="en-US"/>
          <w14:ligatures w14:val="standardContextual"/>
        </w:rPr>
        <w:t xml:space="preserve">American Psychologist, </w:t>
      </w:r>
      <w:r w:rsidRPr="00DA7834">
        <w:rPr>
          <w:rFonts w:asciiTheme="minorHAnsi" w:eastAsiaTheme="minorHAnsi" w:hAnsiTheme="minorHAnsi" w:cstheme="minorBidi"/>
          <w:color w:val="auto"/>
          <w:kern w:val="2"/>
          <w:sz w:val="22"/>
          <w:szCs w:val="22"/>
          <w:lang w:eastAsia="en-US"/>
          <w14:ligatures w14:val="standardContextual"/>
        </w:rPr>
        <w:t>59(1), pp. 20-28.</w:t>
      </w:r>
    </w:p>
    <w:p w14:paraId="4A3EEFC9" w14:textId="7A7C5B43" w:rsidR="001E4BD9" w:rsidRDefault="001E4BD9" w:rsidP="001E4BD9">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1E4BD9">
        <w:rPr>
          <w:rFonts w:asciiTheme="minorHAnsi" w:eastAsiaTheme="minorHAnsi" w:hAnsiTheme="minorHAnsi" w:cstheme="minorBidi"/>
          <w:color w:val="auto"/>
          <w:kern w:val="2"/>
          <w:sz w:val="22"/>
          <w:szCs w:val="22"/>
          <w:lang w:eastAsia="en-US"/>
          <w14:ligatures w14:val="standardContextual"/>
        </w:rPr>
        <w:t xml:space="preserve">Briones-Robinson, R., Powers, R.A. and Socia, K.M (2016) ‘Sexual orientation bias crimes: Examination of reporting, perception of police bias, and differential police response’, </w:t>
      </w:r>
      <w:r w:rsidRPr="001E4BD9">
        <w:rPr>
          <w:rFonts w:asciiTheme="minorHAnsi" w:eastAsiaTheme="minorHAnsi" w:hAnsiTheme="minorHAnsi" w:cstheme="minorBidi"/>
          <w:i/>
          <w:iCs/>
          <w:color w:val="auto"/>
          <w:kern w:val="2"/>
          <w:sz w:val="22"/>
          <w:szCs w:val="22"/>
          <w:lang w:eastAsia="en-US"/>
          <w14:ligatures w14:val="standardContextual"/>
        </w:rPr>
        <w:t xml:space="preserve">Criminal Justice and Behaviour, </w:t>
      </w:r>
      <w:r w:rsidRPr="001E4BD9">
        <w:rPr>
          <w:rFonts w:asciiTheme="minorHAnsi" w:eastAsiaTheme="minorHAnsi" w:hAnsiTheme="minorHAnsi" w:cstheme="minorBidi"/>
          <w:color w:val="auto"/>
          <w:kern w:val="2"/>
          <w:sz w:val="22"/>
          <w:szCs w:val="22"/>
          <w:lang w:eastAsia="en-US"/>
          <w14:ligatures w14:val="standardContextual"/>
        </w:rPr>
        <w:t>43(12), pp.</w:t>
      </w:r>
      <w:r w:rsidR="002D19A5">
        <w:rPr>
          <w:rFonts w:asciiTheme="minorHAnsi" w:eastAsiaTheme="minorHAnsi" w:hAnsiTheme="minorHAnsi" w:cstheme="minorBidi"/>
          <w:color w:val="auto"/>
          <w:kern w:val="2"/>
          <w:sz w:val="22"/>
          <w:szCs w:val="22"/>
          <w:lang w:eastAsia="en-US"/>
          <w14:ligatures w14:val="standardContextual"/>
        </w:rPr>
        <w:t xml:space="preserve"> </w:t>
      </w:r>
      <w:r w:rsidRPr="001E4BD9">
        <w:rPr>
          <w:rFonts w:asciiTheme="minorHAnsi" w:eastAsiaTheme="minorHAnsi" w:hAnsiTheme="minorHAnsi" w:cstheme="minorBidi"/>
          <w:color w:val="auto"/>
          <w:kern w:val="2"/>
          <w:sz w:val="22"/>
          <w:szCs w:val="22"/>
          <w:lang w:eastAsia="en-US"/>
          <w14:ligatures w14:val="standardContextual"/>
        </w:rPr>
        <w:t>1688-1709.</w:t>
      </w:r>
    </w:p>
    <w:p w14:paraId="3713FF83" w14:textId="53504B4C" w:rsidR="003F048E" w:rsidRDefault="003F048E" w:rsidP="001E4BD9">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F048E">
        <w:rPr>
          <w:rFonts w:asciiTheme="minorHAnsi" w:eastAsiaTheme="minorHAnsi" w:hAnsiTheme="minorHAnsi" w:cstheme="minorBidi"/>
          <w:color w:val="auto"/>
          <w:kern w:val="2"/>
          <w:sz w:val="22"/>
          <w:szCs w:val="22"/>
          <w:lang w:eastAsia="en-US"/>
          <w14:ligatures w14:val="standardContextual"/>
        </w:rPr>
        <w:t xml:space="preserve">Bronitt, S.H. and Stenning, P. (2011) ‘Understanding discretion in modern policing’, </w:t>
      </w:r>
      <w:r w:rsidRPr="003F048E">
        <w:rPr>
          <w:rFonts w:asciiTheme="minorHAnsi" w:eastAsiaTheme="minorHAnsi" w:hAnsiTheme="minorHAnsi" w:cstheme="minorBidi"/>
          <w:i/>
          <w:iCs/>
          <w:color w:val="auto"/>
          <w:kern w:val="2"/>
          <w:sz w:val="22"/>
          <w:szCs w:val="22"/>
          <w:lang w:eastAsia="en-US"/>
          <w14:ligatures w14:val="standardContextual"/>
        </w:rPr>
        <w:t xml:space="preserve">Criminal Law Journal, </w:t>
      </w:r>
      <w:r w:rsidRPr="003F048E">
        <w:rPr>
          <w:rFonts w:asciiTheme="minorHAnsi" w:eastAsiaTheme="minorHAnsi" w:hAnsiTheme="minorHAnsi" w:cstheme="minorBidi"/>
          <w:color w:val="auto"/>
          <w:kern w:val="2"/>
          <w:sz w:val="22"/>
          <w:szCs w:val="22"/>
          <w:lang w:eastAsia="en-US"/>
          <w14:ligatures w14:val="standardContextual"/>
        </w:rPr>
        <w:t xml:space="preserve">35(6), pp. 319-332. </w:t>
      </w:r>
    </w:p>
    <w:p w14:paraId="5D66F621" w14:textId="77777777" w:rsidR="00771AFF" w:rsidRPr="00771AFF" w:rsidRDefault="00771AFF" w:rsidP="00771AFF">
      <w:pPr>
        <w:tabs>
          <w:tab w:val="left" w:pos="1572"/>
        </w:tabs>
        <w:overflowPunct/>
        <w:autoSpaceDE/>
        <w:autoSpaceDN/>
        <w:adjustRightInd/>
        <w:spacing w:after="160" w:line="259" w:lineRule="auto"/>
        <w:textAlignment w:val="auto"/>
        <w:rPr>
          <w:rFonts w:asciiTheme="minorHAnsi" w:eastAsiaTheme="minorHAnsi" w:hAnsiTheme="minorHAnsi" w:cstheme="minorBidi"/>
          <w:bCs/>
          <w:color w:val="auto"/>
          <w:kern w:val="2"/>
          <w:sz w:val="22"/>
          <w:szCs w:val="22"/>
          <w:lang w:eastAsia="en-US"/>
          <w14:ligatures w14:val="standardContextual"/>
        </w:rPr>
      </w:pPr>
      <w:r w:rsidRPr="00771AFF">
        <w:rPr>
          <w:rFonts w:asciiTheme="minorHAnsi" w:eastAsiaTheme="minorHAnsi" w:hAnsiTheme="minorHAnsi" w:cstheme="minorBidi"/>
          <w:bCs/>
          <w:color w:val="auto"/>
          <w:kern w:val="2"/>
          <w:sz w:val="22"/>
          <w:szCs w:val="22"/>
          <w:lang w:eastAsia="en-US"/>
          <w14:ligatures w14:val="standardContextual"/>
        </w:rPr>
        <w:t xml:space="preserve">Campbell, K.S., Davis, L. and Skinner, L. (2006) ‘Rapport management during the exploration phase of the salesperson-customer relationship’, </w:t>
      </w:r>
      <w:r w:rsidRPr="00771AFF">
        <w:rPr>
          <w:rFonts w:asciiTheme="minorHAnsi" w:eastAsiaTheme="minorHAnsi" w:hAnsiTheme="minorHAnsi" w:cstheme="minorBidi"/>
          <w:bCs/>
          <w:i/>
          <w:iCs/>
          <w:color w:val="auto"/>
          <w:kern w:val="2"/>
          <w:sz w:val="22"/>
          <w:szCs w:val="22"/>
          <w:lang w:eastAsia="en-US"/>
          <w14:ligatures w14:val="standardContextual"/>
        </w:rPr>
        <w:t xml:space="preserve">Journal of Personal Selling and Sales Management, </w:t>
      </w:r>
      <w:r w:rsidRPr="00771AFF">
        <w:rPr>
          <w:rFonts w:asciiTheme="minorHAnsi" w:eastAsiaTheme="minorHAnsi" w:hAnsiTheme="minorHAnsi" w:cstheme="minorBidi"/>
          <w:bCs/>
          <w:color w:val="auto"/>
          <w:kern w:val="2"/>
          <w:sz w:val="22"/>
          <w:szCs w:val="22"/>
          <w:lang w:eastAsia="en-US"/>
          <w14:ligatures w14:val="standardContextual"/>
        </w:rPr>
        <w:t>26(4), pp. 359-370.</w:t>
      </w:r>
    </w:p>
    <w:p w14:paraId="51FD330B" w14:textId="77777777" w:rsidR="00771AFF" w:rsidRPr="00771AFF" w:rsidRDefault="00771AFF" w:rsidP="00771AFF">
      <w:pPr>
        <w:tabs>
          <w:tab w:val="left" w:pos="1572"/>
        </w:tabs>
        <w:overflowPunct/>
        <w:autoSpaceDE/>
        <w:autoSpaceDN/>
        <w:adjustRightInd/>
        <w:spacing w:after="160" w:line="259" w:lineRule="auto"/>
        <w:textAlignment w:val="auto"/>
        <w:rPr>
          <w:rFonts w:asciiTheme="minorHAnsi" w:eastAsiaTheme="minorHAnsi" w:hAnsiTheme="minorHAnsi" w:cstheme="minorBidi"/>
          <w:bCs/>
          <w:color w:val="auto"/>
          <w:kern w:val="2"/>
          <w:sz w:val="22"/>
          <w:szCs w:val="22"/>
          <w:lang w:eastAsia="en-US"/>
          <w14:ligatures w14:val="standardContextual"/>
        </w:rPr>
      </w:pPr>
      <w:r w:rsidRPr="00771AFF">
        <w:rPr>
          <w:rFonts w:asciiTheme="minorHAnsi" w:eastAsiaTheme="minorHAnsi" w:hAnsiTheme="minorHAnsi" w:cstheme="minorBidi"/>
          <w:bCs/>
          <w:color w:val="auto"/>
          <w:kern w:val="2"/>
          <w:sz w:val="22"/>
          <w:szCs w:val="22"/>
          <w:lang w:eastAsia="en-US"/>
          <w14:ligatures w14:val="standardContextual"/>
        </w:rPr>
        <w:t xml:space="preserve">Chavanis, J.L. and Gava, M.J. (2014) </w:t>
      </w:r>
      <w:r w:rsidRPr="00771AFF">
        <w:rPr>
          <w:rFonts w:asciiTheme="minorHAnsi" w:eastAsiaTheme="minorHAnsi" w:hAnsiTheme="minorHAnsi" w:cstheme="minorBidi"/>
          <w:bCs/>
          <w:i/>
          <w:iCs/>
          <w:color w:val="auto"/>
          <w:kern w:val="2"/>
          <w:sz w:val="22"/>
          <w:szCs w:val="22"/>
          <w:lang w:eastAsia="en-US"/>
          <w14:ligatures w14:val="standardContextual"/>
        </w:rPr>
        <w:t xml:space="preserve">Tools and practice of mediation. </w:t>
      </w:r>
      <w:r w:rsidRPr="00771AFF">
        <w:rPr>
          <w:rFonts w:asciiTheme="minorHAnsi" w:eastAsiaTheme="minorHAnsi" w:hAnsiTheme="minorHAnsi" w:cstheme="minorBidi"/>
          <w:bCs/>
          <w:color w:val="auto"/>
          <w:kern w:val="2"/>
          <w:sz w:val="22"/>
          <w:szCs w:val="22"/>
          <w:lang w:eastAsia="en-US"/>
          <w14:ligatures w14:val="standardContextual"/>
        </w:rPr>
        <w:t xml:space="preserve">France: Dunod. </w:t>
      </w:r>
    </w:p>
    <w:p w14:paraId="799C0BC7" w14:textId="77777777" w:rsidR="00771AFF" w:rsidRPr="00771AFF" w:rsidRDefault="00771AFF" w:rsidP="00771AFF">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71AFF">
        <w:rPr>
          <w:rFonts w:asciiTheme="minorHAnsi" w:eastAsiaTheme="minorHAnsi" w:hAnsiTheme="minorHAnsi" w:cstheme="minorBidi"/>
          <w:color w:val="auto"/>
          <w:kern w:val="2"/>
          <w:sz w:val="22"/>
          <w:szCs w:val="22"/>
          <w:lang w:eastAsia="en-US"/>
          <w14:ligatures w14:val="standardContextual"/>
        </w:rPr>
        <w:t xml:space="preserve">Chijoko, E.M. et al. (2020) ‘Roles of Police in Conflict Management: A Systematic Review of Literature’, </w:t>
      </w:r>
      <w:r w:rsidRPr="00771AFF">
        <w:rPr>
          <w:rFonts w:asciiTheme="minorHAnsi" w:eastAsiaTheme="minorHAnsi" w:hAnsiTheme="minorHAnsi" w:cstheme="minorBidi"/>
          <w:i/>
          <w:color w:val="auto"/>
          <w:kern w:val="2"/>
          <w:sz w:val="22"/>
          <w:szCs w:val="22"/>
          <w:lang w:eastAsia="en-US"/>
          <w14:ligatures w14:val="standardContextual"/>
        </w:rPr>
        <w:t xml:space="preserve">Journal of Research and Innovation in Social Sciences, </w:t>
      </w:r>
      <w:r w:rsidRPr="00771AFF">
        <w:rPr>
          <w:rFonts w:asciiTheme="minorHAnsi" w:eastAsiaTheme="minorHAnsi" w:hAnsiTheme="minorHAnsi" w:cstheme="minorBidi"/>
          <w:color w:val="auto"/>
          <w:kern w:val="2"/>
          <w:sz w:val="22"/>
          <w:szCs w:val="22"/>
          <w:lang w:eastAsia="en-US"/>
          <w14:ligatures w14:val="standardContextual"/>
        </w:rPr>
        <w:t xml:space="preserve">4(11), pp. 288-294. </w:t>
      </w:r>
    </w:p>
    <w:p w14:paraId="727CC8E0" w14:textId="77777777" w:rsidR="00771AFF" w:rsidRDefault="00771AFF" w:rsidP="00771AFF">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71AFF">
        <w:rPr>
          <w:rFonts w:asciiTheme="minorHAnsi" w:eastAsiaTheme="minorHAnsi" w:hAnsiTheme="minorHAnsi" w:cstheme="minorBidi"/>
          <w:color w:val="auto"/>
          <w:kern w:val="2"/>
          <w:sz w:val="22"/>
          <w:szCs w:val="22"/>
          <w:lang w:eastAsia="en-US"/>
          <w14:ligatures w14:val="standardContextual"/>
        </w:rPr>
        <w:t xml:space="preserve">Coute, L., O’Leary, N. and Brennan, I. (2023) ‘Police victims of domestic abuse: barriers to reporting victimisation’, </w:t>
      </w:r>
      <w:r w:rsidRPr="00771AFF">
        <w:rPr>
          <w:rFonts w:asciiTheme="minorHAnsi" w:eastAsiaTheme="minorHAnsi" w:hAnsiTheme="minorHAnsi" w:cstheme="minorBidi"/>
          <w:i/>
          <w:iCs/>
          <w:color w:val="auto"/>
          <w:kern w:val="2"/>
          <w:sz w:val="22"/>
          <w:szCs w:val="22"/>
          <w:lang w:eastAsia="en-US"/>
          <w14:ligatures w14:val="standardContextual"/>
        </w:rPr>
        <w:t xml:space="preserve">Policing and Society, </w:t>
      </w:r>
      <w:r w:rsidRPr="00771AFF">
        <w:rPr>
          <w:rFonts w:asciiTheme="minorHAnsi" w:eastAsiaTheme="minorHAnsi" w:hAnsiTheme="minorHAnsi" w:cstheme="minorBidi"/>
          <w:color w:val="auto"/>
          <w:kern w:val="2"/>
          <w:sz w:val="22"/>
          <w:szCs w:val="22"/>
          <w:lang w:eastAsia="en-US"/>
          <w14:ligatures w14:val="standardContextual"/>
        </w:rPr>
        <w:t xml:space="preserve">34(3), pp. 200-215. </w:t>
      </w:r>
    </w:p>
    <w:p w14:paraId="6F66F7A0" w14:textId="4F7A8F77" w:rsidR="00C61A70" w:rsidRDefault="00C61A70" w:rsidP="00C61A70">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61A70">
        <w:rPr>
          <w:rFonts w:asciiTheme="minorHAnsi" w:eastAsiaTheme="minorHAnsi" w:hAnsiTheme="minorHAnsi" w:cstheme="minorBidi"/>
          <w:color w:val="auto"/>
          <w:kern w:val="2"/>
          <w:sz w:val="22"/>
          <w:szCs w:val="22"/>
          <w:lang w:eastAsia="en-US"/>
          <w14:ligatures w14:val="standardContextual"/>
        </w:rPr>
        <w:t xml:space="preserve">COP (2013) </w:t>
      </w:r>
      <w:r w:rsidRPr="00C61A70">
        <w:rPr>
          <w:rFonts w:asciiTheme="minorHAnsi" w:eastAsiaTheme="minorHAnsi" w:hAnsiTheme="minorHAnsi" w:cstheme="minorBidi"/>
          <w:i/>
          <w:color w:val="auto"/>
          <w:kern w:val="2"/>
          <w:sz w:val="22"/>
          <w:szCs w:val="22"/>
          <w:lang w:eastAsia="en-US"/>
          <w14:ligatures w14:val="standardContextual"/>
        </w:rPr>
        <w:t xml:space="preserve">National Decision Model. </w:t>
      </w:r>
      <w:r w:rsidRPr="00C61A70">
        <w:rPr>
          <w:rFonts w:asciiTheme="minorHAnsi" w:eastAsiaTheme="minorHAnsi" w:hAnsiTheme="minorHAnsi" w:cstheme="minorBidi"/>
          <w:color w:val="auto"/>
          <w:kern w:val="2"/>
          <w:sz w:val="22"/>
          <w:szCs w:val="22"/>
          <w:lang w:eastAsia="en-US"/>
          <w14:ligatures w14:val="standardContextual"/>
        </w:rPr>
        <w:t xml:space="preserve">Available at: </w:t>
      </w:r>
      <w:hyperlink r:id="rId22" w:history="1">
        <w:r w:rsidRPr="00C61A70">
          <w:rPr>
            <w:rFonts w:asciiTheme="minorHAnsi" w:eastAsiaTheme="minorHAnsi" w:hAnsiTheme="minorHAnsi" w:cstheme="minorBidi"/>
            <w:color w:val="0000FF"/>
            <w:kern w:val="2"/>
            <w:sz w:val="22"/>
            <w:szCs w:val="22"/>
            <w:u w:val="single"/>
            <w:lang w:eastAsia="en-US"/>
            <w14:ligatures w14:val="standardContextual"/>
          </w:rPr>
          <w:t>National decision model | College of Policing</w:t>
        </w:r>
      </w:hyperlink>
      <w:r w:rsidRPr="00C61A70">
        <w:rPr>
          <w:rFonts w:asciiTheme="minorHAnsi" w:eastAsiaTheme="minorHAnsi" w:hAnsiTheme="minorHAnsi" w:cstheme="minorBidi"/>
          <w:color w:val="auto"/>
          <w:kern w:val="2"/>
          <w:sz w:val="22"/>
          <w:szCs w:val="22"/>
          <w:lang w:eastAsia="en-US"/>
          <w14:ligatures w14:val="standardContextual"/>
        </w:rPr>
        <w:t xml:space="preserve"> (Accessed: 15 May 2024). </w:t>
      </w:r>
    </w:p>
    <w:p w14:paraId="4AA8DED8" w14:textId="78608034" w:rsidR="00484BD3" w:rsidRDefault="00484BD3" w:rsidP="00C61A70">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84BD3">
        <w:rPr>
          <w:rFonts w:asciiTheme="minorHAnsi" w:eastAsiaTheme="minorHAnsi" w:hAnsiTheme="minorHAnsi" w:cstheme="minorBidi"/>
          <w:color w:val="auto"/>
          <w:kern w:val="2"/>
          <w:sz w:val="22"/>
          <w:szCs w:val="22"/>
          <w:lang w:eastAsia="en-US"/>
          <w14:ligatures w14:val="standardContextual"/>
        </w:rPr>
        <w:t xml:space="preserve">COP (2024) </w:t>
      </w:r>
      <w:r w:rsidRPr="00484BD3">
        <w:rPr>
          <w:rFonts w:asciiTheme="minorHAnsi" w:eastAsiaTheme="minorHAnsi" w:hAnsiTheme="minorHAnsi" w:cstheme="minorBidi"/>
          <w:i/>
          <w:iCs/>
          <w:color w:val="auto"/>
          <w:kern w:val="2"/>
          <w:sz w:val="22"/>
          <w:szCs w:val="22"/>
          <w:lang w:eastAsia="en-US"/>
          <w14:ligatures w14:val="standardContextual"/>
        </w:rPr>
        <w:t xml:space="preserve">Ethical Policing Principle. </w:t>
      </w:r>
      <w:r w:rsidRPr="00484BD3">
        <w:rPr>
          <w:rFonts w:asciiTheme="minorHAnsi" w:eastAsiaTheme="minorHAnsi" w:hAnsiTheme="minorHAnsi" w:cstheme="minorBidi"/>
          <w:color w:val="auto"/>
          <w:kern w:val="2"/>
          <w:sz w:val="22"/>
          <w:szCs w:val="22"/>
          <w:lang w:eastAsia="en-US"/>
          <w14:ligatures w14:val="standardContextual"/>
        </w:rPr>
        <w:t xml:space="preserve">Available at: </w:t>
      </w:r>
      <w:hyperlink r:id="rId23" w:history="1">
        <w:r w:rsidRPr="00484BD3">
          <w:rPr>
            <w:rFonts w:asciiTheme="minorHAnsi" w:eastAsiaTheme="minorHAnsi" w:hAnsiTheme="minorHAnsi" w:cstheme="minorBidi"/>
            <w:color w:val="0000FF"/>
            <w:kern w:val="2"/>
            <w:sz w:val="22"/>
            <w:szCs w:val="22"/>
            <w:u w:val="single"/>
            <w:lang w:eastAsia="en-US"/>
            <w14:ligatures w14:val="standardContextual"/>
          </w:rPr>
          <w:t>Ethical policing principles | College of Policing</w:t>
        </w:r>
      </w:hyperlink>
      <w:r w:rsidRPr="00484BD3">
        <w:rPr>
          <w:rFonts w:asciiTheme="minorHAnsi" w:eastAsiaTheme="minorHAnsi" w:hAnsiTheme="minorHAnsi" w:cstheme="minorBidi"/>
          <w:color w:val="auto"/>
          <w:kern w:val="2"/>
          <w:sz w:val="22"/>
          <w:szCs w:val="22"/>
          <w:lang w:eastAsia="en-US"/>
          <w14:ligatures w14:val="standardContextual"/>
        </w:rPr>
        <w:t xml:space="preserve"> (Accessed: 02 June 2024). </w:t>
      </w:r>
    </w:p>
    <w:p w14:paraId="27E4A0EB" w14:textId="31FC0E44" w:rsidR="00FD2614" w:rsidRPr="00771AFF" w:rsidRDefault="00FD2614" w:rsidP="00FD261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FD2614">
        <w:rPr>
          <w:rFonts w:asciiTheme="minorHAnsi" w:eastAsiaTheme="minorHAnsi" w:hAnsiTheme="minorHAnsi" w:cstheme="minorBidi"/>
          <w:color w:val="auto"/>
          <w:kern w:val="2"/>
          <w:sz w:val="22"/>
          <w:szCs w:val="22"/>
          <w:lang w:eastAsia="en-US"/>
          <w14:ligatures w14:val="standardContextual"/>
        </w:rPr>
        <w:t xml:space="preserve">CPS (2022) </w:t>
      </w:r>
      <w:r w:rsidRPr="00FD2614">
        <w:rPr>
          <w:rFonts w:asciiTheme="minorHAnsi" w:eastAsiaTheme="minorHAnsi" w:hAnsiTheme="minorHAnsi" w:cstheme="minorBidi"/>
          <w:i/>
          <w:color w:val="auto"/>
          <w:kern w:val="2"/>
          <w:sz w:val="22"/>
          <w:szCs w:val="22"/>
          <w:lang w:eastAsia="en-US"/>
          <w14:ligatures w14:val="standardContextual"/>
        </w:rPr>
        <w:t xml:space="preserve">Hate Crime. </w:t>
      </w:r>
      <w:r w:rsidRPr="00FD2614">
        <w:rPr>
          <w:rFonts w:asciiTheme="minorHAnsi" w:eastAsiaTheme="minorHAnsi" w:hAnsiTheme="minorHAnsi" w:cstheme="minorBidi"/>
          <w:color w:val="auto"/>
          <w:kern w:val="2"/>
          <w:sz w:val="22"/>
          <w:szCs w:val="22"/>
          <w:lang w:eastAsia="en-US"/>
          <w14:ligatures w14:val="standardContextual"/>
        </w:rPr>
        <w:t xml:space="preserve">Available at: </w:t>
      </w:r>
      <w:hyperlink r:id="rId24" w:history="1">
        <w:r w:rsidRPr="00FD2614">
          <w:rPr>
            <w:rFonts w:asciiTheme="minorHAnsi" w:eastAsiaTheme="minorHAnsi" w:hAnsiTheme="minorHAnsi" w:cstheme="minorBidi"/>
            <w:color w:val="0000FF"/>
            <w:kern w:val="2"/>
            <w:sz w:val="22"/>
            <w:szCs w:val="22"/>
            <w:u w:val="single"/>
            <w:lang w:eastAsia="en-US"/>
            <w14:ligatures w14:val="standardContextual"/>
          </w:rPr>
          <w:t>Hate crime | The Crown Prosecution Service (cps.gov.uk)</w:t>
        </w:r>
      </w:hyperlink>
      <w:r w:rsidRPr="00FD2614">
        <w:rPr>
          <w:rFonts w:asciiTheme="minorHAnsi" w:eastAsiaTheme="minorHAnsi" w:hAnsiTheme="minorHAnsi" w:cstheme="minorBidi"/>
          <w:color w:val="auto"/>
          <w:kern w:val="2"/>
          <w:sz w:val="22"/>
          <w:szCs w:val="22"/>
          <w:lang w:eastAsia="en-US"/>
          <w14:ligatures w14:val="standardContextual"/>
        </w:rPr>
        <w:t xml:space="preserve"> (Accessed: 04 May 2024). </w:t>
      </w:r>
    </w:p>
    <w:p w14:paraId="59EC5167" w14:textId="24A31F8F" w:rsidR="00771AFF" w:rsidRDefault="00771AFF"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71AFF">
        <w:rPr>
          <w:rFonts w:asciiTheme="minorHAnsi" w:eastAsiaTheme="minorHAnsi" w:hAnsiTheme="minorHAnsi" w:cstheme="minorBidi"/>
          <w:color w:val="auto"/>
          <w:kern w:val="2"/>
          <w:sz w:val="22"/>
          <w:szCs w:val="22"/>
          <w:lang w:eastAsia="en-US"/>
          <w14:ligatures w14:val="standardContextual"/>
        </w:rPr>
        <w:t xml:space="preserve">CPS (2022) </w:t>
      </w:r>
      <w:r w:rsidRPr="00771AFF">
        <w:rPr>
          <w:rFonts w:asciiTheme="minorHAnsi" w:eastAsiaTheme="minorHAnsi" w:hAnsiTheme="minorHAnsi" w:cstheme="minorBidi"/>
          <w:i/>
          <w:iCs/>
          <w:color w:val="auto"/>
          <w:kern w:val="2"/>
          <w:sz w:val="22"/>
          <w:szCs w:val="22"/>
          <w:lang w:eastAsia="en-US"/>
          <w14:ligatures w14:val="standardContextual"/>
        </w:rPr>
        <w:t xml:space="preserve">Offences against the Person, incorporating the Charging Standard. </w:t>
      </w:r>
      <w:r w:rsidRPr="00771AFF">
        <w:rPr>
          <w:rFonts w:asciiTheme="minorHAnsi" w:eastAsiaTheme="minorHAnsi" w:hAnsiTheme="minorHAnsi" w:cstheme="minorBidi"/>
          <w:color w:val="auto"/>
          <w:kern w:val="2"/>
          <w:sz w:val="22"/>
          <w:szCs w:val="22"/>
          <w:lang w:eastAsia="en-US"/>
          <w14:ligatures w14:val="standardContextual"/>
        </w:rPr>
        <w:t xml:space="preserve">Available at: </w:t>
      </w:r>
      <w:hyperlink r:id="rId25" w:history="1">
        <w:r w:rsidRPr="00771AFF">
          <w:rPr>
            <w:rStyle w:val="Hyperlink"/>
            <w:rFonts w:asciiTheme="minorHAnsi" w:eastAsiaTheme="minorHAnsi" w:hAnsiTheme="minorHAnsi" w:cstheme="minorBidi"/>
            <w:kern w:val="2"/>
            <w:sz w:val="22"/>
            <w:szCs w:val="22"/>
            <w:lang w:eastAsia="en-US"/>
            <w14:ligatures w14:val="standardContextual"/>
          </w:rPr>
          <w:t>Offences against the Person, incorporating the Charging Standard | The Crown Prosecution Service (cps.gov.uk)</w:t>
        </w:r>
      </w:hyperlink>
      <w:r w:rsidRPr="00771AFF">
        <w:rPr>
          <w:rFonts w:asciiTheme="minorHAnsi" w:eastAsiaTheme="minorHAnsi" w:hAnsiTheme="minorHAnsi" w:cstheme="minorBidi"/>
          <w:color w:val="auto"/>
          <w:kern w:val="2"/>
          <w:sz w:val="22"/>
          <w:szCs w:val="22"/>
          <w:lang w:eastAsia="en-US"/>
          <w14:ligatures w14:val="standardContextual"/>
        </w:rPr>
        <w:t xml:space="preserve"> (Accessed: 29 May 2024). </w:t>
      </w:r>
    </w:p>
    <w:p w14:paraId="4DB2B14C" w14:textId="23D2AFA6" w:rsidR="00F413CB" w:rsidRDefault="00F413CB" w:rsidP="00F413CB">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F413CB">
        <w:rPr>
          <w:rFonts w:asciiTheme="minorHAnsi" w:eastAsiaTheme="minorHAnsi" w:hAnsiTheme="minorHAnsi" w:cstheme="minorBidi"/>
          <w:color w:val="auto"/>
          <w:kern w:val="2"/>
          <w:sz w:val="22"/>
          <w:szCs w:val="22"/>
          <w:lang w:eastAsia="en-US"/>
          <w14:ligatures w14:val="standardContextual"/>
        </w:rPr>
        <w:lastRenderedPageBreak/>
        <w:t xml:space="preserve">COP (2023) </w:t>
      </w:r>
      <w:r w:rsidRPr="00F413CB">
        <w:rPr>
          <w:rFonts w:asciiTheme="minorHAnsi" w:eastAsiaTheme="minorHAnsi" w:hAnsiTheme="minorHAnsi" w:cstheme="minorBidi"/>
          <w:i/>
          <w:iCs/>
          <w:color w:val="auto"/>
          <w:kern w:val="2"/>
          <w:sz w:val="22"/>
          <w:szCs w:val="22"/>
          <w:lang w:eastAsia="en-US"/>
          <w14:ligatures w14:val="standardContextual"/>
        </w:rPr>
        <w:t xml:space="preserve">Victim and witness care. </w:t>
      </w:r>
      <w:r w:rsidRPr="00F413CB">
        <w:rPr>
          <w:rFonts w:asciiTheme="minorHAnsi" w:eastAsiaTheme="minorHAnsi" w:hAnsiTheme="minorHAnsi" w:cstheme="minorBidi"/>
          <w:color w:val="auto"/>
          <w:kern w:val="2"/>
          <w:sz w:val="22"/>
          <w:szCs w:val="22"/>
          <w:lang w:eastAsia="en-US"/>
          <w14:ligatures w14:val="standardContextual"/>
        </w:rPr>
        <w:t xml:space="preserve">Available at: </w:t>
      </w:r>
      <w:hyperlink r:id="rId26" w:history="1">
        <w:r w:rsidRPr="00F413CB">
          <w:rPr>
            <w:rFonts w:asciiTheme="minorHAnsi" w:eastAsiaTheme="minorHAnsi" w:hAnsiTheme="minorHAnsi" w:cstheme="minorBidi"/>
            <w:color w:val="0000FF"/>
            <w:kern w:val="2"/>
            <w:sz w:val="22"/>
            <w:szCs w:val="22"/>
            <w:u w:val="single"/>
            <w:lang w:eastAsia="en-US"/>
            <w14:ligatures w14:val="standardContextual"/>
          </w:rPr>
          <w:t>Victim and witness care | College of Policing</w:t>
        </w:r>
      </w:hyperlink>
      <w:r w:rsidRPr="00F413CB">
        <w:rPr>
          <w:rFonts w:asciiTheme="minorHAnsi" w:eastAsiaTheme="minorHAnsi" w:hAnsiTheme="minorHAnsi" w:cstheme="minorBidi"/>
          <w:color w:val="auto"/>
          <w:kern w:val="2"/>
          <w:sz w:val="22"/>
          <w:szCs w:val="22"/>
          <w:lang w:eastAsia="en-US"/>
          <w14:ligatures w14:val="standardContextual"/>
        </w:rPr>
        <w:t xml:space="preserve"> (Accessed: 12 May 2024). </w:t>
      </w:r>
    </w:p>
    <w:p w14:paraId="7DD8ACFB" w14:textId="2AE8AAA2" w:rsidR="0073349C" w:rsidRPr="00DA7834" w:rsidRDefault="0073349C" w:rsidP="00F413CB">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3349C">
        <w:rPr>
          <w:rFonts w:asciiTheme="minorHAnsi" w:eastAsiaTheme="minorHAnsi" w:hAnsiTheme="minorHAnsi" w:cstheme="minorBidi"/>
          <w:color w:val="auto"/>
          <w:kern w:val="2"/>
          <w:sz w:val="22"/>
          <w:szCs w:val="22"/>
          <w:lang w:eastAsia="en-US"/>
          <w14:ligatures w14:val="standardContextual"/>
        </w:rPr>
        <w:t xml:space="preserve">CPS (2024) </w:t>
      </w:r>
      <w:r w:rsidRPr="0073349C">
        <w:rPr>
          <w:rFonts w:asciiTheme="minorHAnsi" w:eastAsiaTheme="minorHAnsi" w:hAnsiTheme="minorHAnsi" w:cstheme="minorBidi"/>
          <w:i/>
          <w:color w:val="auto"/>
          <w:kern w:val="2"/>
          <w:sz w:val="22"/>
          <w:szCs w:val="22"/>
          <w:lang w:eastAsia="en-US"/>
          <w14:ligatures w14:val="standardContextual"/>
        </w:rPr>
        <w:t xml:space="preserve">Code of Practice for Victims of Crime in England and Wales (Victims Code). </w:t>
      </w:r>
      <w:r w:rsidRPr="0073349C">
        <w:rPr>
          <w:rFonts w:asciiTheme="minorHAnsi" w:eastAsiaTheme="minorHAnsi" w:hAnsiTheme="minorHAnsi" w:cstheme="minorBidi"/>
          <w:color w:val="auto"/>
          <w:kern w:val="2"/>
          <w:sz w:val="22"/>
          <w:szCs w:val="22"/>
          <w:lang w:eastAsia="en-US"/>
          <w14:ligatures w14:val="standardContextual"/>
        </w:rPr>
        <w:t xml:space="preserve">Available at: </w:t>
      </w:r>
      <w:hyperlink r:id="rId27" w:history="1">
        <w:r w:rsidRPr="0073349C">
          <w:rPr>
            <w:rFonts w:asciiTheme="minorHAnsi" w:eastAsiaTheme="minorHAnsi" w:hAnsiTheme="minorHAnsi" w:cstheme="minorBidi"/>
            <w:color w:val="0000FF"/>
            <w:kern w:val="2"/>
            <w:sz w:val="22"/>
            <w:szCs w:val="22"/>
            <w:u w:val="single"/>
            <w:lang w:eastAsia="en-US"/>
            <w14:ligatures w14:val="standardContextual"/>
          </w:rPr>
          <w:t>Code of Practice for Victims of Crime in England and Wales (Victims' Code) - GOV.UK (www.gov.uk)</w:t>
        </w:r>
      </w:hyperlink>
      <w:r w:rsidRPr="0073349C">
        <w:rPr>
          <w:rFonts w:asciiTheme="minorHAnsi" w:eastAsiaTheme="minorHAnsi" w:hAnsiTheme="minorHAnsi" w:cstheme="minorBidi"/>
          <w:color w:val="auto"/>
          <w:kern w:val="2"/>
          <w:sz w:val="22"/>
          <w:szCs w:val="22"/>
          <w:lang w:eastAsia="en-US"/>
          <w14:ligatures w14:val="standardContextual"/>
        </w:rPr>
        <w:t xml:space="preserve"> (Accessed: 12 May 2024). </w:t>
      </w:r>
    </w:p>
    <w:p w14:paraId="482707A1" w14:textId="418C5C3A"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Deuster, P.A. and Silverman, M.N. (2013) ‘Physical fitness: a pathway to health and resilience’, </w:t>
      </w:r>
      <w:r w:rsidRPr="00DA7834">
        <w:rPr>
          <w:rFonts w:asciiTheme="minorHAnsi" w:eastAsiaTheme="minorHAnsi" w:hAnsiTheme="minorHAnsi" w:cstheme="minorBidi"/>
          <w:i/>
          <w:color w:val="auto"/>
          <w:kern w:val="2"/>
          <w:sz w:val="22"/>
          <w:szCs w:val="22"/>
          <w:lang w:eastAsia="en-US"/>
          <w14:ligatures w14:val="standardContextual"/>
        </w:rPr>
        <w:t xml:space="preserve">US Army Medical Department Journal, </w:t>
      </w:r>
      <w:r w:rsidRPr="00DA7834">
        <w:rPr>
          <w:rFonts w:asciiTheme="minorHAnsi" w:eastAsiaTheme="minorHAnsi" w:hAnsiTheme="minorHAnsi" w:cstheme="minorBidi"/>
          <w:iCs/>
          <w:color w:val="auto"/>
          <w:kern w:val="2"/>
          <w:sz w:val="22"/>
          <w:szCs w:val="22"/>
          <w:lang w:eastAsia="en-US"/>
          <w14:ligatures w14:val="standardContextual"/>
        </w:rPr>
        <w:t>8(13),</w:t>
      </w:r>
      <w:r w:rsidRPr="00DA7834">
        <w:rPr>
          <w:rFonts w:asciiTheme="minorHAnsi" w:eastAsiaTheme="minorHAnsi" w:hAnsiTheme="minorHAnsi" w:cstheme="minorBidi"/>
          <w:i/>
          <w:color w:val="auto"/>
          <w:kern w:val="2"/>
          <w:sz w:val="22"/>
          <w:szCs w:val="22"/>
          <w:lang w:eastAsia="en-US"/>
          <w14:ligatures w14:val="standardContextual"/>
        </w:rPr>
        <w:t xml:space="preserve"> </w:t>
      </w:r>
      <w:r w:rsidRPr="00DA7834">
        <w:rPr>
          <w:rFonts w:asciiTheme="minorHAnsi" w:eastAsiaTheme="minorHAnsi" w:hAnsiTheme="minorHAnsi" w:cstheme="minorBidi"/>
          <w:color w:val="auto"/>
          <w:kern w:val="2"/>
          <w:sz w:val="22"/>
          <w:szCs w:val="22"/>
          <w:lang w:eastAsia="en-US"/>
          <w14:ligatures w14:val="standardContextual"/>
        </w:rPr>
        <w:t>pp. 24-35</w:t>
      </w:r>
      <w:r w:rsidR="002345E3">
        <w:rPr>
          <w:rFonts w:asciiTheme="minorHAnsi" w:eastAsiaTheme="minorHAnsi" w:hAnsiTheme="minorHAnsi" w:cstheme="minorBidi"/>
          <w:color w:val="auto"/>
          <w:kern w:val="2"/>
          <w:sz w:val="22"/>
          <w:szCs w:val="22"/>
          <w:lang w:eastAsia="en-US"/>
          <w14:ligatures w14:val="standardContextual"/>
        </w:rPr>
        <w:t>.</w:t>
      </w:r>
    </w:p>
    <w:p w14:paraId="60FDCA89" w14:textId="5CC64540" w:rsidR="002345E3" w:rsidRDefault="002345E3"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bCs/>
          <w:iCs/>
          <w:color w:val="auto"/>
          <w:kern w:val="2"/>
          <w:sz w:val="22"/>
          <w:szCs w:val="22"/>
          <w:lang w:eastAsia="en-US"/>
          <w14:ligatures w14:val="standardContextual"/>
        </w:rPr>
      </w:pPr>
      <w:r w:rsidRPr="002345E3">
        <w:rPr>
          <w:rFonts w:asciiTheme="minorHAnsi" w:eastAsiaTheme="minorHAnsi" w:hAnsiTheme="minorHAnsi" w:cstheme="minorBidi"/>
          <w:bCs/>
          <w:color w:val="auto"/>
          <w:kern w:val="2"/>
          <w:sz w:val="22"/>
          <w:szCs w:val="22"/>
          <w:lang w:eastAsia="en-US"/>
          <w14:ligatures w14:val="standardContextual"/>
        </w:rPr>
        <w:t xml:space="preserve">Deutsch, M., Coleman, P.T. and Marcus, E.C. (2006) </w:t>
      </w:r>
      <w:r w:rsidRPr="002345E3">
        <w:rPr>
          <w:rFonts w:asciiTheme="minorHAnsi" w:eastAsiaTheme="minorHAnsi" w:hAnsiTheme="minorHAnsi" w:cstheme="minorBidi"/>
          <w:bCs/>
          <w:i/>
          <w:iCs/>
          <w:color w:val="auto"/>
          <w:kern w:val="2"/>
          <w:sz w:val="22"/>
          <w:szCs w:val="22"/>
          <w:lang w:eastAsia="en-US"/>
          <w14:ligatures w14:val="standardContextual"/>
        </w:rPr>
        <w:t xml:space="preserve">The handbook of conflict resolution: Theory and practice. </w:t>
      </w:r>
      <w:r w:rsidRPr="002345E3">
        <w:rPr>
          <w:rFonts w:asciiTheme="minorHAnsi" w:eastAsiaTheme="minorHAnsi" w:hAnsiTheme="minorHAnsi" w:cstheme="minorBidi"/>
          <w:bCs/>
          <w:iCs/>
          <w:color w:val="auto"/>
          <w:kern w:val="2"/>
          <w:sz w:val="22"/>
          <w:szCs w:val="22"/>
          <w:lang w:eastAsia="en-US"/>
          <w14:ligatures w14:val="standardContextual"/>
        </w:rPr>
        <w:t xml:space="preserve">San Francisco: Jossey-Bass. </w:t>
      </w:r>
    </w:p>
    <w:p w14:paraId="7BD3CFED" w14:textId="6E001820" w:rsidR="00BC6CCB" w:rsidRDefault="008E5680"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bCs/>
          <w:iCs/>
          <w:color w:val="auto"/>
          <w:kern w:val="2"/>
          <w:sz w:val="22"/>
          <w:szCs w:val="22"/>
          <w:lang w:eastAsia="en-US"/>
          <w14:ligatures w14:val="standardContextual"/>
        </w:rPr>
      </w:pPr>
      <w:r w:rsidRPr="008E5680">
        <w:rPr>
          <w:rFonts w:asciiTheme="minorHAnsi" w:eastAsiaTheme="minorHAnsi" w:hAnsiTheme="minorHAnsi" w:cstheme="minorBidi"/>
          <w:bCs/>
          <w:iCs/>
          <w:color w:val="auto"/>
          <w:kern w:val="2"/>
          <w:sz w:val="22"/>
          <w:szCs w:val="22"/>
          <w:lang w:eastAsia="en-US"/>
          <w14:ligatures w14:val="standardContextual"/>
        </w:rPr>
        <w:t xml:space="preserve">Drolet, A.L. and Morris, M.W. (2000) ‘Rapport in Conflict Resolution: Accounting for How Face-to-Face Contact Fosters Mutual Cooperation in Mixed-Motive Conflicts’, </w:t>
      </w:r>
      <w:r w:rsidRPr="008E5680">
        <w:rPr>
          <w:rFonts w:asciiTheme="minorHAnsi" w:eastAsiaTheme="minorHAnsi" w:hAnsiTheme="minorHAnsi" w:cstheme="minorBidi"/>
          <w:bCs/>
          <w:i/>
          <w:iCs/>
          <w:color w:val="auto"/>
          <w:kern w:val="2"/>
          <w:sz w:val="22"/>
          <w:szCs w:val="22"/>
          <w:lang w:eastAsia="en-US"/>
          <w14:ligatures w14:val="standardContextual"/>
        </w:rPr>
        <w:t xml:space="preserve">Journal of Experimental Social Psychology, </w:t>
      </w:r>
      <w:r w:rsidRPr="008E5680">
        <w:rPr>
          <w:rFonts w:asciiTheme="minorHAnsi" w:eastAsiaTheme="minorHAnsi" w:hAnsiTheme="minorHAnsi" w:cstheme="minorBidi"/>
          <w:bCs/>
          <w:iCs/>
          <w:color w:val="auto"/>
          <w:kern w:val="2"/>
          <w:sz w:val="22"/>
          <w:szCs w:val="22"/>
          <w:lang w:eastAsia="en-US"/>
          <w14:ligatures w14:val="standardContextual"/>
        </w:rPr>
        <w:t xml:space="preserve">36(1), pp. 26-50. </w:t>
      </w:r>
    </w:p>
    <w:p w14:paraId="65E0CD3A" w14:textId="10D66F91" w:rsidR="002C5114" w:rsidRPr="002C5114" w:rsidRDefault="002C5114" w:rsidP="002C511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C5114">
        <w:rPr>
          <w:rFonts w:asciiTheme="minorHAnsi" w:eastAsiaTheme="minorHAnsi" w:hAnsiTheme="minorHAnsi" w:cstheme="minorBidi"/>
          <w:color w:val="auto"/>
          <w:kern w:val="2"/>
          <w:sz w:val="22"/>
          <w:szCs w:val="22"/>
          <w:lang w:eastAsia="en-US"/>
          <w14:ligatures w14:val="standardContextual"/>
        </w:rPr>
        <w:t xml:space="preserve">Equality and Human Rights Commission (2018) </w:t>
      </w:r>
      <w:r w:rsidRPr="002C5114">
        <w:rPr>
          <w:rFonts w:asciiTheme="minorHAnsi" w:eastAsiaTheme="minorHAnsi" w:hAnsiTheme="minorHAnsi" w:cstheme="minorBidi"/>
          <w:i/>
          <w:iCs/>
          <w:color w:val="auto"/>
          <w:kern w:val="2"/>
          <w:sz w:val="22"/>
          <w:szCs w:val="22"/>
          <w:lang w:eastAsia="en-US"/>
          <w14:ligatures w14:val="standardContextual"/>
        </w:rPr>
        <w:t xml:space="preserve">Equality Act 2010. </w:t>
      </w:r>
      <w:r w:rsidRPr="002C5114">
        <w:rPr>
          <w:rFonts w:asciiTheme="minorHAnsi" w:eastAsiaTheme="minorHAnsi" w:hAnsiTheme="minorHAnsi" w:cstheme="minorBidi"/>
          <w:color w:val="auto"/>
          <w:kern w:val="2"/>
          <w:sz w:val="22"/>
          <w:szCs w:val="22"/>
          <w:lang w:eastAsia="en-US"/>
          <w14:ligatures w14:val="standardContextual"/>
        </w:rPr>
        <w:t xml:space="preserve">Available at: </w:t>
      </w:r>
      <w:hyperlink r:id="rId28" w:history="1">
        <w:r w:rsidRPr="002C5114">
          <w:rPr>
            <w:rFonts w:asciiTheme="minorHAnsi" w:eastAsiaTheme="minorHAnsi" w:hAnsiTheme="minorHAnsi" w:cstheme="minorBidi"/>
            <w:color w:val="0000FF"/>
            <w:kern w:val="2"/>
            <w:sz w:val="22"/>
            <w:szCs w:val="22"/>
            <w:u w:val="single"/>
            <w:lang w:eastAsia="en-US"/>
            <w14:ligatures w14:val="standardContextual"/>
          </w:rPr>
          <w:t>Equality Act 2010 | EHRC (equalityhumanrights.com)</w:t>
        </w:r>
      </w:hyperlink>
      <w:r w:rsidRPr="002C5114">
        <w:rPr>
          <w:rFonts w:asciiTheme="minorHAnsi" w:eastAsiaTheme="minorHAnsi" w:hAnsiTheme="minorHAnsi" w:cstheme="minorBidi"/>
          <w:color w:val="auto"/>
          <w:kern w:val="2"/>
          <w:sz w:val="22"/>
          <w:szCs w:val="22"/>
          <w:lang w:eastAsia="en-US"/>
          <w14:ligatures w14:val="standardContextual"/>
        </w:rPr>
        <w:t xml:space="preserve"> (Accessed: 12 May 2024). </w:t>
      </w:r>
    </w:p>
    <w:p w14:paraId="1C5C87BA"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Folkman, S. (2010) </w:t>
      </w:r>
      <w:r w:rsidRPr="00DA7834">
        <w:rPr>
          <w:rFonts w:asciiTheme="minorHAnsi" w:eastAsiaTheme="minorHAnsi" w:hAnsiTheme="minorHAnsi" w:cstheme="minorBidi"/>
          <w:b/>
          <w:color w:val="auto"/>
          <w:kern w:val="2"/>
          <w:sz w:val="22"/>
          <w:szCs w:val="22"/>
          <w:lang w:eastAsia="en-US"/>
          <w14:ligatures w14:val="standardContextual"/>
        </w:rPr>
        <w:t>‘</w:t>
      </w:r>
      <w:r w:rsidRPr="00DA7834">
        <w:rPr>
          <w:rFonts w:asciiTheme="minorHAnsi" w:eastAsiaTheme="minorHAnsi" w:hAnsiTheme="minorHAnsi" w:cstheme="minorBidi"/>
          <w:color w:val="auto"/>
          <w:kern w:val="2"/>
          <w:sz w:val="22"/>
          <w:szCs w:val="22"/>
          <w:lang w:eastAsia="en-US"/>
          <w14:ligatures w14:val="standardContextual"/>
        </w:rPr>
        <w:t xml:space="preserve">Stress, coping and Hope. Psychological aspects of cancer’, </w:t>
      </w:r>
      <w:r w:rsidRPr="00DA7834">
        <w:rPr>
          <w:rFonts w:asciiTheme="minorHAnsi" w:eastAsiaTheme="minorHAnsi" w:hAnsiTheme="minorHAnsi" w:cstheme="minorBidi"/>
          <w:i/>
          <w:color w:val="auto"/>
          <w:kern w:val="2"/>
          <w:sz w:val="22"/>
          <w:szCs w:val="22"/>
          <w:lang w:eastAsia="en-US"/>
          <w14:ligatures w14:val="standardContextual"/>
        </w:rPr>
        <w:t xml:space="preserve">Psycho-Oncology, </w:t>
      </w:r>
      <w:r w:rsidRPr="00DA7834">
        <w:rPr>
          <w:rFonts w:asciiTheme="minorHAnsi" w:eastAsiaTheme="minorHAnsi" w:hAnsiTheme="minorHAnsi" w:cstheme="minorBidi"/>
          <w:color w:val="auto"/>
          <w:kern w:val="2"/>
          <w:sz w:val="22"/>
          <w:szCs w:val="22"/>
          <w:lang w:eastAsia="en-US"/>
          <w14:ligatures w14:val="standardContextual"/>
        </w:rPr>
        <w:t xml:space="preserve">19(1), pp. 901-908. </w:t>
      </w:r>
    </w:p>
    <w:p w14:paraId="24CFB50D"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Galanis, P., Fragkou, D. and Katsoulas, T.A. (2021) ‘Risk factors for stress among police officers: A systematic literature review’, </w:t>
      </w:r>
      <w:r w:rsidRPr="00DA7834">
        <w:rPr>
          <w:rFonts w:asciiTheme="minorHAnsi" w:eastAsiaTheme="minorHAnsi" w:hAnsiTheme="minorHAnsi" w:cstheme="minorBidi"/>
          <w:i/>
          <w:color w:val="auto"/>
          <w:kern w:val="2"/>
          <w:sz w:val="22"/>
          <w:szCs w:val="22"/>
          <w:lang w:eastAsia="en-US"/>
          <w14:ligatures w14:val="standardContextual"/>
        </w:rPr>
        <w:t xml:space="preserve">Work, </w:t>
      </w:r>
      <w:r w:rsidRPr="00DA7834">
        <w:rPr>
          <w:rFonts w:asciiTheme="minorHAnsi" w:eastAsiaTheme="minorHAnsi" w:hAnsiTheme="minorHAnsi" w:cstheme="minorBidi"/>
          <w:color w:val="auto"/>
          <w:kern w:val="2"/>
          <w:sz w:val="22"/>
          <w:szCs w:val="22"/>
          <w:lang w:eastAsia="en-US"/>
          <w14:ligatures w14:val="standardContextual"/>
        </w:rPr>
        <w:t>68(4), pp. 1255-1272.</w:t>
      </w:r>
    </w:p>
    <w:p w14:paraId="4F617C54"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Gerber et al. (2010) ‘Do exercise and fitness buffer against stress among Swiss police and emergency response service officers?’, </w:t>
      </w:r>
      <w:r w:rsidRPr="00DA7834">
        <w:rPr>
          <w:rFonts w:asciiTheme="minorHAnsi" w:eastAsiaTheme="minorHAnsi" w:hAnsiTheme="minorHAnsi" w:cstheme="minorBidi"/>
          <w:i/>
          <w:color w:val="auto"/>
          <w:kern w:val="2"/>
          <w:sz w:val="22"/>
          <w:szCs w:val="22"/>
          <w:lang w:eastAsia="en-US"/>
          <w14:ligatures w14:val="standardContextual"/>
        </w:rPr>
        <w:t xml:space="preserve">Psychology of Sport and Exercise, </w:t>
      </w:r>
      <w:r w:rsidRPr="00DA7834">
        <w:rPr>
          <w:rFonts w:asciiTheme="minorHAnsi" w:eastAsiaTheme="minorHAnsi" w:hAnsiTheme="minorHAnsi" w:cstheme="minorBidi"/>
          <w:color w:val="auto"/>
          <w:kern w:val="2"/>
          <w:sz w:val="22"/>
          <w:szCs w:val="22"/>
          <w:lang w:eastAsia="en-US"/>
          <w14:ligatures w14:val="standardContextual"/>
        </w:rPr>
        <w:t xml:space="preserve">11(4), pp. 286-294.  </w:t>
      </w:r>
    </w:p>
    <w:p w14:paraId="69EB7CBA"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Goerling, R.J. (2012) ‘Police officer resilience and community building’, </w:t>
      </w:r>
      <w:r w:rsidRPr="00DA7834">
        <w:rPr>
          <w:rFonts w:asciiTheme="minorHAnsi" w:eastAsiaTheme="minorHAnsi" w:hAnsiTheme="minorHAnsi" w:cstheme="minorBidi"/>
          <w:i/>
          <w:color w:val="auto"/>
          <w:kern w:val="2"/>
          <w:sz w:val="22"/>
          <w:szCs w:val="22"/>
          <w:lang w:eastAsia="en-US"/>
          <w14:ligatures w14:val="standardContextual"/>
        </w:rPr>
        <w:t xml:space="preserve">ASBBS Proceedings, </w:t>
      </w:r>
      <w:r w:rsidRPr="00DA7834">
        <w:rPr>
          <w:rFonts w:asciiTheme="minorHAnsi" w:eastAsiaTheme="minorHAnsi" w:hAnsiTheme="minorHAnsi" w:cstheme="minorBidi"/>
          <w:color w:val="auto"/>
          <w:kern w:val="2"/>
          <w:sz w:val="22"/>
          <w:szCs w:val="22"/>
          <w:lang w:eastAsia="en-US"/>
          <w14:ligatures w14:val="standardContextual"/>
        </w:rPr>
        <w:t xml:space="preserve">19(1), pp. 394-297. </w:t>
      </w:r>
    </w:p>
    <w:p w14:paraId="78801EAA" w14:textId="77777777" w:rsidR="00442EAD" w:rsidRPr="00442EAD" w:rsidRDefault="00442EAD" w:rsidP="00442EAD">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42EAD">
        <w:rPr>
          <w:rFonts w:asciiTheme="minorHAnsi" w:eastAsiaTheme="minorHAnsi" w:hAnsiTheme="minorHAnsi" w:cstheme="minorBidi"/>
          <w:iCs/>
          <w:color w:val="auto"/>
          <w:kern w:val="2"/>
          <w:sz w:val="22"/>
          <w:szCs w:val="22"/>
          <w:lang w:eastAsia="en-US"/>
          <w14:ligatures w14:val="standardContextual"/>
        </w:rPr>
        <w:t xml:space="preserve">GOV.UK (2012) </w:t>
      </w:r>
      <w:r w:rsidRPr="00442EAD">
        <w:rPr>
          <w:rFonts w:asciiTheme="minorHAnsi" w:eastAsiaTheme="minorHAnsi" w:hAnsiTheme="minorHAnsi" w:cstheme="minorBidi"/>
          <w:i/>
          <w:iCs/>
          <w:color w:val="auto"/>
          <w:kern w:val="2"/>
          <w:sz w:val="22"/>
          <w:szCs w:val="22"/>
          <w:lang w:eastAsia="en-US"/>
          <w14:ligatures w14:val="standardContextual"/>
        </w:rPr>
        <w:t xml:space="preserve">New definition of Domestic Violence. </w:t>
      </w:r>
      <w:r w:rsidRPr="00442EAD">
        <w:rPr>
          <w:rFonts w:asciiTheme="minorHAnsi" w:eastAsiaTheme="minorHAnsi" w:hAnsiTheme="minorHAnsi" w:cstheme="minorBidi"/>
          <w:iCs/>
          <w:color w:val="auto"/>
          <w:kern w:val="2"/>
          <w:sz w:val="22"/>
          <w:szCs w:val="22"/>
          <w:lang w:eastAsia="en-US"/>
          <w14:ligatures w14:val="standardContextual"/>
        </w:rPr>
        <w:t xml:space="preserve">Available at: </w:t>
      </w:r>
      <w:hyperlink r:id="rId29" w:history="1">
        <w:r w:rsidRPr="00442EAD">
          <w:rPr>
            <w:rStyle w:val="Hyperlink"/>
            <w:rFonts w:asciiTheme="minorHAnsi" w:eastAsiaTheme="minorHAnsi" w:hAnsiTheme="minorHAnsi" w:cstheme="minorBidi"/>
            <w:kern w:val="2"/>
            <w:sz w:val="22"/>
            <w:szCs w:val="22"/>
            <w:lang w:eastAsia="en-US"/>
            <w14:ligatures w14:val="standardContextual"/>
          </w:rPr>
          <w:t>New definition of domestic violence - GOV.UK (www.gov.uk)</w:t>
        </w:r>
      </w:hyperlink>
      <w:r w:rsidRPr="00442EAD">
        <w:rPr>
          <w:rFonts w:asciiTheme="minorHAnsi" w:eastAsiaTheme="minorHAnsi" w:hAnsiTheme="minorHAnsi" w:cstheme="minorBidi"/>
          <w:color w:val="auto"/>
          <w:kern w:val="2"/>
          <w:sz w:val="22"/>
          <w:szCs w:val="22"/>
          <w:lang w:eastAsia="en-US"/>
          <w14:ligatures w14:val="standardContextual"/>
        </w:rPr>
        <w:t xml:space="preserve"> (Accessed: 29 May 2024).</w:t>
      </w:r>
    </w:p>
    <w:p w14:paraId="486D9F17" w14:textId="3DCD3DC2" w:rsidR="00442EAD" w:rsidRDefault="00442EAD"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442EAD">
        <w:rPr>
          <w:rFonts w:asciiTheme="minorHAnsi" w:eastAsiaTheme="minorHAnsi" w:hAnsiTheme="minorHAnsi" w:cstheme="minorBidi"/>
          <w:color w:val="auto"/>
          <w:kern w:val="2"/>
          <w:sz w:val="22"/>
          <w:szCs w:val="22"/>
          <w:lang w:eastAsia="en-US"/>
          <w14:ligatures w14:val="standardContextual"/>
        </w:rPr>
        <w:t xml:space="preserve">GOV.UK (2022) </w:t>
      </w:r>
      <w:r w:rsidRPr="00442EAD">
        <w:rPr>
          <w:rFonts w:asciiTheme="minorHAnsi" w:eastAsiaTheme="minorHAnsi" w:hAnsiTheme="minorHAnsi" w:cstheme="minorBidi"/>
          <w:i/>
          <w:iCs/>
          <w:color w:val="auto"/>
          <w:kern w:val="2"/>
          <w:sz w:val="22"/>
          <w:szCs w:val="22"/>
          <w:lang w:eastAsia="en-US"/>
          <w14:ligatures w14:val="standardContextual"/>
        </w:rPr>
        <w:t xml:space="preserve">Domestic abuse victims in England and Wales to be given more time to report assault. </w:t>
      </w:r>
      <w:r w:rsidRPr="00442EAD">
        <w:rPr>
          <w:rFonts w:asciiTheme="minorHAnsi" w:eastAsiaTheme="minorHAnsi" w:hAnsiTheme="minorHAnsi" w:cstheme="minorBidi"/>
          <w:color w:val="auto"/>
          <w:kern w:val="2"/>
          <w:sz w:val="22"/>
          <w:szCs w:val="22"/>
          <w:lang w:eastAsia="en-US"/>
          <w14:ligatures w14:val="standardContextual"/>
        </w:rPr>
        <w:t xml:space="preserve">Available at: </w:t>
      </w:r>
      <w:hyperlink r:id="rId30" w:history="1">
        <w:r w:rsidRPr="00442EAD">
          <w:rPr>
            <w:rStyle w:val="Hyperlink"/>
            <w:rFonts w:asciiTheme="minorHAnsi" w:eastAsiaTheme="minorHAnsi" w:hAnsiTheme="minorHAnsi" w:cstheme="minorBidi"/>
            <w:kern w:val="2"/>
            <w:sz w:val="22"/>
            <w:szCs w:val="22"/>
            <w:lang w:eastAsia="en-US"/>
            <w14:ligatures w14:val="standardContextual"/>
          </w:rPr>
          <w:t>Domestic abuse victims in England and Wales to be given more time to report assaults - GOV.UK (www.gov.uk)</w:t>
        </w:r>
      </w:hyperlink>
      <w:r w:rsidRPr="00442EAD">
        <w:rPr>
          <w:rFonts w:asciiTheme="minorHAnsi" w:eastAsiaTheme="minorHAnsi" w:hAnsiTheme="minorHAnsi" w:cstheme="minorBidi"/>
          <w:color w:val="auto"/>
          <w:kern w:val="2"/>
          <w:sz w:val="22"/>
          <w:szCs w:val="22"/>
          <w:lang w:eastAsia="en-US"/>
          <w14:ligatures w14:val="standardContextual"/>
        </w:rPr>
        <w:t xml:space="preserve"> (Accessed: 24 May 2024). </w:t>
      </w:r>
    </w:p>
    <w:p w14:paraId="3A6372CB" w14:textId="77777777" w:rsidR="00334AFF" w:rsidRPr="00334AFF" w:rsidRDefault="00334AFF" w:rsidP="00334AF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34AFF">
        <w:rPr>
          <w:rFonts w:asciiTheme="minorHAnsi" w:eastAsiaTheme="minorHAnsi" w:hAnsiTheme="minorHAnsi" w:cstheme="minorBidi"/>
          <w:color w:val="auto"/>
          <w:kern w:val="2"/>
          <w:sz w:val="22"/>
          <w:szCs w:val="22"/>
          <w:lang w:eastAsia="en-US"/>
          <w14:ligatures w14:val="standardContextual"/>
        </w:rPr>
        <w:t xml:space="preserve">GOV.UK. (2023) </w:t>
      </w:r>
      <w:r w:rsidRPr="00334AFF">
        <w:rPr>
          <w:rFonts w:asciiTheme="minorHAnsi" w:eastAsiaTheme="minorHAnsi" w:hAnsiTheme="minorHAnsi" w:cstheme="minorBidi"/>
          <w:i/>
          <w:color w:val="auto"/>
          <w:kern w:val="2"/>
          <w:sz w:val="22"/>
          <w:szCs w:val="22"/>
          <w:lang w:eastAsia="en-US"/>
          <w14:ligatures w14:val="standardContextual"/>
        </w:rPr>
        <w:t xml:space="preserve">Hate crime, England and Wales, 2022 to 2023 second edition. </w:t>
      </w:r>
      <w:r w:rsidRPr="00334AFF">
        <w:rPr>
          <w:rFonts w:asciiTheme="minorHAnsi" w:eastAsiaTheme="minorHAnsi" w:hAnsiTheme="minorHAnsi" w:cstheme="minorBidi"/>
          <w:color w:val="auto"/>
          <w:kern w:val="2"/>
          <w:sz w:val="22"/>
          <w:szCs w:val="22"/>
          <w:lang w:eastAsia="en-US"/>
          <w14:ligatures w14:val="standardContextual"/>
        </w:rPr>
        <w:t xml:space="preserve">Available at: </w:t>
      </w:r>
      <w:hyperlink r:id="rId31" w:history="1">
        <w:r w:rsidRPr="00334AFF">
          <w:rPr>
            <w:rFonts w:asciiTheme="minorHAnsi" w:eastAsiaTheme="minorHAnsi" w:hAnsiTheme="minorHAnsi" w:cstheme="minorBidi"/>
            <w:color w:val="0000FF"/>
            <w:kern w:val="2"/>
            <w:sz w:val="22"/>
            <w:szCs w:val="22"/>
            <w:u w:val="single"/>
            <w:lang w:eastAsia="en-US"/>
            <w14:ligatures w14:val="standardContextual"/>
          </w:rPr>
          <w:t>Hate crime, England and Wales, 2022 to 2023 second edition - GOV.UK (www.gov.uk)</w:t>
        </w:r>
      </w:hyperlink>
      <w:r w:rsidRPr="00334AFF">
        <w:rPr>
          <w:rFonts w:asciiTheme="minorHAnsi" w:eastAsiaTheme="minorHAnsi" w:hAnsiTheme="minorHAnsi" w:cstheme="minorBidi"/>
          <w:color w:val="auto"/>
          <w:kern w:val="2"/>
          <w:sz w:val="22"/>
          <w:szCs w:val="22"/>
          <w:lang w:eastAsia="en-US"/>
          <w14:ligatures w14:val="standardContextual"/>
        </w:rPr>
        <w:t xml:space="preserve"> (Accessed: 04 May 2024). </w:t>
      </w:r>
    </w:p>
    <w:p w14:paraId="6AEA5248" w14:textId="2F89CE78" w:rsidR="00334AFF" w:rsidRDefault="00334AFF" w:rsidP="00334AF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34AFF">
        <w:rPr>
          <w:rFonts w:asciiTheme="minorHAnsi" w:eastAsiaTheme="minorHAnsi" w:hAnsiTheme="minorHAnsi" w:cstheme="minorBidi"/>
          <w:color w:val="auto"/>
          <w:kern w:val="2"/>
          <w:sz w:val="22"/>
          <w:szCs w:val="22"/>
          <w:lang w:eastAsia="en-US"/>
          <w14:ligatures w14:val="standardContextual"/>
        </w:rPr>
        <w:t xml:space="preserve">GOV.UK. (2023) </w:t>
      </w:r>
      <w:r w:rsidRPr="00334AFF">
        <w:rPr>
          <w:rFonts w:asciiTheme="minorHAnsi" w:eastAsiaTheme="minorHAnsi" w:hAnsiTheme="minorHAnsi" w:cstheme="minorBidi"/>
          <w:i/>
          <w:iCs/>
          <w:color w:val="auto"/>
          <w:kern w:val="2"/>
          <w:sz w:val="22"/>
          <w:szCs w:val="22"/>
          <w:lang w:eastAsia="en-US"/>
          <w14:ligatures w14:val="standardContextual"/>
        </w:rPr>
        <w:t xml:space="preserve">Police officer uplift, England and Wales, quarterly update to 31 March 2023. </w:t>
      </w:r>
      <w:r w:rsidRPr="00334AFF">
        <w:rPr>
          <w:rFonts w:asciiTheme="minorHAnsi" w:eastAsiaTheme="minorHAnsi" w:hAnsiTheme="minorHAnsi" w:cstheme="minorBidi"/>
          <w:color w:val="auto"/>
          <w:kern w:val="2"/>
          <w:sz w:val="22"/>
          <w:szCs w:val="22"/>
          <w:lang w:eastAsia="en-US"/>
          <w14:ligatures w14:val="standardContextual"/>
        </w:rPr>
        <w:t xml:space="preserve">Available at: </w:t>
      </w:r>
      <w:hyperlink r:id="rId32" w:anchor="annex-a-Additional-analysis-of-police-officer-numbers-by-protected-characteristics" w:history="1">
        <w:r w:rsidRPr="00334AFF">
          <w:rPr>
            <w:rFonts w:asciiTheme="minorHAnsi" w:eastAsiaTheme="minorHAnsi" w:hAnsiTheme="minorHAnsi" w:cstheme="minorBidi"/>
            <w:color w:val="0000FF"/>
            <w:kern w:val="2"/>
            <w:sz w:val="22"/>
            <w:szCs w:val="22"/>
            <w:u w:val="single"/>
            <w:lang w:eastAsia="en-US"/>
            <w14:ligatures w14:val="standardContextual"/>
          </w:rPr>
          <w:t>Police officer uplift, England and Wales, quarterly update to 31 March 2023 - GOV.UK (www.gov.uk)</w:t>
        </w:r>
      </w:hyperlink>
      <w:r w:rsidRPr="00334AFF">
        <w:rPr>
          <w:rFonts w:asciiTheme="minorHAnsi" w:eastAsiaTheme="minorHAnsi" w:hAnsiTheme="minorHAnsi" w:cstheme="minorBidi"/>
          <w:color w:val="auto"/>
          <w:kern w:val="2"/>
          <w:sz w:val="22"/>
          <w:szCs w:val="22"/>
          <w:lang w:eastAsia="en-US"/>
          <w14:ligatures w14:val="standardContextual"/>
        </w:rPr>
        <w:t xml:space="preserve"> (Accessed: 01 June 2024). </w:t>
      </w:r>
    </w:p>
    <w:p w14:paraId="5579A93D" w14:textId="79345AE2" w:rsidR="00CA0FBD" w:rsidRDefault="00CA0FBD" w:rsidP="00334AF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A0FBD">
        <w:rPr>
          <w:rFonts w:asciiTheme="minorHAnsi" w:eastAsiaTheme="minorHAnsi" w:hAnsiTheme="minorHAnsi" w:cstheme="minorBidi"/>
          <w:color w:val="auto"/>
          <w:kern w:val="2"/>
          <w:sz w:val="22"/>
          <w:szCs w:val="22"/>
          <w:lang w:eastAsia="en-US"/>
          <w14:ligatures w14:val="standardContextual"/>
        </w:rPr>
        <w:t xml:space="preserve">Herek, G.M., Cogan, J.C. and Gillis, J.R. (2002) ‘Victim experiences in hate crimes based on sexual orientation’, </w:t>
      </w:r>
      <w:r w:rsidRPr="00CA0FBD">
        <w:rPr>
          <w:rFonts w:asciiTheme="minorHAnsi" w:eastAsiaTheme="minorHAnsi" w:hAnsiTheme="minorHAnsi" w:cstheme="minorBidi"/>
          <w:i/>
          <w:color w:val="auto"/>
          <w:kern w:val="2"/>
          <w:sz w:val="22"/>
          <w:szCs w:val="22"/>
          <w:lang w:eastAsia="en-US"/>
          <w14:ligatures w14:val="standardContextual"/>
        </w:rPr>
        <w:t xml:space="preserve">Journal of Social Issues, </w:t>
      </w:r>
      <w:r w:rsidRPr="00CA0FBD">
        <w:rPr>
          <w:rFonts w:asciiTheme="minorHAnsi" w:eastAsiaTheme="minorHAnsi" w:hAnsiTheme="minorHAnsi" w:cstheme="minorBidi"/>
          <w:color w:val="auto"/>
          <w:kern w:val="2"/>
          <w:sz w:val="22"/>
          <w:szCs w:val="22"/>
          <w:lang w:eastAsia="en-US"/>
          <w14:ligatures w14:val="standardContextual"/>
        </w:rPr>
        <w:t xml:space="preserve">58(1), pp. 319-339. </w:t>
      </w:r>
    </w:p>
    <w:p w14:paraId="7B224409" w14:textId="77777777" w:rsidR="009E36D1" w:rsidRPr="009E36D1" w:rsidRDefault="009E36D1" w:rsidP="009E36D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E36D1">
        <w:rPr>
          <w:rFonts w:asciiTheme="minorHAnsi" w:eastAsiaTheme="minorHAnsi" w:hAnsiTheme="minorHAnsi" w:cstheme="minorBidi"/>
          <w:color w:val="auto"/>
          <w:kern w:val="2"/>
          <w:sz w:val="22"/>
          <w:szCs w:val="22"/>
          <w:lang w:eastAsia="en-US"/>
          <w14:ligatures w14:val="standardContextual"/>
        </w:rPr>
        <w:t xml:space="preserve">Holder, R. L. and Englezos, E. (2024) ‘Victim participation in criminal justice: A quantitative systematic and critical literature review’, </w:t>
      </w:r>
      <w:r w:rsidRPr="009E36D1">
        <w:rPr>
          <w:rFonts w:asciiTheme="minorHAnsi" w:eastAsiaTheme="minorHAnsi" w:hAnsiTheme="minorHAnsi" w:cstheme="minorBidi"/>
          <w:i/>
          <w:iCs/>
          <w:color w:val="auto"/>
          <w:kern w:val="2"/>
          <w:sz w:val="22"/>
          <w:szCs w:val="22"/>
          <w:lang w:eastAsia="en-US"/>
          <w14:ligatures w14:val="standardContextual"/>
        </w:rPr>
        <w:t>International Review of Victimology</w:t>
      </w:r>
      <w:r w:rsidRPr="009E36D1">
        <w:rPr>
          <w:rFonts w:asciiTheme="minorHAnsi" w:eastAsiaTheme="minorHAnsi" w:hAnsiTheme="minorHAnsi" w:cstheme="minorBidi"/>
          <w:color w:val="auto"/>
          <w:kern w:val="2"/>
          <w:sz w:val="22"/>
          <w:szCs w:val="22"/>
          <w:lang w:eastAsia="en-US"/>
          <w14:ligatures w14:val="standardContextual"/>
        </w:rPr>
        <w:t>, 30(1), pp. 25-49.</w:t>
      </w:r>
    </w:p>
    <w:p w14:paraId="5F487E4D" w14:textId="33A21C09" w:rsidR="009E36D1" w:rsidRDefault="009E36D1" w:rsidP="00334AF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E36D1">
        <w:rPr>
          <w:rFonts w:asciiTheme="minorHAnsi" w:eastAsiaTheme="minorHAnsi" w:hAnsiTheme="minorHAnsi" w:cstheme="minorBidi"/>
          <w:color w:val="auto"/>
          <w:kern w:val="2"/>
          <w:sz w:val="22"/>
          <w:szCs w:val="22"/>
          <w:lang w:eastAsia="en-US"/>
          <w14:ligatures w14:val="standardContextual"/>
        </w:rPr>
        <w:t xml:space="preserve">Hottes et al. (2016) ‘Lifetime prevalence of suicide attempts among sexual minority adults by study sampling strategies: A systematic review and meta-analysis’, </w:t>
      </w:r>
      <w:r w:rsidRPr="009E36D1">
        <w:rPr>
          <w:rFonts w:asciiTheme="minorHAnsi" w:eastAsiaTheme="minorHAnsi" w:hAnsiTheme="minorHAnsi" w:cstheme="minorBidi"/>
          <w:i/>
          <w:color w:val="auto"/>
          <w:kern w:val="2"/>
          <w:sz w:val="22"/>
          <w:szCs w:val="22"/>
          <w:lang w:eastAsia="en-US"/>
          <w14:ligatures w14:val="standardContextual"/>
        </w:rPr>
        <w:t xml:space="preserve">American Journal of Public Health, </w:t>
      </w:r>
      <w:r w:rsidRPr="009E36D1">
        <w:rPr>
          <w:rFonts w:asciiTheme="minorHAnsi" w:eastAsiaTheme="minorHAnsi" w:hAnsiTheme="minorHAnsi" w:cstheme="minorBidi"/>
          <w:color w:val="auto"/>
          <w:kern w:val="2"/>
          <w:sz w:val="22"/>
          <w:szCs w:val="22"/>
          <w:lang w:eastAsia="en-US"/>
          <w14:ligatures w14:val="standardContextual"/>
        </w:rPr>
        <w:t>106(5), pp. 1-12.</w:t>
      </w:r>
    </w:p>
    <w:p w14:paraId="30D2D1A6" w14:textId="2C70DC71" w:rsidR="0005583B" w:rsidRDefault="0005583B" w:rsidP="00334AFF">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05583B">
        <w:rPr>
          <w:rFonts w:asciiTheme="minorHAnsi" w:eastAsiaTheme="minorHAnsi" w:hAnsiTheme="minorHAnsi" w:cstheme="minorBidi"/>
          <w:color w:val="auto"/>
          <w:kern w:val="2"/>
          <w:sz w:val="22"/>
          <w:szCs w:val="22"/>
          <w:lang w:eastAsia="en-US"/>
          <w14:ligatures w14:val="standardContextual"/>
        </w:rPr>
        <w:t xml:space="preserve">IOPC (2018) </w:t>
      </w:r>
      <w:r w:rsidRPr="0005583B">
        <w:rPr>
          <w:rFonts w:asciiTheme="minorHAnsi" w:eastAsiaTheme="minorHAnsi" w:hAnsiTheme="minorHAnsi" w:cstheme="minorBidi"/>
          <w:i/>
          <w:color w:val="auto"/>
          <w:kern w:val="2"/>
          <w:sz w:val="22"/>
          <w:szCs w:val="22"/>
          <w:lang w:eastAsia="en-US"/>
          <w14:ligatures w14:val="standardContextual"/>
        </w:rPr>
        <w:t xml:space="preserve">IOPC Position Statement. Risk in police decision-making and accountability in operational policing. </w:t>
      </w:r>
      <w:r w:rsidRPr="0005583B">
        <w:rPr>
          <w:rFonts w:asciiTheme="minorHAnsi" w:eastAsiaTheme="minorHAnsi" w:hAnsiTheme="minorHAnsi" w:cstheme="minorBidi"/>
          <w:color w:val="auto"/>
          <w:kern w:val="2"/>
          <w:sz w:val="22"/>
          <w:szCs w:val="22"/>
          <w:lang w:eastAsia="en-US"/>
          <w14:ligatures w14:val="standardContextual"/>
        </w:rPr>
        <w:t xml:space="preserve">Available at: </w:t>
      </w:r>
      <w:hyperlink r:id="rId33" w:anchor=":~:text=%EF%82%B7%20Police%20officers%20and%20staff%20are%20accountable%20for,are%20appropriately%20evidence-based%20and%20embedded%20in%20frontline%20policing." w:history="1">
        <w:r w:rsidRPr="0005583B">
          <w:rPr>
            <w:rFonts w:asciiTheme="minorHAnsi" w:eastAsiaTheme="minorHAnsi" w:hAnsiTheme="minorHAnsi" w:cstheme="minorBidi"/>
            <w:color w:val="0000FF"/>
            <w:kern w:val="2"/>
            <w:sz w:val="22"/>
            <w:szCs w:val="22"/>
            <w:u w:val="single"/>
            <w:lang w:eastAsia="en-US"/>
            <w14:ligatures w14:val="standardContextual"/>
          </w:rPr>
          <w:t>https://www.policeconduct.gov.uk/sites/default/files/documents/position_statement_on_risk_in_police_decision_making_2018.pdf</w:t>
        </w:r>
      </w:hyperlink>
      <w:r w:rsidRPr="0005583B">
        <w:rPr>
          <w:rFonts w:asciiTheme="minorHAnsi" w:eastAsiaTheme="minorHAnsi" w:hAnsiTheme="minorHAnsi" w:cstheme="minorBidi"/>
          <w:color w:val="auto"/>
          <w:kern w:val="2"/>
          <w:sz w:val="22"/>
          <w:szCs w:val="22"/>
          <w:lang w:eastAsia="en-US"/>
          <w14:ligatures w14:val="standardContextual"/>
        </w:rPr>
        <w:t xml:space="preserve"> (Accessed: 15 May 2024). </w:t>
      </w:r>
    </w:p>
    <w:p w14:paraId="2E06B3C5" w14:textId="77777777" w:rsidR="002964AC" w:rsidRPr="002964AC" w:rsidRDefault="002964AC" w:rsidP="002964AC">
      <w:pPr>
        <w:tabs>
          <w:tab w:val="left" w:pos="1572"/>
        </w:tabs>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2964AC">
        <w:rPr>
          <w:rFonts w:asciiTheme="minorHAnsi" w:eastAsiaTheme="minorHAnsi" w:hAnsiTheme="minorHAnsi" w:cstheme="minorBidi"/>
          <w:color w:val="auto"/>
          <w:kern w:val="2"/>
          <w:sz w:val="22"/>
          <w:szCs w:val="22"/>
          <w:lang w:eastAsia="en-US"/>
          <w14:ligatures w14:val="standardContextual"/>
        </w:rPr>
        <w:t xml:space="preserve">Jackel, E., Zerres, A. and Huffmeier, J. (2024) ‘Active listening in integrative negotiation’, </w:t>
      </w:r>
      <w:r w:rsidRPr="002964AC">
        <w:rPr>
          <w:rFonts w:asciiTheme="minorHAnsi" w:eastAsiaTheme="minorHAnsi" w:hAnsiTheme="minorHAnsi" w:cstheme="minorBidi"/>
          <w:i/>
          <w:color w:val="auto"/>
          <w:kern w:val="2"/>
          <w:sz w:val="22"/>
          <w:szCs w:val="22"/>
          <w:lang w:eastAsia="en-US"/>
          <w14:ligatures w14:val="standardContextual"/>
        </w:rPr>
        <w:t xml:space="preserve">Communication Research, </w:t>
      </w:r>
      <w:r w:rsidRPr="002964AC">
        <w:rPr>
          <w:rFonts w:asciiTheme="minorHAnsi" w:eastAsiaTheme="minorHAnsi" w:hAnsiTheme="minorHAnsi" w:cstheme="minorBidi"/>
          <w:iCs/>
          <w:color w:val="auto"/>
          <w:kern w:val="2"/>
          <w:sz w:val="22"/>
          <w:szCs w:val="22"/>
          <w:lang w:eastAsia="en-US"/>
          <w14:ligatures w14:val="standardContextual"/>
        </w:rPr>
        <w:t xml:space="preserve">1(1), p. 1-30. </w:t>
      </w:r>
    </w:p>
    <w:p w14:paraId="17A96CD6" w14:textId="102F870D" w:rsidR="002964AC" w:rsidRDefault="002964AC"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964AC">
        <w:rPr>
          <w:rFonts w:asciiTheme="minorHAnsi" w:eastAsiaTheme="minorHAnsi" w:hAnsiTheme="minorHAnsi" w:cstheme="minorBidi"/>
          <w:color w:val="auto"/>
          <w:kern w:val="2"/>
          <w:sz w:val="22"/>
          <w:szCs w:val="22"/>
          <w:lang w:eastAsia="en-US"/>
          <w14:ligatures w14:val="standardContextual"/>
        </w:rPr>
        <w:t xml:space="preserve">Jurczyk, M.B. (2022) ‘Security as a superior value at work with youth offenders: a new perspective for institutional social rehabilitation in the context of British practice approach’, </w:t>
      </w:r>
      <w:r w:rsidRPr="002964AC">
        <w:rPr>
          <w:rFonts w:asciiTheme="minorHAnsi" w:eastAsiaTheme="minorHAnsi" w:hAnsiTheme="minorHAnsi" w:cstheme="minorBidi"/>
          <w:i/>
          <w:iCs/>
          <w:color w:val="auto"/>
          <w:kern w:val="2"/>
          <w:sz w:val="22"/>
          <w:szCs w:val="22"/>
          <w:lang w:eastAsia="en-US"/>
          <w14:ligatures w14:val="standardContextual"/>
        </w:rPr>
        <w:t xml:space="preserve">Law-Education-Security, </w:t>
      </w:r>
      <w:r w:rsidRPr="002964AC">
        <w:rPr>
          <w:rFonts w:asciiTheme="minorHAnsi" w:eastAsiaTheme="minorHAnsi" w:hAnsiTheme="minorHAnsi" w:cstheme="minorBidi"/>
          <w:color w:val="auto"/>
          <w:kern w:val="2"/>
          <w:sz w:val="22"/>
          <w:szCs w:val="22"/>
          <w:lang w:eastAsia="en-US"/>
          <w14:ligatures w14:val="standardContextual"/>
        </w:rPr>
        <w:t xml:space="preserve">116(1), pp. 75-106. </w:t>
      </w:r>
    </w:p>
    <w:p w14:paraId="18FFAE9C" w14:textId="5AF781F6" w:rsidR="00F92C0B" w:rsidRPr="00DA7834" w:rsidRDefault="00F92C0B"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F92C0B">
        <w:rPr>
          <w:rFonts w:asciiTheme="minorHAnsi" w:eastAsiaTheme="minorHAnsi" w:hAnsiTheme="minorHAnsi" w:cstheme="minorBidi"/>
          <w:color w:val="auto"/>
          <w:kern w:val="2"/>
          <w:sz w:val="22"/>
          <w:szCs w:val="22"/>
          <w:lang w:eastAsia="en-US"/>
          <w14:ligatures w14:val="standardContextual"/>
        </w:rPr>
        <w:t xml:space="preserve">Kassin et al. (2007) ‘Police interviewing and interrogation: A self-report survey of police practices and beliefs’, </w:t>
      </w:r>
      <w:r w:rsidRPr="00F92C0B">
        <w:rPr>
          <w:rFonts w:asciiTheme="minorHAnsi" w:eastAsiaTheme="minorHAnsi" w:hAnsiTheme="minorHAnsi" w:cstheme="minorBidi"/>
          <w:i/>
          <w:iCs/>
          <w:color w:val="auto"/>
          <w:kern w:val="2"/>
          <w:sz w:val="22"/>
          <w:szCs w:val="22"/>
          <w:lang w:eastAsia="en-US"/>
          <w14:ligatures w14:val="standardContextual"/>
        </w:rPr>
        <w:t xml:space="preserve">Law and human behaviour, </w:t>
      </w:r>
      <w:r w:rsidRPr="00F92C0B">
        <w:rPr>
          <w:rFonts w:asciiTheme="minorHAnsi" w:eastAsiaTheme="minorHAnsi" w:hAnsiTheme="minorHAnsi" w:cstheme="minorBidi"/>
          <w:color w:val="auto"/>
          <w:kern w:val="2"/>
          <w:sz w:val="22"/>
          <w:szCs w:val="22"/>
          <w:lang w:eastAsia="en-US"/>
          <w14:ligatures w14:val="standardContextual"/>
        </w:rPr>
        <w:t xml:space="preserve">31(1), pp. 381-400. </w:t>
      </w:r>
    </w:p>
    <w:p w14:paraId="0A1CE016"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Kim, J.H. and McKenzie, L.A. (2014) ‘The impacts of physical exercise on stress coping and well-being in university students in the context of leisure’, </w:t>
      </w:r>
      <w:r w:rsidRPr="00DA7834">
        <w:rPr>
          <w:rFonts w:asciiTheme="minorHAnsi" w:eastAsiaTheme="minorHAnsi" w:hAnsiTheme="minorHAnsi" w:cstheme="minorBidi"/>
          <w:i/>
          <w:color w:val="auto"/>
          <w:kern w:val="2"/>
          <w:sz w:val="22"/>
          <w:szCs w:val="22"/>
          <w:lang w:eastAsia="en-US"/>
          <w14:ligatures w14:val="standardContextual"/>
        </w:rPr>
        <w:t xml:space="preserve">Health, </w:t>
      </w:r>
      <w:r w:rsidRPr="00DA7834">
        <w:rPr>
          <w:rFonts w:asciiTheme="minorHAnsi" w:eastAsiaTheme="minorHAnsi" w:hAnsiTheme="minorHAnsi" w:cstheme="minorBidi"/>
          <w:color w:val="auto"/>
          <w:kern w:val="2"/>
          <w:sz w:val="22"/>
          <w:szCs w:val="22"/>
          <w:lang w:eastAsia="en-US"/>
          <w14:ligatures w14:val="standardContextual"/>
        </w:rPr>
        <w:t xml:space="preserve">6(19), pp.2570-2580. </w:t>
      </w:r>
    </w:p>
    <w:p w14:paraId="2AE06259" w14:textId="79D776D3" w:rsidR="000D2624" w:rsidRDefault="000D2624" w:rsidP="000D262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0D2624">
        <w:rPr>
          <w:rFonts w:asciiTheme="minorHAnsi" w:eastAsiaTheme="minorHAnsi" w:hAnsiTheme="minorHAnsi" w:cstheme="minorBidi"/>
          <w:color w:val="auto"/>
          <w:kern w:val="2"/>
          <w:sz w:val="22"/>
          <w:szCs w:val="22"/>
          <w:lang w:eastAsia="en-US"/>
          <w14:ligatures w14:val="standardContextual"/>
        </w:rPr>
        <w:t xml:space="preserve">King et al. (2008) ‘A systematic review of mental disorder, suicide and deliberate self-harm in lesbian, gay and bisexual people’, </w:t>
      </w:r>
      <w:r w:rsidRPr="000D2624">
        <w:rPr>
          <w:rFonts w:asciiTheme="minorHAnsi" w:eastAsiaTheme="minorHAnsi" w:hAnsiTheme="minorHAnsi" w:cstheme="minorBidi"/>
          <w:i/>
          <w:color w:val="auto"/>
          <w:kern w:val="2"/>
          <w:sz w:val="22"/>
          <w:szCs w:val="22"/>
          <w:lang w:eastAsia="en-US"/>
          <w14:ligatures w14:val="standardContextual"/>
        </w:rPr>
        <w:t xml:space="preserve">BMC Psychiatry, </w:t>
      </w:r>
      <w:r w:rsidRPr="000D2624">
        <w:rPr>
          <w:rFonts w:asciiTheme="minorHAnsi" w:eastAsiaTheme="minorHAnsi" w:hAnsiTheme="minorHAnsi" w:cstheme="minorBidi"/>
          <w:color w:val="auto"/>
          <w:kern w:val="2"/>
          <w:sz w:val="22"/>
          <w:szCs w:val="22"/>
          <w:lang w:eastAsia="en-US"/>
          <w14:ligatures w14:val="standardContextual"/>
        </w:rPr>
        <w:t xml:space="preserve">8(1), pp. 70-86. </w:t>
      </w:r>
    </w:p>
    <w:p w14:paraId="015A88FB" w14:textId="56C071E2" w:rsidR="001A51FA" w:rsidRPr="00DA7834" w:rsidRDefault="001A51FA" w:rsidP="000D262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1A51FA">
        <w:rPr>
          <w:rFonts w:asciiTheme="minorHAnsi" w:eastAsiaTheme="minorHAnsi" w:hAnsiTheme="minorHAnsi" w:cstheme="minorBidi"/>
          <w:color w:val="auto"/>
          <w:kern w:val="2"/>
          <w:sz w:val="22"/>
          <w:szCs w:val="22"/>
          <w:lang w:eastAsia="en-US"/>
          <w14:ligatures w14:val="standardContextual"/>
        </w:rPr>
        <w:t xml:space="preserve">Kunst, M., Popelier, L. and Varekamp, E. (2015) ‘Victim satisfaction with the criminal justice system and emotional recovery: A systematic and critical review of the literature’, </w:t>
      </w:r>
      <w:r w:rsidRPr="001A51FA">
        <w:rPr>
          <w:rFonts w:asciiTheme="minorHAnsi" w:eastAsiaTheme="minorHAnsi" w:hAnsiTheme="minorHAnsi" w:cstheme="minorBidi"/>
          <w:i/>
          <w:color w:val="auto"/>
          <w:kern w:val="2"/>
          <w:sz w:val="22"/>
          <w:szCs w:val="22"/>
          <w:lang w:eastAsia="en-US"/>
          <w14:ligatures w14:val="standardContextual"/>
        </w:rPr>
        <w:t xml:space="preserve">Trauma, Violence and Abuse, </w:t>
      </w:r>
      <w:r w:rsidRPr="001A51FA">
        <w:rPr>
          <w:rFonts w:asciiTheme="minorHAnsi" w:eastAsiaTheme="minorHAnsi" w:hAnsiTheme="minorHAnsi" w:cstheme="minorBidi"/>
          <w:color w:val="auto"/>
          <w:kern w:val="2"/>
          <w:sz w:val="22"/>
          <w:szCs w:val="22"/>
          <w:lang w:eastAsia="en-US"/>
          <w14:ligatures w14:val="standardContextual"/>
        </w:rPr>
        <w:t xml:space="preserve">16(3), pp. 336-358. </w:t>
      </w:r>
    </w:p>
    <w:p w14:paraId="10CD70C8"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Luthans, F. (2002) ‘The Need for and Meaning of Positive Organisational Behaviour’, </w:t>
      </w:r>
      <w:r w:rsidRPr="00DA7834">
        <w:rPr>
          <w:rFonts w:asciiTheme="minorHAnsi" w:eastAsiaTheme="minorHAnsi" w:hAnsiTheme="minorHAnsi" w:cstheme="minorBidi"/>
          <w:i/>
          <w:color w:val="auto"/>
          <w:kern w:val="2"/>
          <w:sz w:val="22"/>
          <w:szCs w:val="22"/>
          <w:lang w:eastAsia="en-US"/>
          <w14:ligatures w14:val="standardContextual"/>
        </w:rPr>
        <w:t xml:space="preserve">Journal of Organisational Behaviour, </w:t>
      </w:r>
      <w:r w:rsidRPr="00DA7834">
        <w:rPr>
          <w:rFonts w:asciiTheme="minorHAnsi" w:eastAsiaTheme="minorHAnsi" w:hAnsiTheme="minorHAnsi" w:cstheme="minorBidi"/>
          <w:color w:val="auto"/>
          <w:kern w:val="2"/>
          <w:sz w:val="22"/>
          <w:szCs w:val="22"/>
          <w:lang w:eastAsia="en-US"/>
          <w14:ligatures w14:val="standardContextual"/>
        </w:rPr>
        <w:t xml:space="preserve">23(6), pp. 695-706. </w:t>
      </w:r>
    </w:p>
    <w:p w14:paraId="32599120" w14:textId="30792D93" w:rsidR="001B42B9" w:rsidRDefault="001B42B9" w:rsidP="001B42B9">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1B42B9">
        <w:rPr>
          <w:rFonts w:asciiTheme="minorHAnsi" w:eastAsiaTheme="minorHAnsi" w:hAnsiTheme="minorHAnsi" w:cstheme="minorBidi"/>
          <w:i/>
          <w:color w:val="auto"/>
          <w:kern w:val="2"/>
          <w:sz w:val="22"/>
          <w:szCs w:val="22"/>
          <w:lang w:eastAsia="en-US"/>
          <w14:ligatures w14:val="standardContextual"/>
        </w:rPr>
        <w:t xml:space="preserve">Malicious Communications Act 1988, S1. </w:t>
      </w:r>
      <w:r w:rsidRPr="001B42B9">
        <w:rPr>
          <w:rFonts w:asciiTheme="minorHAnsi" w:eastAsiaTheme="minorHAnsi" w:hAnsiTheme="minorHAnsi" w:cstheme="minorBidi"/>
          <w:color w:val="auto"/>
          <w:kern w:val="2"/>
          <w:sz w:val="22"/>
          <w:szCs w:val="22"/>
          <w:lang w:eastAsia="en-US"/>
          <w14:ligatures w14:val="standardContextual"/>
        </w:rPr>
        <w:t xml:space="preserve">Available at: </w:t>
      </w:r>
      <w:hyperlink r:id="rId34" w:history="1">
        <w:r w:rsidRPr="001B42B9">
          <w:rPr>
            <w:rFonts w:asciiTheme="minorHAnsi" w:eastAsiaTheme="minorHAnsi" w:hAnsiTheme="minorHAnsi" w:cstheme="minorBidi"/>
            <w:color w:val="0000FF"/>
            <w:kern w:val="2"/>
            <w:sz w:val="22"/>
            <w:szCs w:val="22"/>
            <w:u w:val="single"/>
            <w:lang w:eastAsia="en-US"/>
            <w14:ligatures w14:val="standardContextual"/>
          </w:rPr>
          <w:t>Malicious Communications Act 1988 (legislation.gov.uk)</w:t>
        </w:r>
      </w:hyperlink>
      <w:r w:rsidRPr="001B42B9">
        <w:rPr>
          <w:rFonts w:asciiTheme="minorHAnsi" w:eastAsiaTheme="minorHAnsi" w:hAnsiTheme="minorHAnsi" w:cstheme="minorBidi"/>
          <w:color w:val="auto"/>
          <w:kern w:val="2"/>
          <w:sz w:val="22"/>
          <w:szCs w:val="22"/>
          <w:lang w:eastAsia="en-US"/>
          <w14:ligatures w14:val="standardContextual"/>
        </w:rPr>
        <w:t xml:space="preserve"> (Accessed: 04 May 2024). </w:t>
      </w:r>
    </w:p>
    <w:p w14:paraId="24F33DB9" w14:textId="78C23388" w:rsidR="007E63E7" w:rsidRDefault="007E63E7"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E63E7">
        <w:rPr>
          <w:rFonts w:asciiTheme="minorHAnsi" w:eastAsiaTheme="minorHAnsi" w:hAnsiTheme="minorHAnsi" w:cstheme="minorBidi"/>
          <w:color w:val="auto"/>
          <w:kern w:val="2"/>
          <w:sz w:val="22"/>
          <w:szCs w:val="22"/>
          <w:lang w:eastAsia="en-US"/>
          <w14:ligatures w14:val="standardContextual"/>
        </w:rPr>
        <w:t xml:space="preserve">McMains, M. and Mullins, W. (2014) </w:t>
      </w:r>
      <w:r w:rsidRPr="007E63E7">
        <w:rPr>
          <w:rFonts w:asciiTheme="minorHAnsi" w:eastAsiaTheme="minorHAnsi" w:hAnsiTheme="minorHAnsi" w:cstheme="minorBidi"/>
          <w:i/>
          <w:iCs/>
          <w:color w:val="auto"/>
          <w:kern w:val="2"/>
          <w:sz w:val="22"/>
          <w:szCs w:val="22"/>
          <w:lang w:eastAsia="en-US"/>
          <w14:ligatures w14:val="standardContextual"/>
        </w:rPr>
        <w:t xml:space="preserve">Crisis negotiations: Managing critical incidents and hostage situations in law enforcement and corrections. </w:t>
      </w:r>
      <w:r w:rsidRPr="007E63E7">
        <w:rPr>
          <w:rFonts w:asciiTheme="minorHAnsi" w:eastAsiaTheme="minorHAnsi" w:hAnsiTheme="minorHAnsi" w:cstheme="minorBidi"/>
          <w:color w:val="auto"/>
          <w:kern w:val="2"/>
          <w:sz w:val="22"/>
          <w:szCs w:val="22"/>
          <w:lang w:eastAsia="en-US"/>
          <w14:ligatures w14:val="standardContextual"/>
        </w:rPr>
        <w:t xml:space="preserve">New York: Routledge. </w:t>
      </w:r>
    </w:p>
    <w:p w14:paraId="559AD35B" w14:textId="431619D7" w:rsidR="00CF6481" w:rsidRDefault="00CF6481" w:rsidP="00CF648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CF6481">
        <w:rPr>
          <w:rFonts w:asciiTheme="minorHAnsi" w:eastAsiaTheme="minorHAnsi" w:hAnsiTheme="minorHAnsi" w:cstheme="minorBidi"/>
          <w:color w:val="auto"/>
          <w:kern w:val="2"/>
          <w:sz w:val="22"/>
          <w:szCs w:val="22"/>
          <w:lang w:eastAsia="en-US"/>
          <w14:ligatures w14:val="standardContextual"/>
        </w:rPr>
        <w:t xml:space="preserve">Nadal, K.L., Quintanilla, A., Goswick, A. and Sriken, J. (2015) ‘Lesbian, gay, bisexual, and queer people's perceptions of the criminal justice system: Implications for social services’, </w:t>
      </w:r>
      <w:r w:rsidRPr="00CF6481">
        <w:rPr>
          <w:rFonts w:asciiTheme="minorHAnsi" w:eastAsiaTheme="minorHAnsi" w:hAnsiTheme="minorHAnsi" w:cstheme="minorBidi"/>
          <w:i/>
          <w:iCs/>
          <w:color w:val="auto"/>
          <w:kern w:val="2"/>
          <w:sz w:val="22"/>
          <w:szCs w:val="22"/>
          <w:lang w:eastAsia="en-US"/>
          <w14:ligatures w14:val="standardContextual"/>
        </w:rPr>
        <w:t>Journal of Gay &amp; Lesbian Social Services</w:t>
      </w:r>
      <w:r w:rsidRPr="00CF6481">
        <w:rPr>
          <w:rFonts w:asciiTheme="minorHAnsi" w:eastAsiaTheme="minorHAnsi" w:hAnsiTheme="minorHAnsi" w:cstheme="minorBidi"/>
          <w:color w:val="auto"/>
          <w:kern w:val="2"/>
          <w:sz w:val="22"/>
          <w:szCs w:val="22"/>
          <w:lang w:eastAsia="en-US"/>
          <w14:ligatures w14:val="standardContextual"/>
        </w:rPr>
        <w:t>, 27(4), pp.457-481.</w:t>
      </w:r>
    </w:p>
    <w:p w14:paraId="4B3508DB" w14:textId="374DCFE3" w:rsidR="00250C43" w:rsidRDefault="00250C43"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250C43">
        <w:rPr>
          <w:rFonts w:asciiTheme="minorHAnsi" w:eastAsiaTheme="minorHAnsi" w:hAnsiTheme="minorHAnsi" w:cstheme="minorBidi"/>
          <w:color w:val="auto"/>
          <w:kern w:val="2"/>
          <w:sz w:val="22"/>
          <w:szCs w:val="22"/>
          <w:lang w:eastAsia="en-US"/>
          <w14:ligatures w14:val="standardContextual"/>
        </w:rPr>
        <w:t xml:space="preserve">National Centre for Domestic Violence (2024) </w:t>
      </w:r>
      <w:r w:rsidRPr="00250C43">
        <w:rPr>
          <w:rFonts w:asciiTheme="minorHAnsi" w:eastAsiaTheme="minorHAnsi" w:hAnsiTheme="minorHAnsi" w:cstheme="minorBidi"/>
          <w:i/>
          <w:iCs/>
          <w:color w:val="auto"/>
          <w:kern w:val="2"/>
          <w:sz w:val="22"/>
          <w:szCs w:val="22"/>
          <w:lang w:eastAsia="en-US"/>
          <w14:ligatures w14:val="standardContextual"/>
        </w:rPr>
        <w:t xml:space="preserve">Domestic Abuse Statistics UK. </w:t>
      </w:r>
      <w:r w:rsidRPr="00250C43">
        <w:rPr>
          <w:rFonts w:asciiTheme="minorHAnsi" w:eastAsiaTheme="minorHAnsi" w:hAnsiTheme="minorHAnsi" w:cstheme="minorBidi"/>
          <w:color w:val="auto"/>
          <w:kern w:val="2"/>
          <w:sz w:val="22"/>
          <w:szCs w:val="22"/>
          <w:lang w:eastAsia="en-US"/>
          <w14:ligatures w14:val="standardContextual"/>
        </w:rPr>
        <w:t xml:space="preserve">Available at: </w:t>
      </w:r>
      <w:hyperlink r:id="rId35" w:history="1">
        <w:r w:rsidRPr="00250C43">
          <w:rPr>
            <w:rStyle w:val="Hyperlink"/>
            <w:rFonts w:asciiTheme="minorHAnsi" w:eastAsiaTheme="minorHAnsi" w:hAnsiTheme="minorHAnsi" w:cstheme="minorBidi"/>
            <w:kern w:val="2"/>
            <w:sz w:val="22"/>
            <w:szCs w:val="22"/>
            <w:lang w:eastAsia="en-US"/>
            <w14:ligatures w14:val="standardContextual"/>
          </w:rPr>
          <w:t>Domestic Abuse Statistics UK • NCDV</w:t>
        </w:r>
      </w:hyperlink>
      <w:r w:rsidRPr="00250C43">
        <w:rPr>
          <w:rFonts w:asciiTheme="minorHAnsi" w:eastAsiaTheme="minorHAnsi" w:hAnsiTheme="minorHAnsi" w:cstheme="minorBidi"/>
          <w:color w:val="auto"/>
          <w:kern w:val="2"/>
          <w:sz w:val="22"/>
          <w:szCs w:val="22"/>
          <w:lang w:eastAsia="en-US"/>
          <w14:ligatures w14:val="standardContextual"/>
        </w:rPr>
        <w:t xml:space="preserve"> (Accessed: 29 May 2024).</w:t>
      </w:r>
    </w:p>
    <w:p w14:paraId="38B57274" w14:textId="129CCAAE" w:rsidR="001F3B86" w:rsidRPr="00DA7834" w:rsidRDefault="001F3B86" w:rsidP="001F3B86">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1F3B86">
        <w:rPr>
          <w:rFonts w:asciiTheme="minorHAnsi" w:eastAsiaTheme="minorHAnsi" w:hAnsiTheme="minorHAnsi" w:cstheme="minorBidi"/>
          <w:color w:val="auto"/>
          <w:kern w:val="2"/>
          <w:sz w:val="22"/>
          <w:szCs w:val="22"/>
          <w:lang w:eastAsia="en-US"/>
          <w14:ligatures w14:val="standardContextual"/>
        </w:rPr>
        <w:t xml:space="preserve">Myhill, A. and Johnson, K. (2016) ‘Police use of discretion in response to domestic violence’, </w:t>
      </w:r>
      <w:r w:rsidRPr="001F3B86">
        <w:rPr>
          <w:rFonts w:asciiTheme="minorHAnsi" w:eastAsiaTheme="minorHAnsi" w:hAnsiTheme="minorHAnsi" w:cstheme="minorBidi"/>
          <w:i/>
          <w:iCs/>
          <w:color w:val="auto"/>
          <w:kern w:val="2"/>
          <w:sz w:val="22"/>
          <w:szCs w:val="22"/>
          <w:lang w:eastAsia="en-US"/>
          <w14:ligatures w14:val="standardContextual"/>
        </w:rPr>
        <w:t xml:space="preserve">Criminology and Criminal Justice, </w:t>
      </w:r>
      <w:r w:rsidRPr="001F3B86">
        <w:rPr>
          <w:rFonts w:asciiTheme="minorHAnsi" w:eastAsiaTheme="minorHAnsi" w:hAnsiTheme="minorHAnsi" w:cstheme="minorBidi"/>
          <w:color w:val="auto"/>
          <w:kern w:val="2"/>
          <w:sz w:val="22"/>
          <w:szCs w:val="22"/>
          <w:lang w:eastAsia="en-US"/>
          <w14:ligatures w14:val="standardContextual"/>
        </w:rPr>
        <w:t xml:space="preserve">16(1), pp. 3-20. </w:t>
      </w:r>
    </w:p>
    <w:p w14:paraId="346C5264"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Nielsen et al. (2008) ‘What characterises persons with high levels of perceived stress in Denmark? A national representative study’, </w:t>
      </w:r>
      <w:r w:rsidRPr="00DA7834">
        <w:rPr>
          <w:rFonts w:asciiTheme="minorHAnsi" w:eastAsiaTheme="minorHAnsi" w:hAnsiTheme="minorHAnsi" w:cstheme="minorBidi"/>
          <w:i/>
          <w:color w:val="auto"/>
          <w:kern w:val="2"/>
          <w:sz w:val="22"/>
          <w:szCs w:val="22"/>
          <w:lang w:eastAsia="en-US"/>
          <w14:ligatures w14:val="standardContextual"/>
        </w:rPr>
        <w:t xml:space="preserve">Scandinavian Journal of Public Health, </w:t>
      </w:r>
      <w:r w:rsidRPr="00DA7834">
        <w:rPr>
          <w:rFonts w:asciiTheme="minorHAnsi" w:eastAsiaTheme="minorHAnsi" w:hAnsiTheme="minorHAnsi" w:cstheme="minorBidi"/>
          <w:color w:val="auto"/>
          <w:kern w:val="2"/>
          <w:sz w:val="22"/>
          <w:szCs w:val="22"/>
          <w:lang w:eastAsia="en-US"/>
          <w14:ligatures w14:val="standardContextual"/>
        </w:rPr>
        <w:t xml:space="preserve">36(4), pp. 369-379. </w:t>
      </w:r>
    </w:p>
    <w:p w14:paraId="6B4632CC" w14:textId="668FDA3B" w:rsidR="00D41E31" w:rsidRDefault="00D41E31" w:rsidP="00D41E3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41E31">
        <w:rPr>
          <w:rFonts w:asciiTheme="minorHAnsi" w:eastAsiaTheme="minorHAnsi" w:hAnsiTheme="minorHAnsi" w:cstheme="minorBidi"/>
          <w:color w:val="auto"/>
          <w:kern w:val="2"/>
          <w:sz w:val="22"/>
          <w:szCs w:val="22"/>
          <w:lang w:eastAsia="en-US"/>
          <w14:ligatures w14:val="standardContextual"/>
        </w:rPr>
        <w:t xml:space="preserve">MOJ (2020) </w:t>
      </w:r>
      <w:r w:rsidRPr="00D41E31">
        <w:rPr>
          <w:rFonts w:asciiTheme="minorHAnsi" w:eastAsiaTheme="minorHAnsi" w:hAnsiTheme="minorHAnsi" w:cstheme="minorBidi"/>
          <w:i/>
          <w:iCs/>
          <w:color w:val="auto"/>
          <w:kern w:val="2"/>
          <w:sz w:val="22"/>
          <w:szCs w:val="22"/>
          <w:lang w:eastAsia="en-US"/>
          <w14:ligatures w14:val="standardContextual"/>
        </w:rPr>
        <w:t xml:space="preserve">Criminal Procedure and Investigations Act 1996 (section 23(1)) Code of Practice. Revised in accordance with section 25(4) of the Criminal Procedure and Investigations Act 1996 and presented to Parliament pursuant to section 25(2) of the Act. </w:t>
      </w:r>
      <w:r w:rsidRPr="00D41E31">
        <w:rPr>
          <w:rFonts w:asciiTheme="minorHAnsi" w:eastAsiaTheme="minorHAnsi" w:hAnsiTheme="minorHAnsi" w:cstheme="minorBidi"/>
          <w:color w:val="auto"/>
          <w:kern w:val="2"/>
          <w:sz w:val="22"/>
          <w:szCs w:val="22"/>
          <w:lang w:eastAsia="en-US"/>
          <w14:ligatures w14:val="standardContextual"/>
        </w:rPr>
        <w:t xml:space="preserve">Available at: </w:t>
      </w:r>
      <w:hyperlink r:id="rId36" w:anchor=":~:text=This%20code%20of%20practice%20is%20issued%20under%20Part,be%20relevant%20to%20the%20investigation%2C%20and%20related%20matters." w:history="1">
        <w:r w:rsidRPr="00D41E31">
          <w:rPr>
            <w:rFonts w:asciiTheme="minorHAnsi" w:eastAsiaTheme="minorHAnsi" w:hAnsiTheme="minorHAnsi" w:cstheme="minorBidi"/>
            <w:color w:val="0000FF"/>
            <w:kern w:val="2"/>
            <w:sz w:val="22"/>
            <w:szCs w:val="22"/>
            <w:u w:val="single"/>
            <w:lang w:eastAsia="en-US"/>
            <w14:ligatures w14:val="standardContextual"/>
          </w:rPr>
          <w:t>https://assets.publishing.service.gov.uk/government/uploads/system/uploads/attachment_data/file/931173/Criminal-procedure-and-investigations-act-1996.pdf</w:t>
        </w:r>
      </w:hyperlink>
      <w:r w:rsidRPr="00D41E31">
        <w:rPr>
          <w:rFonts w:asciiTheme="minorHAnsi" w:eastAsiaTheme="minorHAnsi" w:hAnsiTheme="minorHAnsi" w:cstheme="minorBidi"/>
          <w:color w:val="auto"/>
          <w:kern w:val="2"/>
          <w:sz w:val="22"/>
          <w:szCs w:val="22"/>
          <w:lang w:eastAsia="en-US"/>
          <w14:ligatures w14:val="standardContextual"/>
        </w:rPr>
        <w:t xml:space="preserve"> (Accessed: 02 May 2024). </w:t>
      </w:r>
    </w:p>
    <w:p w14:paraId="46E7BAC1" w14:textId="77777777" w:rsidR="00891AD0" w:rsidRPr="00891AD0" w:rsidRDefault="00891AD0" w:rsidP="00891AD0">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891AD0">
        <w:rPr>
          <w:rFonts w:asciiTheme="minorHAnsi" w:eastAsiaTheme="minorHAnsi" w:hAnsiTheme="minorHAnsi" w:cstheme="minorBidi"/>
          <w:color w:val="auto"/>
          <w:kern w:val="2"/>
          <w:sz w:val="22"/>
          <w:szCs w:val="22"/>
          <w:lang w:eastAsia="en-US"/>
          <w14:ligatures w14:val="standardContextual"/>
        </w:rPr>
        <w:t xml:space="preserve">ONS (2023) </w:t>
      </w:r>
      <w:r w:rsidRPr="00891AD0">
        <w:rPr>
          <w:rFonts w:asciiTheme="minorHAnsi" w:eastAsiaTheme="minorHAnsi" w:hAnsiTheme="minorHAnsi" w:cstheme="minorBidi"/>
          <w:i/>
          <w:iCs/>
          <w:color w:val="auto"/>
          <w:kern w:val="2"/>
          <w:sz w:val="22"/>
          <w:szCs w:val="22"/>
          <w:lang w:eastAsia="en-US"/>
          <w14:ligatures w14:val="standardContextual"/>
        </w:rPr>
        <w:t xml:space="preserve">Domestic Abuse in England and Wales Overview: November 2023. </w:t>
      </w:r>
      <w:r w:rsidRPr="00891AD0">
        <w:rPr>
          <w:rFonts w:asciiTheme="minorHAnsi" w:eastAsiaTheme="minorHAnsi" w:hAnsiTheme="minorHAnsi" w:cstheme="minorBidi"/>
          <w:iCs/>
          <w:color w:val="auto"/>
          <w:kern w:val="2"/>
          <w:sz w:val="22"/>
          <w:szCs w:val="22"/>
          <w:lang w:eastAsia="en-US"/>
          <w14:ligatures w14:val="standardContextual"/>
        </w:rPr>
        <w:t xml:space="preserve">Available at: </w:t>
      </w:r>
      <w:hyperlink r:id="rId37" w:history="1">
        <w:r w:rsidRPr="00891AD0">
          <w:rPr>
            <w:rStyle w:val="Hyperlink"/>
            <w:rFonts w:asciiTheme="minorHAnsi" w:eastAsiaTheme="minorHAnsi" w:hAnsiTheme="minorHAnsi" w:cstheme="minorBidi"/>
            <w:kern w:val="2"/>
            <w:sz w:val="22"/>
            <w:szCs w:val="22"/>
            <w:lang w:eastAsia="en-US"/>
            <w14:ligatures w14:val="standardContextual"/>
          </w:rPr>
          <w:t>Domestic abuse in England and Wales overview - Office for National Statistics (ons.gov.uk)</w:t>
        </w:r>
      </w:hyperlink>
      <w:r w:rsidRPr="00891AD0">
        <w:rPr>
          <w:rFonts w:asciiTheme="minorHAnsi" w:eastAsiaTheme="minorHAnsi" w:hAnsiTheme="minorHAnsi" w:cstheme="minorBidi"/>
          <w:color w:val="auto"/>
          <w:kern w:val="2"/>
          <w:sz w:val="22"/>
          <w:szCs w:val="22"/>
          <w:lang w:eastAsia="en-US"/>
          <w14:ligatures w14:val="standardContextual"/>
        </w:rPr>
        <w:t xml:space="preserve"> (Accessed: 29 May 2024). </w:t>
      </w:r>
    </w:p>
    <w:p w14:paraId="14241288" w14:textId="466704BA" w:rsidR="00891AD0" w:rsidRPr="00DA7834" w:rsidRDefault="00891AD0"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891AD0">
        <w:rPr>
          <w:rFonts w:asciiTheme="minorHAnsi" w:eastAsiaTheme="minorHAnsi" w:hAnsiTheme="minorHAnsi" w:cstheme="minorBidi"/>
          <w:color w:val="auto"/>
          <w:kern w:val="2"/>
          <w:sz w:val="22"/>
          <w:szCs w:val="22"/>
          <w:lang w:eastAsia="en-US"/>
          <w14:ligatures w14:val="standardContextual"/>
        </w:rPr>
        <w:t xml:space="preserve">Oram, S., Khalifeh, H. and Howard, L.M. (2017) ‘ Violence against women and mental health’, </w:t>
      </w:r>
      <w:r w:rsidRPr="00891AD0">
        <w:rPr>
          <w:rFonts w:asciiTheme="minorHAnsi" w:eastAsiaTheme="minorHAnsi" w:hAnsiTheme="minorHAnsi" w:cstheme="minorBidi"/>
          <w:i/>
          <w:iCs/>
          <w:color w:val="auto"/>
          <w:kern w:val="2"/>
          <w:sz w:val="22"/>
          <w:szCs w:val="22"/>
          <w:lang w:eastAsia="en-US"/>
          <w14:ligatures w14:val="standardContextual"/>
        </w:rPr>
        <w:t xml:space="preserve">The Lancet Psychiatry, </w:t>
      </w:r>
      <w:r w:rsidRPr="00891AD0">
        <w:rPr>
          <w:rFonts w:asciiTheme="minorHAnsi" w:eastAsiaTheme="minorHAnsi" w:hAnsiTheme="minorHAnsi" w:cstheme="minorBidi"/>
          <w:color w:val="auto"/>
          <w:kern w:val="2"/>
          <w:sz w:val="22"/>
          <w:szCs w:val="22"/>
          <w:lang w:eastAsia="en-US"/>
          <w14:ligatures w14:val="standardContextual"/>
        </w:rPr>
        <w:t xml:space="preserve">4(2), pp. 159-170. </w:t>
      </w:r>
    </w:p>
    <w:p w14:paraId="3AA1A6D6"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lastRenderedPageBreak/>
        <w:t xml:space="preserve">Poerio, G.L. and Totterdell, P. (2020) ‘The effect of fiction on the well-being of older adults: a longitudinal RCT intervention study using audiobooks’, </w:t>
      </w:r>
      <w:r w:rsidRPr="00DA7834">
        <w:rPr>
          <w:rFonts w:asciiTheme="minorHAnsi" w:eastAsiaTheme="minorHAnsi" w:hAnsiTheme="minorHAnsi" w:cstheme="minorBidi"/>
          <w:i/>
          <w:iCs/>
          <w:color w:val="auto"/>
          <w:kern w:val="2"/>
          <w:sz w:val="22"/>
          <w:szCs w:val="22"/>
          <w:lang w:eastAsia="en-US"/>
          <w14:ligatures w14:val="standardContextual"/>
        </w:rPr>
        <w:t>Psychosocial Intervention</w:t>
      </w:r>
      <w:r w:rsidRPr="00DA7834">
        <w:rPr>
          <w:rFonts w:asciiTheme="minorHAnsi" w:eastAsiaTheme="minorHAnsi" w:hAnsiTheme="minorHAnsi" w:cstheme="minorBidi"/>
          <w:color w:val="auto"/>
          <w:kern w:val="2"/>
          <w:sz w:val="22"/>
          <w:szCs w:val="22"/>
          <w:lang w:eastAsia="en-US"/>
          <w14:ligatures w14:val="standardContextual"/>
        </w:rPr>
        <w:t>, 29(1), pp.29-38.</w:t>
      </w:r>
    </w:p>
    <w:p w14:paraId="668A37C8"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Rao et al. (2012) ‘Practice of physical activity among future doctors: A cross sectional analysis’, </w:t>
      </w:r>
      <w:r w:rsidRPr="00DA7834">
        <w:rPr>
          <w:rFonts w:asciiTheme="minorHAnsi" w:eastAsiaTheme="minorHAnsi" w:hAnsiTheme="minorHAnsi" w:cstheme="minorBidi"/>
          <w:i/>
          <w:color w:val="auto"/>
          <w:kern w:val="2"/>
          <w:sz w:val="22"/>
          <w:szCs w:val="22"/>
          <w:lang w:eastAsia="en-US"/>
          <w14:ligatures w14:val="standardContextual"/>
        </w:rPr>
        <w:t xml:space="preserve">International Journal of preventive medicine’, </w:t>
      </w:r>
      <w:r w:rsidRPr="00DA7834">
        <w:rPr>
          <w:rFonts w:asciiTheme="minorHAnsi" w:eastAsiaTheme="minorHAnsi" w:hAnsiTheme="minorHAnsi" w:cstheme="minorBidi"/>
          <w:color w:val="auto"/>
          <w:kern w:val="2"/>
          <w:sz w:val="22"/>
          <w:szCs w:val="22"/>
          <w:lang w:eastAsia="en-US"/>
          <w14:ligatures w14:val="standardContextual"/>
        </w:rPr>
        <w:t xml:space="preserve">3(5), pp. 365-369. </w:t>
      </w:r>
    </w:p>
    <w:p w14:paraId="41E0C6FE" w14:textId="400BAEDB" w:rsidR="00ED0C62" w:rsidRDefault="00ED0C62"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iCs/>
          <w:color w:val="auto"/>
          <w:kern w:val="2"/>
          <w:sz w:val="22"/>
          <w:szCs w:val="22"/>
          <w:lang w:eastAsia="en-US"/>
          <w14:ligatures w14:val="standardContextual"/>
        </w:rPr>
      </w:pPr>
      <w:r w:rsidRPr="00ED0C62">
        <w:rPr>
          <w:rFonts w:asciiTheme="minorHAnsi" w:eastAsiaTheme="minorHAnsi" w:hAnsiTheme="minorHAnsi" w:cstheme="minorBidi"/>
          <w:color w:val="auto"/>
          <w:kern w:val="2"/>
          <w:sz w:val="22"/>
          <w:szCs w:val="22"/>
          <w:lang w:eastAsia="en-US"/>
          <w14:ligatures w14:val="standardContextual"/>
        </w:rPr>
        <w:t xml:space="preserve">Royce, T. (2005) ‘The negotiator and the bomber: </w:t>
      </w:r>
      <w:r w:rsidR="0053515E" w:rsidRPr="00ED0C62">
        <w:rPr>
          <w:rFonts w:asciiTheme="minorHAnsi" w:eastAsiaTheme="minorHAnsi" w:hAnsiTheme="minorHAnsi" w:cstheme="minorBidi"/>
          <w:color w:val="auto"/>
          <w:kern w:val="2"/>
          <w:sz w:val="22"/>
          <w:szCs w:val="22"/>
          <w:lang w:eastAsia="en-US"/>
          <w14:ligatures w14:val="standardContextual"/>
        </w:rPr>
        <w:t>Analysing</w:t>
      </w:r>
      <w:r w:rsidRPr="00ED0C62">
        <w:rPr>
          <w:rFonts w:asciiTheme="minorHAnsi" w:eastAsiaTheme="minorHAnsi" w:hAnsiTheme="minorHAnsi" w:cstheme="minorBidi"/>
          <w:color w:val="auto"/>
          <w:kern w:val="2"/>
          <w:sz w:val="22"/>
          <w:szCs w:val="22"/>
          <w:lang w:eastAsia="en-US"/>
          <w14:ligatures w14:val="standardContextual"/>
        </w:rPr>
        <w:t xml:space="preserve"> the critical role of active listening in crisis negotiations’, </w:t>
      </w:r>
      <w:r w:rsidRPr="00ED0C62">
        <w:rPr>
          <w:rFonts w:asciiTheme="minorHAnsi" w:eastAsiaTheme="minorHAnsi" w:hAnsiTheme="minorHAnsi" w:cstheme="minorBidi"/>
          <w:i/>
          <w:color w:val="auto"/>
          <w:kern w:val="2"/>
          <w:sz w:val="22"/>
          <w:szCs w:val="22"/>
          <w:lang w:eastAsia="en-US"/>
          <w14:ligatures w14:val="standardContextual"/>
        </w:rPr>
        <w:t xml:space="preserve">Negotiation Journal, </w:t>
      </w:r>
      <w:r w:rsidRPr="00ED0C62">
        <w:rPr>
          <w:rFonts w:asciiTheme="minorHAnsi" w:eastAsiaTheme="minorHAnsi" w:hAnsiTheme="minorHAnsi" w:cstheme="minorBidi"/>
          <w:iCs/>
          <w:color w:val="auto"/>
          <w:kern w:val="2"/>
          <w:sz w:val="22"/>
          <w:szCs w:val="22"/>
          <w:lang w:eastAsia="en-US"/>
          <w14:ligatures w14:val="standardContextual"/>
        </w:rPr>
        <w:t>21(1), pp. 5-27</w:t>
      </w:r>
      <w:r>
        <w:rPr>
          <w:rFonts w:asciiTheme="minorHAnsi" w:eastAsiaTheme="minorHAnsi" w:hAnsiTheme="minorHAnsi" w:cstheme="minorBidi"/>
          <w:iCs/>
          <w:color w:val="auto"/>
          <w:kern w:val="2"/>
          <w:sz w:val="22"/>
          <w:szCs w:val="22"/>
          <w:lang w:eastAsia="en-US"/>
          <w14:ligatures w14:val="standardContextual"/>
        </w:rPr>
        <w:t>.</w:t>
      </w:r>
    </w:p>
    <w:p w14:paraId="5A6DDE5B" w14:textId="1E6E8DCC" w:rsidR="009C6C84" w:rsidRPr="009C6C84" w:rsidRDefault="009C6C84" w:rsidP="009C6C8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C6C84">
        <w:rPr>
          <w:rFonts w:asciiTheme="minorHAnsi" w:eastAsiaTheme="minorHAnsi" w:hAnsiTheme="minorHAnsi" w:cstheme="minorBidi"/>
          <w:color w:val="auto"/>
          <w:kern w:val="2"/>
          <w:sz w:val="22"/>
          <w:szCs w:val="22"/>
          <w:lang w:eastAsia="en-US"/>
          <w14:ligatures w14:val="standardContextual"/>
        </w:rPr>
        <w:t xml:space="preserve">Sallavaci, O. (2018) ‘Crime and social media: Legal responses to offensive online communications and abuse’, in Jahankhani, H. (ed.) </w:t>
      </w:r>
      <w:r w:rsidRPr="009C6C84">
        <w:rPr>
          <w:rFonts w:asciiTheme="minorHAnsi" w:eastAsiaTheme="minorHAnsi" w:hAnsiTheme="minorHAnsi" w:cstheme="minorBidi"/>
          <w:i/>
          <w:iCs/>
          <w:color w:val="auto"/>
          <w:kern w:val="2"/>
          <w:sz w:val="22"/>
          <w:szCs w:val="22"/>
          <w:lang w:eastAsia="en-US"/>
          <w14:ligatures w14:val="standardContextual"/>
        </w:rPr>
        <w:t>Cyber Criminology.</w:t>
      </w:r>
      <w:r w:rsidRPr="009C6C84">
        <w:rPr>
          <w:rFonts w:asciiTheme="minorHAnsi" w:eastAsiaTheme="minorHAnsi" w:hAnsiTheme="minorHAnsi" w:cstheme="minorBidi"/>
          <w:color w:val="auto"/>
          <w:kern w:val="2"/>
          <w:sz w:val="22"/>
          <w:szCs w:val="22"/>
          <w:lang w:eastAsia="en-US"/>
          <w14:ligatures w14:val="standardContextual"/>
        </w:rPr>
        <w:t xml:space="preserve"> London: Springer. </w:t>
      </w:r>
    </w:p>
    <w:p w14:paraId="5F8ADDE7"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Schabasser, C. (2024) ‘Reading: A Solution for Stressed Managers?’, </w:t>
      </w:r>
      <w:r w:rsidRPr="00DA7834">
        <w:rPr>
          <w:rFonts w:asciiTheme="minorHAnsi" w:eastAsiaTheme="minorHAnsi" w:hAnsiTheme="minorHAnsi" w:cstheme="minorBidi"/>
          <w:i/>
          <w:iCs/>
          <w:color w:val="auto"/>
          <w:kern w:val="2"/>
          <w:sz w:val="22"/>
          <w:szCs w:val="22"/>
          <w:lang w:eastAsia="en-US"/>
          <w14:ligatures w14:val="standardContextual"/>
        </w:rPr>
        <w:t>London Journal of Social Sciences</w:t>
      </w:r>
      <w:r w:rsidRPr="00DA7834">
        <w:rPr>
          <w:rFonts w:asciiTheme="minorHAnsi" w:eastAsiaTheme="minorHAnsi" w:hAnsiTheme="minorHAnsi" w:cstheme="minorBidi"/>
          <w:color w:val="auto"/>
          <w:kern w:val="2"/>
          <w:sz w:val="22"/>
          <w:szCs w:val="22"/>
          <w:lang w:eastAsia="en-US"/>
          <w14:ligatures w14:val="standardContextual"/>
        </w:rPr>
        <w:t>, 7(1), pp.53-69.</w:t>
      </w:r>
    </w:p>
    <w:p w14:paraId="6D6FD67C"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Schultchen et al. (2019) ‘Bidirectional relationship of stress and affect with physical activity and healthy eating’, </w:t>
      </w:r>
      <w:r w:rsidRPr="00DA7834">
        <w:rPr>
          <w:rFonts w:asciiTheme="minorHAnsi" w:eastAsiaTheme="minorHAnsi" w:hAnsiTheme="minorHAnsi" w:cstheme="minorBidi"/>
          <w:i/>
          <w:iCs/>
          <w:color w:val="auto"/>
          <w:kern w:val="2"/>
          <w:sz w:val="22"/>
          <w:szCs w:val="22"/>
          <w:lang w:eastAsia="en-US"/>
          <w14:ligatures w14:val="standardContextual"/>
        </w:rPr>
        <w:t>British journal of health psychology</w:t>
      </w:r>
      <w:r w:rsidRPr="00DA7834">
        <w:rPr>
          <w:rFonts w:asciiTheme="minorHAnsi" w:eastAsiaTheme="minorHAnsi" w:hAnsiTheme="minorHAnsi" w:cstheme="minorBidi"/>
          <w:color w:val="auto"/>
          <w:kern w:val="2"/>
          <w:sz w:val="22"/>
          <w:szCs w:val="22"/>
          <w:lang w:eastAsia="en-US"/>
          <w14:ligatures w14:val="standardContextual"/>
        </w:rPr>
        <w:t>, 24(2), pp.315-333.</w:t>
      </w:r>
    </w:p>
    <w:p w14:paraId="76843EA4"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Sheard, I., Burnett, M. and St Clair-Thompson, H. (2019), ‘Psychological distress constructs in police with different roles’, </w:t>
      </w:r>
      <w:r w:rsidRPr="00DA7834">
        <w:rPr>
          <w:rFonts w:asciiTheme="minorHAnsi" w:eastAsiaTheme="minorHAnsi" w:hAnsiTheme="minorHAnsi" w:cstheme="minorBidi"/>
          <w:i/>
          <w:color w:val="auto"/>
          <w:kern w:val="2"/>
          <w:sz w:val="22"/>
          <w:szCs w:val="22"/>
          <w:lang w:eastAsia="en-US"/>
          <w14:ligatures w14:val="standardContextual"/>
        </w:rPr>
        <w:t>International Journal of Emergency Services</w:t>
      </w:r>
      <w:r w:rsidRPr="00DA7834">
        <w:rPr>
          <w:rFonts w:asciiTheme="minorHAnsi" w:eastAsiaTheme="minorHAnsi" w:hAnsiTheme="minorHAnsi" w:cstheme="minorBidi"/>
          <w:color w:val="auto"/>
          <w:kern w:val="2"/>
          <w:sz w:val="22"/>
          <w:szCs w:val="22"/>
          <w:lang w:eastAsia="en-US"/>
          <w14:ligatures w14:val="standardContextual"/>
        </w:rPr>
        <w:t>, 8(3), pp. 264-279.</w:t>
      </w:r>
    </w:p>
    <w:p w14:paraId="6D532F1D" w14:textId="7B65B66F" w:rsidR="00594729" w:rsidRDefault="00594729" w:rsidP="00594729">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594729">
        <w:rPr>
          <w:rFonts w:asciiTheme="minorHAnsi" w:eastAsiaTheme="minorHAnsi" w:hAnsiTheme="minorHAnsi" w:cstheme="minorBidi"/>
          <w:color w:val="auto"/>
          <w:kern w:val="2"/>
          <w:sz w:val="22"/>
          <w:szCs w:val="22"/>
          <w:lang w:eastAsia="en-US"/>
          <w14:ligatures w14:val="standardContextual"/>
        </w:rPr>
        <w:t xml:space="preserve">Silenzio et al. (2007) ‘Sexual orientation and risk factors for suicidal ideation and suicide attempts among adolescents and young adults’, </w:t>
      </w:r>
      <w:r w:rsidRPr="00594729">
        <w:rPr>
          <w:rFonts w:asciiTheme="minorHAnsi" w:eastAsiaTheme="minorHAnsi" w:hAnsiTheme="minorHAnsi" w:cstheme="minorBidi"/>
          <w:i/>
          <w:color w:val="auto"/>
          <w:kern w:val="2"/>
          <w:sz w:val="22"/>
          <w:szCs w:val="22"/>
          <w:lang w:eastAsia="en-US"/>
          <w14:ligatures w14:val="standardContextual"/>
        </w:rPr>
        <w:t xml:space="preserve">American Journal of Public Health, </w:t>
      </w:r>
      <w:r w:rsidRPr="00594729">
        <w:rPr>
          <w:rFonts w:asciiTheme="minorHAnsi" w:eastAsiaTheme="minorHAnsi" w:hAnsiTheme="minorHAnsi" w:cstheme="minorBidi"/>
          <w:color w:val="auto"/>
          <w:kern w:val="2"/>
          <w:sz w:val="22"/>
          <w:szCs w:val="22"/>
          <w:lang w:eastAsia="en-US"/>
          <w14:ligatures w14:val="standardContextual"/>
        </w:rPr>
        <w:t xml:space="preserve">97(11), pp.2017-2019. </w:t>
      </w:r>
    </w:p>
    <w:p w14:paraId="0C40AE4F" w14:textId="474DAD3D" w:rsidR="006F6B26" w:rsidRDefault="006F6B26" w:rsidP="00594729">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6F6B26">
        <w:rPr>
          <w:rFonts w:asciiTheme="minorHAnsi" w:eastAsiaTheme="minorHAnsi" w:hAnsiTheme="minorHAnsi" w:cstheme="minorBidi"/>
          <w:color w:val="auto"/>
          <w:kern w:val="2"/>
          <w:sz w:val="22"/>
          <w:szCs w:val="22"/>
          <w:lang w:eastAsia="en-US"/>
          <w14:ligatures w14:val="standardContextual"/>
        </w:rPr>
        <w:t xml:space="preserve">Stroshine, M., Alpert, G. and Dunham, R. (2008) ‘The Influence of “Working Rules” on Police Suspicion and Discretionary Decision Making’, </w:t>
      </w:r>
      <w:r w:rsidRPr="006F6B26">
        <w:rPr>
          <w:rFonts w:asciiTheme="minorHAnsi" w:eastAsiaTheme="minorHAnsi" w:hAnsiTheme="minorHAnsi" w:cstheme="minorBidi"/>
          <w:i/>
          <w:color w:val="auto"/>
          <w:kern w:val="2"/>
          <w:sz w:val="22"/>
          <w:szCs w:val="22"/>
          <w:lang w:eastAsia="en-US"/>
          <w14:ligatures w14:val="standardContextual"/>
        </w:rPr>
        <w:t xml:space="preserve">Police Quarterly, </w:t>
      </w:r>
      <w:r w:rsidRPr="006F6B26">
        <w:rPr>
          <w:rFonts w:asciiTheme="minorHAnsi" w:eastAsiaTheme="minorHAnsi" w:hAnsiTheme="minorHAnsi" w:cstheme="minorBidi"/>
          <w:color w:val="auto"/>
          <w:kern w:val="2"/>
          <w:sz w:val="22"/>
          <w:szCs w:val="22"/>
          <w:lang w:eastAsia="en-US"/>
          <w14:ligatures w14:val="standardContextual"/>
        </w:rPr>
        <w:t xml:space="preserve">11(3), pp. 315-337. </w:t>
      </w:r>
    </w:p>
    <w:p w14:paraId="628BA92A" w14:textId="37A14D43" w:rsidR="00583CE1" w:rsidRDefault="00583CE1"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583CE1">
        <w:rPr>
          <w:rFonts w:asciiTheme="minorHAnsi" w:eastAsiaTheme="minorHAnsi" w:hAnsiTheme="minorHAnsi" w:cstheme="minorBidi"/>
          <w:color w:val="auto"/>
          <w:kern w:val="2"/>
          <w:sz w:val="22"/>
          <w:szCs w:val="22"/>
          <w:lang w:eastAsia="en-US"/>
          <w14:ligatures w14:val="standardContextual"/>
        </w:rPr>
        <w:t xml:space="preserve">Todak, N. and White, M.D. (2019) ‘Expert officer perceptions of de-escalation in policing’, </w:t>
      </w:r>
      <w:r w:rsidRPr="00583CE1">
        <w:rPr>
          <w:rFonts w:asciiTheme="minorHAnsi" w:eastAsiaTheme="minorHAnsi" w:hAnsiTheme="minorHAnsi" w:cstheme="minorBidi"/>
          <w:i/>
          <w:iCs/>
          <w:color w:val="auto"/>
          <w:kern w:val="2"/>
          <w:sz w:val="22"/>
          <w:szCs w:val="22"/>
          <w:lang w:eastAsia="en-US"/>
          <w14:ligatures w14:val="standardContextual"/>
        </w:rPr>
        <w:t xml:space="preserve">Policing: An international Journal, </w:t>
      </w:r>
      <w:r w:rsidRPr="00583CE1">
        <w:rPr>
          <w:rFonts w:asciiTheme="minorHAnsi" w:eastAsiaTheme="minorHAnsi" w:hAnsiTheme="minorHAnsi" w:cstheme="minorBidi"/>
          <w:color w:val="auto"/>
          <w:kern w:val="2"/>
          <w:sz w:val="22"/>
          <w:szCs w:val="22"/>
          <w:lang w:eastAsia="en-US"/>
          <w14:ligatures w14:val="standardContextual"/>
        </w:rPr>
        <w:t xml:space="preserve">42(5), pp. 832-846. </w:t>
      </w:r>
    </w:p>
    <w:p w14:paraId="747933D0" w14:textId="6474F693" w:rsidR="00854025" w:rsidRDefault="00854025"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854025">
        <w:rPr>
          <w:rFonts w:asciiTheme="minorHAnsi" w:eastAsiaTheme="minorHAnsi" w:hAnsiTheme="minorHAnsi" w:cstheme="minorBidi"/>
          <w:color w:val="auto"/>
          <w:kern w:val="2"/>
          <w:sz w:val="22"/>
          <w:szCs w:val="22"/>
          <w:lang w:eastAsia="en-US"/>
          <w14:ligatures w14:val="standardContextual"/>
        </w:rPr>
        <w:t xml:space="preserve">Trevillion et al. (2012) ‘Experiences of Domestic Violence and Mental Disorder: A Systematic Review and Meta-Analysis’, </w:t>
      </w:r>
      <w:r w:rsidRPr="00854025">
        <w:rPr>
          <w:rFonts w:asciiTheme="minorHAnsi" w:eastAsiaTheme="minorHAnsi" w:hAnsiTheme="minorHAnsi" w:cstheme="minorBidi"/>
          <w:i/>
          <w:iCs/>
          <w:color w:val="auto"/>
          <w:kern w:val="2"/>
          <w:sz w:val="22"/>
          <w:szCs w:val="22"/>
          <w:lang w:eastAsia="en-US"/>
          <w14:ligatures w14:val="standardContextual"/>
        </w:rPr>
        <w:t xml:space="preserve">Plos one, </w:t>
      </w:r>
      <w:r w:rsidRPr="00854025">
        <w:rPr>
          <w:rFonts w:asciiTheme="minorHAnsi" w:eastAsiaTheme="minorHAnsi" w:hAnsiTheme="minorHAnsi" w:cstheme="minorBidi"/>
          <w:color w:val="auto"/>
          <w:kern w:val="2"/>
          <w:sz w:val="22"/>
          <w:szCs w:val="22"/>
          <w:lang w:eastAsia="en-US"/>
          <w14:ligatures w14:val="standardContextual"/>
        </w:rPr>
        <w:t xml:space="preserve">7(12), pp. 1-12. </w:t>
      </w:r>
    </w:p>
    <w:p w14:paraId="3F977E07" w14:textId="4497460B" w:rsidR="00D75D8E" w:rsidRPr="00DA7834" w:rsidRDefault="00D75D8E"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75D8E">
        <w:rPr>
          <w:rFonts w:asciiTheme="minorHAnsi" w:eastAsiaTheme="minorHAnsi" w:hAnsiTheme="minorHAnsi" w:cstheme="minorBidi"/>
          <w:color w:val="auto"/>
          <w:kern w:val="2"/>
          <w:sz w:val="22"/>
          <w:szCs w:val="22"/>
          <w:lang w:eastAsia="en-US"/>
          <w14:ligatures w14:val="standardContextual"/>
        </w:rPr>
        <w:t xml:space="preserve">Victim Support (2018) </w:t>
      </w:r>
      <w:r w:rsidRPr="00D75D8E">
        <w:rPr>
          <w:rFonts w:asciiTheme="minorHAnsi" w:eastAsiaTheme="minorHAnsi" w:hAnsiTheme="minorHAnsi" w:cstheme="minorBidi"/>
          <w:i/>
          <w:iCs/>
          <w:color w:val="auto"/>
          <w:kern w:val="2"/>
          <w:sz w:val="22"/>
          <w:szCs w:val="22"/>
          <w:lang w:eastAsia="en-US"/>
          <w14:ligatures w14:val="standardContextual"/>
        </w:rPr>
        <w:t xml:space="preserve">How victims and survivors of domestic abuse experience the criminal justice system. </w:t>
      </w:r>
      <w:r w:rsidRPr="00D75D8E">
        <w:rPr>
          <w:rFonts w:asciiTheme="minorHAnsi" w:eastAsiaTheme="minorHAnsi" w:hAnsiTheme="minorHAnsi" w:cstheme="minorBidi"/>
          <w:color w:val="auto"/>
          <w:kern w:val="2"/>
          <w:sz w:val="22"/>
          <w:szCs w:val="22"/>
          <w:lang w:eastAsia="en-US"/>
          <w14:ligatures w14:val="standardContextual"/>
        </w:rPr>
        <w:t xml:space="preserve">Available at: </w:t>
      </w:r>
      <w:hyperlink r:id="rId38" w:history="1">
        <w:r w:rsidRPr="00D75D8E">
          <w:rPr>
            <w:rStyle w:val="Hyperlink"/>
            <w:rFonts w:asciiTheme="minorHAnsi" w:eastAsiaTheme="minorHAnsi" w:hAnsiTheme="minorHAnsi" w:cstheme="minorBidi"/>
            <w:kern w:val="2"/>
            <w:sz w:val="22"/>
            <w:szCs w:val="22"/>
            <w:lang w:eastAsia="en-US"/>
            <w14:ligatures w14:val="standardContextual"/>
          </w:rPr>
          <w:t>How victims and survivors of DA experience the criminal justice system.pdf (victimsupport.org.uk)</w:t>
        </w:r>
      </w:hyperlink>
      <w:r w:rsidRPr="00D75D8E">
        <w:rPr>
          <w:rFonts w:asciiTheme="minorHAnsi" w:eastAsiaTheme="minorHAnsi" w:hAnsiTheme="minorHAnsi" w:cstheme="minorBidi"/>
          <w:color w:val="auto"/>
          <w:kern w:val="2"/>
          <w:sz w:val="22"/>
          <w:szCs w:val="22"/>
          <w:lang w:eastAsia="en-US"/>
          <w14:ligatures w14:val="standardContextual"/>
        </w:rPr>
        <w:t xml:space="preserve"> (Accessed: 29 May 2024). </w:t>
      </w:r>
    </w:p>
    <w:p w14:paraId="4A64137C" w14:textId="77777777" w:rsidR="00DA7834" w:rsidRP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Vries et al. (2017) ‘Healing with books: A literature review of bibliotherapy used with children and youths who have experienced trauma’, </w:t>
      </w:r>
      <w:r w:rsidRPr="00DA7834">
        <w:rPr>
          <w:rFonts w:asciiTheme="minorHAnsi" w:eastAsiaTheme="minorHAnsi" w:hAnsiTheme="minorHAnsi" w:cstheme="minorBidi"/>
          <w:i/>
          <w:iCs/>
          <w:color w:val="auto"/>
          <w:kern w:val="2"/>
          <w:sz w:val="22"/>
          <w:szCs w:val="22"/>
          <w:lang w:eastAsia="en-US"/>
          <w14:ligatures w14:val="standardContextual"/>
        </w:rPr>
        <w:t xml:space="preserve">Therapeutic Recreation Journal, </w:t>
      </w:r>
      <w:r w:rsidRPr="00DA7834">
        <w:rPr>
          <w:rFonts w:asciiTheme="minorHAnsi" w:eastAsiaTheme="minorHAnsi" w:hAnsiTheme="minorHAnsi" w:cstheme="minorBidi"/>
          <w:color w:val="auto"/>
          <w:kern w:val="2"/>
          <w:sz w:val="22"/>
          <w:szCs w:val="22"/>
          <w:lang w:eastAsia="en-US"/>
          <w14:ligatures w14:val="standardContextual"/>
        </w:rPr>
        <w:t>51(1), pp. 48-74.</w:t>
      </w:r>
    </w:p>
    <w:p w14:paraId="7C4C6A43" w14:textId="77777777" w:rsidR="00DA7834" w:rsidRDefault="00DA7834"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DA7834">
        <w:rPr>
          <w:rFonts w:asciiTheme="minorHAnsi" w:eastAsiaTheme="minorHAnsi" w:hAnsiTheme="minorHAnsi" w:cstheme="minorBidi"/>
          <w:color w:val="auto"/>
          <w:kern w:val="2"/>
          <w:sz w:val="22"/>
          <w:szCs w:val="22"/>
          <w:lang w:eastAsia="en-US"/>
          <w14:ligatures w14:val="standardContextual"/>
        </w:rPr>
        <w:t xml:space="preserve">Watson, E.M. (2016) ‘The importance of leisure reading to health sciences students: results of a survey’, </w:t>
      </w:r>
      <w:r w:rsidRPr="00DA7834">
        <w:rPr>
          <w:rFonts w:asciiTheme="minorHAnsi" w:eastAsiaTheme="minorHAnsi" w:hAnsiTheme="minorHAnsi" w:cstheme="minorBidi"/>
          <w:i/>
          <w:iCs/>
          <w:color w:val="auto"/>
          <w:kern w:val="2"/>
          <w:sz w:val="22"/>
          <w:szCs w:val="22"/>
          <w:lang w:eastAsia="en-US"/>
          <w14:ligatures w14:val="standardContextual"/>
        </w:rPr>
        <w:t>Health Information &amp; Libraries Journal</w:t>
      </w:r>
      <w:r w:rsidRPr="00DA7834">
        <w:rPr>
          <w:rFonts w:asciiTheme="minorHAnsi" w:eastAsiaTheme="minorHAnsi" w:hAnsiTheme="minorHAnsi" w:cstheme="minorBidi"/>
          <w:color w:val="auto"/>
          <w:kern w:val="2"/>
          <w:sz w:val="22"/>
          <w:szCs w:val="22"/>
          <w:lang w:eastAsia="en-US"/>
          <w14:ligatures w14:val="standardContextual"/>
        </w:rPr>
        <w:t>, 33(1), pp.33-48.</w:t>
      </w:r>
    </w:p>
    <w:p w14:paraId="7F91D124" w14:textId="77777777" w:rsidR="00A54AE6" w:rsidRPr="00A54AE6" w:rsidRDefault="00A54AE6" w:rsidP="00A54AE6">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A54AE6">
        <w:rPr>
          <w:rFonts w:asciiTheme="minorHAnsi" w:eastAsiaTheme="minorHAnsi" w:hAnsiTheme="minorHAnsi" w:cstheme="minorBidi"/>
          <w:iCs/>
          <w:color w:val="auto"/>
          <w:kern w:val="2"/>
          <w:sz w:val="22"/>
          <w:szCs w:val="22"/>
          <w:lang w:eastAsia="en-US"/>
          <w14:ligatures w14:val="standardContextual"/>
        </w:rPr>
        <w:t xml:space="preserve">Women’s Aid (2023) </w:t>
      </w:r>
      <w:r w:rsidRPr="00A54AE6">
        <w:rPr>
          <w:rFonts w:asciiTheme="minorHAnsi" w:eastAsiaTheme="minorHAnsi" w:hAnsiTheme="minorHAnsi" w:cstheme="minorBidi"/>
          <w:i/>
          <w:color w:val="auto"/>
          <w:kern w:val="2"/>
          <w:sz w:val="22"/>
          <w:szCs w:val="22"/>
          <w:lang w:eastAsia="en-US"/>
          <w14:ligatures w14:val="standardContextual"/>
        </w:rPr>
        <w:t xml:space="preserve">The Domestic Abuse Report 2023. The Annual Audit. </w:t>
      </w:r>
      <w:r w:rsidRPr="00A54AE6">
        <w:rPr>
          <w:rFonts w:asciiTheme="minorHAnsi" w:eastAsiaTheme="minorHAnsi" w:hAnsiTheme="minorHAnsi" w:cstheme="minorBidi"/>
          <w:iCs/>
          <w:color w:val="auto"/>
          <w:kern w:val="2"/>
          <w:sz w:val="22"/>
          <w:szCs w:val="22"/>
          <w:lang w:eastAsia="en-US"/>
          <w14:ligatures w14:val="standardContextual"/>
        </w:rPr>
        <w:t xml:space="preserve">Available at: </w:t>
      </w:r>
      <w:hyperlink r:id="rId39" w:history="1">
        <w:r w:rsidRPr="00A54AE6">
          <w:rPr>
            <w:rStyle w:val="Hyperlink"/>
            <w:rFonts w:asciiTheme="minorHAnsi" w:eastAsiaTheme="minorHAnsi" w:hAnsiTheme="minorHAnsi" w:cstheme="minorBidi"/>
            <w:kern w:val="2"/>
            <w:sz w:val="22"/>
            <w:szCs w:val="22"/>
            <w:lang w:eastAsia="en-US"/>
            <w14:ligatures w14:val="standardContextual"/>
          </w:rPr>
          <w:t>The-Domestic-Abuse-Report-2023-The-Annual-Audit-FINAL.pdf (womensaid.org.uk)</w:t>
        </w:r>
      </w:hyperlink>
      <w:r w:rsidRPr="00A54AE6">
        <w:rPr>
          <w:rFonts w:asciiTheme="minorHAnsi" w:eastAsiaTheme="minorHAnsi" w:hAnsiTheme="minorHAnsi" w:cstheme="minorBidi"/>
          <w:color w:val="auto"/>
          <w:kern w:val="2"/>
          <w:sz w:val="22"/>
          <w:szCs w:val="22"/>
          <w:lang w:eastAsia="en-US"/>
          <w14:ligatures w14:val="standardContextual"/>
        </w:rPr>
        <w:t xml:space="preserve"> (Accessed: 29 May 2024). </w:t>
      </w:r>
    </w:p>
    <w:p w14:paraId="2390A835" w14:textId="77777777" w:rsidR="00A54AE6" w:rsidRPr="00DA7834" w:rsidRDefault="00A54AE6" w:rsidP="00DA7834">
      <w:pPr>
        <w:tabs>
          <w:tab w:val="left" w:pos="1572"/>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72D4A2E" w14:textId="77777777" w:rsidR="0080442F" w:rsidRPr="00270EEB" w:rsidRDefault="0080442F" w:rsidP="00E6298B">
      <w:pPr>
        <w:ind w:right="107"/>
        <w:jc w:val="both"/>
        <w:rPr>
          <w:b/>
          <w:sz w:val="24"/>
          <w:szCs w:val="24"/>
        </w:rPr>
      </w:pPr>
    </w:p>
    <w:p w14:paraId="250CF227" w14:textId="1403CD18" w:rsidR="006D4550" w:rsidRDefault="006D4550" w:rsidP="00E6298B">
      <w:pPr>
        <w:overflowPunct/>
        <w:autoSpaceDE/>
        <w:autoSpaceDN/>
        <w:adjustRightInd/>
        <w:ind w:right="107"/>
        <w:textAlignment w:val="auto"/>
        <w:rPr>
          <w:b/>
          <w:sz w:val="24"/>
          <w:szCs w:val="24"/>
        </w:rPr>
      </w:pPr>
    </w:p>
    <w:p w14:paraId="55ED0632" w14:textId="77777777" w:rsidR="0080442F" w:rsidRDefault="0080442F" w:rsidP="00E6298B">
      <w:pPr>
        <w:overflowPunct/>
        <w:autoSpaceDE/>
        <w:autoSpaceDN/>
        <w:adjustRightInd/>
        <w:ind w:right="107"/>
        <w:textAlignment w:val="auto"/>
        <w:rPr>
          <w:b/>
          <w:sz w:val="24"/>
          <w:szCs w:val="24"/>
        </w:rPr>
      </w:pPr>
    </w:p>
    <w:p w14:paraId="6439AF58" w14:textId="77777777" w:rsidR="0080442F" w:rsidRDefault="0080442F" w:rsidP="00E6298B">
      <w:pPr>
        <w:overflowPunct/>
        <w:autoSpaceDE/>
        <w:autoSpaceDN/>
        <w:adjustRightInd/>
        <w:ind w:right="107"/>
        <w:textAlignment w:val="auto"/>
        <w:rPr>
          <w:b/>
          <w:sz w:val="24"/>
          <w:szCs w:val="24"/>
        </w:rPr>
      </w:pPr>
    </w:p>
    <w:p w14:paraId="2D9C1E7C" w14:textId="77777777" w:rsidR="0080442F" w:rsidRDefault="0080442F" w:rsidP="00E6298B">
      <w:pPr>
        <w:overflowPunct/>
        <w:autoSpaceDE/>
        <w:autoSpaceDN/>
        <w:adjustRightInd/>
        <w:ind w:right="107"/>
        <w:textAlignment w:val="auto"/>
        <w:rPr>
          <w:b/>
          <w:sz w:val="24"/>
          <w:szCs w:val="24"/>
        </w:rPr>
      </w:pPr>
    </w:p>
    <w:p w14:paraId="13D837F1" w14:textId="77777777" w:rsidR="0080442F" w:rsidRDefault="0080442F" w:rsidP="00E6298B">
      <w:pPr>
        <w:overflowPunct/>
        <w:autoSpaceDE/>
        <w:autoSpaceDN/>
        <w:adjustRightInd/>
        <w:ind w:right="107"/>
        <w:textAlignment w:val="auto"/>
        <w:rPr>
          <w:b/>
          <w:sz w:val="24"/>
          <w:szCs w:val="24"/>
        </w:rPr>
      </w:pPr>
    </w:p>
    <w:p w14:paraId="7A1C8F7A" w14:textId="77777777" w:rsidR="0080442F" w:rsidRDefault="0080442F" w:rsidP="00E6298B">
      <w:pPr>
        <w:overflowPunct/>
        <w:autoSpaceDE/>
        <w:autoSpaceDN/>
        <w:adjustRightInd/>
        <w:ind w:right="107"/>
        <w:textAlignment w:val="auto"/>
        <w:rPr>
          <w:b/>
          <w:sz w:val="24"/>
          <w:szCs w:val="24"/>
        </w:rPr>
      </w:pPr>
    </w:p>
    <w:p w14:paraId="4197B091" w14:textId="77777777" w:rsidR="0080442F" w:rsidRDefault="0080442F" w:rsidP="00E6298B">
      <w:pPr>
        <w:overflowPunct/>
        <w:autoSpaceDE/>
        <w:autoSpaceDN/>
        <w:adjustRightInd/>
        <w:ind w:right="107"/>
        <w:textAlignment w:val="auto"/>
        <w:rPr>
          <w:b/>
          <w:sz w:val="24"/>
          <w:szCs w:val="24"/>
        </w:rPr>
      </w:pPr>
    </w:p>
    <w:p w14:paraId="65C5ACB8" w14:textId="77777777" w:rsidR="0080442F" w:rsidRDefault="0080442F" w:rsidP="00E6298B">
      <w:pPr>
        <w:overflowPunct/>
        <w:autoSpaceDE/>
        <w:autoSpaceDN/>
        <w:adjustRightInd/>
        <w:ind w:right="107"/>
        <w:textAlignment w:val="auto"/>
        <w:rPr>
          <w:b/>
          <w:sz w:val="24"/>
          <w:szCs w:val="24"/>
        </w:rPr>
      </w:pPr>
    </w:p>
    <w:p w14:paraId="0C199BDD" w14:textId="77777777" w:rsidR="0080442F" w:rsidRDefault="0080442F"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4AE4ED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BA73CC">
        <w:rPr>
          <w:rFonts w:eastAsia="Arial"/>
          <w:color w:val="000000" w:themeColor="text1"/>
          <w:sz w:val="24"/>
          <w:szCs w:val="24"/>
          <w:highlight w:val="yellow"/>
        </w:rPr>
        <w:t>CJONES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7867E0A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BA73CC">
        <w:rPr>
          <w:rFonts w:eastAsia="Arial"/>
          <w:color w:val="000000" w:themeColor="text1"/>
          <w:sz w:val="24"/>
          <w:szCs w:val="24"/>
          <w:highlight w:val="yellow"/>
        </w:rPr>
        <w:t>10/06/2024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CF67B" w14:textId="77777777" w:rsidR="00E23A5E" w:rsidRDefault="00E23A5E">
      <w:r>
        <w:separator/>
      </w:r>
    </w:p>
  </w:endnote>
  <w:endnote w:type="continuationSeparator" w:id="0">
    <w:p w14:paraId="2A6A41FE" w14:textId="77777777" w:rsidR="00E23A5E" w:rsidRDefault="00E23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inion-Regular">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FC6B" w14:textId="77777777" w:rsidR="00E23A5E" w:rsidRDefault="00E23A5E">
      <w:r>
        <w:separator/>
      </w:r>
    </w:p>
  </w:footnote>
  <w:footnote w:type="continuationSeparator" w:id="0">
    <w:p w14:paraId="76357894" w14:textId="77777777" w:rsidR="00E23A5E" w:rsidRDefault="00E23A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2B308A0"/>
    <w:multiLevelType w:val="hybridMultilevel"/>
    <w:tmpl w:val="2A2077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69301E16"/>
    <w:multiLevelType w:val="hybridMultilevel"/>
    <w:tmpl w:val="DBC0F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
  </w:num>
  <w:num w:numId="2" w16cid:durableId="1733890733">
    <w:abstractNumId w:val="2"/>
  </w:num>
  <w:num w:numId="3" w16cid:durableId="496265599">
    <w:abstractNumId w:val="0"/>
  </w:num>
  <w:num w:numId="4" w16cid:durableId="260382644">
    <w:abstractNumId w:val="5"/>
  </w:num>
  <w:num w:numId="5" w16cid:durableId="206718278">
    <w:abstractNumId w:val="1"/>
  </w:num>
  <w:num w:numId="6" w16cid:durableId="175112393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80"/>
    <w:rsid w:val="00003990"/>
    <w:rsid w:val="000045B8"/>
    <w:rsid w:val="00020EEC"/>
    <w:rsid w:val="00025650"/>
    <w:rsid w:val="0002682E"/>
    <w:rsid w:val="00027B1F"/>
    <w:rsid w:val="0003088B"/>
    <w:rsid w:val="000325D9"/>
    <w:rsid w:val="000372B2"/>
    <w:rsid w:val="0004079F"/>
    <w:rsid w:val="00045B87"/>
    <w:rsid w:val="00045C07"/>
    <w:rsid w:val="00054483"/>
    <w:rsid w:val="0005583B"/>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2624"/>
    <w:rsid w:val="000D5C5F"/>
    <w:rsid w:val="000E1CD4"/>
    <w:rsid w:val="000E26B0"/>
    <w:rsid w:val="000F1599"/>
    <w:rsid w:val="000F1769"/>
    <w:rsid w:val="000F43CE"/>
    <w:rsid w:val="000F6196"/>
    <w:rsid w:val="000F7ECD"/>
    <w:rsid w:val="00102E64"/>
    <w:rsid w:val="0010312C"/>
    <w:rsid w:val="00106DC7"/>
    <w:rsid w:val="00112391"/>
    <w:rsid w:val="00112751"/>
    <w:rsid w:val="00114F52"/>
    <w:rsid w:val="0012379E"/>
    <w:rsid w:val="001347F8"/>
    <w:rsid w:val="00137BB5"/>
    <w:rsid w:val="00137E05"/>
    <w:rsid w:val="001447F6"/>
    <w:rsid w:val="00147DE3"/>
    <w:rsid w:val="00150794"/>
    <w:rsid w:val="001608C4"/>
    <w:rsid w:val="00170590"/>
    <w:rsid w:val="00171418"/>
    <w:rsid w:val="001961CF"/>
    <w:rsid w:val="001A51FA"/>
    <w:rsid w:val="001A59BB"/>
    <w:rsid w:val="001A6A51"/>
    <w:rsid w:val="001A79C4"/>
    <w:rsid w:val="001B331A"/>
    <w:rsid w:val="001B42B9"/>
    <w:rsid w:val="001C0C77"/>
    <w:rsid w:val="001C0E74"/>
    <w:rsid w:val="001D229F"/>
    <w:rsid w:val="001E4BD9"/>
    <w:rsid w:val="001F1A01"/>
    <w:rsid w:val="001F3B86"/>
    <w:rsid w:val="001F4552"/>
    <w:rsid w:val="002019EB"/>
    <w:rsid w:val="002030F2"/>
    <w:rsid w:val="00205051"/>
    <w:rsid w:val="00206319"/>
    <w:rsid w:val="00211F65"/>
    <w:rsid w:val="00220D06"/>
    <w:rsid w:val="002246A0"/>
    <w:rsid w:val="00224A82"/>
    <w:rsid w:val="00224AF9"/>
    <w:rsid w:val="00230439"/>
    <w:rsid w:val="002333C2"/>
    <w:rsid w:val="002345E3"/>
    <w:rsid w:val="00235176"/>
    <w:rsid w:val="00236061"/>
    <w:rsid w:val="0024100E"/>
    <w:rsid w:val="00241C1B"/>
    <w:rsid w:val="0024288B"/>
    <w:rsid w:val="00250C43"/>
    <w:rsid w:val="0025394E"/>
    <w:rsid w:val="00255D8E"/>
    <w:rsid w:val="002657E9"/>
    <w:rsid w:val="0026665E"/>
    <w:rsid w:val="00270EEB"/>
    <w:rsid w:val="0027147E"/>
    <w:rsid w:val="002761F4"/>
    <w:rsid w:val="002775E1"/>
    <w:rsid w:val="00277844"/>
    <w:rsid w:val="00277979"/>
    <w:rsid w:val="002808EB"/>
    <w:rsid w:val="00291ADD"/>
    <w:rsid w:val="00293009"/>
    <w:rsid w:val="00294868"/>
    <w:rsid w:val="00295CA1"/>
    <w:rsid w:val="002964AC"/>
    <w:rsid w:val="002A291A"/>
    <w:rsid w:val="002A5604"/>
    <w:rsid w:val="002B1701"/>
    <w:rsid w:val="002B23C3"/>
    <w:rsid w:val="002B443A"/>
    <w:rsid w:val="002B5B35"/>
    <w:rsid w:val="002C256A"/>
    <w:rsid w:val="002C496D"/>
    <w:rsid w:val="002C5114"/>
    <w:rsid w:val="002D05EB"/>
    <w:rsid w:val="002D19A5"/>
    <w:rsid w:val="002D2F29"/>
    <w:rsid w:val="002E7017"/>
    <w:rsid w:val="002F4F6E"/>
    <w:rsid w:val="003015C3"/>
    <w:rsid w:val="0030C684"/>
    <w:rsid w:val="0031350A"/>
    <w:rsid w:val="00316815"/>
    <w:rsid w:val="003168CA"/>
    <w:rsid w:val="00321255"/>
    <w:rsid w:val="0032230D"/>
    <w:rsid w:val="00322A0B"/>
    <w:rsid w:val="00334AFF"/>
    <w:rsid w:val="00335FC5"/>
    <w:rsid w:val="00346DAA"/>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048E"/>
    <w:rsid w:val="003F1A37"/>
    <w:rsid w:val="004046F0"/>
    <w:rsid w:val="0040668F"/>
    <w:rsid w:val="00412677"/>
    <w:rsid w:val="00413251"/>
    <w:rsid w:val="004348AE"/>
    <w:rsid w:val="004376C0"/>
    <w:rsid w:val="0044223A"/>
    <w:rsid w:val="00442EAD"/>
    <w:rsid w:val="00450C83"/>
    <w:rsid w:val="00451851"/>
    <w:rsid w:val="00453343"/>
    <w:rsid w:val="004608B9"/>
    <w:rsid w:val="00465947"/>
    <w:rsid w:val="00470BB1"/>
    <w:rsid w:val="004718F7"/>
    <w:rsid w:val="00473153"/>
    <w:rsid w:val="004743AF"/>
    <w:rsid w:val="00482C17"/>
    <w:rsid w:val="00484BD3"/>
    <w:rsid w:val="0048669E"/>
    <w:rsid w:val="004911B4"/>
    <w:rsid w:val="0049196A"/>
    <w:rsid w:val="004923DA"/>
    <w:rsid w:val="00493434"/>
    <w:rsid w:val="004962F9"/>
    <w:rsid w:val="004968E2"/>
    <w:rsid w:val="004A2A49"/>
    <w:rsid w:val="004B187C"/>
    <w:rsid w:val="004B4C15"/>
    <w:rsid w:val="004B600B"/>
    <w:rsid w:val="004B6822"/>
    <w:rsid w:val="004B69F6"/>
    <w:rsid w:val="004C196C"/>
    <w:rsid w:val="004C2D3A"/>
    <w:rsid w:val="004D03C4"/>
    <w:rsid w:val="004D0BF1"/>
    <w:rsid w:val="004D24D2"/>
    <w:rsid w:val="004D35A4"/>
    <w:rsid w:val="004D445F"/>
    <w:rsid w:val="004E087B"/>
    <w:rsid w:val="004E44A4"/>
    <w:rsid w:val="004E7B8B"/>
    <w:rsid w:val="004E7BDD"/>
    <w:rsid w:val="004F07C5"/>
    <w:rsid w:val="004F1E21"/>
    <w:rsid w:val="004F740D"/>
    <w:rsid w:val="004F7B8F"/>
    <w:rsid w:val="00500748"/>
    <w:rsid w:val="005011D6"/>
    <w:rsid w:val="0050167A"/>
    <w:rsid w:val="005042F1"/>
    <w:rsid w:val="00504B92"/>
    <w:rsid w:val="00513C7D"/>
    <w:rsid w:val="00521123"/>
    <w:rsid w:val="00521221"/>
    <w:rsid w:val="0052653C"/>
    <w:rsid w:val="0053515E"/>
    <w:rsid w:val="00536FA9"/>
    <w:rsid w:val="005414F4"/>
    <w:rsid w:val="005417AF"/>
    <w:rsid w:val="00546187"/>
    <w:rsid w:val="005463F1"/>
    <w:rsid w:val="00557D77"/>
    <w:rsid w:val="00560DC4"/>
    <w:rsid w:val="00562EAA"/>
    <w:rsid w:val="00563B58"/>
    <w:rsid w:val="005640C4"/>
    <w:rsid w:val="0056684C"/>
    <w:rsid w:val="00574A0C"/>
    <w:rsid w:val="00575A8F"/>
    <w:rsid w:val="00576E4C"/>
    <w:rsid w:val="0057780F"/>
    <w:rsid w:val="00581E0A"/>
    <w:rsid w:val="00583CE1"/>
    <w:rsid w:val="00586D89"/>
    <w:rsid w:val="005916B8"/>
    <w:rsid w:val="00594729"/>
    <w:rsid w:val="005A1B4C"/>
    <w:rsid w:val="005A43B9"/>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4C02"/>
    <w:rsid w:val="0064176F"/>
    <w:rsid w:val="006447DE"/>
    <w:rsid w:val="0065276E"/>
    <w:rsid w:val="00654329"/>
    <w:rsid w:val="00654CEC"/>
    <w:rsid w:val="006553E4"/>
    <w:rsid w:val="00655507"/>
    <w:rsid w:val="006712A7"/>
    <w:rsid w:val="00674FC2"/>
    <w:rsid w:val="00677E42"/>
    <w:rsid w:val="00682334"/>
    <w:rsid w:val="00684B16"/>
    <w:rsid w:val="006936EB"/>
    <w:rsid w:val="00696F65"/>
    <w:rsid w:val="006A48FF"/>
    <w:rsid w:val="006A7A6D"/>
    <w:rsid w:val="006B5E67"/>
    <w:rsid w:val="006B718C"/>
    <w:rsid w:val="006C2EB5"/>
    <w:rsid w:val="006C56B2"/>
    <w:rsid w:val="006C7CA5"/>
    <w:rsid w:val="006D18A3"/>
    <w:rsid w:val="006D4550"/>
    <w:rsid w:val="006D5970"/>
    <w:rsid w:val="006E481E"/>
    <w:rsid w:val="006E62C3"/>
    <w:rsid w:val="006E795F"/>
    <w:rsid w:val="006F6B26"/>
    <w:rsid w:val="006F7A0C"/>
    <w:rsid w:val="00700249"/>
    <w:rsid w:val="0070604C"/>
    <w:rsid w:val="007069CD"/>
    <w:rsid w:val="00711A70"/>
    <w:rsid w:val="00712E6F"/>
    <w:rsid w:val="00712E90"/>
    <w:rsid w:val="00713B7E"/>
    <w:rsid w:val="007204AE"/>
    <w:rsid w:val="0072678F"/>
    <w:rsid w:val="00727C4C"/>
    <w:rsid w:val="00732FB9"/>
    <w:rsid w:val="0073349C"/>
    <w:rsid w:val="00734809"/>
    <w:rsid w:val="00734E90"/>
    <w:rsid w:val="007406E1"/>
    <w:rsid w:val="00743E40"/>
    <w:rsid w:val="00745FDB"/>
    <w:rsid w:val="00751263"/>
    <w:rsid w:val="0075704F"/>
    <w:rsid w:val="00763B2D"/>
    <w:rsid w:val="00771AFF"/>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63E7"/>
    <w:rsid w:val="007F371B"/>
    <w:rsid w:val="007F3F7E"/>
    <w:rsid w:val="007F5497"/>
    <w:rsid w:val="0080442F"/>
    <w:rsid w:val="00813CEC"/>
    <w:rsid w:val="0081534C"/>
    <w:rsid w:val="008171E4"/>
    <w:rsid w:val="008171E6"/>
    <w:rsid w:val="008208EA"/>
    <w:rsid w:val="00821D07"/>
    <w:rsid w:val="00824E67"/>
    <w:rsid w:val="00825A64"/>
    <w:rsid w:val="00826F48"/>
    <w:rsid w:val="008308AE"/>
    <w:rsid w:val="0083163F"/>
    <w:rsid w:val="0083166E"/>
    <w:rsid w:val="00831DC3"/>
    <w:rsid w:val="008322C7"/>
    <w:rsid w:val="00834F1D"/>
    <w:rsid w:val="00836FEC"/>
    <w:rsid w:val="00841F9D"/>
    <w:rsid w:val="008420E1"/>
    <w:rsid w:val="00843D58"/>
    <w:rsid w:val="00844D98"/>
    <w:rsid w:val="00846D84"/>
    <w:rsid w:val="00850FB1"/>
    <w:rsid w:val="0085230E"/>
    <w:rsid w:val="00854025"/>
    <w:rsid w:val="008550A1"/>
    <w:rsid w:val="00861038"/>
    <w:rsid w:val="00864BA8"/>
    <w:rsid w:val="00866B50"/>
    <w:rsid w:val="008708F1"/>
    <w:rsid w:val="00880539"/>
    <w:rsid w:val="008859E8"/>
    <w:rsid w:val="0088737B"/>
    <w:rsid w:val="00891AD0"/>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0996"/>
    <w:rsid w:val="008E13ED"/>
    <w:rsid w:val="008E5680"/>
    <w:rsid w:val="008F22BD"/>
    <w:rsid w:val="009079BD"/>
    <w:rsid w:val="00910B43"/>
    <w:rsid w:val="00912BD9"/>
    <w:rsid w:val="00920E5B"/>
    <w:rsid w:val="00926436"/>
    <w:rsid w:val="0093018C"/>
    <w:rsid w:val="00932AFF"/>
    <w:rsid w:val="009465FA"/>
    <w:rsid w:val="009544C0"/>
    <w:rsid w:val="00954FA4"/>
    <w:rsid w:val="00956AE9"/>
    <w:rsid w:val="00964CC6"/>
    <w:rsid w:val="00991FDA"/>
    <w:rsid w:val="009927A1"/>
    <w:rsid w:val="009A5F3B"/>
    <w:rsid w:val="009B0B61"/>
    <w:rsid w:val="009B28C0"/>
    <w:rsid w:val="009B32A9"/>
    <w:rsid w:val="009B7136"/>
    <w:rsid w:val="009B7806"/>
    <w:rsid w:val="009C3AC2"/>
    <w:rsid w:val="009C6C84"/>
    <w:rsid w:val="009D25B4"/>
    <w:rsid w:val="009D4365"/>
    <w:rsid w:val="009D4E3B"/>
    <w:rsid w:val="009D7BC9"/>
    <w:rsid w:val="009E1982"/>
    <w:rsid w:val="009E36D1"/>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AE6"/>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1E7A"/>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1CD0"/>
    <w:rsid w:val="00B558EB"/>
    <w:rsid w:val="00B577D3"/>
    <w:rsid w:val="00B60466"/>
    <w:rsid w:val="00B611B5"/>
    <w:rsid w:val="00B6548F"/>
    <w:rsid w:val="00B7502A"/>
    <w:rsid w:val="00B77305"/>
    <w:rsid w:val="00B8124D"/>
    <w:rsid w:val="00B82CC2"/>
    <w:rsid w:val="00B8403E"/>
    <w:rsid w:val="00B84A89"/>
    <w:rsid w:val="00B92BEF"/>
    <w:rsid w:val="00B9689A"/>
    <w:rsid w:val="00BA73CC"/>
    <w:rsid w:val="00BB06CB"/>
    <w:rsid w:val="00BB0EFE"/>
    <w:rsid w:val="00BB261F"/>
    <w:rsid w:val="00BB2887"/>
    <w:rsid w:val="00BB5EAA"/>
    <w:rsid w:val="00BB5F11"/>
    <w:rsid w:val="00BC0069"/>
    <w:rsid w:val="00BC04FA"/>
    <w:rsid w:val="00BC1C22"/>
    <w:rsid w:val="00BC460B"/>
    <w:rsid w:val="00BC5725"/>
    <w:rsid w:val="00BC6CCB"/>
    <w:rsid w:val="00BD30B1"/>
    <w:rsid w:val="00BD7C76"/>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1A70"/>
    <w:rsid w:val="00C63D00"/>
    <w:rsid w:val="00C6441B"/>
    <w:rsid w:val="00C64DD8"/>
    <w:rsid w:val="00C7067D"/>
    <w:rsid w:val="00C7108B"/>
    <w:rsid w:val="00C74602"/>
    <w:rsid w:val="00C8089F"/>
    <w:rsid w:val="00C836CC"/>
    <w:rsid w:val="00C87A74"/>
    <w:rsid w:val="00C92C71"/>
    <w:rsid w:val="00C93F8F"/>
    <w:rsid w:val="00CA0FBD"/>
    <w:rsid w:val="00CA28C7"/>
    <w:rsid w:val="00CA3593"/>
    <w:rsid w:val="00CB143A"/>
    <w:rsid w:val="00CB258E"/>
    <w:rsid w:val="00CB3C8F"/>
    <w:rsid w:val="00CC02F1"/>
    <w:rsid w:val="00CC11A6"/>
    <w:rsid w:val="00CC135E"/>
    <w:rsid w:val="00CC4414"/>
    <w:rsid w:val="00CD5D3F"/>
    <w:rsid w:val="00CD6DA5"/>
    <w:rsid w:val="00CF3DB3"/>
    <w:rsid w:val="00CF6481"/>
    <w:rsid w:val="00D052BC"/>
    <w:rsid w:val="00D07026"/>
    <w:rsid w:val="00D1119C"/>
    <w:rsid w:val="00D11888"/>
    <w:rsid w:val="00D22C8F"/>
    <w:rsid w:val="00D33491"/>
    <w:rsid w:val="00D41A93"/>
    <w:rsid w:val="00D41E31"/>
    <w:rsid w:val="00D44F8E"/>
    <w:rsid w:val="00D54FE6"/>
    <w:rsid w:val="00D607EF"/>
    <w:rsid w:val="00D60F88"/>
    <w:rsid w:val="00D625E7"/>
    <w:rsid w:val="00D646BD"/>
    <w:rsid w:val="00D7018A"/>
    <w:rsid w:val="00D71201"/>
    <w:rsid w:val="00D720C7"/>
    <w:rsid w:val="00D75D8E"/>
    <w:rsid w:val="00D876E6"/>
    <w:rsid w:val="00D939C9"/>
    <w:rsid w:val="00DA1025"/>
    <w:rsid w:val="00DA22EC"/>
    <w:rsid w:val="00DA5860"/>
    <w:rsid w:val="00DA7834"/>
    <w:rsid w:val="00DB2767"/>
    <w:rsid w:val="00DC4729"/>
    <w:rsid w:val="00DE24A7"/>
    <w:rsid w:val="00E17160"/>
    <w:rsid w:val="00E23A5E"/>
    <w:rsid w:val="00E343EB"/>
    <w:rsid w:val="00E35BEC"/>
    <w:rsid w:val="00E4165E"/>
    <w:rsid w:val="00E45BED"/>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0C62"/>
    <w:rsid w:val="00ED1B30"/>
    <w:rsid w:val="00ED250E"/>
    <w:rsid w:val="00ED6516"/>
    <w:rsid w:val="00EE1AC1"/>
    <w:rsid w:val="00EE39D6"/>
    <w:rsid w:val="00EE52AD"/>
    <w:rsid w:val="00F01F92"/>
    <w:rsid w:val="00F06BD6"/>
    <w:rsid w:val="00F10A08"/>
    <w:rsid w:val="00F22AC5"/>
    <w:rsid w:val="00F254D1"/>
    <w:rsid w:val="00F32B82"/>
    <w:rsid w:val="00F4043E"/>
    <w:rsid w:val="00F413CB"/>
    <w:rsid w:val="00F41BBC"/>
    <w:rsid w:val="00F43B9D"/>
    <w:rsid w:val="00F444F0"/>
    <w:rsid w:val="00F50033"/>
    <w:rsid w:val="00F50847"/>
    <w:rsid w:val="00F53F27"/>
    <w:rsid w:val="00F546D1"/>
    <w:rsid w:val="00F66272"/>
    <w:rsid w:val="00F709C0"/>
    <w:rsid w:val="00F72CFD"/>
    <w:rsid w:val="00F927A1"/>
    <w:rsid w:val="00F92C0B"/>
    <w:rsid w:val="00F92E4D"/>
    <w:rsid w:val="00F93392"/>
    <w:rsid w:val="00FA2BC2"/>
    <w:rsid w:val="00FA3764"/>
    <w:rsid w:val="00FA56ED"/>
    <w:rsid w:val="00FB4993"/>
    <w:rsid w:val="00FB5FA6"/>
    <w:rsid w:val="00FC1310"/>
    <w:rsid w:val="00FC2467"/>
    <w:rsid w:val="00FC2FF3"/>
    <w:rsid w:val="00FC3263"/>
    <w:rsid w:val="00FC51F9"/>
    <w:rsid w:val="00FC5B40"/>
    <w:rsid w:val="00FC5FF8"/>
    <w:rsid w:val="00FD2614"/>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71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prosecution-and-case-management/victim-and-witness-care" TargetMode="External"/><Relationship Id="rId39" Type="http://schemas.openxmlformats.org/officeDocument/2006/relationships/hyperlink" Target="https://www.womensaid.org.uk/wp-content/uploads/2023/01/The-Domestic-Abuse-Report-2023-The-Annual-Audit-FINAL.pdf" TargetMode="External"/><Relationship Id="rId3" Type="http://schemas.openxmlformats.org/officeDocument/2006/relationships/customXml" Target="../customXml/item3.xml"/><Relationship Id="rId21" Type="http://schemas.openxmlformats.org/officeDocument/2006/relationships/hyperlink" Target="https://www.bbc.co.uk/news/articles/c89vj4j1qg2o" TargetMode="External"/><Relationship Id="rId34" Type="http://schemas.openxmlformats.org/officeDocument/2006/relationships/hyperlink" Target="https://www.legislation.gov.uk/ukpga/1988/27/section/1" TargetMode="External"/><Relationship Id="rId42"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legal-guidance/offences-against-person-incorporating-charging-standard" TargetMode="External"/><Relationship Id="rId33" Type="http://schemas.openxmlformats.org/officeDocument/2006/relationships/hyperlink" Target="https://www.policeconduct.gov.uk/sites/default/files/documents/position_statement_on_risk_in_police_decision_making_2018.pdf" TargetMode="External"/><Relationship Id="rId38" Type="http://schemas.openxmlformats.org/officeDocument/2006/relationships/hyperlink" Target="https://www.victimsupport.org.uk/wp-content/uploads/documents/files/How%20victims%20and%20survivors%20of%20DA%20experience%20the%20criminal%20justice%20system.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publishing.service.gov.uk/media/5a7cb15a40f0b65b3de0a948/AG_Disclosure_Guidelines_-_December_2013.pdf" TargetMode="External"/><Relationship Id="rId29" Type="http://schemas.openxmlformats.org/officeDocument/2006/relationships/hyperlink" Target="https://www.gov.uk/government/news/new-definition-of-domestic-violen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crime-info/hate-crime" TargetMode="External"/><Relationship Id="rId32" Type="http://schemas.openxmlformats.org/officeDocument/2006/relationships/hyperlink" Target="https://www.gov.uk/government/statistics/police-officer-uplift-quarterly-update-to-march-2023/police-officer-uplift-england-and-wales-quarterly-update-to-31-march-2023" TargetMode="External"/><Relationship Id="rId37" Type="http://schemas.openxmlformats.org/officeDocument/2006/relationships/hyperlink" Target="https://www.ons.gov.uk/peoplepopulationandcommunity/crimeandjustice/bulletins/domesticabuseinenglandandwalesoverview/november2023"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principles" TargetMode="External"/><Relationship Id="rId28" Type="http://schemas.openxmlformats.org/officeDocument/2006/relationships/hyperlink" Target="https://www.equalityhumanrights.com/equality/equality-act-2010" TargetMode="External"/><Relationship Id="rId36" Type="http://schemas.openxmlformats.org/officeDocument/2006/relationships/hyperlink" Target="https://assets.publishing.service.gov.uk/government/uploads/system/uploads/attachment_data/file/931173/Criminal-procedure-and-investigations-act-1996.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statistics/hate-crime-england-and-wales-2022-to-2023/hate-crime-england-and-wales-2022-to-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 TargetMode="External"/><Relationship Id="rId27" Type="http://schemas.openxmlformats.org/officeDocument/2006/relationships/hyperlink" Target="https://www.gov.uk/government/publications/the-code-of-practice-for-victims-of-crime/code-of-practice-for-victims-of-crime-in-england-and-wales-victims-code" TargetMode="External"/><Relationship Id="rId30" Type="http://schemas.openxmlformats.org/officeDocument/2006/relationships/hyperlink" Target="https://www.gov.uk/government/news/domestic-abuse-victims-in-england-and-wales-to-be-given-more-time-to-report-assaults" TargetMode="External"/><Relationship Id="rId35" Type="http://schemas.openxmlformats.org/officeDocument/2006/relationships/hyperlink" Target="https://www.ncdv.org.uk/domestic-abuse-statistic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27</Pages>
  <Words>9732</Words>
  <Characters>55478</Characters>
  <Application>Microsoft Office Word</Application>
  <DocSecurity>0</DocSecurity>
  <Lines>462</Lines>
  <Paragraphs>130</Paragraphs>
  <ScaleCrop>false</ScaleCrop>
  <Company>Powys County Council</Company>
  <LinksUpToDate>false</LinksUpToDate>
  <CharactersWithSpaces>65080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Cerys</cp:lastModifiedBy>
  <cp:revision>96</cp:revision>
  <cp:lastPrinted>2019-08-13T11:47:00Z</cp:lastPrinted>
  <dcterms:created xsi:type="dcterms:W3CDTF">2024-03-25T07:29:00Z</dcterms:created>
  <dcterms:modified xsi:type="dcterms:W3CDTF">2024-06-10T17:19:00Z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2024-03-25T07:29:11Z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ec87bab4-7b25-4707-ae3a-859e9b3e3728</vt:lpwstr>
  </property>
  <property fmtid="{D5CDD505-2E9C-101B-9397-08002B2CF9AE}" pid="9" name="MSIP_Label_f2acd28b-79a3-4a0f-b0ff-4b75658b1549_ContentBits">
    <vt:lpwstr>0</vt:lpwstr>
  </property>
</Properties>
</file>