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150"/>
        <w:gridCol w:w="3210"/>
      </w:tblGrid>
      <w:tr w:rsidR="005C6CD8" w:rsidRPr="00B61956" w14:paraId="26BA44B1" w14:textId="77777777" w:rsidTr="00946F49">
        <w:tc>
          <w:tcPr>
            <w:tcW w:w="6242" w:type="dxa"/>
            <w:tcMar>
              <w:top w:w="0" w:type="dxa"/>
              <w:left w:w="108" w:type="dxa"/>
              <w:bottom w:w="0" w:type="dxa"/>
              <w:right w:w="108" w:type="dxa"/>
            </w:tcMar>
          </w:tcPr>
          <w:p w14:paraId="6CF2ABE3" w14:textId="4AE24E98" w:rsidR="005C6CD8" w:rsidRPr="00A623EE" w:rsidRDefault="005C6CD8" w:rsidP="00D977FF">
            <w:pPr>
              <w:pStyle w:val="BodyText"/>
              <w:jc w:val="both"/>
              <w:rPr>
                <w:rFonts w:cs="Arial"/>
                <w:b/>
                <w:bCs/>
                <w:szCs w:val="24"/>
              </w:rPr>
            </w:pPr>
            <w:r w:rsidRPr="00D012E7">
              <w:rPr>
                <w:rFonts w:cs="Arial"/>
                <w:b/>
                <w:bCs/>
                <w:sz w:val="22"/>
                <w:szCs w:val="22"/>
              </w:rPr>
              <w:t xml:space="preserve">NAME: </w:t>
            </w:r>
            <w:r w:rsidR="0080711E" w:rsidRPr="00A623EE">
              <w:rPr>
                <w:rFonts w:cs="Arial"/>
                <w:szCs w:val="24"/>
              </w:rPr>
              <w:t>Louisa O’Neill</w:t>
            </w:r>
          </w:p>
          <w:p w14:paraId="4F2606B7" w14:textId="637A7BF7" w:rsidR="00D012E7" w:rsidRPr="00D012E7" w:rsidRDefault="00D012E7" w:rsidP="00D977FF">
            <w:pPr>
              <w:pStyle w:val="BodyText"/>
              <w:jc w:val="both"/>
              <w:rPr>
                <w:rFonts w:cs="Arial"/>
                <w:b/>
                <w:bCs/>
                <w:sz w:val="22"/>
                <w:szCs w:val="22"/>
              </w:rPr>
            </w:pPr>
          </w:p>
        </w:tc>
        <w:tc>
          <w:tcPr>
            <w:tcW w:w="2835" w:type="dxa"/>
          </w:tcPr>
          <w:p w14:paraId="00DC83D5" w14:textId="56C88A4A" w:rsidR="005C6CD8" w:rsidRPr="00946F49" w:rsidRDefault="005C6CD8" w:rsidP="00D977FF">
            <w:pPr>
              <w:jc w:val="both"/>
              <w:rPr>
                <w:rFonts w:cs="Arial"/>
                <w:sz w:val="22"/>
                <w:szCs w:val="22"/>
              </w:rPr>
            </w:pPr>
            <w:r w:rsidRPr="00B61956">
              <w:rPr>
                <w:rFonts w:asciiTheme="minorHAnsi" w:hAnsiTheme="minorHAnsi" w:cstheme="minorHAnsi"/>
                <w:b/>
                <w:bCs/>
                <w:sz w:val="22"/>
                <w:szCs w:val="22"/>
              </w:rPr>
              <w:t xml:space="preserve"> </w:t>
            </w:r>
            <w:r w:rsidRPr="00946F49">
              <w:rPr>
                <w:rFonts w:cs="Arial"/>
                <w:b/>
                <w:bCs/>
                <w:sz w:val="22"/>
                <w:szCs w:val="22"/>
              </w:rPr>
              <w:t xml:space="preserve">ID No.: </w:t>
            </w:r>
            <w:r w:rsidR="0080711E" w:rsidRPr="00EF2CFC">
              <w:rPr>
                <w:rFonts w:cs="Arial"/>
                <w:color w:val="242130"/>
                <w:shd w:val="clear" w:color="auto" w:fill="FFFFFF"/>
              </w:rPr>
              <w:t>2245487</w:t>
            </w:r>
          </w:p>
        </w:tc>
      </w:tr>
      <w:tr w:rsidR="005C6CD8" w:rsidRPr="00B61956" w14:paraId="6AEAE466" w14:textId="77777777" w:rsidTr="00946F49">
        <w:tc>
          <w:tcPr>
            <w:tcW w:w="9077" w:type="dxa"/>
            <w:gridSpan w:val="2"/>
            <w:shd w:val="clear" w:color="auto" w:fill="FFFFFF"/>
            <w:tcMar>
              <w:top w:w="0" w:type="dxa"/>
              <w:left w:w="108" w:type="dxa"/>
              <w:bottom w:w="0" w:type="dxa"/>
              <w:right w:w="108" w:type="dxa"/>
            </w:tcMar>
          </w:tcPr>
          <w:p w14:paraId="52EA0AA0" w14:textId="79624218" w:rsidR="005C6CD8" w:rsidRPr="00D012E7" w:rsidRDefault="005C6CD8" w:rsidP="00D977FF">
            <w:pPr>
              <w:jc w:val="both"/>
              <w:rPr>
                <w:rFonts w:cs="Arial"/>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1A85E4DB" w14:textId="77777777" w:rsidR="005C6CD8" w:rsidRDefault="005C6CD8" w:rsidP="00D977FF">
            <w:pPr>
              <w:tabs>
                <w:tab w:val="left" w:pos="1860"/>
              </w:tabs>
              <w:jc w:val="both"/>
              <w:rPr>
                <w:rFonts w:cs="Arial"/>
                <w:sz w:val="22"/>
                <w:szCs w:val="22"/>
              </w:rPr>
            </w:pPr>
          </w:p>
          <w:p w14:paraId="52E88C63" w14:textId="77777777" w:rsidR="00F3483C" w:rsidRPr="00F3483C" w:rsidRDefault="00F3483C" w:rsidP="00F3483C">
            <w:pPr>
              <w:jc w:val="both"/>
              <w:rPr>
                <w:rFonts w:cs="Arial"/>
                <w:szCs w:val="24"/>
              </w:rPr>
            </w:pPr>
            <w:r w:rsidRPr="00F3483C">
              <w:rPr>
                <w:rFonts w:cs="Arial"/>
                <w:szCs w:val="24"/>
              </w:rPr>
              <w:t>Stop and Search - Public perception and confidence in the police. How is it possible to improve the public trust?</w:t>
            </w:r>
          </w:p>
          <w:p w14:paraId="61225F70" w14:textId="77777777" w:rsidR="0080711E" w:rsidRPr="00D012E7" w:rsidRDefault="0080711E" w:rsidP="00D977FF">
            <w:pPr>
              <w:tabs>
                <w:tab w:val="left" w:pos="1860"/>
              </w:tabs>
              <w:jc w:val="both"/>
              <w:rPr>
                <w:rFonts w:cs="Arial"/>
                <w:sz w:val="22"/>
                <w:szCs w:val="22"/>
                <w:highlight w:val="yellow"/>
              </w:rPr>
            </w:pPr>
          </w:p>
          <w:p w14:paraId="7AFA2F06" w14:textId="77777777" w:rsidR="005C6CD8" w:rsidRPr="00D012E7" w:rsidRDefault="005C6CD8" w:rsidP="00D977FF">
            <w:pPr>
              <w:tabs>
                <w:tab w:val="left" w:pos="1860"/>
              </w:tabs>
              <w:jc w:val="both"/>
              <w:rPr>
                <w:rFonts w:cs="Arial"/>
                <w:sz w:val="22"/>
                <w:szCs w:val="22"/>
              </w:rPr>
            </w:pPr>
          </w:p>
        </w:tc>
      </w:tr>
      <w:tr w:rsidR="005C6CD8" w:rsidRPr="00B61956" w14:paraId="075709D3" w14:textId="77777777" w:rsidTr="00946F49">
        <w:tc>
          <w:tcPr>
            <w:tcW w:w="9077" w:type="dxa"/>
            <w:gridSpan w:val="2"/>
            <w:tcMar>
              <w:top w:w="0" w:type="dxa"/>
              <w:left w:w="108" w:type="dxa"/>
              <w:bottom w:w="0" w:type="dxa"/>
              <w:right w:w="108" w:type="dxa"/>
            </w:tcMar>
          </w:tcPr>
          <w:p w14:paraId="709E2AC5" w14:textId="234CC167" w:rsidR="00D012E7" w:rsidRPr="00D012E7" w:rsidRDefault="005C6CD8" w:rsidP="00D977FF">
            <w:pPr>
              <w:jc w:val="both"/>
              <w:rPr>
                <w:rFonts w:cs="Arial"/>
                <w:b/>
                <w:bCs/>
                <w:sz w:val="22"/>
                <w:szCs w:val="22"/>
              </w:rPr>
            </w:pPr>
            <w:r w:rsidRPr="00D012E7">
              <w:rPr>
                <w:rFonts w:cs="Arial"/>
                <w:b/>
                <w:bCs/>
                <w:sz w:val="22"/>
                <w:szCs w:val="22"/>
              </w:rPr>
              <w:t xml:space="preserve">SUMMARY OF RESEARCH </w:t>
            </w:r>
            <w:r w:rsidR="0057057D">
              <w:rPr>
                <w:rFonts w:cs="Arial"/>
                <w:b/>
                <w:bCs/>
                <w:sz w:val="22"/>
                <w:szCs w:val="22"/>
              </w:rPr>
              <w:t xml:space="preserve">AIM &amp; </w:t>
            </w:r>
            <w:r w:rsidRPr="00D012E7">
              <w:rPr>
                <w:rFonts w:cs="Arial"/>
                <w:b/>
                <w:bCs/>
                <w:sz w:val="22"/>
                <w:szCs w:val="22"/>
              </w:rPr>
              <w:t xml:space="preserve">OBJECTIVES: </w:t>
            </w:r>
          </w:p>
          <w:p w14:paraId="5FBAA775" w14:textId="77777777" w:rsidR="00550956" w:rsidRDefault="00550956" w:rsidP="00F3483C">
            <w:pPr>
              <w:rPr>
                <w:color w:val="000000"/>
              </w:rPr>
            </w:pPr>
          </w:p>
          <w:p w14:paraId="4C4358CD" w14:textId="77777777" w:rsidR="00132BBF" w:rsidRDefault="00132BBF" w:rsidP="00132BBF">
            <w:r w:rsidRPr="00132BBF">
              <w:t>Seeking to explore the use of the stop and search procedure and how it affects the public’s perceptions and confidence in policing. Trust is vital for having effective policing and the public’s cooperation. The research aims to contribute to the ongoing discourse on policing reform.</w:t>
            </w:r>
          </w:p>
          <w:p w14:paraId="6457861C" w14:textId="77777777" w:rsidR="00132BBF" w:rsidRDefault="00132BBF" w:rsidP="00132BBF"/>
          <w:p w14:paraId="407F0B8F" w14:textId="61D65660" w:rsidR="00132BBF" w:rsidRPr="00132BBF" w:rsidRDefault="00132BBF" w:rsidP="00132BBF">
            <w:pPr>
              <w:rPr>
                <w:b/>
                <w:bCs/>
              </w:rPr>
            </w:pPr>
            <w:r w:rsidRPr="00132BBF">
              <w:t xml:space="preserve">The aims are to examine </w:t>
            </w:r>
            <w:r>
              <w:t>and review existing literature on</w:t>
            </w:r>
            <w:r w:rsidRPr="00132BBF">
              <w:t xml:space="preserve"> the use of stop and search </w:t>
            </w:r>
            <w:r>
              <w:t xml:space="preserve">and how it </w:t>
            </w:r>
            <w:r w:rsidRPr="00132BBF">
              <w:t xml:space="preserve">affects public perceptions and confidence in policing. </w:t>
            </w:r>
          </w:p>
          <w:p w14:paraId="64EB5207" w14:textId="77777777" w:rsidR="00132BBF" w:rsidRPr="00132BBF" w:rsidRDefault="00132BBF" w:rsidP="00132BBF"/>
          <w:p w14:paraId="5D486BF5" w14:textId="77777777" w:rsidR="00132BBF" w:rsidRPr="00132BBF" w:rsidRDefault="00132BBF" w:rsidP="00132BBF">
            <w:r w:rsidRPr="00132BBF">
              <w:t>Investigating public attitudes towards the stop and search process. Focusing on fairness and bias and assessing how demographic factors can influence perceptions of police legitimacy focusing on factors like ethnicity, age and gender.</w:t>
            </w:r>
          </w:p>
          <w:p w14:paraId="595C2EDF" w14:textId="77777777" w:rsidR="00132BBF" w:rsidRPr="00132BBF" w:rsidRDefault="00132BBF" w:rsidP="00132BBF"/>
          <w:p w14:paraId="6032BDC9" w14:textId="1076F6DB" w:rsidR="00132BBF" w:rsidRPr="00BA1F57" w:rsidRDefault="00132BBF" w:rsidP="00132BBF">
            <w:r w:rsidRPr="00BA1F57">
              <w:t xml:space="preserve">This area of research holds academic relevance because it </w:t>
            </w:r>
            <w:r>
              <w:t>aligns</w:t>
            </w:r>
            <w:r w:rsidRPr="00BA1F57">
              <w:t xml:space="preserve"> with critical themes such as </w:t>
            </w:r>
            <w:r>
              <w:t xml:space="preserve">the </w:t>
            </w:r>
            <w:r w:rsidRPr="00BA1F57">
              <w:t>abuse of power</w:t>
            </w:r>
            <w:r>
              <w:t xml:space="preserve"> from police officers</w:t>
            </w:r>
            <w:r w:rsidRPr="00BA1F57">
              <w:t>, race relations and legitimacy</w:t>
            </w:r>
            <w:r>
              <w:t xml:space="preserve"> while contributing</w:t>
            </w:r>
            <w:r w:rsidRPr="00BA1F57">
              <w:t xml:space="preserve"> to discussions around criminal justice and social accountability, policy development and institutional transparency. </w:t>
            </w:r>
          </w:p>
          <w:p w14:paraId="0BB50A89" w14:textId="77777777" w:rsidR="00550956" w:rsidRDefault="00550956" w:rsidP="00F3483C"/>
          <w:p w14:paraId="3427F6E0" w14:textId="77777777" w:rsidR="00F3483C" w:rsidRDefault="00F3483C" w:rsidP="00D977FF">
            <w:pPr>
              <w:jc w:val="both"/>
              <w:rPr>
                <w:rFonts w:cs="Arial"/>
                <w:szCs w:val="24"/>
              </w:rPr>
            </w:pPr>
          </w:p>
          <w:p w14:paraId="2F04CFBE" w14:textId="77777777" w:rsidR="00F3483C" w:rsidRDefault="00F3483C" w:rsidP="00D977FF">
            <w:pPr>
              <w:jc w:val="both"/>
              <w:rPr>
                <w:rFonts w:cs="Arial"/>
                <w:szCs w:val="24"/>
              </w:rPr>
            </w:pPr>
          </w:p>
          <w:p w14:paraId="5CD214A7" w14:textId="77777777" w:rsidR="00F3483C" w:rsidRPr="00F3483C" w:rsidRDefault="00F3483C" w:rsidP="00D977FF">
            <w:pPr>
              <w:jc w:val="both"/>
              <w:rPr>
                <w:rFonts w:cs="Arial"/>
                <w:szCs w:val="24"/>
              </w:rPr>
            </w:pPr>
          </w:p>
          <w:p w14:paraId="669899F4" w14:textId="77777777" w:rsidR="005C6CD8" w:rsidRPr="00D012E7" w:rsidRDefault="005C6CD8" w:rsidP="00D977FF">
            <w:pPr>
              <w:jc w:val="both"/>
              <w:rPr>
                <w:rFonts w:cs="Arial"/>
                <w:sz w:val="22"/>
                <w:szCs w:val="22"/>
              </w:rPr>
            </w:pPr>
          </w:p>
        </w:tc>
      </w:tr>
      <w:tr w:rsidR="005C6CD8" w:rsidRPr="00B61956" w14:paraId="38E2C19D" w14:textId="77777777" w:rsidTr="00946F49">
        <w:tc>
          <w:tcPr>
            <w:tcW w:w="9077" w:type="dxa"/>
            <w:gridSpan w:val="2"/>
            <w:tcMar>
              <w:top w:w="0" w:type="dxa"/>
              <w:left w:w="108" w:type="dxa"/>
              <w:bottom w:w="0" w:type="dxa"/>
              <w:right w:w="108" w:type="dxa"/>
            </w:tcMar>
          </w:tcPr>
          <w:p w14:paraId="31209182" w14:textId="77777777" w:rsidR="005C6CD8" w:rsidRDefault="005C6CD8" w:rsidP="00D012E7">
            <w:pPr>
              <w:rPr>
                <w:rFonts w:cs="Arial"/>
                <w:b/>
                <w:bCs/>
                <w:sz w:val="22"/>
                <w:szCs w:val="22"/>
              </w:rPr>
            </w:pPr>
            <w:r w:rsidRPr="00D012E7">
              <w:rPr>
                <w:rFonts w:cs="Arial"/>
                <w:b/>
                <w:bCs/>
                <w:sz w:val="22"/>
                <w:szCs w:val="22"/>
              </w:rPr>
              <w:t>THEORETICAL CONTEXT:</w:t>
            </w:r>
          </w:p>
          <w:p w14:paraId="168CC52C" w14:textId="77777777" w:rsidR="00132BBF" w:rsidRDefault="00132BBF" w:rsidP="00132BBF"/>
          <w:p w14:paraId="2EDD53E9" w14:textId="0A2A5F0A" w:rsidR="00132BBF" w:rsidRDefault="00132BBF" w:rsidP="00132BBF">
            <w:r>
              <w:t xml:space="preserve">Stop and search powers allow police officers to confirm suspicions without arrest. This police procedure is used by officers for detaining and searching individuals and their </w:t>
            </w:r>
            <w:r>
              <w:lastRenderedPageBreak/>
              <w:t>belongings. Officers must have reasonable grounds to believe a person is involved in criminal activity to stop and detain them.</w:t>
            </w:r>
          </w:p>
          <w:p w14:paraId="7BE8D9CC" w14:textId="77777777" w:rsidR="00132BBF" w:rsidRDefault="00132BBF" w:rsidP="00132BBF"/>
          <w:p w14:paraId="0288F3B4" w14:textId="77777777" w:rsidR="00133E21" w:rsidRDefault="00132BBF" w:rsidP="00132BBF">
            <w:pPr>
              <w:rPr>
                <w:color w:val="000000"/>
              </w:rPr>
            </w:pPr>
            <w:r>
              <w:t xml:space="preserve">Despite the procedure being useful the stop and search has often been criticized, usually on the grounds of alleged discrimination against visible ethnic minorities. </w:t>
            </w:r>
            <w:r>
              <w:rPr>
                <w:color w:val="000000"/>
              </w:rPr>
              <w:t>(Bryant and Bryant, 2021)</w:t>
            </w:r>
          </w:p>
          <w:p w14:paraId="58610D28" w14:textId="77777777" w:rsidR="009D66E1" w:rsidRDefault="009D66E1" w:rsidP="00132BBF">
            <w:pPr>
              <w:rPr>
                <w:color w:val="000000"/>
              </w:rPr>
            </w:pPr>
          </w:p>
          <w:p w14:paraId="7BE0CEE5" w14:textId="5D1DF895" w:rsidR="009D66E1" w:rsidRDefault="009D66E1" w:rsidP="00132BBF">
            <w:pPr>
              <w:rPr>
                <w:color w:val="000000"/>
              </w:rPr>
            </w:pPr>
            <w:r>
              <w:rPr>
                <w:color w:val="000000"/>
              </w:rPr>
              <w:t xml:space="preserve">Reforms brought in to improve transparency such as body-worn cameras. However, the effectiveness remains mixed, suggesting research is needed to understand the public’s views and possibly identify solutions. </w:t>
            </w:r>
            <w:r>
              <w:rPr>
                <w:color w:val="000000"/>
              </w:rPr>
              <w:t>(College of Policing, 202</w:t>
            </w:r>
            <w:r w:rsidR="00C865D0">
              <w:rPr>
                <w:color w:val="000000"/>
              </w:rPr>
              <w:t>2</w:t>
            </w:r>
            <w:r>
              <w:rPr>
                <w:color w:val="000000"/>
              </w:rPr>
              <w:t>)</w:t>
            </w:r>
          </w:p>
          <w:p w14:paraId="66121EC1" w14:textId="77777777" w:rsidR="00132BBF" w:rsidRDefault="00132BBF" w:rsidP="00D012E7">
            <w:pPr>
              <w:rPr>
                <w:rFonts w:cs="Arial"/>
                <w:b/>
                <w:bCs/>
                <w:sz w:val="22"/>
                <w:szCs w:val="22"/>
              </w:rPr>
            </w:pPr>
          </w:p>
          <w:p w14:paraId="50FD2C34" w14:textId="3D2349C5" w:rsidR="002349F9" w:rsidRPr="002349F9" w:rsidRDefault="002349F9" w:rsidP="00D012E7">
            <w:pPr>
              <w:rPr>
                <w:rFonts w:cs="Arial"/>
                <w:szCs w:val="24"/>
              </w:rPr>
            </w:pPr>
            <w:r w:rsidRPr="002349F9">
              <w:rPr>
                <w:rFonts w:cs="Arial"/>
                <w:szCs w:val="24"/>
              </w:rPr>
              <w:t xml:space="preserve">Key literature to be used </w:t>
            </w:r>
            <w:r w:rsidR="007E121F">
              <w:rPr>
                <w:rFonts w:cs="Arial"/>
                <w:szCs w:val="24"/>
              </w:rPr>
              <w:t xml:space="preserve">for my research </w:t>
            </w:r>
            <w:r w:rsidRPr="002349F9">
              <w:rPr>
                <w:rFonts w:cs="Arial"/>
                <w:szCs w:val="24"/>
              </w:rPr>
              <w:t>will be journals, textbooks, government reports</w:t>
            </w:r>
            <w:r>
              <w:rPr>
                <w:rFonts w:cs="Arial"/>
                <w:szCs w:val="24"/>
              </w:rPr>
              <w:t>,</w:t>
            </w:r>
            <w:r w:rsidRPr="002349F9">
              <w:rPr>
                <w:rFonts w:cs="Arial"/>
                <w:szCs w:val="24"/>
              </w:rPr>
              <w:t xml:space="preserve"> along with the use of online sources such of credible website</w:t>
            </w:r>
            <w:r>
              <w:rPr>
                <w:rFonts w:cs="Arial"/>
                <w:szCs w:val="24"/>
              </w:rPr>
              <w:t>s</w:t>
            </w:r>
            <w:r w:rsidRPr="002349F9">
              <w:rPr>
                <w:rFonts w:cs="Arial"/>
                <w:szCs w:val="24"/>
              </w:rPr>
              <w:t xml:space="preserve"> </w:t>
            </w:r>
            <w:r w:rsidR="007E121F">
              <w:rPr>
                <w:rFonts w:cs="Arial"/>
                <w:szCs w:val="24"/>
              </w:rPr>
              <w:t xml:space="preserve">that will help further my research </w:t>
            </w:r>
            <w:r w:rsidRPr="002349F9">
              <w:rPr>
                <w:rFonts w:cs="Arial"/>
                <w:szCs w:val="24"/>
              </w:rPr>
              <w:t xml:space="preserve">e.g. the college of policing, </w:t>
            </w:r>
          </w:p>
          <w:p w14:paraId="28FBB71D" w14:textId="77777777" w:rsidR="002349F9" w:rsidRDefault="002349F9" w:rsidP="00D012E7">
            <w:pPr>
              <w:rPr>
                <w:rFonts w:cs="Arial"/>
                <w:b/>
                <w:bCs/>
                <w:sz w:val="22"/>
                <w:szCs w:val="22"/>
              </w:rPr>
            </w:pPr>
          </w:p>
          <w:p w14:paraId="07F78AE8" w14:textId="77777777" w:rsidR="002349F9" w:rsidRPr="00D012E7" w:rsidRDefault="002349F9" w:rsidP="00D012E7">
            <w:pPr>
              <w:rPr>
                <w:rFonts w:cs="Arial"/>
                <w:b/>
                <w:bCs/>
                <w:sz w:val="22"/>
                <w:szCs w:val="22"/>
              </w:rPr>
            </w:pPr>
          </w:p>
          <w:p w14:paraId="2AFC8093" w14:textId="77777777" w:rsidR="005C6CD8" w:rsidRPr="00D012E7" w:rsidRDefault="005C6CD8" w:rsidP="00D977FF">
            <w:pPr>
              <w:jc w:val="both"/>
              <w:rPr>
                <w:rStyle w:val="lookup-resultcontent"/>
                <w:rFonts w:cs="Arial"/>
                <w:b/>
                <w:bCs/>
                <w:sz w:val="22"/>
                <w:szCs w:val="22"/>
              </w:rPr>
            </w:pPr>
          </w:p>
          <w:p w14:paraId="4964BE3B" w14:textId="77777777" w:rsidR="005C6CD8" w:rsidRPr="00D012E7" w:rsidRDefault="005C6CD8" w:rsidP="00D977FF">
            <w:pPr>
              <w:jc w:val="both"/>
              <w:rPr>
                <w:rFonts w:cs="Arial"/>
                <w:sz w:val="22"/>
                <w:szCs w:val="22"/>
              </w:rPr>
            </w:pPr>
          </w:p>
        </w:tc>
      </w:tr>
      <w:tr w:rsidR="005C6CD8" w:rsidRPr="00B61956" w14:paraId="2E514484" w14:textId="77777777" w:rsidTr="00946F49">
        <w:tc>
          <w:tcPr>
            <w:tcW w:w="9077" w:type="dxa"/>
            <w:gridSpan w:val="2"/>
            <w:tcMar>
              <w:top w:w="0" w:type="dxa"/>
              <w:left w:w="108" w:type="dxa"/>
              <w:bottom w:w="0" w:type="dxa"/>
              <w:right w:w="108" w:type="dxa"/>
            </w:tcMar>
          </w:tcPr>
          <w:p w14:paraId="58AAFD5B" w14:textId="77777777" w:rsidR="00B5610A" w:rsidRPr="00B5610A" w:rsidRDefault="005C6CD8" w:rsidP="00B5610A">
            <w:pPr>
              <w:rPr>
                <w:rFonts w:cs="Arial"/>
                <w:b/>
                <w:bCs/>
                <w:sz w:val="22"/>
                <w:szCs w:val="22"/>
              </w:rPr>
            </w:pPr>
            <w:r w:rsidRPr="00B5610A">
              <w:rPr>
                <w:rFonts w:cs="Arial"/>
                <w:b/>
                <w:bCs/>
                <w:sz w:val="22"/>
                <w:szCs w:val="22"/>
              </w:rPr>
              <w:lastRenderedPageBreak/>
              <w:t xml:space="preserve">SUMMARY OF RESEARCH –SURVEY METHOD: </w:t>
            </w:r>
          </w:p>
          <w:p w14:paraId="02C12F31" w14:textId="77777777" w:rsidR="0080711E" w:rsidRDefault="0080711E" w:rsidP="0080711E">
            <w:pPr>
              <w:rPr>
                <w:rFonts w:cs="Arial"/>
                <w:sz w:val="22"/>
                <w:szCs w:val="22"/>
              </w:rPr>
            </w:pPr>
          </w:p>
          <w:p w14:paraId="6FCB1522" w14:textId="3E15FA6E" w:rsidR="0080711E" w:rsidRPr="00306B2E" w:rsidRDefault="0080711E" w:rsidP="0080711E">
            <w:pPr>
              <w:rPr>
                <w:szCs w:val="24"/>
              </w:rPr>
            </w:pPr>
            <w:r w:rsidRPr="00306B2E">
              <w:rPr>
                <w:rFonts w:cs="Arial"/>
                <w:szCs w:val="24"/>
              </w:rPr>
              <w:t>A</w:t>
            </w:r>
            <w:r w:rsidRPr="00306B2E">
              <w:rPr>
                <w:szCs w:val="24"/>
              </w:rPr>
              <w:t xml:space="preserve"> questionnaire will be used to collect responses from the public, ages 18 and above. This will be crucial for examining public opinion across different demographics and communities. </w:t>
            </w:r>
          </w:p>
          <w:p w14:paraId="0089CAB7" w14:textId="77777777" w:rsidR="0080711E" w:rsidRDefault="0080711E" w:rsidP="0080711E">
            <w:pPr>
              <w:rPr>
                <w:sz w:val="22"/>
                <w:szCs w:val="22"/>
              </w:rPr>
            </w:pPr>
          </w:p>
          <w:p w14:paraId="0882AE7E" w14:textId="0136B973" w:rsidR="0080711E" w:rsidRPr="00306B2E" w:rsidRDefault="0080711E" w:rsidP="0080711E">
            <w:pPr>
              <w:rPr>
                <w:szCs w:val="24"/>
              </w:rPr>
            </w:pPr>
            <w:r w:rsidRPr="00306B2E">
              <w:rPr>
                <w:szCs w:val="24"/>
              </w:rPr>
              <w:t xml:space="preserve">All participants will complete the same questions in the questionnaire which will ensure consistency in the data while making it easier to be able to compare the views and opinions of the individuals who complete the questionnaire. </w:t>
            </w:r>
          </w:p>
          <w:p w14:paraId="4CD0FCE5" w14:textId="77777777" w:rsidR="0080711E" w:rsidRPr="00B5610A" w:rsidRDefault="0080711E" w:rsidP="00B5610A">
            <w:pPr>
              <w:rPr>
                <w:rFonts w:cs="Arial"/>
                <w:sz w:val="22"/>
                <w:szCs w:val="22"/>
              </w:rPr>
            </w:pPr>
          </w:p>
          <w:p w14:paraId="36BA90C9" w14:textId="77777777" w:rsidR="005C6CD8" w:rsidRPr="00B61956" w:rsidRDefault="005C6CD8" w:rsidP="00D977FF">
            <w:pPr>
              <w:jc w:val="both"/>
              <w:rPr>
                <w:rFonts w:asciiTheme="minorHAnsi" w:hAnsiTheme="minorHAnsi" w:cstheme="minorHAnsi"/>
                <w:sz w:val="22"/>
                <w:szCs w:val="22"/>
              </w:rPr>
            </w:pPr>
          </w:p>
        </w:tc>
      </w:tr>
      <w:tr w:rsidR="005C6CD8" w:rsidRPr="00B61956" w14:paraId="74364360" w14:textId="77777777" w:rsidTr="00946F49">
        <w:tc>
          <w:tcPr>
            <w:tcW w:w="9077" w:type="dxa"/>
            <w:gridSpan w:val="2"/>
            <w:tcMar>
              <w:top w:w="0" w:type="dxa"/>
              <w:left w:w="108" w:type="dxa"/>
              <w:bottom w:w="0" w:type="dxa"/>
              <w:right w:w="108" w:type="dxa"/>
            </w:tcMar>
          </w:tcPr>
          <w:p w14:paraId="2C9F1C05" w14:textId="77777777" w:rsidR="00B5610A" w:rsidRDefault="005C6CD8" w:rsidP="00B5610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4C69A4D1" w14:textId="77777777" w:rsidR="00D5794A" w:rsidRDefault="00D5794A" w:rsidP="0080711E">
            <w:pPr>
              <w:rPr>
                <w:rFonts w:cs="Arial"/>
                <w:szCs w:val="24"/>
              </w:rPr>
            </w:pPr>
          </w:p>
          <w:p w14:paraId="4F917C2E" w14:textId="0A061A67" w:rsidR="0080711E" w:rsidRPr="00306B2E" w:rsidRDefault="0080711E" w:rsidP="0080711E">
            <w:pPr>
              <w:rPr>
                <w:rFonts w:cs="Arial"/>
                <w:szCs w:val="24"/>
              </w:rPr>
            </w:pPr>
            <w:r w:rsidRPr="00306B2E">
              <w:rPr>
                <w:rFonts w:cs="Arial"/>
                <w:szCs w:val="24"/>
              </w:rPr>
              <w:t xml:space="preserve">The target audience will be members of the public, ages 18 and above and will be eligible to participate in my research. </w:t>
            </w:r>
            <w:r w:rsidR="00D5794A">
              <w:rPr>
                <w:rFonts w:cs="Arial"/>
                <w:szCs w:val="24"/>
              </w:rPr>
              <w:t>Approximately 100 individuals will participate.</w:t>
            </w:r>
          </w:p>
          <w:p w14:paraId="47A119DE" w14:textId="77777777" w:rsidR="0080711E" w:rsidRPr="00306B2E" w:rsidRDefault="0080711E" w:rsidP="0080711E">
            <w:pPr>
              <w:rPr>
                <w:rFonts w:cs="Arial"/>
                <w:szCs w:val="24"/>
              </w:rPr>
            </w:pPr>
          </w:p>
          <w:p w14:paraId="2A32A51F" w14:textId="4B351F54" w:rsidR="0080711E" w:rsidRPr="00306B2E" w:rsidRDefault="0080711E" w:rsidP="0080711E">
            <w:pPr>
              <w:rPr>
                <w:rFonts w:cs="Arial"/>
                <w:szCs w:val="24"/>
              </w:rPr>
            </w:pPr>
            <w:r w:rsidRPr="00306B2E">
              <w:rPr>
                <w:rFonts w:cs="Arial"/>
                <w:szCs w:val="24"/>
              </w:rPr>
              <w:t>A survey will be used with the aim of gaining the perspectives from these individuals on the chosen topic, giving an accurate representation of their opinion.</w:t>
            </w:r>
          </w:p>
          <w:p w14:paraId="0D26F286" w14:textId="77777777" w:rsidR="0080711E" w:rsidRPr="00B61956" w:rsidRDefault="0080711E" w:rsidP="00D977FF">
            <w:pPr>
              <w:jc w:val="both"/>
              <w:rPr>
                <w:rFonts w:asciiTheme="minorHAnsi" w:hAnsiTheme="minorHAnsi" w:cstheme="minorHAnsi"/>
                <w:sz w:val="22"/>
                <w:szCs w:val="22"/>
              </w:rPr>
            </w:pPr>
          </w:p>
          <w:p w14:paraId="2CCDF4D4" w14:textId="77777777" w:rsidR="005C6CD8" w:rsidRPr="00B61956" w:rsidRDefault="005C6CD8" w:rsidP="00D977FF">
            <w:pPr>
              <w:jc w:val="both"/>
              <w:rPr>
                <w:rFonts w:asciiTheme="minorHAnsi" w:hAnsiTheme="minorHAnsi" w:cstheme="minorHAnsi"/>
                <w:sz w:val="22"/>
                <w:szCs w:val="22"/>
              </w:rPr>
            </w:pPr>
          </w:p>
        </w:tc>
      </w:tr>
      <w:tr w:rsidR="005C6CD8" w:rsidRPr="00B61956" w14:paraId="556093DA" w14:textId="77777777" w:rsidTr="00946F49">
        <w:tc>
          <w:tcPr>
            <w:tcW w:w="9077" w:type="dxa"/>
            <w:gridSpan w:val="2"/>
            <w:tcMar>
              <w:top w:w="0" w:type="dxa"/>
              <w:left w:w="108" w:type="dxa"/>
              <w:bottom w:w="0" w:type="dxa"/>
              <w:right w:w="108" w:type="dxa"/>
            </w:tcMar>
          </w:tcPr>
          <w:p w14:paraId="6A317359" w14:textId="1EA96768" w:rsidR="00B5610A" w:rsidRPr="00B5610A" w:rsidRDefault="00B5610A" w:rsidP="00D977FF">
            <w:pPr>
              <w:jc w:val="both"/>
              <w:rPr>
                <w:rFonts w:cs="Arial"/>
                <w:b/>
                <w:bCs/>
                <w:sz w:val="22"/>
                <w:szCs w:val="22"/>
              </w:rPr>
            </w:pPr>
            <w:r>
              <w:rPr>
                <w:rFonts w:cs="Arial"/>
                <w:b/>
                <w:bCs/>
                <w:sz w:val="22"/>
                <w:szCs w:val="22"/>
              </w:rPr>
              <w:t>INITIAL REFERENCE LIST:</w:t>
            </w:r>
          </w:p>
          <w:p w14:paraId="7511B32A" w14:textId="77777777" w:rsidR="005C6CD8" w:rsidRDefault="005C6CD8" w:rsidP="00D977FF">
            <w:pPr>
              <w:jc w:val="both"/>
              <w:rPr>
                <w:rFonts w:asciiTheme="minorHAnsi" w:hAnsiTheme="minorHAnsi" w:cstheme="minorHAnsi"/>
                <w:bCs/>
                <w:i/>
                <w:sz w:val="22"/>
                <w:szCs w:val="22"/>
              </w:rPr>
            </w:pPr>
          </w:p>
          <w:p w14:paraId="064D56AA" w14:textId="73C8E228" w:rsidR="00E753B9" w:rsidRPr="00E753B9" w:rsidRDefault="00E753B9" w:rsidP="00E753B9">
            <w:pPr>
              <w:pStyle w:val="NormalWeb"/>
              <w:spacing w:before="0" w:after="240" w:line="360" w:lineRule="atLeast"/>
              <w:rPr>
                <w:rFonts w:ascii="Arial" w:hAnsi="Arial" w:cs="Arial"/>
                <w:color w:val="000000"/>
                <w:sz w:val="22"/>
                <w:szCs w:val="22"/>
              </w:rPr>
            </w:pPr>
            <w:r w:rsidRPr="00E753B9">
              <w:rPr>
                <w:rFonts w:ascii="Arial" w:hAnsi="Arial" w:cs="Arial"/>
                <w:color w:val="000000"/>
                <w:sz w:val="22"/>
                <w:szCs w:val="22"/>
              </w:rPr>
              <w:t>Angiolini, E. (2024).</w:t>
            </w:r>
            <w:r w:rsidRPr="00E753B9">
              <w:rPr>
                <w:rStyle w:val="apple-converted-space"/>
                <w:rFonts w:ascii="Arial" w:eastAsiaTheme="majorEastAsia" w:hAnsi="Arial" w:cs="Arial"/>
                <w:color w:val="000000"/>
                <w:sz w:val="22"/>
                <w:szCs w:val="22"/>
              </w:rPr>
              <w:t> </w:t>
            </w:r>
            <w:r w:rsidRPr="00E753B9">
              <w:rPr>
                <w:rFonts w:ascii="Arial" w:hAnsi="Arial" w:cs="Arial"/>
                <w:i/>
                <w:iCs/>
                <w:color w:val="000000"/>
                <w:sz w:val="22"/>
                <w:szCs w:val="22"/>
              </w:rPr>
              <w:t>The Angiolini Inquiry Part 1 Report</w:t>
            </w:r>
            <w:r w:rsidRPr="00E753B9">
              <w:rPr>
                <w:rFonts w:ascii="Arial" w:hAnsi="Arial" w:cs="Arial"/>
                <w:color w:val="000000"/>
                <w:sz w:val="22"/>
                <w:szCs w:val="22"/>
              </w:rPr>
              <w:t xml:space="preserve">. Available at: </w:t>
            </w:r>
            <w:hyperlink r:id="rId12" w:history="1">
              <w:r w:rsidRPr="00E753B9">
                <w:rPr>
                  <w:rStyle w:val="Hyperlink"/>
                  <w:rFonts w:ascii="Arial" w:hAnsi="Arial" w:cs="Arial"/>
                  <w:sz w:val="22"/>
                  <w:szCs w:val="22"/>
                </w:rPr>
                <w:t>https://assets.publishing.service.gov.uk/media/65e05420cf7eb1b0e5f57eff/E02740018_Angiolini_Inquir</w:t>
              </w:r>
              <w:r w:rsidRPr="00E753B9">
                <w:rPr>
                  <w:rStyle w:val="Hyperlink"/>
                  <w:rFonts w:ascii="Arial" w:hAnsi="Arial" w:cs="Arial"/>
                  <w:sz w:val="22"/>
                  <w:szCs w:val="22"/>
                </w:rPr>
                <w:t>y</w:t>
              </w:r>
              <w:r w:rsidRPr="00E753B9">
                <w:rPr>
                  <w:rStyle w:val="Hyperlink"/>
                  <w:rFonts w:ascii="Arial" w:hAnsi="Arial" w:cs="Arial"/>
                  <w:sz w:val="22"/>
                  <w:szCs w:val="22"/>
                </w:rPr>
                <w:t>_HC_530_Accessible.pdf</w:t>
              </w:r>
            </w:hyperlink>
            <w:r w:rsidRPr="00E753B9">
              <w:rPr>
                <w:rFonts w:ascii="Arial" w:hAnsi="Arial" w:cs="Arial"/>
                <w:color w:val="000000"/>
                <w:sz w:val="22"/>
                <w:szCs w:val="22"/>
              </w:rPr>
              <w:t>. (Accessed 08/04/2025)</w:t>
            </w:r>
          </w:p>
          <w:p w14:paraId="60027785" w14:textId="77777777" w:rsidR="00E753B9" w:rsidRPr="00E753B9" w:rsidRDefault="00E753B9" w:rsidP="00E753B9">
            <w:pPr>
              <w:pStyle w:val="NormalWeb"/>
              <w:spacing w:before="0" w:after="240" w:line="360" w:lineRule="atLeast"/>
              <w:rPr>
                <w:rFonts w:ascii="Arial" w:hAnsi="Arial" w:cs="Arial"/>
                <w:color w:val="000000"/>
                <w:sz w:val="22"/>
                <w:szCs w:val="22"/>
              </w:rPr>
            </w:pPr>
            <w:r w:rsidRPr="00E753B9">
              <w:rPr>
                <w:rFonts w:ascii="Arial" w:hAnsi="Arial" w:cs="Arial"/>
                <w:color w:val="000000"/>
                <w:sz w:val="22"/>
                <w:szCs w:val="22"/>
              </w:rPr>
              <w:t>College of Policing (2023).</w:t>
            </w:r>
            <w:r w:rsidRPr="00E753B9">
              <w:rPr>
                <w:rStyle w:val="apple-converted-space"/>
                <w:rFonts w:ascii="Arial" w:eastAsiaTheme="majorEastAsia" w:hAnsi="Arial" w:cs="Arial"/>
                <w:color w:val="000000"/>
                <w:sz w:val="22"/>
                <w:szCs w:val="22"/>
              </w:rPr>
              <w:t> </w:t>
            </w:r>
            <w:r w:rsidRPr="00E753B9">
              <w:rPr>
                <w:rFonts w:ascii="Arial" w:hAnsi="Arial" w:cs="Arial"/>
                <w:i/>
                <w:iCs/>
                <w:color w:val="000000"/>
                <w:sz w:val="22"/>
                <w:szCs w:val="22"/>
              </w:rPr>
              <w:t>Vetting Code of Practice updated</w:t>
            </w:r>
            <w:r w:rsidRPr="00E753B9">
              <w:rPr>
                <w:rFonts w:ascii="Arial" w:hAnsi="Arial" w:cs="Arial"/>
                <w:color w:val="000000"/>
                <w:sz w:val="22"/>
                <w:szCs w:val="22"/>
              </w:rPr>
              <w:t xml:space="preserve">. College of Policing. Available at: </w:t>
            </w:r>
            <w:hyperlink r:id="rId13" w:history="1">
              <w:r w:rsidRPr="00E753B9">
                <w:rPr>
                  <w:rStyle w:val="Hyperlink"/>
                  <w:rFonts w:ascii="Arial" w:hAnsi="Arial" w:cs="Arial"/>
                  <w:sz w:val="22"/>
                  <w:szCs w:val="22"/>
                </w:rPr>
                <w:t>https://www.college.police.uk/article/vetting-code-practice-updated</w:t>
              </w:r>
            </w:hyperlink>
            <w:r w:rsidRPr="00E753B9">
              <w:rPr>
                <w:rFonts w:ascii="Arial" w:hAnsi="Arial" w:cs="Arial"/>
                <w:color w:val="000000"/>
                <w:sz w:val="22"/>
                <w:szCs w:val="22"/>
              </w:rPr>
              <w:t>. (Accessed 17/04/2025)</w:t>
            </w:r>
          </w:p>
          <w:p w14:paraId="59B01942" w14:textId="7C991A74" w:rsidR="00E753B9" w:rsidRPr="00E753B9" w:rsidRDefault="00E753B9" w:rsidP="00E753B9">
            <w:pPr>
              <w:pStyle w:val="NormalWeb"/>
              <w:spacing w:before="0" w:after="240" w:line="360" w:lineRule="atLeast"/>
              <w:rPr>
                <w:rFonts w:ascii="Arial" w:hAnsi="Arial" w:cs="Arial"/>
                <w:color w:val="000000"/>
                <w:sz w:val="22"/>
                <w:szCs w:val="22"/>
              </w:rPr>
            </w:pPr>
            <w:r w:rsidRPr="00E753B9">
              <w:rPr>
                <w:rFonts w:ascii="Arial" w:hAnsi="Arial" w:cs="Arial"/>
                <w:color w:val="000000"/>
                <w:sz w:val="22"/>
                <w:szCs w:val="22"/>
              </w:rPr>
              <w:t>College of Policing (2025).</w:t>
            </w:r>
            <w:r w:rsidRPr="00E753B9">
              <w:rPr>
                <w:rStyle w:val="apple-converted-space"/>
                <w:rFonts w:ascii="Arial" w:eastAsiaTheme="majorEastAsia" w:hAnsi="Arial" w:cs="Arial"/>
                <w:color w:val="000000"/>
                <w:sz w:val="22"/>
                <w:szCs w:val="22"/>
              </w:rPr>
              <w:t> </w:t>
            </w:r>
            <w:r w:rsidRPr="00E753B9">
              <w:rPr>
                <w:rFonts w:ascii="Arial" w:hAnsi="Arial" w:cs="Arial"/>
                <w:i/>
                <w:iCs/>
                <w:color w:val="000000"/>
                <w:sz w:val="22"/>
                <w:szCs w:val="22"/>
              </w:rPr>
              <w:t>New Strategy Aims to Transform Police Culture and Rebuild Public Trust | College of Policing</w:t>
            </w:r>
            <w:r w:rsidRPr="00E753B9">
              <w:rPr>
                <w:rFonts w:ascii="Arial" w:hAnsi="Arial" w:cs="Arial"/>
                <w:color w:val="000000"/>
                <w:sz w:val="22"/>
                <w:szCs w:val="22"/>
              </w:rPr>
              <w:t xml:space="preserve">. College of Policing. Available at: </w:t>
            </w:r>
            <w:hyperlink r:id="rId14" w:history="1">
              <w:r w:rsidRPr="00E753B9">
                <w:rPr>
                  <w:rStyle w:val="Hyperlink"/>
                  <w:rFonts w:ascii="Arial" w:hAnsi="Arial" w:cs="Arial"/>
                  <w:sz w:val="22"/>
                  <w:szCs w:val="22"/>
                </w:rPr>
                <w:t>https://www.college.police.uk/article/new-strategy-aims-transform-police-culture-and-rebuild-public-trust</w:t>
              </w:r>
            </w:hyperlink>
            <w:r w:rsidRPr="00E753B9">
              <w:rPr>
                <w:rFonts w:ascii="Arial" w:hAnsi="Arial" w:cs="Arial"/>
                <w:color w:val="000000"/>
                <w:sz w:val="22"/>
                <w:szCs w:val="22"/>
              </w:rPr>
              <w:t>. (Accessed 17/04/2025)</w:t>
            </w:r>
          </w:p>
          <w:p w14:paraId="53C5E10D" w14:textId="77777777" w:rsidR="00E753B9" w:rsidRPr="00E753B9" w:rsidRDefault="00E753B9" w:rsidP="00E753B9">
            <w:pPr>
              <w:pStyle w:val="NormalWeb"/>
              <w:spacing w:before="0" w:after="240" w:line="360" w:lineRule="atLeast"/>
              <w:rPr>
                <w:rFonts w:ascii="Arial" w:hAnsi="Arial" w:cs="Arial"/>
                <w:color w:val="000000"/>
                <w:sz w:val="22"/>
                <w:szCs w:val="22"/>
              </w:rPr>
            </w:pPr>
            <w:r w:rsidRPr="00E753B9">
              <w:rPr>
                <w:rFonts w:ascii="Arial" w:hAnsi="Arial" w:cs="Arial"/>
                <w:color w:val="000000"/>
                <w:sz w:val="22"/>
                <w:szCs w:val="22"/>
              </w:rPr>
              <w:t>Hanway, P. and Hambly, O. (2023).</w:t>
            </w:r>
            <w:r w:rsidRPr="00E753B9">
              <w:rPr>
                <w:rStyle w:val="apple-converted-space"/>
                <w:rFonts w:ascii="Arial" w:eastAsiaTheme="majorEastAsia" w:hAnsi="Arial" w:cs="Arial"/>
                <w:color w:val="000000"/>
                <w:sz w:val="22"/>
                <w:szCs w:val="22"/>
              </w:rPr>
              <w:t> </w:t>
            </w:r>
            <w:r w:rsidRPr="00E753B9">
              <w:rPr>
                <w:rFonts w:ascii="Arial" w:hAnsi="Arial" w:cs="Arial"/>
                <w:i/>
                <w:iCs/>
                <w:color w:val="000000"/>
                <w:sz w:val="22"/>
                <w:szCs w:val="22"/>
              </w:rPr>
              <w:t>Public perceptions of policing: A review of research and literature</w:t>
            </w:r>
            <w:r w:rsidRPr="00E753B9">
              <w:rPr>
                <w:rFonts w:ascii="Arial" w:hAnsi="Arial" w:cs="Arial"/>
                <w:color w:val="000000"/>
                <w:sz w:val="22"/>
                <w:szCs w:val="22"/>
              </w:rPr>
              <w:t xml:space="preserve">. GOV.UK. Available at: </w:t>
            </w:r>
            <w:hyperlink r:id="rId15" w:history="1">
              <w:r w:rsidRPr="00E753B9">
                <w:rPr>
                  <w:rStyle w:val="Hyperlink"/>
                  <w:rFonts w:ascii="Arial" w:hAnsi="Arial" w:cs="Arial"/>
                  <w:sz w:val="22"/>
                  <w:szCs w:val="22"/>
                </w:rPr>
                <w:t>https://www.gov.uk/government/publications/public-perceptions-of-policing-a-review-of-research-and-literature/public-perceptions-of-policing-a-review-of-research-and-literature</w:t>
              </w:r>
            </w:hyperlink>
            <w:r w:rsidRPr="00E753B9">
              <w:rPr>
                <w:rFonts w:ascii="Arial" w:hAnsi="Arial" w:cs="Arial"/>
                <w:color w:val="000000"/>
                <w:sz w:val="22"/>
                <w:szCs w:val="22"/>
              </w:rPr>
              <w:t>. (Accessed 08/04/2025)</w:t>
            </w:r>
          </w:p>
          <w:p w14:paraId="69579506" w14:textId="77777777" w:rsidR="00E753B9" w:rsidRPr="00E753B9" w:rsidRDefault="00E753B9" w:rsidP="00E753B9">
            <w:pPr>
              <w:pStyle w:val="NormalWeb"/>
              <w:spacing w:before="0" w:after="240" w:line="360" w:lineRule="atLeast"/>
              <w:rPr>
                <w:rFonts w:ascii="Arial" w:hAnsi="Arial" w:cs="Arial"/>
                <w:color w:val="000000"/>
                <w:sz w:val="22"/>
                <w:szCs w:val="22"/>
              </w:rPr>
            </w:pPr>
            <w:r w:rsidRPr="00E753B9">
              <w:rPr>
                <w:rFonts w:ascii="Arial" w:hAnsi="Arial" w:cs="Arial"/>
                <w:color w:val="000000"/>
                <w:sz w:val="22"/>
                <w:szCs w:val="22"/>
              </w:rPr>
              <w:t>HMICFRS (2023).</w:t>
            </w:r>
            <w:r w:rsidRPr="00E753B9">
              <w:rPr>
                <w:rStyle w:val="apple-converted-space"/>
                <w:rFonts w:ascii="Arial" w:eastAsiaTheme="majorEastAsia" w:hAnsi="Arial" w:cs="Arial"/>
                <w:color w:val="000000"/>
                <w:sz w:val="22"/>
                <w:szCs w:val="22"/>
              </w:rPr>
              <w:t> </w:t>
            </w:r>
            <w:r w:rsidRPr="00E753B9">
              <w:rPr>
                <w:rFonts w:ascii="Arial" w:hAnsi="Arial" w:cs="Arial"/>
                <w:i/>
                <w:iCs/>
                <w:color w:val="000000"/>
                <w:sz w:val="22"/>
                <w:szCs w:val="22"/>
              </w:rPr>
              <w:t xml:space="preserve">State of Policing </w:t>
            </w:r>
            <w:proofErr w:type="gramStart"/>
            <w:r w:rsidRPr="00E753B9">
              <w:rPr>
                <w:rFonts w:ascii="Arial" w:hAnsi="Arial" w:cs="Arial"/>
                <w:i/>
                <w:iCs/>
                <w:color w:val="000000"/>
                <w:sz w:val="22"/>
                <w:szCs w:val="22"/>
              </w:rPr>
              <w:t>The</w:t>
            </w:r>
            <w:proofErr w:type="gramEnd"/>
            <w:r w:rsidRPr="00E753B9">
              <w:rPr>
                <w:rFonts w:ascii="Arial" w:hAnsi="Arial" w:cs="Arial"/>
                <w:i/>
                <w:iCs/>
                <w:color w:val="000000"/>
                <w:sz w:val="22"/>
                <w:szCs w:val="22"/>
              </w:rPr>
              <w:t xml:space="preserve"> Annual Assessment of Policing in England and Wales 2023 His Majesty’s Chief Inspector of Constabulary</w:t>
            </w:r>
            <w:r w:rsidRPr="00E753B9">
              <w:rPr>
                <w:rFonts w:ascii="Arial" w:hAnsi="Arial" w:cs="Arial"/>
                <w:color w:val="000000"/>
                <w:sz w:val="22"/>
                <w:szCs w:val="22"/>
              </w:rPr>
              <w:t xml:space="preserve">. Available at: </w:t>
            </w:r>
            <w:hyperlink r:id="rId16" w:history="1">
              <w:r w:rsidRPr="00E753B9">
                <w:rPr>
                  <w:rStyle w:val="Hyperlink"/>
                  <w:rFonts w:ascii="Arial" w:hAnsi="Arial" w:cs="Arial"/>
                  <w:sz w:val="22"/>
                  <w:szCs w:val="22"/>
                </w:rPr>
                <w:t>https://s3-eu-west-2.amazonaws.com/assets-hmicfrs.justiceinspectorates.gov.uk/uploads/state-of-policing-2023.pdf</w:t>
              </w:r>
            </w:hyperlink>
            <w:r w:rsidRPr="00E753B9">
              <w:rPr>
                <w:rFonts w:ascii="Arial" w:hAnsi="Arial" w:cs="Arial"/>
                <w:color w:val="000000"/>
                <w:sz w:val="22"/>
                <w:szCs w:val="22"/>
              </w:rPr>
              <w:t>. (Accessed 18/04/2025)</w:t>
            </w:r>
          </w:p>
          <w:p w14:paraId="5FFCF732" w14:textId="77777777" w:rsidR="00E753B9" w:rsidRPr="00E753B9" w:rsidRDefault="00E753B9" w:rsidP="00E753B9">
            <w:pPr>
              <w:pStyle w:val="NormalWeb"/>
              <w:spacing w:before="0" w:after="240" w:line="360" w:lineRule="atLeast"/>
              <w:rPr>
                <w:rFonts w:ascii="Arial" w:hAnsi="Arial" w:cs="Arial"/>
                <w:color w:val="000000"/>
                <w:sz w:val="22"/>
                <w:szCs w:val="22"/>
              </w:rPr>
            </w:pPr>
            <w:r w:rsidRPr="00E753B9">
              <w:rPr>
                <w:rFonts w:ascii="Arial" w:hAnsi="Arial" w:cs="Arial"/>
                <w:color w:val="000000"/>
                <w:sz w:val="22"/>
                <w:szCs w:val="22"/>
              </w:rPr>
              <w:t>Home Office (2021).</w:t>
            </w:r>
            <w:r w:rsidRPr="00E753B9">
              <w:rPr>
                <w:rStyle w:val="apple-converted-space"/>
                <w:rFonts w:ascii="Arial" w:eastAsiaTheme="majorEastAsia" w:hAnsi="Arial" w:cs="Arial"/>
                <w:color w:val="000000"/>
                <w:sz w:val="22"/>
                <w:szCs w:val="22"/>
              </w:rPr>
              <w:t> </w:t>
            </w:r>
            <w:r w:rsidRPr="00E753B9">
              <w:rPr>
                <w:rFonts w:ascii="Arial" w:hAnsi="Arial" w:cs="Arial"/>
                <w:i/>
                <w:iCs/>
                <w:color w:val="000000"/>
                <w:sz w:val="22"/>
                <w:szCs w:val="22"/>
              </w:rPr>
              <w:t>Confidence in the local police</w:t>
            </w:r>
            <w:r w:rsidRPr="00E753B9">
              <w:rPr>
                <w:rFonts w:ascii="Arial" w:hAnsi="Arial" w:cs="Arial"/>
                <w:color w:val="000000"/>
                <w:sz w:val="22"/>
                <w:szCs w:val="22"/>
              </w:rPr>
              <w:t xml:space="preserve">. www.ethnicity-facts-figures.service.gov.uk. Available at: </w:t>
            </w:r>
            <w:hyperlink r:id="rId17" w:anchor="main-facts-and-figures" w:history="1">
              <w:r w:rsidRPr="00E753B9">
                <w:rPr>
                  <w:rStyle w:val="Hyperlink"/>
                  <w:rFonts w:ascii="Arial" w:hAnsi="Arial" w:cs="Arial"/>
                  <w:sz w:val="22"/>
                  <w:szCs w:val="22"/>
                </w:rPr>
                <w:t>https://www.ethnicity-facts-figures.service.gov.uk/crime-justice-and-the-law/policing/confidence-in-the-local-police/latest/#main-facts-and-figures</w:t>
              </w:r>
            </w:hyperlink>
            <w:r w:rsidRPr="00E753B9">
              <w:rPr>
                <w:rFonts w:ascii="Arial" w:hAnsi="Arial" w:cs="Arial"/>
                <w:color w:val="000000"/>
                <w:sz w:val="22"/>
                <w:szCs w:val="22"/>
              </w:rPr>
              <w:t>. (Accessed 18/04/2025)</w:t>
            </w:r>
          </w:p>
          <w:p w14:paraId="06A42836" w14:textId="77777777" w:rsidR="00E753B9" w:rsidRPr="00E753B9" w:rsidRDefault="00E753B9" w:rsidP="00E753B9">
            <w:pPr>
              <w:pStyle w:val="NormalWeb"/>
              <w:spacing w:before="0" w:after="240" w:line="360" w:lineRule="atLeast"/>
              <w:rPr>
                <w:rFonts w:ascii="Arial" w:hAnsi="Arial" w:cs="Arial"/>
                <w:color w:val="000000"/>
                <w:sz w:val="22"/>
                <w:szCs w:val="22"/>
              </w:rPr>
            </w:pPr>
            <w:r w:rsidRPr="00E753B9">
              <w:rPr>
                <w:rFonts w:ascii="Arial" w:hAnsi="Arial" w:cs="Arial"/>
                <w:color w:val="000000"/>
                <w:sz w:val="22"/>
                <w:szCs w:val="22"/>
              </w:rPr>
              <w:t>Home Office (2023).</w:t>
            </w:r>
            <w:r w:rsidRPr="00E753B9">
              <w:rPr>
                <w:rStyle w:val="apple-converted-space"/>
                <w:rFonts w:ascii="Arial" w:eastAsiaTheme="majorEastAsia" w:hAnsi="Arial" w:cs="Arial"/>
                <w:color w:val="000000"/>
                <w:sz w:val="22"/>
                <w:szCs w:val="22"/>
              </w:rPr>
              <w:t> </w:t>
            </w:r>
            <w:r w:rsidRPr="00E753B9">
              <w:rPr>
                <w:rFonts w:ascii="Arial" w:hAnsi="Arial" w:cs="Arial"/>
                <w:i/>
                <w:iCs/>
                <w:color w:val="000000"/>
                <w:sz w:val="22"/>
                <w:szCs w:val="22"/>
              </w:rPr>
              <w:t>Strategic Policing Requirement 2023</w:t>
            </w:r>
            <w:r w:rsidRPr="00E753B9">
              <w:rPr>
                <w:rFonts w:ascii="Arial" w:hAnsi="Arial" w:cs="Arial"/>
                <w:color w:val="000000"/>
                <w:sz w:val="22"/>
                <w:szCs w:val="22"/>
              </w:rPr>
              <w:t xml:space="preserve">. GOV.UK. Available at: </w:t>
            </w:r>
            <w:hyperlink r:id="rId18" w:history="1">
              <w:r w:rsidRPr="00E753B9">
                <w:rPr>
                  <w:rStyle w:val="Hyperlink"/>
                  <w:rFonts w:ascii="Arial" w:hAnsi="Arial" w:cs="Arial"/>
                  <w:sz w:val="22"/>
                  <w:szCs w:val="22"/>
                </w:rPr>
                <w:t>https://www.gov.uk/government/publications/strategic-policing-requirement-2023</w:t>
              </w:r>
            </w:hyperlink>
            <w:r w:rsidRPr="00E753B9">
              <w:rPr>
                <w:rFonts w:ascii="Arial" w:hAnsi="Arial" w:cs="Arial"/>
                <w:color w:val="000000"/>
                <w:sz w:val="22"/>
                <w:szCs w:val="22"/>
              </w:rPr>
              <w:t>. (Accessed 29/04/2025)</w:t>
            </w:r>
          </w:p>
          <w:p w14:paraId="62A75A6F" w14:textId="77777777" w:rsidR="00E753B9" w:rsidRPr="00E753B9" w:rsidRDefault="00E753B9" w:rsidP="00E753B9">
            <w:pPr>
              <w:pStyle w:val="NormalWeb"/>
              <w:spacing w:before="0" w:after="240" w:line="360" w:lineRule="atLeast"/>
              <w:rPr>
                <w:rFonts w:ascii="Arial" w:hAnsi="Arial" w:cs="Arial"/>
                <w:color w:val="000000"/>
                <w:sz w:val="22"/>
                <w:szCs w:val="22"/>
              </w:rPr>
            </w:pPr>
            <w:r w:rsidRPr="00E753B9">
              <w:rPr>
                <w:rFonts w:ascii="Arial" w:hAnsi="Arial" w:cs="Arial"/>
                <w:color w:val="000000"/>
                <w:sz w:val="22"/>
                <w:szCs w:val="22"/>
              </w:rPr>
              <w:t>Jackson, J. and Bradford, B. (2010). What is Trust and Confidence in the Police?</w:t>
            </w:r>
            <w:r w:rsidRPr="00E753B9">
              <w:rPr>
                <w:rStyle w:val="apple-converted-space"/>
                <w:rFonts w:ascii="Arial" w:eastAsiaTheme="majorEastAsia" w:hAnsi="Arial" w:cs="Arial"/>
                <w:color w:val="000000"/>
                <w:sz w:val="22"/>
                <w:szCs w:val="22"/>
              </w:rPr>
              <w:t> </w:t>
            </w:r>
            <w:r w:rsidRPr="00E753B9">
              <w:rPr>
                <w:rFonts w:ascii="Arial" w:hAnsi="Arial" w:cs="Arial"/>
                <w:i/>
                <w:iCs/>
                <w:color w:val="000000"/>
                <w:sz w:val="22"/>
                <w:szCs w:val="22"/>
              </w:rPr>
              <w:t>Policing: A Journal of Policy and Practice</w:t>
            </w:r>
            <w:r w:rsidRPr="00E753B9">
              <w:rPr>
                <w:rFonts w:ascii="Arial" w:hAnsi="Arial" w:cs="Arial"/>
                <w:color w:val="000000"/>
                <w:sz w:val="22"/>
                <w:szCs w:val="22"/>
              </w:rPr>
              <w:t xml:space="preserve">, [online] 4(3), pp.241–248. </w:t>
            </w:r>
            <w:proofErr w:type="spellStart"/>
            <w:proofErr w:type="gramStart"/>
            <w:r w:rsidRPr="00E753B9">
              <w:rPr>
                <w:rFonts w:ascii="Arial" w:hAnsi="Arial" w:cs="Arial"/>
                <w:color w:val="000000"/>
                <w:sz w:val="22"/>
                <w:szCs w:val="22"/>
              </w:rPr>
              <w:t>doi:https</w:t>
            </w:r>
            <w:proofErr w:type="spellEnd"/>
            <w:r w:rsidRPr="00E753B9">
              <w:rPr>
                <w:rFonts w:ascii="Arial" w:hAnsi="Arial" w:cs="Arial"/>
                <w:color w:val="000000"/>
                <w:sz w:val="22"/>
                <w:szCs w:val="22"/>
              </w:rPr>
              <w:t>://doi.org/10.1093/police/paq020</w:t>
            </w:r>
            <w:proofErr w:type="gramEnd"/>
            <w:r w:rsidRPr="00E753B9">
              <w:rPr>
                <w:rFonts w:ascii="Arial" w:hAnsi="Arial" w:cs="Arial"/>
                <w:color w:val="000000"/>
                <w:sz w:val="22"/>
                <w:szCs w:val="22"/>
              </w:rPr>
              <w:t>. (Accessed 29/04/2025)</w:t>
            </w:r>
          </w:p>
          <w:p w14:paraId="0CCE3FE3" w14:textId="59E9B76E" w:rsidR="00E753B9" w:rsidRPr="00E753B9" w:rsidRDefault="00E753B9" w:rsidP="00E753B9">
            <w:pPr>
              <w:pStyle w:val="NormalWeb"/>
              <w:spacing w:before="0" w:after="240" w:line="360" w:lineRule="atLeast"/>
              <w:rPr>
                <w:rFonts w:ascii="Arial" w:hAnsi="Arial" w:cs="Arial"/>
                <w:color w:val="000000"/>
                <w:sz w:val="22"/>
                <w:szCs w:val="22"/>
                <w:lang w:eastAsia="en-GB"/>
              </w:rPr>
            </w:pPr>
            <w:r w:rsidRPr="00E753B9">
              <w:rPr>
                <w:rFonts w:ascii="Arial" w:hAnsi="Arial" w:cs="Arial"/>
                <w:color w:val="000000"/>
                <w:sz w:val="22"/>
                <w:szCs w:val="22"/>
              </w:rPr>
              <w:t>Macpherson, W. (1999).</w:t>
            </w:r>
            <w:r w:rsidRPr="00E753B9">
              <w:rPr>
                <w:rStyle w:val="apple-converted-space"/>
                <w:rFonts w:ascii="Arial" w:hAnsi="Arial" w:cs="Arial"/>
                <w:color w:val="000000"/>
                <w:sz w:val="22"/>
                <w:szCs w:val="22"/>
              </w:rPr>
              <w:t> </w:t>
            </w:r>
            <w:r w:rsidRPr="00E753B9">
              <w:rPr>
                <w:rFonts w:ascii="Arial" w:hAnsi="Arial" w:cs="Arial"/>
                <w:i/>
                <w:iCs/>
                <w:color w:val="000000"/>
                <w:sz w:val="22"/>
                <w:szCs w:val="22"/>
              </w:rPr>
              <w:t>The Stephen Lawrence Inquiry</w:t>
            </w:r>
            <w:r w:rsidRPr="00E753B9">
              <w:rPr>
                <w:rFonts w:ascii="Arial" w:hAnsi="Arial" w:cs="Arial"/>
                <w:color w:val="000000"/>
                <w:sz w:val="22"/>
                <w:szCs w:val="22"/>
              </w:rPr>
              <w:t>. [online]</w:t>
            </w:r>
            <w:r w:rsidRPr="00E753B9">
              <w:rPr>
                <w:rStyle w:val="apple-converted-space"/>
                <w:rFonts w:ascii="Arial" w:hAnsi="Arial" w:cs="Arial"/>
                <w:color w:val="000000"/>
                <w:sz w:val="22"/>
                <w:szCs w:val="22"/>
              </w:rPr>
              <w:t> </w:t>
            </w:r>
            <w:r w:rsidRPr="00E753B9">
              <w:rPr>
                <w:rFonts w:ascii="Arial" w:hAnsi="Arial" w:cs="Arial"/>
                <w:i/>
                <w:iCs/>
                <w:color w:val="000000"/>
                <w:sz w:val="22"/>
                <w:szCs w:val="22"/>
              </w:rPr>
              <w:t>GOV.UK</w:t>
            </w:r>
            <w:r w:rsidRPr="00E753B9">
              <w:rPr>
                <w:rFonts w:ascii="Arial" w:hAnsi="Arial" w:cs="Arial"/>
                <w:color w:val="000000"/>
                <w:sz w:val="22"/>
                <w:szCs w:val="22"/>
              </w:rPr>
              <w:t xml:space="preserve">. Available at: https://assets.publishing.service.gov.uk/media/5a7c2af540f0b645ba3c7202/4262.pdf </w:t>
            </w:r>
            <w:r w:rsidRPr="00E753B9">
              <w:rPr>
                <w:rFonts w:ascii="Arial" w:hAnsi="Arial" w:cs="Arial"/>
                <w:color w:val="000000"/>
                <w:sz w:val="22"/>
                <w:szCs w:val="22"/>
              </w:rPr>
              <w:t>(</w:t>
            </w:r>
            <w:r w:rsidRPr="00E753B9">
              <w:rPr>
                <w:rFonts w:ascii="Arial" w:hAnsi="Arial" w:cs="Arial"/>
                <w:color w:val="000000"/>
                <w:sz w:val="22"/>
                <w:szCs w:val="22"/>
              </w:rPr>
              <w:t>Accessed 9 Oct. 2025</w:t>
            </w:r>
            <w:r w:rsidRPr="00E753B9">
              <w:rPr>
                <w:rFonts w:ascii="Arial" w:hAnsi="Arial" w:cs="Arial"/>
                <w:color w:val="000000"/>
                <w:sz w:val="22"/>
                <w:szCs w:val="22"/>
              </w:rPr>
              <w:t>)</w:t>
            </w:r>
          </w:p>
          <w:p w14:paraId="7BDBC333" w14:textId="1C9408D9" w:rsidR="00E753B9" w:rsidRPr="00E753B9" w:rsidRDefault="00E753B9" w:rsidP="00E753B9">
            <w:pPr>
              <w:pStyle w:val="NormalWeb"/>
              <w:spacing w:before="0" w:after="240" w:line="360" w:lineRule="atLeast"/>
              <w:rPr>
                <w:rFonts w:ascii="Arial" w:hAnsi="Arial" w:cs="Arial"/>
                <w:color w:val="000000"/>
                <w:sz w:val="22"/>
                <w:szCs w:val="22"/>
                <w:lang w:eastAsia="en-GB"/>
              </w:rPr>
            </w:pPr>
            <w:r w:rsidRPr="00E753B9">
              <w:rPr>
                <w:rFonts w:ascii="Arial" w:hAnsi="Arial" w:cs="Arial"/>
                <w:color w:val="000000"/>
                <w:sz w:val="22"/>
                <w:szCs w:val="22"/>
              </w:rPr>
              <w:t>Marsh, A. (2024).</w:t>
            </w:r>
            <w:r w:rsidRPr="00E753B9">
              <w:rPr>
                <w:rStyle w:val="apple-converted-space"/>
                <w:rFonts w:ascii="Arial" w:hAnsi="Arial" w:cs="Arial"/>
                <w:color w:val="000000"/>
                <w:sz w:val="22"/>
                <w:szCs w:val="22"/>
              </w:rPr>
              <w:t> </w:t>
            </w:r>
            <w:r w:rsidRPr="00E753B9">
              <w:rPr>
                <w:rFonts w:ascii="Arial" w:hAnsi="Arial" w:cs="Arial"/>
                <w:i/>
                <w:iCs/>
                <w:color w:val="000000"/>
                <w:sz w:val="22"/>
                <w:szCs w:val="22"/>
              </w:rPr>
              <w:t>A new Code of Ethics for Policing – Committee on Standards in Public Life</w:t>
            </w:r>
            <w:r w:rsidRPr="00E753B9">
              <w:rPr>
                <w:rFonts w:ascii="Arial" w:hAnsi="Arial" w:cs="Arial"/>
                <w:color w:val="000000"/>
                <w:sz w:val="22"/>
                <w:szCs w:val="22"/>
              </w:rPr>
              <w:t xml:space="preserve">. [online] cspl.blog.gov.uk. Available at: https://cspl.blog.gov.uk/2024/03/21/a-new-code-of-ethics-for-policing/ </w:t>
            </w:r>
            <w:r w:rsidRPr="00E753B9">
              <w:rPr>
                <w:rFonts w:ascii="Arial" w:hAnsi="Arial" w:cs="Arial"/>
                <w:color w:val="000000"/>
                <w:sz w:val="22"/>
                <w:szCs w:val="22"/>
              </w:rPr>
              <w:t>(</w:t>
            </w:r>
            <w:r w:rsidRPr="00E753B9">
              <w:rPr>
                <w:rFonts w:ascii="Arial" w:hAnsi="Arial" w:cs="Arial"/>
                <w:color w:val="000000"/>
                <w:sz w:val="22"/>
                <w:szCs w:val="22"/>
              </w:rPr>
              <w:t>Accessed 25 Apr. 2025</w:t>
            </w:r>
            <w:r w:rsidRPr="00E753B9">
              <w:rPr>
                <w:rFonts w:ascii="Arial" w:hAnsi="Arial" w:cs="Arial"/>
                <w:color w:val="000000"/>
                <w:sz w:val="22"/>
                <w:szCs w:val="22"/>
              </w:rPr>
              <w:t>)</w:t>
            </w:r>
            <w:r w:rsidRPr="00E753B9">
              <w:rPr>
                <w:rFonts w:ascii="Arial" w:hAnsi="Arial" w:cs="Arial"/>
                <w:color w:val="000000"/>
                <w:sz w:val="22"/>
                <w:szCs w:val="22"/>
              </w:rPr>
              <w:t>.</w:t>
            </w:r>
          </w:p>
          <w:p w14:paraId="38DC688C" w14:textId="12B7393B" w:rsidR="00E753B9" w:rsidRPr="00E753B9" w:rsidRDefault="00E753B9" w:rsidP="00E753B9">
            <w:pPr>
              <w:pStyle w:val="NormalWeb"/>
              <w:spacing w:before="0" w:after="240" w:line="360" w:lineRule="atLeast"/>
              <w:rPr>
                <w:rFonts w:ascii="Arial" w:hAnsi="Arial" w:cs="Arial"/>
                <w:color w:val="000000"/>
                <w:sz w:val="22"/>
                <w:szCs w:val="22"/>
              </w:rPr>
            </w:pPr>
            <w:r w:rsidRPr="00E753B9">
              <w:rPr>
                <w:rFonts w:ascii="Arial" w:hAnsi="Arial" w:cs="Arial"/>
                <w:color w:val="000000"/>
                <w:sz w:val="22"/>
                <w:szCs w:val="22"/>
              </w:rPr>
              <w:lastRenderedPageBreak/>
              <w:t>Miller, J. (2010). Stop and Search in England: A Reformed Tactic or Business as Usual?</w:t>
            </w:r>
            <w:r w:rsidRPr="00E753B9">
              <w:rPr>
                <w:rStyle w:val="apple-converted-space"/>
                <w:rFonts w:ascii="Arial" w:hAnsi="Arial" w:cs="Arial"/>
                <w:color w:val="000000"/>
                <w:sz w:val="22"/>
                <w:szCs w:val="22"/>
              </w:rPr>
              <w:t> </w:t>
            </w:r>
            <w:r w:rsidRPr="00E753B9">
              <w:rPr>
                <w:rFonts w:ascii="Arial" w:hAnsi="Arial" w:cs="Arial"/>
                <w:i/>
                <w:iCs/>
                <w:color w:val="000000"/>
                <w:sz w:val="22"/>
                <w:szCs w:val="22"/>
              </w:rPr>
              <w:t>British Journal of Criminology</w:t>
            </w:r>
            <w:r w:rsidRPr="00E753B9">
              <w:rPr>
                <w:rFonts w:ascii="Arial" w:hAnsi="Arial" w:cs="Arial"/>
                <w:color w:val="000000"/>
                <w:sz w:val="22"/>
                <w:szCs w:val="22"/>
              </w:rPr>
              <w:t>, 50(5), pp.954–974.</w:t>
            </w:r>
            <w:r w:rsidRPr="00E753B9">
              <w:rPr>
                <w:rFonts w:ascii="Arial" w:hAnsi="Arial" w:cs="Arial"/>
                <w:color w:val="000000"/>
                <w:sz w:val="22"/>
                <w:szCs w:val="22"/>
              </w:rPr>
              <w:t xml:space="preserve"> (Accessed 09/10/2025)</w:t>
            </w:r>
          </w:p>
          <w:p w14:paraId="5D9EF9B5" w14:textId="77777777" w:rsidR="00E753B9" w:rsidRPr="00E753B9" w:rsidRDefault="00E753B9" w:rsidP="00E753B9">
            <w:pPr>
              <w:pStyle w:val="Default"/>
              <w:rPr>
                <w:rFonts w:ascii="Arial" w:hAnsi="Arial" w:cs="Arial"/>
                <w:sz w:val="22"/>
                <w:szCs w:val="22"/>
              </w:rPr>
            </w:pPr>
          </w:p>
          <w:p w14:paraId="5AAEF211" w14:textId="494544B7" w:rsidR="00E753B9" w:rsidRPr="003F4402" w:rsidRDefault="00E753B9" w:rsidP="00E753B9">
            <w:pPr>
              <w:pStyle w:val="NormalWeb"/>
              <w:spacing w:before="0" w:after="240" w:line="360" w:lineRule="atLeast"/>
              <w:rPr>
                <w:rFonts w:ascii="Arial" w:hAnsi="Arial" w:cs="Arial"/>
                <w:color w:val="000000"/>
                <w:sz w:val="22"/>
                <w:szCs w:val="22"/>
              </w:rPr>
            </w:pPr>
          </w:p>
          <w:p w14:paraId="5A47957B" w14:textId="77777777" w:rsidR="00E753B9" w:rsidRPr="00B61956" w:rsidRDefault="00E753B9" w:rsidP="00D977FF">
            <w:pPr>
              <w:jc w:val="both"/>
              <w:rPr>
                <w:rFonts w:asciiTheme="minorHAnsi" w:hAnsiTheme="minorHAnsi" w:cstheme="minorHAnsi"/>
                <w:bCs/>
                <w:i/>
                <w:sz w:val="22"/>
                <w:szCs w:val="22"/>
              </w:rPr>
            </w:pPr>
          </w:p>
          <w:p w14:paraId="3A8D2F69" w14:textId="77777777" w:rsidR="005C6CD8" w:rsidRPr="00B61956" w:rsidRDefault="005C6CD8" w:rsidP="00D977FF">
            <w:pPr>
              <w:jc w:val="both"/>
              <w:rPr>
                <w:rFonts w:asciiTheme="minorHAnsi" w:hAnsiTheme="minorHAnsi" w:cstheme="minorHAnsi"/>
                <w:sz w:val="22"/>
                <w:szCs w:val="22"/>
              </w:rPr>
            </w:pPr>
          </w:p>
        </w:tc>
      </w:tr>
    </w:tbl>
    <w:p w14:paraId="751501B0" w14:textId="77777777" w:rsidR="005C6CD8" w:rsidRPr="00B61956" w:rsidRDefault="005C6CD8" w:rsidP="00946F49">
      <w:pPr>
        <w:jc w:val="both"/>
        <w:rPr>
          <w:rFonts w:asciiTheme="minorHAnsi" w:hAnsiTheme="minorHAnsi" w:cstheme="minorHAnsi"/>
          <w:b/>
          <w:bCs/>
          <w:sz w:val="22"/>
          <w:szCs w:val="22"/>
        </w:rPr>
      </w:pPr>
    </w:p>
    <w:sectPr w:rsidR="005C6CD8" w:rsidRPr="00B61956" w:rsidSect="00D977FF">
      <w:footerReference w:type="first" r:id="rId19"/>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22E09" w14:textId="77777777" w:rsidR="00474231" w:rsidRDefault="00474231">
      <w:r>
        <w:separator/>
      </w:r>
    </w:p>
  </w:endnote>
  <w:endnote w:type="continuationSeparator" w:id="0">
    <w:p w14:paraId="45099A5C" w14:textId="77777777" w:rsidR="00474231" w:rsidRDefault="004742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6D499" w14:textId="77777777" w:rsidR="00474231" w:rsidRDefault="00474231">
      <w:r>
        <w:separator/>
      </w:r>
    </w:p>
  </w:footnote>
  <w:footnote w:type="continuationSeparator" w:id="0">
    <w:p w14:paraId="057182B3" w14:textId="77777777" w:rsidR="00474231" w:rsidRDefault="004742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0"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91678814">
    <w:abstractNumId w:val="29"/>
  </w:num>
  <w:num w:numId="2" w16cid:durableId="1336834404">
    <w:abstractNumId w:val="17"/>
  </w:num>
  <w:num w:numId="3" w16cid:durableId="1151872657">
    <w:abstractNumId w:val="14"/>
  </w:num>
  <w:num w:numId="4" w16cid:durableId="2123723088">
    <w:abstractNumId w:val="3"/>
  </w:num>
  <w:num w:numId="5" w16cid:durableId="40056653">
    <w:abstractNumId w:val="8"/>
  </w:num>
  <w:num w:numId="6" w16cid:durableId="56245680">
    <w:abstractNumId w:val="20"/>
  </w:num>
  <w:num w:numId="7" w16cid:durableId="1949190321">
    <w:abstractNumId w:val="35"/>
  </w:num>
  <w:num w:numId="8" w16cid:durableId="266616642">
    <w:abstractNumId w:val="19"/>
  </w:num>
  <w:num w:numId="9" w16cid:durableId="48304358">
    <w:abstractNumId w:val="6"/>
  </w:num>
  <w:num w:numId="10" w16cid:durableId="570312470">
    <w:abstractNumId w:val="28"/>
  </w:num>
  <w:num w:numId="11" w16cid:durableId="2011904586">
    <w:abstractNumId w:val="34"/>
  </w:num>
  <w:num w:numId="12" w16cid:durableId="1465736018">
    <w:abstractNumId w:val="2"/>
  </w:num>
  <w:num w:numId="13" w16cid:durableId="614600289">
    <w:abstractNumId w:val="16"/>
  </w:num>
  <w:num w:numId="14" w16cid:durableId="715588678">
    <w:abstractNumId w:val="26"/>
  </w:num>
  <w:num w:numId="15" w16cid:durableId="1247614220">
    <w:abstractNumId w:val="15"/>
  </w:num>
  <w:num w:numId="16" w16cid:durableId="1044865418">
    <w:abstractNumId w:val="23"/>
  </w:num>
  <w:num w:numId="17" w16cid:durableId="153304441">
    <w:abstractNumId w:val="12"/>
  </w:num>
  <w:num w:numId="18" w16cid:durableId="979503518">
    <w:abstractNumId w:val="30"/>
  </w:num>
  <w:num w:numId="19" w16cid:durableId="1737967946">
    <w:abstractNumId w:val="11"/>
  </w:num>
  <w:num w:numId="20" w16cid:durableId="1670329852">
    <w:abstractNumId w:val="9"/>
  </w:num>
  <w:num w:numId="21" w16cid:durableId="1254047114">
    <w:abstractNumId w:val="22"/>
  </w:num>
  <w:num w:numId="22" w16cid:durableId="1453206232">
    <w:abstractNumId w:val="7"/>
  </w:num>
  <w:num w:numId="23" w16cid:durableId="1485505780">
    <w:abstractNumId w:val="25"/>
  </w:num>
  <w:num w:numId="24" w16cid:durableId="370541916">
    <w:abstractNumId w:val="18"/>
  </w:num>
  <w:num w:numId="25" w16cid:durableId="1605334212">
    <w:abstractNumId w:val="33"/>
  </w:num>
  <w:num w:numId="26" w16cid:durableId="1220676575">
    <w:abstractNumId w:val="1"/>
  </w:num>
  <w:num w:numId="27" w16cid:durableId="1694333909">
    <w:abstractNumId w:val="24"/>
  </w:num>
  <w:num w:numId="28" w16cid:durableId="218178114">
    <w:abstractNumId w:val="5"/>
  </w:num>
  <w:num w:numId="29" w16cid:durableId="227034762">
    <w:abstractNumId w:val="21"/>
  </w:num>
  <w:num w:numId="30" w16cid:durableId="1719087783">
    <w:abstractNumId w:val="31"/>
  </w:num>
  <w:num w:numId="31" w16cid:durableId="69937039">
    <w:abstractNumId w:val="0"/>
  </w:num>
  <w:num w:numId="32" w16cid:durableId="1246920144">
    <w:abstractNumId w:val="27"/>
  </w:num>
  <w:num w:numId="33" w16cid:durableId="1407259758">
    <w:abstractNumId w:val="10"/>
  </w:num>
  <w:num w:numId="34" w16cid:durableId="1002465496">
    <w:abstractNumId w:val="4"/>
  </w:num>
  <w:num w:numId="35" w16cid:durableId="1067613660">
    <w:abstractNumId w:val="13"/>
  </w:num>
  <w:num w:numId="36" w16cid:durableId="681324591">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7A10"/>
    <w:rsid w:val="00011A21"/>
    <w:rsid w:val="00014B18"/>
    <w:rsid w:val="00016B96"/>
    <w:rsid w:val="00024596"/>
    <w:rsid w:val="000248F1"/>
    <w:rsid w:val="0003187C"/>
    <w:rsid w:val="00033F9D"/>
    <w:rsid w:val="00037D7A"/>
    <w:rsid w:val="0005268F"/>
    <w:rsid w:val="000533B6"/>
    <w:rsid w:val="000539BC"/>
    <w:rsid w:val="00054643"/>
    <w:rsid w:val="0006121C"/>
    <w:rsid w:val="00063B81"/>
    <w:rsid w:val="00066934"/>
    <w:rsid w:val="000703E5"/>
    <w:rsid w:val="000710D9"/>
    <w:rsid w:val="00074CA3"/>
    <w:rsid w:val="0007545A"/>
    <w:rsid w:val="00082493"/>
    <w:rsid w:val="00084BDF"/>
    <w:rsid w:val="0008794F"/>
    <w:rsid w:val="00094248"/>
    <w:rsid w:val="00096653"/>
    <w:rsid w:val="000971B7"/>
    <w:rsid w:val="00097352"/>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2BBF"/>
    <w:rsid w:val="00133E21"/>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32D0"/>
    <w:rsid w:val="00224B24"/>
    <w:rsid w:val="002349F9"/>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2536"/>
    <w:rsid w:val="002D5346"/>
    <w:rsid w:val="002E2021"/>
    <w:rsid w:val="002E37FD"/>
    <w:rsid w:val="002F09DD"/>
    <w:rsid w:val="00306B2E"/>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0722E"/>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4231"/>
    <w:rsid w:val="004763DA"/>
    <w:rsid w:val="00485CD3"/>
    <w:rsid w:val="0049337D"/>
    <w:rsid w:val="00494764"/>
    <w:rsid w:val="004C14DE"/>
    <w:rsid w:val="004C179C"/>
    <w:rsid w:val="004C5456"/>
    <w:rsid w:val="004C71C5"/>
    <w:rsid w:val="004E1EAD"/>
    <w:rsid w:val="004E5E28"/>
    <w:rsid w:val="00507638"/>
    <w:rsid w:val="00515963"/>
    <w:rsid w:val="00516F07"/>
    <w:rsid w:val="005237D2"/>
    <w:rsid w:val="00533528"/>
    <w:rsid w:val="00541151"/>
    <w:rsid w:val="00542222"/>
    <w:rsid w:val="00550956"/>
    <w:rsid w:val="00557E08"/>
    <w:rsid w:val="00560AB9"/>
    <w:rsid w:val="00563D06"/>
    <w:rsid w:val="00566209"/>
    <w:rsid w:val="00566254"/>
    <w:rsid w:val="005673F0"/>
    <w:rsid w:val="0057057D"/>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741FC"/>
    <w:rsid w:val="007767BA"/>
    <w:rsid w:val="0079068F"/>
    <w:rsid w:val="00790B92"/>
    <w:rsid w:val="007B6E74"/>
    <w:rsid w:val="007C3B96"/>
    <w:rsid w:val="007C3D4F"/>
    <w:rsid w:val="007C4193"/>
    <w:rsid w:val="007C65FD"/>
    <w:rsid w:val="007D3209"/>
    <w:rsid w:val="007D683E"/>
    <w:rsid w:val="007E121F"/>
    <w:rsid w:val="007E3C6A"/>
    <w:rsid w:val="007E7AD4"/>
    <w:rsid w:val="007F280A"/>
    <w:rsid w:val="007F2B49"/>
    <w:rsid w:val="00806455"/>
    <w:rsid w:val="0080711E"/>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6E1"/>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3EE"/>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85A39"/>
    <w:rsid w:val="00B919E6"/>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65D0"/>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11EAC"/>
    <w:rsid w:val="00D21FC1"/>
    <w:rsid w:val="00D26C44"/>
    <w:rsid w:val="00D27F45"/>
    <w:rsid w:val="00D47BD9"/>
    <w:rsid w:val="00D56073"/>
    <w:rsid w:val="00D5794A"/>
    <w:rsid w:val="00D61900"/>
    <w:rsid w:val="00D61B19"/>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5D1E"/>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753B9"/>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3483C"/>
    <w:rsid w:val="00F35990"/>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75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609697798">
      <w:bodyDiv w:val="1"/>
      <w:marLeft w:val="0"/>
      <w:marRight w:val="0"/>
      <w:marTop w:val="0"/>
      <w:marBottom w:val="0"/>
      <w:divBdr>
        <w:top w:val="none" w:sz="0" w:space="0" w:color="auto"/>
        <w:left w:val="none" w:sz="0" w:space="0" w:color="auto"/>
        <w:bottom w:val="none" w:sz="0" w:space="0" w:color="auto"/>
        <w:right w:val="none" w:sz="0" w:space="0" w:color="auto"/>
      </w:divBdr>
      <w:divsChild>
        <w:div w:id="1343388630">
          <w:marLeft w:val="0"/>
          <w:marRight w:val="0"/>
          <w:marTop w:val="0"/>
          <w:marBottom w:val="0"/>
          <w:divBdr>
            <w:top w:val="none" w:sz="0" w:space="0" w:color="auto"/>
            <w:left w:val="none" w:sz="0" w:space="0" w:color="auto"/>
            <w:bottom w:val="none" w:sz="0" w:space="0" w:color="auto"/>
            <w:right w:val="none" w:sz="0" w:space="0" w:color="auto"/>
          </w:divBdr>
        </w:div>
      </w:divsChild>
    </w:div>
    <w:div w:id="1813675075">
      <w:bodyDiv w:val="1"/>
      <w:marLeft w:val="0"/>
      <w:marRight w:val="0"/>
      <w:marTop w:val="0"/>
      <w:marBottom w:val="0"/>
      <w:divBdr>
        <w:top w:val="none" w:sz="0" w:space="0" w:color="auto"/>
        <w:left w:val="none" w:sz="0" w:space="0" w:color="auto"/>
        <w:bottom w:val="none" w:sz="0" w:space="0" w:color="auto"/>
        <w:right w:val="none" w:sz="0" w:space="0" w:color="auto"/>
      </w:divBdr>
      <w:divsChild>
        <w:div w:id="2902888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lege.police.uk/article/vetting-code-practice-updated" TargetMode="External"/><Relationship Id="rId18" Type="http://schemas.openxmlformats.org/officeDocument/2006/relationships/hyperlink" Target="https://www.gov.uk/government/publications/strategic-policing-requirement-2023"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assets.publishing.service.gov.uk/media/65e05420cf7eb1b0e5f57eff/E02740018_Angiolini_Inquiry_HC_530_Accessible.pdf" TargetMode="External"/><Relationship Id="rId17" Type="http://schemas.openxmlformats.org/officeDocument/2006/relationships/hyperlink" Target="https://www.ethnicity-facts-figures.service.gov.uk/crime-justice-and-the-law/policing/confidence-in-the-local-police/latest/" TargetMode="External"/><Relationship Id="rId2" Type="http://schemas.openxmlformats.org/officeDocument/2006/relationships/customXml" Target="../customXml/item2.xml"/><Relationship Id="rId16" Type="http://schemas.openxmlformats.org/officeDocument/2006/relationships/hyperlink" Target="https://s3-eu-west-2.amazonaws.com/assets-hmicfrs.justiceinspectorates.gov.uk/uploads/state-of-policing-202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public-perceptions-of-policing-a-review-of-research-and-literature/public-perceptions-of-policing-a-review-of-research-and-literature"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article/new-strategy-aims-transform-police-culture-and-rebuild-public-tru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4</Pages>
  <Words>984</Words>
  <Characters>5611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6582</CharactersWithSpaces>
  <SharedDoc>false</SharedDoc>
  <HLinks>
    <vt:vector size="294" baseType="variant">
      <vt:variant>
        <vt:i4>7077933</vt:i4>
      </vt:variant>
      <vt:variant>
        <vt:i4>240</vt:i4>
      </vt:variant>
      <vt:variant>
        <vt:i4>0</vt:i4>
      </vt:variant>
      <vt:variant>
        <vt:i4>5</vt:i4>
      </vt:variant>
      <vt:variant>
        <vt:lpwstr>http://www.socscistatistics.com/tests/chisquare2/Default2.aspx</vt:lpwstr>
      </vt:variant>
      <vt:variant>
        <vt:lpwstr/>
      </vt:variant>
      <vt:variant>
        <vt:i4>2293787</vt:i4>
      </vt:variant>
      <vt:variant>
        <vt:i4>234</vt:i4>
      </vt:variant>
      <vt:variant>
        <vt:i4>0</vt:i4>
      </vt:variant>
      <vt:variant>
        <vt:i4>5</vt:i4>
      </vt:variant>
      <vt:variant>
        <vt:lpwstr>mailto:caroline.jawad@uwtsd.ac.uk</vt:lpwstr>
      </vt:variant>
      <vt:variant>
        <vt:lpwstr/>
      </vt:variant>
      <vt:variant>
        <vt:i4>524310</vt:i4>
      </vt:variant>
      <vt:variant>
        <vt:i4>228</vt:i4>
      </vt:variant>
      <vt:variant>
        <vt:i4>0</vt:i4>
      </vt:variant>
      <vt:variant>
        <vt:i4>5</vt:i4>
      </vt:variant>
      <vt:variant>
        <vt:lpwstr>http://www.ucalgary.ca/md/CAH/research/books.htm</vt:lpwstr>
      </vt:variant>
      <vt:variant>
        <vt:lpwstr/>
      </vt:variant>
      <vt:variant>
        <vt:i4>7995505</vt:i4>
      </vt:variant>
      <vt:variant>
        <vt:i4>225</vt:i4>
      </vt:variant>
      <vt:variant>
        <vt:i4>0</vt:i4>
      </vt:variant>
      <vt:variant>
        <vt:i4>5</vt:i4>
      </vt:variant>
      <vt:variant>
        <vt:lpwstr>http://www.uwtsd.ac.uk/library/online-library/</vt:lpwstr>
      </vt:variant>
      <vt:variant>
        <vt:lpwstr/>
      </vt:variant>
      <vt:variant>
        <vt:i4>8126506</vt:i4>
      </vt:variant>
      <vt:variant>
        <vt:i4>221</vt:i4>
      </vt:variant>
      <vt:variant>
        <vt:i4>0</vt:i4>
      </vt:variant>
      <vt:variant>
        <vt:i4>5</vt:i4>
      </vt:variant>
      <vt:variant>
        <vt:lpwstr>http://www.uwtsd.ac.uk/library/</vt:lpwstr>
      </vt:variant>
      <vt:variant>
        <vt:lpwstr/>
      </vt:variant>
      <vt:variant>
        <vt:i4>524373</vt:i4>
      </vt:variant>
      <vt:variant>
        <vt:i4>219</vt:i4>
      </vt:variant>
      <vt:variant>
        <vt:i4>0</vt:i4>
      </vt:variant>
      <vt:variant>
        <vt:i4>5</vt:i4>
      </vt:variant>
      <vt:variant>
        <vt:lpwstr>http://www.tsd.ac.uk/en/lrc/</vt:lpwstr>
      </vt:variant>
      <vt:variant>
        <vt:lpwstr/>
      </vt:variant>
      <vt:variant>
        <vt:i4>4915286</vt:i4>
      </vt:variant>
      <vt:variant>
        <vt:i4>216</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3539070</vt:i4>
      </vt:variant>
      <vt:variant>
        <vt:i4>213</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7143453</vt:i4>
      </vt:variant>
      <vt:variant>
        <vt:i4>210</vt:i4>
      </vt:variant>
      <vt:variant>
        <vt:i4>0</vt:i4>
      </vt:variant>
      <vt:variant>
        <vt:i4>5</vt:i4>
      </vt:variant>
      <vt:variant>
        <vt:lpwstr>mailto:pgresearch@uwtsd.ac.uk</vt:lpwstr>
      </vt:variant>
      <vt:variant>
        <vt:lpwstr/>
      </vt:variant>
      <vt:variant>
        <vt:i4>2162720</vt:i4>
      </vt:variant>
      <vt:variant>
        <vt:i4>207</vt:i4>
      </vt:variant>
      <vt:variant>
        <vt:i4>0</vt:i4>
      </vt:variant>
      <vt:variant>
        <vt:i4>5</vt:i4>
      </vt:variant>
      <vt:variant>
        <vt:lpwstr>http://www.uwtsd.ac.uk/academic-office/</vt:lpwstr>
      </vt:variant>
      <vt:variant>
        <vt:lpwstr/>
      </vt:variant>
      <vt:variant>
        <vt:i4>7143453</vt:i4>
      </vt:variant>
      <vt:variant>
        <vt:i4>204</vt:i4>
      </vt:variant>
      <vt:variant>
        <vt:i4>0</vt:i4>
      </vt:variant>
      <vt:variant>
        <vt:i4>5</vt:i4>
      </vt:variant>
      <vt:variant>
        <vt:lpwstr>mailto:pgresearch@uwtsd.ac.uk</vt:lpwstr>
      </vt:variant>
      <vt:variant>
        <vt:lpwstr/>
      </vt:variant>
      <vt:variant>
        <vt:i4>2097257</vt:i4>
      </vt:variant>
      <vt:variant>
        <vt:i4>201</vt:i4>
      </vt:variant>
      <vt:variant>
        <vt:i4>0</vt:i4>
      </vt:variant>
      <vt:variant>
        <vt:i4>5</vt:i4>
      </vt:variant>
      <vt:variant>
        <vt:lpwstr>http://www.uwtsd.ac.uk/media/uwtsd-website/content-assets/documents/research/Research-Integrity-and-Ethics---Code-of-Practice-(2015-18).pdf</vt:lpwstr>
      </vt:variant>
      <vt:variant>
        <vt:lpwstr/>
      </vt:variant>
      <vt:variant>
        <vt:i4>1703951</vt:i4>
      </vt:variant>
      <vt:variant>
        <vt:i4>198</vt:i4>
      </vt:variant>
      <vt:variant>
        <vt:i4>0</vt:i4>
      </vt:variant>
      <vt:variant>
        <vt:i4>5</vt:i4>
      </vt:variant>
      <vt:variant>
        <vt:lpwstr>http://uwtsd.ac.uk/library/research-data-management/</vt:lpwstr>
      </vt:variant>
      <vt:variant>
        <vt:lpwstr/>
      </vt:variant>
      <vt:variant>
        <vt:i4>3539070</vt:i4>
      </vt:variant>
      <vt:variant>
        <vt:i4>195</vt:i4>
      </vt:variant>
      <vt:variant>
        <vt:i4>0</vt:i4>
      </vt:variant>
      <vt:variant>
        <vt:i4>5</vt:i4>
      </vt:variant>
      <vt:variant>
        <vt:lpwstr>http://www.uwtsd.ac.uk/media/uwtsd-website/content-assets/documents/academic-office/quality-handbook/Chapter_07_Assessment_Taught_Programmes_Pages_105-130.pdf</vt:lpwstr>
      </vt:variant>
      <vt:variant>
        <vt:lpwstr/>
      </vt:variant>
      <vt:variant>
        <vt:i4>2818167</vt:i4>
      </vt:variant>
      <vt:variant>
        <vt:i4>192</vt:i4>
      </vt:variant>
      <vt:variant>
        <vt:i4>0</vt:i4>
      </vt:variant>
      <vt:variant>
        <vt:i4>5</vt:i4>
      </vt:variant>
      <vt:variant>
        <vt:lpwstr>http://www.socresonline.ora.uklsocresonline/2/1/6.html</vt:lpwstr>
      </vt:variant>
      <vt:variant>
        <vt:lpwstr/>
      </vt:variant>
      <vt:variant>
        <vt:i4>3801197</vt:i4>
      </vt:variant>
      <vt:variant>
        <vt:i4>189</vt:i4>
      </vt:variant>
      <vt:variant>
        <vt:i4>0</vt:i4>
      </vt:variant>
      <vt:variant>
        <vt:i4>5</vt:i4>
      </vt:variant>
      <vt:variant>
        <vt:lpwstr>http://www.uwtsd.ac.uk/media/uwtsd-website/content-assets/documents/academic-office/quality-handbook/Chapter_06_Taught_Award_Regulations_Pages_34-88.pdf</vt:lpwstr>
      </vt:variant>
      <vt:variant>
        <vt:lpwstr/>
      </vt:variant>
      <vt:variant>
        <vt:i4>1114185</vt:i4>
      </vt:variant>
      <vt:variant>
        <vt:i4>186</vt:i4>
      </vt:variant>
      <vt:variant>
        <vt:i4>0</vt:i4>
      </vt:variant>
      <vt:variant>
        <vt:i4>5</vt:i4>
      </vt:variant>
      <vt:variant>
        <vt:lpwstr>https://www-dawsonera-com.v-ezproxy.smu.ac.uk/abstract/9780335242405</vt:lpwstr>
      </vt:variant>
      <vt:variant>
        <vt:lpwstr/>
      </vt:variant>
      <vt:variant>
        <vt:i4>6422653</vt:i4>
      </vt:variant>
      <vt:variant>
        <vt:i4>183</vt:i4>
      </vt:variant>
      <vt:variant>
        <vt:i4>0</vt:i4>
      </vt:variant>
      <vt:variant>
        <vt:i4>5</vt:i4>
      </vt:variant>
      <vt:variant>
        <vt:lpwstr>https://www-dawsonera-com.v-ezproxy.smu.ac.uk/search?sType=ALL&amp;searchForType=2&amp;author=%22Julie%20Pallant.%22&amp;searchBy=0</vt:lpwstr>
      </vt:variant>
      <vt:variant>
        <vt:lpwstr/>
      </vt:variant>
      <vt:variant>
        <vt:i4>4915286</vt:i4>
      </vt:variant>
      <vt:variant>
        <vt:i4>180</vt:i4>
      </vt:variant>
      <vt:variant>
        <vt:i4>0</vt:i4>
      </vt:variant>
      <vt:variant>
        <vt:i4>5</vt:i4>
      </vt:variant>
      <vt:variant>
        <vt:lpwstr>http://www.uwtsd.ac.uk/media/uwtsd-website/content-assets/documents/academic-office/quality-handbook/Chapter_07_Assessment_Taught_Programmes_Pages_89-114.pdf</vt:lpwstr>
      </vt:variant>
      <vt:variant>
        <vt:lpwstr/>
      </vt:variant>
      <vt:variant>
        <vt:i4>2949210</vt:i4>
      </vt:variant>
      <vt:variant>
        <vt:i4>177</vt:i4>
      </vt:variant>
      <vt:variant>
        <vt:i4>0</vt:i4>
      </vt:variant>
      <vt:variant>
        <vt:i4>5</vt:i4>
      </vt:variant>
      <vt:variant>
        <vt:lpwstr>http://www.uwtsd.ac.uk/media/uwtsd-website/content-assets/documents/academic-office/quality-handbook/Chapter_13_Student_Cases_Pages_243-279.pdf</vt:lpwstr>
      </vt:variant>
      <vt:variant>
        <vt:lpwstr/>
      </vt:variant>
      <vt:variant>
        <vt:i4>1507382</vt:i4>
      </vt:variant>
      <vt:variant>
        <vt:i4>170</vt:i4>
      </vt:variant>
      <vt:variant>
        <vt:i4>0</vt:i4>
      </vt:variant>
      <vt:variant>
        <vt:i4>5</vt:i4>
      </vt:variant>
      <vt:variant>
        <vt:lpwstr/>
      </vt:variant>
      <vt:variant>
        <vt:lpwstr>_Toc526259094</vt:lpwstr>
      </vt:variant>
      <vt:variant>
        <vt:i4>1507382</vt:i4>
      </vt:variant>
      <vt:variant>
        <vt:i4>164</vt:i4>
      </vt:variant>
      <vt:variant>
        <vt:i4>0</vt:i4>
      </vt:variant>
      <vt:variant>
        <vt:i4>5</vt:i4>
      </vt:variant>
      <vt:variant>
        <vt:lpwstr/>
      </vt:variant>
      <vt:variant>
        <vt:lpwstr>_Toc526259093</vt:lpwstr>
      </vt:variant>
      <vt:variant>
        <vt:i4>1507382</vt:i4>
      </vt:variant>
      <vt:variant>
        <vt:i4>158</vt:i4>
      </vt:variant>
      <vt:variant>
        <vt:i4>0</vt:i4>
      </vt:variant>
      <vt:variant>
        <vt:i4>5</vt:i4>
      </vt:variant>
      <vt:variant>
        <vt:lpwstr/>
      </vt:variant>
      <vt:variant>
        <vt:lpwstr>_Toc526259092</vt:lpwstr>
      </vt:variant>
      <vt:variant>
        <vt:i4>1507382</vt:i4>
      </vt:variant>
      <vt:variant>
        <vt:i4>152</vt:i4>
      </vt:variant>
      <vt:variant>
        <vt:i4>0</vt:i4>
      </vt:variant>
      <vt:variant>
        <vt:i4>5</vt:i4>
      </vt:variant>
      <vt:variant>
        <vt:lpwstr/>
      </vt:variant>
      <vt:variant>
        <vt:lpwstr>_Toc526259091</vt:lpwstr>
      </vt:variant>
      <vt:variant>
        <vt:i4>1507382</vt:i4>
      </vt:variant>
      <vt:variant>
        <vt:i4>146</vt:i4>
      </vt:variant>
      <vt:variant>
        <vt:i4>0</vt:i4>
      </vt:variant>
      <vt:variant>
        <vt:i4>5</vt:i4>
      </vt:variant>
      <vt:variant>
        <vt:lpwstr/>
      </vt:variant>
      <vt:variant>
        <vt:lpwstr>_Toc526259090</vt:lpwstr>
      </vt:variant>
      <vt:variant>
        <vt:i4>1441846</vt:i4>
      </vt:variant>
      <vt:variant>
        <vt:i4>140</vt:i4>
      </vt:variant>
      <vt:variant>
        <vt:i4>0</vt:i4>
      </vt:variant>
      <vt:variant>
        <vt:i4>5</vt:i4>
      </vt:variant>
      <vt:variant>
        <vt:lpwstr/>
      </vt:variant>
      <vt:variant>
        <vt:lpwstr>_Toc526259089</vt:lpwstr>
      </vt:variant>
      <vt:variant>
        <vt:i4>1441846</vt:i4>
      </vt:variant>
      <vt:variant>
        <vt:i4>134</vt:i4>
      </vt:variant>
      <vt:variant>
        <vt:i4>0</vt:i4>
      </vt:variant>
      <vt:variant>
        <vt:i4>5</vt:i4>
      </vt:variant>
      <vt:variant>
        <vt:lpwstr/>
      </vt:variant>
      <vt:variant>
        <vt:lpwstr>_Toc526259088</vt:lpwstr>
      </vt:variant>
      <vt:variant>
        <vt:i4>1441846</vt:i4>
      </vt:variant>
      <vt:variant>
        <vt:i4>128</vt:i4>
      </vt:variant>
      <vt:variant>
        <vt:i4>0</vt:i4>
      </vt:variant>
      <vt:variant>
        <vt:i4>5</vt:i4>
      </vt:variant>
      <vt:variant>
        <vt:lpwstr/>
      </vt:variant>
      <vt:variant>
        <vt:lpwstr>_Toc526259087</vt:lpwstr>
      </vt:variant>
      <vt:variant>
        <vt:i4>1441846</vt:i4>
      </vt:variant>
      <vt:variant>
        <vt:i4>122</vt:i4>
      </vt:variant>
      <vt:variant>
        <vt:i4>0</vt:i4>
      </vt:variant>
      <vt:variant>
        <vt:i4>5</vt:i4>
      </vt:variant>
      <vt:variant>
        <vt:lpwstr/>
      </vt:variant>
      <vt:variant>
        <vt:lpwstr>_Toc526259086</vt:lpwstr>
      </vt:variant>
      <vt:variant>
        <vt:i4>1441846</vt:i4>
      </vt:variant>
      <vt:variant>
        <vt:i4>116</vt:i4>
      </vt:variant>
      <vt:variant>
        <vt:i4>0</vt:i4>
      </vt:variant>
      <vt:variant>
        <vt:i4>5</vt:i4>
      </vt:variant>
      <vt:variant>
        <vt:lpwstr/>
      </vt:variant>
      <vt:variant>
        <vt:lpwstr>_Toc526259085</vt:lpwstr>
      </vt:variant>
      <vt:variant>
        <vt:i4>1441846</vt:i4>
      </vt:variant>
      <vt:variant>
        <vt:i4>110</vt:i4>
      </vt:variant>
      <vt:variant>
        <vt:i4>0</vt:i4>
      </vt:variant>
      <vt:variant>
        <vt:i4>5</vt:i4>
      </vt:variant>
      <vt:variant>
        <vt:lpwstr/>
      </vt:variant>
      <vt:variant>
        <vt:lpwstr>_Toc526259084</vt:lpwstr>
      </vt:variant>
      <vt:variant>
        <vt:i4>1441846</vt:i4>
      </vt:variant>
      <vt:variant>
        <vt:i4>104</vt:i4>
      </vt:variant>
      <vt:variant>
        <vt:i4>0</vt:i4>
      </vt:variant>
      <vt:variant>
        <vt:i4>5</vt:i4>
      </vt:variant>
      <vt:variant>
        <vt:lpwstr/>
      </vt:variant>
      <vt:variant>
        <vt:lpwstr>_Toc526259083</vt:lpwstr>
      </vt:variant>
      <vt:variant>
        <vt:i4>1441846</vt:i4>
      </vt:variant>
      <vt:variant>
        <vt:i4>98</vt:i4>
      </vt:variant>
      <vt:variant>
        <vt:i4>0</vt:i4>
      </vt:variant>
      <vt:variant>
        <vt:i4>5</vt:i4>
      </vt:variant>
      <vt:variant>
        <vt:lpwstr/>
      </vt:variant>
      <vt:variant>
        <vt:lpwstr>_Toc526259082</vt:lpwstr>
      </vt:variant>
      <vt:variant>
        <vt:i4>1441846</vt:i4>
      </vt:variant>
      <vt:variant>
        <vt:i4>92</vt:i4>
      </vt:variant>
      <vt:variant>
        <vt:i4>0</vt:i4>
      </vt:variant>
      <vt:variant>
        <vt:i4>5</vt:i4>
      </vt:variant>
      <vt:variant>
        <vt:lpwstr/>
      </vt:variant>
      <vt:variant>
        <vt:lpwstr>_Toc526259081</vt:lpwstr>
      </vt:variant>
      <vt:variant>
        <vt:i4>1441846</vt:i4>
      </vt:variant>
      <vt:variant>
        <vt:i4>86</vt:i4>
      </vt:variant>
      <vt:variant>
        <vt:i4>0</vt:i4>
      </vt:variant>
      <vt:variant>
        <vt:i4>5</vt:i4>
      </vt:variant>
      <vt:variant>
        <vt:lpwstr/>
      </vt:variant>
      <vt:variant>
        <vt:lpwstr>_Toc526259080</vt:lpwstr>
      </vt:variant>
      <vt:variant>
        <vt:i4>1638454</vt:i4>
      </vt:variant>
      <vt:variant>
        <vt:i4>80</vt:i4>
      </vt:variant>
      <vt:variant>
        <vt:i4>0</vt:i4>
      </vt:variant>
      <vt:variant>
        <vt:i4>5</vt:i4>
      </vt:variant>
      <vt:variant>
        <vt:lpwstr/>
      </vt:variant>
      <vt:variant>
        <vt:lpwstr>_Toc526259079</vt:lpwstr>
      </vt:variant>
      <vt:variant>
        <vt:i4>1638454</vt:i4>
      </vt:variant>
      <vt:variant>
        <vt:i4>74</vt:i4>
      </vt:variant>
      <vt:variant>
        <vt:i4>0</vt:i4>
      </vt:variant>
      <vt:variant>
        <vt:i4>5</vt:i4>
      </vt:variant>
      <vt:variant>
        <vt:lpwstr/>
      </vt:variant>
      <vt:variant>
        <vt:lpwstr>_Toc526259078</vt:lpwstr>
      </vt:variant>
      <vt:variant>
        <vt:i4>1638454</vt:i4>
      </vt:variant>
      <vt:variant>
        <vt:i4>68</vt:i4>
      </vt:variant>
      <vt:variant>
        <vt:i4>0</vt:i4>
      </vt:variant>
      <vt:variant>
        <vt:i4>5</vt:i4>
      </vt:variant>
      <vt:variant>
        <vt:lpwstr/>
      </vt:variant>
      <vt:variant>
        <vt:lpwstr>_Toc526259077</vt:lpwstr>
      </vt:variant>
      <vt:variant>
        <vt:i4>1638454</vt:i4>
      </vt:variant>
      <vt:variant>
        <vt:i4>62</vt:i4>
      </vt:variant>
      <vt:variant>
        <vt:i4>0</vt:i4>
      </vt:variant>
      <vt:variant>
        <vt:i4>5</vt:i4>
      </vt:variant>
      <vt:variant>
        <vt:lpwstr/>
      </vt:variant>
      <vt:variant>
        <vt:lpwstr>_Toc526259076</vt:lpwstr>
      </vt:variant>
      <vt:variant>
        <vt:i4>1638454</vt:i4>
      </vt:variant>
      <vt:variant>
        <vt:i4>56</vt:i4>
      </vt:variant>
      <vt:variant>
        <vt:i4>0</vt:i4>
      </vt:variant>
      <vt:variant>
        <vt:i4>5</vt:i4>
      </vt:variant>
      <vt:variant>
        <vt:lpwstr/>
      </vt:variant>
      <vt:variant>
        <vt:lpwstr>_Toc526259075</vt:lpwstr>
      </vt:variant>
      <vt:variant>
        <vt:i4>1638454</vt:i4>
      </vt:variant>
      <vt:variant>
        <vt:i4>50</vt:i4>
      </vt:variant>
      <vt:variant>
        <vt:i4>0</vt:i4>
      </vt:variant>
      <vt:variant>
        <vt:i4>5</vt:i4>
      </vt:variant>
      <vt:variant>
        <vt:lpwstr/>
      </vt:variant>
      <vt:variant>
        <vt:lpwstr>_Toc526259074</vt:lpwstr>
      </vt:variant>
      <vt:variant>
        <vt:i4>1638454</vt:i4>
      </vt:variant>
      <vt:variant>
        <vt:i4>44</vt:i4>
      </vt:variant>
      <vt:variant>
        <vt:i4>0</vt:i4>
      </vt:variant>
      <vt:variant>
        <vt:i4>5</vt:i4>
      </vt:variant>
      <vt:variant>
        <vt:lpwstr/>
      </vt:variant>
      <vt:variant>
        <vt:lpwstr>_Toc526259073</vt:lpwstr>
      </vt:variant>
      <vt:variant>
        <vt:i4>1638454</vt:i4>
      </vt:variant>
      <vt:variant>
        <vt:i4>38</vt:i4>
      </vt:variant>
      <vt:variant>
        <vt:i4>0</vt:i4>
      </vt:variant>
      <vt:variant>
        <vt:i4>5</vt:i4>
      </vt:variant>
      <vt:variant>
        <vt:lpwstr/>
      </vt:variant>
      <vt:variant>
        <vt:lpwstr>_Toc526259072</vt:lpwstr>
      </vt:variant>
      <vt:variant>
        <vt:i4>1638454</vt:i4>
      </vt:variant>
      <vt:variant>
        <vt:i4>32</vt:i4>
      </vt:variant>
      <vt:variant>
        <vt:i4>0</vt:i4>
      </vt:variant>
      <vt:variant>
        <vt:i4>5</vt:i4>
      </vt:variant>
      <vt:variant>
        <vt:lpwstr/>
      </vt:variant>
      <vt:variant>
        <vt:lpwstr>_Toc526259071</vt:lpwstr>
      </vt:variant>
      <vt:variant>
        <vt:i4>1638454</vt:i4>
      </vt:variant>
      <vt:variant>
        <vt:i4>26</vt:i4>
      </vt:variant>
      <vt:variant>
        <vt:i4>0</vt:i4>
      </vt:variant>
      <vt:variant>
        <vt:i4>5</vt:i4>
      </vt:variant>
      <vt:variant>
        <vt:lpwstr/>
      </vt:variant>
      <vt:variant>
        <vt:lpwstr>_Toc526259070</vt:lpwstr>
      </vt:variant>
      <vt:variant>
        <vt:i4>1572918</vt:i4>
      </vt:variant>
      <vt:variant>
        <vt:i4>20</vt:i4>
      </vt:variant>
      <vt:variant>
        <vt:i4>0</vt:i4>
      </vt:variant>
      <vt:variant>
        <vt:i4>5</vt:i4>
      </vt:variant>
      <vt:variant>
        <vt:lpwstr/>
      </vt:variant>
      <vt:variant>
        <vt:lpwstr>_Toc526259069</vt:lpwstr>
      </vt:variant>
      <vt:variant>
        <vt:i4>1572918</vt:i4>
      </vt:variant>
      <vt:variant>
        <vt:i4>14</vt:i4>
      </vt:variant>
      <vt:variant>
        <vt:i4>0</vt:i4>
      </vt:variant>
      <vt:variant>
        <vt:i4>5</vt:i4>
      </vt:variant>
      <vt:variant>
        <vt:lpwstr/>
      </vt:variant>
      <vt:variant>
        <vt:lpwstr>_Toc526259068</vt:lpwstr>
      </vt:variant>
      <vt:variant>
        <vt:i4>1572918</vt:i4>
      </vt:variant>
      <vt:variant>
        <vt:i4>8</vt:i4>
      </vt:variant>
      <vt:variant>
        <vt:i4>0</vt:i4>
      </vt:variant>
      <vt:variant>
        <vt:i4>5</vt:i4>
      </vt:variant>
      <vt:variant>
        <vt:lpwstr/>
      </vt:variant>
      <vt:variant>
        <vt:lpwstr>_Toc526259067</vt:lpwstr>
      </vt:variant>
      <vt:variant>
        <vt:i4>1572918</vt:i4>
      </vt:variant>
      <vt:variant>
        <vt:i4>2</vt:i4>
      </vt:variant>
      <vt:variant>
        <vt:i4>0</vt:i4>
      </vt:variant>
      <vt:variant>
        <vt:i4>5</vt:i4>
      </vt:variant>
      <vt:variant>
        <vt:lpwstr/>
      </vt:variant>
      <vt:variant>
        <vt:lpwstr>_Toc526259066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Louisa O’Neill (2245487)</cp:lastModifiedBy>
  <cp:revision>17</cp:revision>
  <cp:lastPrinted>2019-10-04T08:38:00Z</cp:lastPrinted>
  <dcterms:created xsi:type="dcterms:W3CDTF">2025-10-10T15:33:00Z</dcterms:created>
  <dcterms:modified xsi:type="dcterms:W3CDTF">2025-10-10T19:04:00Z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