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1D140" w14:textId="4ECE64AA" w:rsidR="00DF2C5B" w:rsidRPr="001E7130" w:rsidRDefault="00DF2C5B" w:rsidP="001E7130">
      <w:pPr>
        <w:spacing w:line="360" w:lineRule="auto"/>
        <w:jc w:val="center"/>
        <w:rPr>
          <w:rFonts w:ascii="Times New Roman" w:hAnsi="Times New Roman" w:cs="Times New Roman"/>
          <w:b/>
          <w:bCs/>
          <w:i/>
          <w:iCs/>
          <w:sz w:val="32"/>
          <w:szCs w:val="32"/>
        </w:rPr>
      </w:pPr>
      <w:bookmarkStart w:id="0" w:name="OLE_LINK27"/>
      <w:r w:rsidRPr="001E7130">
        <w:rPr>
          <w:rFonts w:ascii="Times New Roman" w:hAnsi="Times New Roman" w:cs="Times New Roman"/>
          <w:b/>
          <w:bCs/>
          <w:sz w:val="32"/>
          <w:szCs w:val="32"/>
        </w:rPr>
        <w:t>Negotiating Loyalty and Function: A Multidimensional Analysis of Yang Hsien-</w:t>
      </w:r>
      <w:proofErr w:type="spellStart"/>
      <w:r w:rsidRPr="001E7130">
        <w:rPr>
          <w:rFonts w:ascii="Times New Roman" w:hAnsi="Times New Roman" w:cs="Times New Roman"/>
          <w:b/>
          <w:bCs/>
          <w:sz w:val="32"/>
          <w:szCs w:val="32"/>
        </w:rPr>
        <w:t>yi</w:t>
      </w:r>
      <w:proofErr w:type="spellEnd"/>
      <w:r w:rsidRPr="001E7130">
        <w:rPr>
          <w:rFonts w:ascii="Times New Roman" w:hAnsi="Times New Roman" w:cs="Times New Roman"/>
          <w:b/>
          <w:bCs/>
          <w:sz w:val="32"/>
          <w:szCs w:val="32"/>
        </w:rPr>
        <w:t xml:space="preserve"> and Gladys Yang’s English Translation of </w:t>
      </w:r>
      <w:r w:rsidRPr="001E7130">
        <w:rPr>
          <w:rFonts w:ascii="Times New Roman" w:hAnsi="Times New Roman" w:cs="Times New Roman"/>
          <w:b/>
          <w:bCs/>
          <w:i/>
          <w:iCs/>
          <w:sz w:val="32"/>
          <w:szCs w:val="32"/>
        </w:rPr>
        <w:t xml:space="preserve">Kong </w:t>
      </w:r>
      <w:proofErr w:type="spellStart"/>
      <w:r w:rsidRPr="001E7130">
        <w:rPr>
          <w:rFonts w:ascii="Times New Roman" w:hAnsi="Times New Roman" w:cs="Times New Roman"/>
          <w:b/>
          <w:bCs/>
          <w:i/>
          <w:iCs/>
          <w:sz w:val="32"/>
          <w:szCs w:val="32"/>
        </w:rPr>
        <w:t>Yiji</w:t>
      </w:r>
      <w:proofErr w:type="spellEnd"/>
    </w:p>
    <w:bookmarkEnd w:id="0"/>
    <w:p w14:paraId="3B5E49A9" w14:textId="77777777" w:rsidR="00DF2C5B" w:rsidRPr="00C76806" w:rsidRDefault="00DF2C5B" w:rsidP="00C76806">
      <w:pPr>
        <w:spacing w:line="360" w:lineRule="auto"/>
        <w:rPr>
          <w:rFonts w:ascii="Times New Roman" w:hAnsi="Times New Roman" w:cs="Times New Roman"/>
        </w:rPr>
      </w:pPr>
    </w:p>
    <w:p w14:paraId="0348F393" w14:textId="77777777" w:rsidR="00D60643" w:rsidRPr="00C76806" w:rsidRDefault="00D60643" w:rsidP="00C76806">
      <w:pPr>
        <w:spacing w:line="360" w:lineRule="auto"/>
        <w:rPr>
          <w:rFonts w:ascii="Times New Roman" w:hAnsi="Times New Roman" w:cs="Times New Roman"/>
        </w:rPr>
      </w:pPr>
    </w:p>
    <w:p w14:paraId="5BE4DD1A" w14:textId="77777777" w:rsidR="00D60643" w:rsidRPr="00C76806" w:rsidRDefault="00D60643" w:rsidP="00C76806">
      <w:pPr>
        <w:spacing w:line="360" w:lineRule="auto"/>
        <w:rPr>
          <w:rFonts w:ascii="Times New Roman" w:hAnsi="Times New Roman" w:cs="Times New Roman"/>
        </w:rPr>
      </w:pPr>
    </w:p>
    <w:p w14:paraId="5E70B4FE" w14:textId="76ECC417" w:rsidR="00DF2C5B" w:rsidRPr="001E7130" w:rsidRDefault="00DF2C5B" w:rsidP="00C76806">
      <w:pPr>
        <w:spacing w:line="360" w:lineRule="auto"/>
        <w:rPr>
          <w:rFonts w:ascii="Times New Roman" w:hAnsi="Times New Roman" w:cs="Times New Roman"/>
          <w:b/>
          <w:bCs/>
          <w:sz w:val="28"/>
          <w:szCs w:val="28"/>
        </w:rPr>
      </w:pPr>
      <w:bookmarkStart w:id="1" w:name="OLE_LINK29"/>
      <w:r w:rsidRPr="001E7130">
        <w:rPr>
          <w:rFonts w:ascii="Times New Roman" w:hAnsi="Times New Roman" w:cs="Times New Roman"/>
          <w:b/>
          <w:bCs/>
          <w:sz w:val="28"/>
          <w:szCs w:val="28"/>
        </w:rPr>
        <w:t>1 Introduction</w:t>
      </w:r>
    </w:p>
    <w:bookmarkEnd w:id="1"/>
    <w:p w14:paraId="4782AB6F" w14:textId="59C736E0" w:rsidR="00DF2C5B" w:rsidRPr="00C76806" w:rsidRDefault="00DF2C5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Lu Xun’s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xml:space="preserve"> (1919) stands as a cornerstone of modern Chinese literature, renowned for its incisive critique of feudalism and vivid portrayal of a tragic intellectual adrift in a rigidly stratified society. Among its numerous English translations, the version by Yang Hsien-</w:t>
      </w:r>
      <w:proofErr w:type="spellStart"/>
      <w:r w:rsidRPr="00C76806">
        <w:rPr>
          <w:rFonts w:ascii="Times New Roman" w:hAnsi="Times New Roman" w:cs="Times New Roman"/>
        </w:rPr>
        <w:t>yi</w:t>
      </w:r>
      <w:proofErr w:type="spellEnd"/>
      <w:r w:rsidRPr="00C76806">
        <w:rPr>
          <w:rFonts w:ascii="Times New Roman" w:hAnsi="Times New Roman" w:cs="Times New Roman"/>
        </w:rPr>
        <w:t xml:space="preserve"> and Gladys Yang (1960) has earned enduring acclaim for its seamless cross-cultural communication and unwavering artistic fidelity. This paper conducts an in-depth analysis of the Yangs’ translation, integrating core theories from translation studies—including Nord’s </w:t>
      </w:r>
      <w:r w:rsidR="00C76806" w:rsidRPr="00C76806">
        <w:rPr>
          <w:rFonts w:ascii="Times New Roman" w:hAnsi="Times New Roman" w:cs="Times New Roman"/>
        </w:rPr>
        <w:t>“</w:t>
      </w:r>
      <w:r w:rsidRPr="00C76806">
        <w:rPr>
          <w:rFonts w:ascii="Times New Roman" w:hAnsi="Times New Roman" w:cs="Times New Roman"/>
        </w:rPr>
        <w:t xml:space="preserve">functional plus loyalty theory,” Hu </w:t>
      </w:r>
      <w:proofErr w:type="spellStart"/>
      <w:r w:rsidRPr="00C76806">
        <w:rPr>
          <w:rFonts w:ascii="Times New Roman" w:hAnsi="Times New Roman" w:cs="Times New Roman"/>
        </w:rPr>
        <w:t>Gengshen’s</w:t>
      </w:r>
      <w:proofErr w:type="spellEnd"/>
      <w:r w:rsidRPr="00C76806">
        <w:rPr>
          <w:rFonts w:ascii="Times New Roman" w:hAnsi="Times New Roman" w:cs="Times New Roman"/>
        </w:rPr>
        <w:t xml:space="preserve"> eco-</w:t>
      </w:r>
      <w:proofErr w:type="spellStart"/>
      <w:r w:rsidRPr="00C76806">
        <w:rPr>
          <w:rFonts w:ascii="Times New Roman" w:hAnsi="Times New Roman" w:cs="Times New Roman"/>
        </w:rPr>
        <w:t>translatology</w:t>
      </w:r>
      <w:proofErr w:type="spellEnd"/>
      <w:r w:rsidRPr="00C76806">
        <w:rPr>
          <w:rFonts w:ascii="Times New Roman" w:hAnsi="Times New Roman" w:cs="Times New Roman"/>
        </w:rPr>
        <w:t xml:space="preserve"> “four-life doctrine,” Nida’s “dynamic equivalence,” and Venuti’s “resistant translation”—to explore how the translators navigated cultural specificities, linguistic nuances, and ideological undercurrents. </w:t>
      </w:r>
      <w:bookmarkStart w:id="2" w:name="OLE_LINK4"/>
      <w:r w:rsidRPr="00C76806">
        <w:rPr>
          <w:rFonts w:ascii="Times New Roman" w:hAnsi="Times New Roman" w:cs="Times New Roman"/>
        </w:rPr>
        <w:t>Drawing on empirical evidence from academic scholarship (Zhang, 2019; Huang &amp; Wang, 2023; Shu, 2011; Chen, 2000; Wang, 2020), this study examines the translation strategies employed for culture-loaded words, evaluates the translation’s alignment with theoretical frameworks, engages in critical reflection on its strengths and limitations, and contextualizes its success within the translators’ distinctive spirit of scholarship and dedication.</w:t>
      </w:r>
      <w:bookmarkEnd w:id="2"/>
    </w:p>
    <w:p w14:paraId="7AF790BF" w14:textId="77777777" w:rsidR="00DF2C5B" w:rsidRPr="00C76806" w:rsidRDefault="00DF2C5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The significance of this research lies in its multidimensional and dialectical approach: while existing studies often focus on single theoretical lenses (e.g., functional linguistics in Si, 2005; Venuti’s resistant translation in Wang, 2020), this paper synthesizes complementary frameworks to capture the complexity of the Yangs’ work. It argues that the translation’s success stems from its ability to reconcile “loyalty” to Lu Xun’s thematic intent and cultural context with “function” for English readers, while </w:t>
      </w:r>
      <w:r w:rsidRPr="00C76806">
        <w:rPr>
          <w:rFonts w:ascii="Times New Roman" w:hAnsi="Times New Roman" w:cs="Times New Roman"/>
        </w:rPr>
        <w:lastRenderedPageBreak/>
        <w:t>embodying the “four-life” transformation of eco-</w:t>
      </w:r>
      <w:proofErr w:type="spellStart"/>
      <w:r w:rsidRPr="00C76806">
        <w:rPr>
          <w:rFonts w:ascii="Times New Roman" w:hAnsi="Times New Roman" w:cs="Times New Roman"/>
        </w:rPr>
        <w:t>translatology</w:t>
      </w:r>
      <w:proofErr w:type="spellEnd"/>
      <w:r w:rsidRPr="00C76806">
        <w:rPr>
          <w:rFonts w:ascii="Times New Roman" w:hAnsi="Times New Roman" w:cs="Times New Roman"/>
        </w:rPr>
        <w:t xml:space="preserve"> and subtly enacting Venuti’s resistant translation to preserve Chinese cultural alterity. The following sections outline the theoretical underpinnings, analyze culture-loaded word translation strategies, engage in critical discussion of the translation’s merits and flaws, and conclude with reflections on its implications for literary translation and cross-cultural dialogue.</w:t>
      </w:r>
    </w:p>
    <w:p w14:paraId="7C921379" w14:textId="77777777" w:rsidR="00DF2C5B" w:rsidRPr="00C76806" w:rsidRDefault="00DF2C5B" w:rsidP="00C76806">
      <w:pPr>
        <w:spacing w:line="360" w:lineRule="auto"/>
        <w:rPr>
          <w:rFonts w:ascii="Times New Roman" w:hAnsi="Times New Roman" w:cs="Times New Roman"/>
        </w:rPr>
      </w:pPr>
    </w:p>
    <w:p w14:paraId="3E7B5CB3" w14:textId="77777777" w:rsidR="00D60643" w:rsidRPr="00C76806" w:rsidRDefault="00D60643" w:rsidP="00C76806">
      <w:pPr>
        <w:spacing w:line="360" w:lineRule="auto"/>
        <w:rPr>
          <w:rFonts w:ascii="Times New Roman" w:hAnsi="Times New Roman" w:cs="Times New Roman"/>
        </w:rPr>
      </w:pPr>
    </w:p>
    <w:p w14:paraId="1EADD370" w14:textId="77777777" w:rsidR="00D60643" w:rsidRPr="00C76806" w:rsidRDefault="00D60643" w:rsidP="00C76806">
      <w:pPr>
        <w:spacing w:line="360" w:lineRule="auto"/>
        <w:rPr>
          <w:rFonts w:ascii="Times New Roman" w:hAnsi="Times New Roman" w:cs="Times New Roman"/>
        </w:rPr>
      </w:pPr>
    </w:p>
    <w:p w14:paraId="2FF770E0" w14:textId="4510070F" w:rsidR="00DF2C5B" w:rsidRPr="001E7130" w:rsidRDefault="00DF2C5B" w:rsidP="00C76806">
      <w:pPr>
        <w:spacing w:line="360" w:lineRule="auto"/>
        <w:rPr>
          <w:rFonts w:ascii="Times New Roman" w:hAnsi="Times New Roman" w:cs="Times New Roman"/>
          <w:b/>
          <w:bCs/>
          <w:sz w:val="28"/>
          <w:szCs w:val="28"/>
        </w:rPr>
      </w:pPr>
      <w:bookmarkStart w:id="3" w:name="OLE_LINK28"/>
      <w:r w:rsidRPr="001E7130">
        <w:rPr>
          <w:rFonts w:ascii="Times New Roman" w:hAnsi="Times New Roman" w:cs="Times New Roman"/>
          <w:b/>
          <w:bCs/>
          <w:sz w:val="28"/>
          <w:szCs w:val="28"/>
        </w:rPr>
        <w:t>2 Theoretical Framework</w:t>
      </w:r>
    </w:p>
    <w:bookmarkEnd w:id="3"/>
    <w:p w14:paraId="183833BA" w14:textId="1D8796DC" w:rsidR="00DF2C5B" w:rsidRPr="00C76806" w:rsidRDefault="00DF2C5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To contextualize the Yangs’ translation choices, four interrelated theoretical frameworks are adopted, each highlighting a distinct dimension of translational practice and cross-cultural mediation.</w:t>
      </w:r>
    </w:p>
    <w:p w14:paraId="17A4C9A8" w14:textId="77777777" w:rsidR="00DF2C5B" w:rsidRPr="00C76806" w:rsidRDefault="00DF2C5B" w:rsidP="00C76806">
      <w:pPr>
        <w:spacing w:line="360" w:lineRule="auto"/>
        <w:rPr>
          <w:rFonts w:ascii="Times New Roman" w:hAnsi="Times New Roman" w:cs="Times New Roman"/>
        </w:rPr>
      </w:pPr>
    </w:p>
    <w:p w14:paraId="7F6E32A1" w14:textId="6DDEC66E" w:rsidR="00DF2C5B" w:rsidRPr="001E7130" w:rsidRDefault="00DF2C5B" w:rsidP="00C76806">
      <w:pPr>
        <w:spacing w:line="360" w:lineRule="auto"/>
        <w:rPr>
          <w:rFonts w:ascii="Times New Roman" w:hAnsi="Times New Roman" w:cs="Times New Roman"/>
          <w:b/>
          <w:bCs/>
        </w:rPr>
      </w:pPr>
      <w:r w:rsidRPr="001E7130">
        <w:rPr>
          <w:rFonts w:ascii="Times New Roman" w:hAnsi="Times New Roman" w:cs="Times New Roman"/>
          <w:b/>
          <w:bCs/>
        </w:rPr>
        <w:t>2.1 Nord’s “Functional Plus Loyalty Theory”</w:t>
      </w:r>
    </w:p>
    <w:p w14:paraId="3E61BAC4" w14:textId="16AD08E5" w:rsidR="00DF2C5B" w:rsidRPr="00C76806" w:rsidRDefault="00DF2C5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Proposed by Christiane Nord (2006: 83), this theory posits that translation must strike a balance between two core principles: “function” and “loyalty.” “Function” refers to the intended role of the target text in the target culture—for literary works like</w:t>
      </w:r>
      <w:r w:rsidR="00D60643"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xml:space="preserve">, this involves ensuring readability, emotional resonance, and thematic clarity for English readers. “Loyalty,” by contrast, denotes the translator’s responsibility to the source text, its author, and the target audience, requiring fidelity not merely to literal meaning but to thematic essence, cultural connotations, and the author’s critical intent. </w:t>
      </w:r>
      <w:bookmarkStart w:id="4" w:name="OLE_LINK12"/>
      <w:r w:rsidRPr="00C76806">
        <w:rPr>
          <w:rFonts w:ascii="Times New Roman" w:hAnsi="Times New Roman" w:cs="Times New Roman"/>
        </w:rPr>
        <w:t>Nord emphasizes that “loyalty does not equal word-for-word fidelity; rather, it is a relational obligation that constrains arbitrary adaptations” (Nord, 2006: 91). T</w:t>
      </w:r>
      <w:bookmarkEnd w:id="4"/>
      <w:r w:rsidRPr="00C76806">
        <w:rPr>
          <w:rFonts w:ascii="Times New Roman" w:hAnsi="Times New Roman" w:cs="Times New Roman"/>
        </w:rPr>
        <w:t xml:space="preserve">he Yangs’ translation exemplifies this balance: they adapt culturally specific elements (e.g., </w:t>
      </w:r>
      <w:r w:rsidRPr="00C76806">
        <w:rPr>
          <w:rFonts w:ascii="Times New Roman" w:hAnsi="Times New Roman" w:cs="Times New Roman"/>
        </w:rPr>
        <w:t>科举制度</w:t>
      </w:r>
      <w:r w:rsidR="00413428">
        <w:rPr>
          <w:rFonts w:ascii="Times New Roman" w:hAnsi="Times New Roman" w:cs="Times New Roman"/>
        </w:rPr>
        <w:t>,</w:t>
      </w:r>
      <w:r w:rsidR="00C76806">
        <w:rPr>
          <w:rFonts w:ascii="Times New Roman" w:hAnsi="Times New Roman" w:cs="Times New Roman"/>
        </w:rPr>
        <w:t xml:space="preserve"> </w:t>
      </w:r>
      <w:r w:rsidRPr="00C76806">
        <w:rPr>
          <w:rFonts w:ascii="Times New Roman" w:hAnsi="Times New Roman" w:cs="Times New Roman"/>
        </w:rPr>
        <w:t>imperial examination system) to avoid obscurity while preserving the tragic tone and incisive social critique that define Lu Xun’s original.</w:t>
      </w:r>
    </w:p>
    <w:p w14:paraId="4FFD03E2" w14:textId="77777777" w:rsidR="00DF2C5B" w:rsidRDefault="00DF2C5B" w:rsidP="00C76806">
      <w:pPr>
        <w:spacing w:line="360" w:lineRule="auto"/>
        <w:rPr>
          <w:rFonts w:ascii="Times New Roman" w:hAnsi="Times New Roman" w:cs="Times New Roman"/>
        </w:rPr>
      </w:pPr>
    </w:p>
    <w:p w14:paraId="2627BF43" w14:textId="77777777" w:rsidR="001E7130" w:rsidRPr="00C76806" w:rsidRDefault="001E7130" w:rsidP="00C76806">
      <w:pPr>
        <w:spacing w:line="360" w:lineRule="auto"/>
        <w:rPr>
          <w:rFonts w:ascii="Times New Roman" w:hAnsi="Times New Roman" w:cs="Times New Roman"/>
        </w:rPr>
      </w:pPr>
    </w:p>
    <w:p w14:paraId="0F9B0C73" w14:textId="6C655841" w:rsidR="00DF2C5B" w:rsidRPr="001E7130" w:rsidRDefault="00DF2C5B" w:rsidP="00C76806">
      <w:pPr>
        <w:spacing w:line="360" w:lineRule="auto"/>
        <w:rPr>
          <w:rFonts w:ascii="Times New Roman" w:hAnsi="Times New Roman" w:cs="Times New Roman"/>
          <w:b/>
          <w:bCs/>
        </w:rPr>
      </w:pPr>
      <w:r w:rsidRPr="001E7130">
        <w:rPr>
          <w:rFonts w:ascii="Times New Roman" w:hAnsi="Times New Roman" w:cs="Times New Roman"/>
          <w:b/>
          <w:bCs/>
        </w:rPr>
        <w:lastRenderedPageBreak/>
        <w:t>2.2 Eco-</w:t>
      </w:r>
      <w:proofErr w:type="spellStart"/>
      <w:r w:rsidRPr="001E7130">
        <w:rPr>
          <w:rFonts w:ascii="Times New Roman" w:hAnsi="Times New Roman" w:cs="Times New Roman"/>
          <w:b/>
          <w:bCs/>
        </w:rPr>
        <w:t>Translatology’s</w:t>
      </w:r>
      <w:proofErr w:type="spellEnd"/>
      <w:r w:rsidRPr="001E7130">
        <w:rPr>
          <w:rFonts w:ascii="Times New Roman" w:hAnsi="Times New Roman" w:cs="Times New Roman"/>
          <w:b/>
          <w:bCs/>
        </w:rPr>
        <w:t xml:space="preserve"> “Four-Life Doctrine”</w:t>
      </w:r>
    </w:p>
    <w:p w14:paraId="57A62E08" w14:textId="7BB024AA" w:rsidR="00DF2C5B" w:rsidRPr="00C76806" w:rsidRDefault="00DF2C5B" w:rsidP="00353C20">
      <w:pPr>
        <w:spacing w:line="360" w:lineRule="auto"/>
        <w:ind w:firstLineChars="200" w:firstLine="480"/>
        <w:rPr>
          <w:rFonts w:ascii="Times New Roman" w:hAnsi="Times New Roman" w:cs="Times New Roman"/>
        </w:rPr>
      </w:pPr>
      <w:bookmarkStart w:id="5" w:name="OLE_LINK30"/>
      <w:r w:rsidRPr="00C76806">
        <w:rPr>
          <w:rFonts w:ascii="Times New Roman" w:hAnsi="Times New Roman" w:cs="Times New Roman"/>
        </w:rPr>
        <w:t xml:space="preserve">Hu </w:t>
      </w:r>
      <w:proofErr w:type="spellStart"/>
      <w:r w:rsidRPr="00C76806">
        <w:rPr>
          <w:rFonts w:ascii="Times New Roman" w:hAnsi="Times New Roman" w:cs="Times New Roman"/>
        </w:rPr>
        <w:t>Gengshen’s</w:t>
      </w:r>
      <w:proofErr w:type="spellEnd"/>
      <w:r w:rsidRPr="00C76806">
        <w:rPr>
          <w:rFonts w:ascii="Times New Roman" w:hAnsi="Times New Roman" w:cs="Times New Roman"/>
        </w:rPr>
        <w:t xml:space="preserve"> eco-</w:t>
      </w:r>
      <w:proofErr w:type="spellStart"/>
      <w:r w:rsidRPr="00C76806">
        <w:rPr>
          <w:rFonts w:ascii="Times New Roman" w:hAnsi="Times New Roman" w:cs="Times New Roman"/>
        </w:rPr>
        <w:t>translatology</w:t>
      </w:r>
      <w:proofErr w:type="spellEnd"/>
      <w:r w:rsidRPr="00C76806">
        <w:rPr>
          <w:rFonts w:ascii="Times New Roman" w:hAnsi="Times New Roman" w:cs="Times New Roman"/>
        </w:rPr>
        <w:t xml:space="preserve"> (202</w:t>
      </w:r>
      <w:r w:rsidR="007D0952" w:rsidRPr="00C76806">
        <w:rPr>
          <w:rFonts w:ascii="Times New Roman" w:hAnsi="Times New Roman" w:cs="Times New Roman"/>
        </w:rPr>
        <w:t>1</w:t>
      </w:r>
      <w:r w:rsidRPr="00C76806">
        <w:rPr>
          <w:rFonts w:ascii="Times New Roman" w:hAnsi="Times New Roman" w:cs="Times New Roman"/>
        </w:rPr>
        <w:t>) conceptualizes translation as a “textual transplantation” process governed by the “four-life doctrine”: “life orientation” (respect for the source text’s ecological context, including historical, social, and cultural milieus), “life acquisition” (deep understanding of the text’s thematic layers, cultural connotations, and authorial intent), “life conversion” (linguistic and cultural adaptation to the target ecosystem), and “life incarnation” (cross-cultural regeneration of the text as a “living” entity in the target culture). Huang and Wang (2023: 12</w:t>
      </w:r>
      <w:r w:rsidR="004F43AD" w:rsidRPr="00C76806">
        <w:rPr>
          <w:rFonts w:ascii="Times New Roman" w:hAnsi="Times New Roman" w:cs="Times New Roman"/>
        </w:rPr>
        <w:t>5</w:t>
      </w:r>
      <w:r w:rsidRPr="00C76806">
        <w:rPr>
          <w:rFonts w:ascii="Times New Roman" w:hAnsi="Times New Roman" w:cs="Times New Roman"/>
        </w:rPr>
        <w:t xml:space="preserve">) argue that successful translations undergo these four stages, transforming the source text into a target text that thrives in the target culture rather than merely surviving. For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xml:space="preserve">, this means the Yangs first engaged with the source text’s historical context (feudal China’s social stratification and the residual trauma of </w:t>
      </w:r>
      <w:r w:rsidRPr="00C76806">
        <w:rPr>
          <w:rFonts w:ascii="Times New Roman" w:hAnsi="Times New Roman" w:cs="Times New Roman"/>
        </w:rPr>
        <w:t>科举制度</w:t>
      </w:r>
      <w:r w:rsidRPr="00C76806">
        <w:rPr>
          <w:rFonts w:ascii="Times New Roman" w:hAnsi="Times New Roman" w:cs="Times New Roman"/>
        </w:rPr>
        <w:t>), then converted its cultural-specific expressions into accessible English, and ultimately enabled the text to resonate with Western readers unfamiliar with Chinese traditions—all while preserving its unique literary and critical voice.</w:t>
      </w:r>
    </w:p>
    <w:bookmarkEnd w:id="5"/>
    <w:p w14:paraId="200232E7" w14:textId="77777777" w:rsidR="00DF2C5B" w:rsidRPr="00C76806" w:rsidRDefault="00DF2C5B" w:rsidP="00C76806">
      <w:pPr>
        <w:spacing w:line="360" w:lineRule="auto"/>
        <w:rPr>
          <w:rFonts w:ascii="Times New Roman" w:hAnsi="Times New Roman" w:cs="Times New Roman"/>
        </w:rPr>
      </w:pPr>
    </w:p>
    <w:p w14:paraId="2A2ACE9A" w14:textId="010E50D1" w:rsidR="00E95909" w:rsidRPr="001E7130" w:rsidRDefault="00E95909" w:rsidP="00C76806">
      <w:pPr>
        <w:spacing w:line="360" w:lineRule="auto"/>
        <w:rPr>
          <w:rFonts w:ascii="Times New Roman" w:hAnsi="Times New Roman" w:cs="Times New Roman"/>
          <w:b/>
          <w:bCs/>
        </w:rPr>
      </w:pPr>
      <w:r w:rsidRPr="001E7130">
        <w:rPr>
          <w:rFonts w:ascii="Times New Roman" w:hAnsi="Times New Roman" w:cs="Times New Roman"/>
          <w:b/>
          <w:bCs/>
        </w:rPr>
        <w:t>2.3 Nida’s “Dynamic Equivalence”</w:t>
      </w:r>
    </w:p>
    <w:p w14:paraId="00E672D8" w14:textId="77777777" w:rsidR="00E95909"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Eugene Nida (1964: 156) defines dynamic equivalence as “the degree to which the target text evokes the same response in target readers as the source text does in source readers,” prioritizing communicative effect over formal correspondence. This framework is particularly relevant for translating culture-loaded words, which often lack direct equivalents. Nida (1964: 45) categorizes such words into five types—ecological, material, social, religious, and linguistic—and argues that translators must prioritize “functional equivalence” to ensure cultural meaning is not lost in translation. The Yangs’ handling of terms like “</w:t>
      </w:r>
      <w:r w:rsidRPr="00C76806">
        <w:rPr>
          <w:rFonts w:ascii="Times New Roman" w:hAnsi="Times New Roman" w:cs="Times New Roman"/>
        </w:rPr>
        <w:t>举人</w:t>
      </w:r>
      <w:r w:rsidRPr="00C76806">
        <w:rPr>
          <w:rFonts w:ascii="Times New Roman" w:hAnsi="Times New Roman" w:cs="Times New Roman"/>
        </w:rPr>
        <w:t>” (provincial scholar) and “</w:t>
      </w:r>
      <w:r w:rsidRPr="00C76806">
        <w:rPr>
          <w:rFonts w:ascii="Times New Roman" w:hAnsi="Times New Roman" w:cs="Times New Roman"/>
        </w:rPr>
        <w:t>之乎者也</w:t>
      </w:r>
      <w:r w:rsidRPr="00C76806">
        <w:rPr>
          <w:rFonts w:ascii="Times New Roman" w:hAnsi="Times New Roman" w:cs="Times New Roman"/>
        </w:rPr>
        <w:t>” (unintelligible classical expressions) reflects this principle: they prioritize reader comprehension without diluting the cultural specificity that gives Lu Xun’s work its unique edge.</w:t>
      </w:r>
    </w:p>
    <w:p w14:paraId="5E0F1F66" w14:textId="77777777" w:rsidR="00DF2C5B" w:rsidRPr="00C76806" w:rsidRDefault="00DF2C5B" w:rsidP="00C76806">
      <w:pPr>
        <w:spacing w:line="360" w:lineRule="auto"/>
        <w:rPr>
          <w:rFonts w:ascii="Times New Roman" w:hAnsi="Times New Roman" w:cs="Times New Roman"/>
        </w:rPr>
      </w:pPr>
    </w:p>
    <w:p w14:paraId="78124F33" w14:textId="67477A9A" w:rsidR="00E95909" w:rsidRPr="001E7130" w:rsidRDefault="00E95909" w:rsidP="00C76806">
      <w:pPr>
        <w:spacing w:line="360" w:lineRule="auto"/>
        <w:rPr>
          <w:rFonts w:ascii="Times New Roman" w:hAnsi="Times New Roman" w:cs="Times New Roman"/>
          <w:b/>
          <w:bCs/>
        </w:rPr>
      </w:pPr>
      <w:r w:rsidRPr="001E7130">
        <w:rPr>
          <w:rFonts w:ascii="Times New Roman" w:hAnsi="Times New Roman" w:cs="Times New Roman"/>
          <w:b/>
          <w:bCs/>
        </w:rPr>
        <w:lastRenderedPageBreak/>
        <w:t>2.4 Venuti’s “Resistant Translation”</w:t>
      </w:r>
    </w:p>
    <w:p w14:paraId="7FBF8F73" w14:textId="4730C052" w:rsidR="00DF2C5B"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Lawrence Venuti’s (1995) “resistant translation” advocates for </w:t>
      </w:r>
      <w:r w:rsidRPr="00C76806">
        <w:rPr>
          <w:rFonts w:ascii="Times New Roman" w:hAnsi="Times New Roman" w:cs="Times New Roman"/>
        </w:rPr>
        <w:t>异化</w:t>
      </w:r>
      <w:r w:rsidRPr="00C76806">
        <w:rPr>
          <w:rFonts w:ascii="Times New Roman" w:hAnsi="Times New Roman" w:cs="Times New Roman"/>
        </w:rPr>
        <w:t xml:space="preserve"> (foreignization) as a strategy to challenge the hegemony of target-language cultural norms, preserving the “foreignness” of the source text to disrupt reader complacency and foster cross-cultural understanding. For non-Western texts translated into English, this approach resists the tendency to domesticate excessively, which can erase cultural differences and reinforce ethnocentrism. Wang (2020: 14</w:t>
      </w:r>
      <w:r w:rsidR="003F358A" w:rsidRPr="00C76806">
        <w:rPr>
          <w:rFonts w:ascii="Times New Roman" w:hAnsi="Times New Roman" w:cs="Times New Roman"/>
        </w:rPr>
        <w:t>1</w:t>
      </w:r>
      <w:r w:rsidRPr="00C76806">
        <w:rPr>
          <w:rFonts w:ascii="Times New Roman" w:hAnsi="Times New Roman" w:cs="Times New Roman"/>
        </w:rPr>
        <w:t xml:space="preserve">) notes that the Yangs’ translation embodies this spirit: they retain Chinese cultural markers (e.g., “long gowns” for </w:t>
      </w:r>
      <w:r w:rsidRPr="00C76806">
        <w:rPr>
          <w:rFonts w:ascii="Times New Roman" w:hAnsi="Times New Roman" w:cs="Times New Roman"/>
        </w:rPr>
        <w:t>长衫</w:t>
      </w:r>
      <w:r w:rsidR="00C76806">
        <w:rPr>
          <w:rFonts w:ascii="Times New Roman" w:hAnsi="Times New Roman" w:cs="Times New Roman"/>
        </w:rPr>
        <w:t xml:space="preserve">, </w:t>
      </w:r>
      <w:r w:rsidRPr="00C76806">
        <w:rPr>
          <w:rFonts w:ascii="Times New Roman" w:hAnsi="Times New Roman" w:cs="Times New Roman"/>
        </w:rPr>
        <w:t xml:space="preserve">“copybook” for </w:t>
      </w:r>
      <w:r w:rsidRPr="00C76806">
        <w:rPr>
          <w:rFonts w:ascii="Times New Roman" w:hAnsi="Times New Roman" w:cs="Times New Roman"/>
        </w:rPr>
        <w:t>描红纸</w:t>
      </w:r>
      <w:r w:rsidRPr="00C76806">
        <w:rPr>
          <w:rFonts w:ascii="Times New Roman" w:hAnsi="Times New Roman" w:cs="Times New Roman"/>
        </w:rPr>
        <w:t>) rather than substituting familiar Western equivalents, allowing English readers to engage with Chinese culture on its own terms while still accessing the text’s emotional and thematic core.</w:t>
      </w:r>
    </w:p>
    <w:p w14:paraId="0E9473C5" w14:textId="77777777" w:rsidR="00E95909" w:rsidRPr="00C76806" w:rsidRDefault="00E95909" w:rsidP="00C76806">
      <w:pPr>
        <w:spacing w:line="360" w:lineRule="auto"/>
        <w:rPr>
          <w:rFonts w:ascii="Times New Roman" w:hAnsi="Times New Roman" w:cs="Times New Roman"/>
        </w:rPr>
      </w:pPr>
    </w:p>
    <w:p w14:paraId="062BDCD7" w14:textId="77777777" w:rsidR="00D60643" w:rsidRPr="00C76806" w:rsidRDefault="00D60643" w:rsidP="00C76806">
      <w:pPr>
        <w:spacing w:line="360" w:lineRule="auto"/>
        <w:rPr>
          <w:rFonts w:ascii="Times New Roman" w:hAnsi="Times New Roman" w:cs="Times New Roman"/>
        </w:rPr>
      </w:pPr>
    </w:p>
    <w:p w14:paraId="033DC04A" w14:textId="77777777" w:rsidR="00D60643" w:rsidRPr="00C76806" w:rsidRDefault="00D60643" w:rsidP="00C76806">
      <w:pPr>
        <w:spacing w:line="360" w:lineRule="auto"/>
        <w:rPr>
          <w:rFonts w:ascii="Times New Roman" w:hAnsi="Times New Roman" w:cs="Times New Roman"/>
        </w:rPr>
      </w:pPr>
    </w:p>
    <w:p w14:paraId="591B0D46" w14:textId="0BDBF289" w:rsidR="00E95909" w:rsidRPr="001E7130" w:rsidRDefault="00E95909" w:rsidP="00C76806">
      <w:pPr>
        <w:spacing w:line="360" w:lineRule="auto"/>
        <w:rPr>
          <w:rFonts w:ascii="Times New Roman" w:hAnsi="Times New Roman" w:cs="Times New Roman"/>
          <w:b/>
          <w:bCs/>
          <w:sz w:val="28"/>
          <w:szCs w:val="28"/>
        </w:rPr>
      </w:pPr>
      <w:r w:rsidRPr="001E7130">
        <w:rPr>
          <w:rFonts w:ascii="Times New Roman" w:hAnsi="Times New Roman" w:cs="Times New Roman"/>
          <w:b/>
          <w:bCs/>
          <w:sz w:val="28"/>
          <w:szCs w:val="28"/>
        </w:rPr>
        <w:t>3 Translation of Culture-Loaded Words: Strategies and Analysis</w:t>
      </w:r>
    </w:p>
    <w:p w14:paraId="2EF3DDAF" w14:textId="255059BE" w:rsidR="00DF2C5B"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Culture-loaded words are the most challenging aspect of translating</w:t>
      </w:r>
      <w:r w:rsidR="00D60643"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as they encapsulate unique elements of Chinese material life, social structure, linguistic tradition, and historical experience. Following Nida’s categorization, this section analyzes the Yangs’ strategies for material, social, and linguistic culture-loaded words, grounding the analysis in the theoretical frameworks outlined above.</w:t>
      </w:r>
    </w:p>
    <w:p w14:paraId="079F29BF" w14:textId="77777777" w:rsidR="00E95909" w:rsidRPr="00C76806" w:rsidRDefault="00E95909" w:rsidP="00C76806">
      <w:pPr>
        <w:spacing w:line="360" w:lineRule="auto"/>
        <w:rPr>
          <w:rFonts w:ascii="Times New Roman" w:hAnsi="Times New Roman" w:cs="Times New Roman"/>
        </w:rPr>
      </w:pPr>
    </w:p>
    <w:p w14:paraId="5C8C4F99" w14:textId="4649CA07" w:rsidR="00DF2C5B" w:rsidRPr="001E7130" w:rsidRDefault="00E95909" w:rsidP="00C76806">
      <w:pPr>
        <w:spacing w:line="360" w:lineRule="auto"/>
        <w:rPr>
          <w:rFonts w:ascii="Times New Roman" w:hAnsi="Times New Roman" w:cs="Times New Roman"/>
          <w:b/>
          <w:bCs/>
        </w:rPr>
      </w:pPr>
      <w:r w:rsidRPr="001E7130">
        <w:rPr>
          <w:rFonts w:ascii="Times New Roman" w:hAnsi="Times New Roman" w:cs="Times New Roman"/>
          <w:b/>
          <w:bCs/>
        </w:rPr>
        <w:t>3.1</w:t>
      </w:r>
      <w:r w:rsidR="00DF2C5B" w:rsidRPr="001E7130">
        <w:rPr>
          <w:rFonts w:ascii="Times New Roman" w:hAnsi="Times New Roman" w:cs="Times New Roman"/>
          <w:b/>
          <w:bCs/>
        </w:rPr>
        <w:t xml:space="preserve"> </w:t>
      </w:r>
      <w:r w:rsidRPr="001E7130">
        <w:rPr>
          <w:rFonts w:ascii="Times New Roman" w:hAnsi="Times New Roman" w:cs="Times New Roman"/>
          <w:b/>
          <w:bCs/>
        </w:rPr>
        <w:t>Material Culture-Loaded Words</w:t>
      </w:r>
    </w:p>
    <w:p w14:paraId="71F95700" w14:textId="1C1709C7" w:rsidR="00E95909"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Material culture-loaded words refer to objects unique to a society’s daily life—tools, utensils, clothing, and food—that carry cultural connotations beyond their functional purpose. In</w:t>
      </w:r>
      <w:r w:rsidR="00D60643"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these include “</w:t>
      </w:r>
      <w:bookmarkStart w:id="6" w:name="OLE_LINK25"/>
      <w:r w:rsidRPr="00C76806">
        <w:rPr>
          <w:rFonts w:ascii="Times New Roman" w:hAnsi="Times New Roman" w:cs="Times New Roman"/>
        </w:rPr>
        <w:t>短衣帮</w:t>
      </w:r>
      <w:bookmarkEnd w:id="6"/>
      <w:r w:rsidRPr="00C76806">
        <w:rPr>
          <w:rFonts w:ascii="Times New Roman" w:hAnsi="Times New Roman" w:cs="Times New Roman"/>
        </w:rPr>
        <w:t>” (short-coated class), “</w:t>
      </w:r>
      <w:r w:rsidRPr="00C76806">
        <w:rPr>
          <w:rFonts w:ascii="Times New Roman" w:hAnsi="Times New Roman" w:cs="Times New Roman"/>
        </w:rPr>
        <w:t>长衫</w:t>
      </w:r>
      <w:r w:rsidRPr="00C76806">
        <w:rPr>
          <w:rFonts w:ascii="Times New Roman" w:hAnsi="Times New Roman" w:cs="Times New Roman"/>
        </w:rPr>
        <w:t>” (long gowns), “</w:t>
      </w:r>
      <w:r w:rsidRPr="00C76806">
        <w:rPr>
          <w:rFonts w:ascii="Times New Roman" w:hAnsi="Times New Roman" w:cs="Times New Roman"/>
        </w:rPr>
        <w:t>描红纸</w:t>
      </w:r>
      <w:r w:rsidRPr="00C76806">
        <w:rPr>
          <w:rFonts w:ascii="Times New Roman" w:hAnsi="Times New Roman" w:cs="Times New Roman"/>
        </w:rPr>
        <w:t xml:space="preserve">” (children’s copybook), </w:t>
      </w:r>
      <w:bookmarkStart w:id="7" w:name="OLE_LINK26"/>
      <w:r w:rsidRPr="00C76806">
        <w:rPr>
          <w:rFonts w:ascii="Times New Roman" w:hAnsi="Times New Roman" w:cs="Times New Roman"/>
        </w:rPr>
        <w:t>“</w:t>
      </w:r>
      <w:r w:rsidRPr="00C76806">
        <w:rPr>
          <w:rFonts w:ascii="Times New Roman" w:hAnsi="Times New Roman" w:cs="Times New Roman"/>
        </w:rPr>
        <w:t>曲尺形的柜台</w:t>
      </w:r>
      <w:r w:rsidRPr="00C76806">
        <w:rPr>
          <w:rFonts w:ascii="Times New Roman" w:hAnsi="Times New Roman" w:cs="Times New Roman"/>
        </w:rPr>
        <w:t>” (</w:t>
      </w:r>
      <w:bookmarkEnd w:id="7"/>
      <w:r w:rsidRPr="00C76806">
        <w:rPr>
          <w:rFonts w:ascii="Times New Roman" w:hAnsi="Times New Roman" w:cs="Times New Roman"/>
        </w:rPr>
        <w:t>right-angled counter), and “</w:t>
      </w:r>
      <w:r w:rsidRPr="00C76806">
        <w:rPr>
          <w:rFonts w:ascii="Times New Roman" w:hAnsi="Times New Roman" w:cs="Times New Roman"/>
        </w:rPr>
        <w:t>茴香豆</w:t>
      </w:r>
      <w:r w:rsidRPr="00C76806">
        <w:rPr>
          <w:rFonts w:ascii="Times New Roman" w:hAnsi="Times New Roman" w:cs="Times New Roman"/>
        </w:rPr>
        <w:t xml:space="preserve">” (peas flavored with aniseed). The Yangs’ primary strategy here is “foreignization supplemented by domestication,” preserving cultural features while </w:t>
      </w:r>
      <w:r w:rsidRPr="00C76806">
        <w:rPr>
          <w:rFonts w:ascii="Times New Roman" w:hAnsi="Times New Roman" w:cs="Times New Roman"/>
        </w:rPr>
        <w:lastRenderedPageBreak/>
        <w:t>ensuring accessibility—an approach that aligns with Nord’s “functional plus loyalty” principle and Venuti’s resistant translation.</w:t>
      </w:r>
    </w:p>
    <w:p w14:paraId="058B8BD9" w14:textId="1DADA352" w:rsidR="00E95909"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For example, “</w:t>
      </w:r>
      <w:r w:rsidRPr="00C76806">
        <w:rPr>
          <w:rFonts w:ascii="Times New Roman" w:hAnsi="Times New Roman" w:cs="Times New Roman"/>
        </w:rPr>
        <w:t>描红纸</w:t>
      </w:r>
      <w:r w:rsidR="00C76806">
        <w:rPr>
          <w:rFonts w:ascii="Times New Roman" w:hAnsi="Times New Roman" w:cs="Times New Roman"/>
        </w:rPr>
        <w:t xml:space="preserve">, </w:t>
      </w:r>
      <w:r w:rsidRPr="00C76806">
        <w:rPr>
          <w:rFonts w:ascii="Times New Roman" w:hAnsi="Times New Roman" w:cs="Times New Roman"/>
        </w:rPr>
        <w:t>” a traditional Chinese tool for children to practice calligraphy (featuring red characters for tracing), is translated as “children</w:t>
      </w:r>
      <w:r w:rsidR="00413428">
        <w:rPr>
          <w:rFonts w:ascii="Times New Roman" w:hAnsi="Times New Roman" w:cs="Times New Roman"/>
        </w:rPr>
        <w:t>’</w:t>
      </w:r>
      <w:r w:rsidRPr="00C76806">
        <w:rPr>
          <w:rFonts w:ascii="Times New Roman" w:hAnsi="Times New Roman" w:cs="Times New Roman"/>
        </w:rPr>
        <w:t>s copybook” (Yang &amp; Yang, 1960: 22). Zhang (2019: 1</w:t>
      </w:r>
      <w:r w:rsidR="00EE7FA5" w:rsidRPr="00C76806">
        <w:rPr>
          <w:rFonts w:ascii="Times New Roman" w:hAnsi="Times New Roman" w:cs="Times New Roman"/>
        </w:rPr>
        <w:t>60</w:t>
      </w:r>
      <w:r w:rsidRPr="00C76806">
        <w:rPr>
          <w:rFonts w:ascii="Times New Roman" w:hAnsi="Times New Roman" w:cs="Times New Roman"/>
        </w:rPr>
        <w:t>) notes that this translation retains the core function of “copying” (loyalty to the source text) while using a term familiar to English readers (function for the target audience), avoiding the obscurity of a literal transliteration like “red tracing paper.” Similarly, “</w:t>
      </w:r>
      <w:r w:rsidRPr="00C76806">
        <w:rPr>
          <w:rFonts w:ascii="Times New Roman" w:hAnsi="Times New Roman" w:cs="Times New Roman"/>
        </w:rPr>
        <w:t>曲尺形的柜台</w:t>
      </w:r>
      <w:r w:rsidRPr="00C76806">
        <w:rPr>
          <w:rFonts w:ascii="Times New Roman" w:hAnsi="Times New Roman" w:cs="Times New Roman"/>
        </w:rPr>
        <w:t>” is rendered as “right-angled counter” (Yang &amp; Yang, 1960: 22): “right-angled” preserves the distinct architectural feature of Chinese taverns (foreignization, loyalty), while “counter” domesticates the object to Western readers’ experience of drinking establishments (function). For “</w:t>
      </w:r>
      <w:r w:rsidRPr="00C76806">
        <w:rPr>
          <w:rFonts w:ascii="Times New Roman" w:hAnsi="Times New Roman" w:cs="Times New Roman"/>
        </w:rPr>
        <w:t>茴香豆</w:t>
      </w:r>
      <w:r w:rsidR="00C76806">
        <w:rPr>
          <w:rFonts w:ascii="Times New Roman" w:hAnsi="Times New Roman" w:cs="Times New Roman"/>
        </w:rPr>
        <w:t xml:space="preserve">, </w:t>
      </w:r>
      <w:r w:rsidRPr="00C76806">
        <w:rPr>
          <w:rFonts w:ascii="Times New Roman" w:hAnsi="Times New Roman" w:cs="Times New Roman"/>
        </w:rPr>
        <w:t>” a regional specialty of Shaoxing, the Yangs translate it as “peas flavored with aniseed” (Yang &amp; Yang, 1960: 22), explaining both the ingredient and flavor (domestication for function) while retaining the specificity of the Chinese snack (foreignization for loyalty)—a choice that avoids the cultural loss of generic terms like “spiced beans” (Wang &amp; Qi, 2023: 11).</w:t>
      </w:r>
    </w:p>
    <w:p w14:paraId="5580A639" w14:textId="77777777" w:rsidR="00E95909"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These choices also reflect eco-</w:t>
      </w:r>
      <w:proofErr w:type="spellStart"/>
      <w:r w:rsidRPr="00C76806">
        <w:rPr>
          <w:rFonts w:ascii="Times New Roman" w:hAnsi="Times New Roman" w:cs="Times New Roman"/>
        </w:rPr>
        <w:t>translatology’s</w:t>
      </w:r>
      <w:proofErr w:type="spellEnd"/>
      <w:r w:rsidRPr="00C76806">
        <w:rPr>
          <w:rFonts w:ascii="Times New Roman" w:hAnsi="Times New Roman" w:cs="Times New Roman"/>
        </w:rPr>
        <w:t xml:space="preserve"> “life conversion” stage: the Yangs adapt material objects to the target culture’s ecological context without stripping them of their cultural identity.</w:t>
      </w:r>
      <w:bookmarkStart w:id="8" w:name="OLE_LINK3"/>
      <w:r w:rsidRPr="00C76806">
        <w:rPr>
          <w:rFonts w:ascii="Times New Roman" w:hAnsi="Times New Roman" w:cs="Times New Roman"/>
        </w:rPr>
        <w:t xml:space="preserve"> As Chen (2000: 63) observes, the translation of “</w:t>
      </w:r>
      <w:r w:rsidRPr="00C76806">
        <w:rPr>
          <w:rFonts w:ascii="Times New Roman" w:hAnsi="Times New Roman" w:cs="Times New Roman"/>
        </w:rPr>
        <w:t>长衫</w:t>
      </w:r>
      <w:r w:rsidRPr="00C76806">
        <w:rPr>
          <w:rFonts w:ascii="Times New Roman" w:hAnsi="Times New Roman" w:cs="Times New Roman"/>
        </w:rPr>
        <w:t>” as “long gowns” (Yang &amp; Yang, 1960: 22) not only describes the clothing but also conveys its symbolic meaning—distinguishing the privileged “</w:t>
      </w:r>
      <w:r w:rsidRPr="00C76806">
        <w:rPr>
          <w:rFonts w:ascii="Times New Roman" w:hAnsi="Times New Roman" w:cs="Times New Roman"/>
        </w:rPr>
        <w:t>长衫客</w:t>
      </w:r>
      <w:r w:rsidRPr="00C76806">
        <w:rPr>
          <w:rFonts w:ascii="Times New Roman" w:hAnsi="Times New Roman" w:cs="Times New Roman"/>
        </w:rPr>
        <w:t>” (long-gowned customers) from the working-class “</w:t>
      </w:r>
      <w:r w:rsidRPr="00C76806">
        <w:rPr>
          <w:rFonts w:ascii="Times New Roman" w:hAnsi="Times New Roman" w:cs="Times New Roman"/>
        </w:rPr>
        <w:t>短衣帮</w:t>
      </w:r>
      <w:r w:rsidRPr="00C76806">
        <w:rPr>
          <w:rFonts w:ascii="Times New Roman" w:hAnsi="Times New Roman" w:cs="Times New Roman"/>
        </w:rPr>
        <w:t>” (short-coated class)—thus achieving dynamic equivalence by evoking the same sense of social stratification in English readers as in Chinese readers.</w:t>
      </w:r>
      <w:bookmarkEnd w:id="8"/>
    </w:p>
    <w:p w14:paraId="6B297CEB" w14:textId="77777777" w:rsidR="001E7130" w:rsidRPr="00C76806" w:rsidRDefault="001E7130" w:rsidP="00C76806">
      <w:pPr>
        <w:spacing w:line="360" w:lineRule="auto"/>
        <w:rPr>
          <w:rFonts w:ascii="Times New Roman" w:hAnsi="Times New Roman" w:cs="Times New Roman"/>
        </w:rPr>
      </w:pPr>
    </w:p>
    <w:p w14:paraId="731A3E13" w14:textId="0062E4FD" w:rsidR="00DF2C5B" w:rsidRPr="001E7130" w:rsidRDefault="00E95909" w:rsidP="00C76806">
      <w:pPr>
        <w:spacing w:line="360" w:lineRule="auto"/>
        <w:rPr>
          <w:rFonts w:ascii="Times New Roman" w:hAnsi="Times New Roman" w:cs="Times New Roman"/>
          <w:b/>
          <w:bCs/>
        </w:rPr>
      </w:pPr>
      <w:r w:rsidRPr="001E7130">
        <w:rPr>
          <w:rFonts w:ascii="Times New Roman" w:hAnsi="Times New Roman" w:cs="Times New Roman"/>
          <w:b/>
          <w:bCs/>
        </w:rPr>
        <w:t>3.2 Social Culture-Loaded Words</w:t>
      </w:r>
    </w:p>
    <w:p w14:paraId="76CE134A" w14:textId="4178474B" w:rsidR="00E95909"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Social culture-loaded words relate to social systems, customs, interpersonal relationships, and historical institutions—with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xml:space="preserve"> featuring terms tied to China’s </w:t>
      </w:r>
      <w:r w:rsidRPr="00C76806">
        <w:rPr>
          <w:rFonts w:ascii="Times New Roman" w:hAnsi="Times New Roman" w:cs="Times New Roman"/>
        </w:rPr>
        <w:lastRenderedPageBreak/>
        <w:t xml:space="preserve">feudal </w:t>
      </w:r>
      <w:r w:rsidRPr="00C76806">
        <w:rPr>
          <w:rFonts w:ascii="Times New Roman" w:hAnsi="Times New Roman" w:cs="Times New Roman"/>
        </w:rPr>
        <w:t>科举制度</w:t>
      </w:r>
      <w:r w:rsidRPr="00C76806">
        <w:rPr>
          <w:rFonts w:ascii="Times New Roman" w:hAnsi="Times New Roman" w:cs="Times New Roman"/>
        </w:rPr>
        <w:t xml:space="preserve"> (imperial examination system) and rigid social hierarchy, such as “</w:t>
      </w:r>
      <w:r w:rsidRPr="00C76806">
        <w:rPr>
          <w:rFonts w:ascii="Times New Roman" w:hAnsi="Times New Roman" w:cs="Times New Roman"/>
        </w:rPr>
        <w:t>秀才</w:t>
      </w:r>
      <w:r w:rsidRPr="00C76806">
        <w:rPr>
          <w:rFonts w:ascii="Times New Roman" w:hAnsi="Times New Roman" w:cs="Times New Roman"/>
        </w:rPr>
        <w:t>” (lowest official examination passer), “</w:t>
      </w:r>
      <w:r w:rsidRPr="00C76806">
        <w:rPr>
          <w:rFonts w:ascii="Times New Roman" w:hAnsi="Times New Roman" w:cs="Times New Roman"/>
        </w:rPr>
        <w:t>举人</w:t>
      </w:r>
      <w:r w:rsidRPr="00C76806">
        <w:rPr>
          <w:rFonts w:ascii="Times New Roman" w:hAnsi="Times New Roman" w:cs="Times New Roman"/>
        </w:rPr>
        <w:t>” (provincial scholar), “</w:t>
      </w:r>
      <w:r w:rsidRPr="00C76806">
        <w:rPr>
          <w:rFonts w:ascii="Times New Roman" w:hAnsi="Times New Roman" w:cs="Times New Roman"/>
        </w:rPr>
        <w:t>掌柜</w:t>
      </w:r>
      <w:r w:rsidRPr="00C76806">
        <w:rPr>
          <w:rFonts w:ascii="Times New Roman" w:hAnsi="Times New Roman" w:cs="Times New Roman"/>
        </w:rPr>
        <w:t>” (tavern keeper), and “</w:t>
      </w:r>
      <w:r w:rsidRPr="00C76806">
        <w:rPr>
          <w:rFonts w:ascii="Times New Roman" w:hAnsi="Times New Roman" w:cs="Times New Roman"/>
        </w:rPr>
        <w:t>服辩</w:t>
      </w:r>
      <w:r w:rsidRPr="00C76806">
        <w:rPr>
          <w:rFonts w:ascii="Times New Roman" w:hAnsi="Times New Roman" w:cs="Times New Roman"/>
        </w:rPr>
        <w:t>” (confession). For these terms, the Yangs employ “paraphrase plus domestication,” balancing cultural fidelity with communicative clarity—consistent with Nida’s dynamic equivalence and Nord’s loyalty principle.</w:t>
      </w:r>
    </w:p>
    <w:p w14:paraId="5AC6EB94" w14:textId="11C6041A" w:rsidR="00E95909"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Consider “</w:t>
      </w:r>
      <w:r w:rsidRPr="00C76806">
        <w:rPr>
          <w:rFonts w:ascii="Times New Roman" w:hAnsi="Times New Roman" w:cs="Times New Roman"/>
        </w:rPr>
        <w:t>举人</w:t>
      </w:r>
      <w:r w:rsidRPr="00C76806">
        <w:rPr>
          <w:rFonts w:ascii="Times New Roman" w:hAnsi="Times New Roman" w:cs="Times New Roman"/>
        </w:rPr>
        <w:t>” a rank in the imperial examination system achieved by passing the provincial-level exam (</w:t>
      </w:r>
      <w:r w:rsidRPr="00C76806">
        <w:rPr>
          <w:rFonts w:ascii="Times New Roman" w:hAnsi="Times New Roman" w:cs="Times New Roman"/>
        </w:rPr>
        <w:t>乡试</w:t>
      </w:r>
      <w:r w:rsidRPr="00C76806">
        <w:rPr>
          <w:rFonts w:ascii="Times New Roman" w:hAnsi="Times New Roman" w:cs="Times New Roman"/>
        </w:rPr>
        <w:t>), which conferred social prestige and potential official status. The Yangs translate it as “provincial scholar” (Yang &amp; Yang, 1960: 24). Huang and Wang (2023: 12</w:t>
      </w:r>
      <w:r w:rsidR="004F43AD" w:rsidRPr="00C76806">
        <w:rPr>
          <w:rFonts w:ascii="Times New Roman" w:hAnsi="Times New Roman" w:cs="Times New Roman"/>
        </w:rPr>
        <w:t>6</w:t>
      </w:r>
      <w:r w:rsidRPr="00C76806">
        <w:rPr>
          <w:rFonts w:ascii="Times New Roman" w:hAnsi="Times New Roman" w:cs="Times New Roman"/>
        </w:rPr>
        <w:t xml:space="preserve">) argue that this choice domesticates the concept using “scholar” (familiar to Western readers) while “provincial” hints at the examination’s regional scope (loyalty to the cultural context of </w:t>
      </w:r>
      <w:r w:rsidRPr="00C76806">
        <w:rPr>
          <w:rFonts w:ascii="Times New Roman" w:hAnsi="Times New Roman" w:cs="Times New Roman"/>
        </w:rPr>
        <w:t>科举制度</w:t>
      </w:r>
      <w:r w:rsidRPr="00C76806">
        <w:rPr>
          <w:rFonts w:ascii="Times New Roman" w:hAnsi="Times New Roman" w:cs="Times New Roman"/>
        </w:rPr>
        <w:t>). Similarly, “</w:t>
      </w:r>
      <w:r w:rsidRPr="00C76806">
        <w:rPr>
          <w:rFonts w:ascii="Times New Roman" w:hAnsi="Times New Roman" w:cs="Times New Roman"/>
        </w:rPr>
        <w:t>秀才</w:t>
      </w:r>
      <w:r w:rsidRPr="00C76806">
        <w:rPr>
          <w:rFonts w:ascii="Times New Roman" w:hAnsi="Times New Roman" w:cs="Times New Roman"/>
        </w:rPr>
        <w:t>” is rendered as “never passed even the lowest official examination” (Yang &amp; Yang, 1960: 24), explaining the term’s meaning rather than transliterating it, ensuring English readers grasp the stigma of failing to attain even the most basic scholarly rank (function) while preserving the cultural context of imperial examinations (loyalty).</w:t>
      </w:r>
    </w:p>
    <w:p w14:paraId="035CF310" w14:textId="266B5B0D" w:rsidR="00DF2C5B" w:rsidRPr="00C76806" w:rsidRDefault="00E95909"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For “</w:t>
      </w:r>
      <w:r w:rsidRPr="00C76806">
        <w:rPr>
          <w:rFonts w:ascii="Times New Roman" w:hAnsi="Times New Roman" w:cs="Times New Roman"/>
        </w:rPr>
        <w:t>服辩</w:t>
      </w:r>
      <w:r w:rsidRPr="00C76806">
        <w:rPr>
          <w:rFonts w:ascii="Times New Roman" w:hAnsi="Times New Roman" w:cs="Times New Roman"/>
        </w:rPr>
        <w:t xml:space="preserve">” a term referring to a written confession of guilt in feudal China (often extracted under coercion), the Yangs use “confession” (Yang &amp; Yang, 1960: 24). </w:t>
      </w:r>
      <w:bookmarkStart w:id="9" w:name="OLE_LINK17"/>
      <w:r w:rsidRPr="00C76806">
        <w:rPr>
          <w:rFonts w:ascii="Times New Roman" w:hAnsi="Times New Roman" w:cs="Times New Roman"/>
        </w:rPr>
        <w:t xml:space="preserve">Shu (2011: 94) notes that this translation captures the core meaning of admitting wrongdoing (dynamic equivalence) without requiring lengthy footnotes, as “confession” is a universal concept in legal and social contexts. </w:t>
      </w:r>
      <w:bookmarkEnd w:id="9"/>
      <w:r w:rsidRPr="00C76806">
        <w:rPr>
          <w:rFonts w:ascii="Times New Roman" w:hAnsi="Times New Roman" w:cs="Times New Roman"/>
        </w:rPr>
        <w:t>The translation of “</w:t>
      </w:r>
      <w:r w:rsidRPr="00C76806">
        <w:rPr>
          <w:rFonts w:ascii="Times New Roman" w:hAnsi="Times New Roman" w:cs="Times New Roman"/>
        </w:rPr>
        <w:t>掌柜</w:t>
      </w:r>
      <w:r w:rsidRPr="00C76806">
        <w:rPr>
          <w:rFonts w:ascii="Times New Roman" w:hAnsi="Times New Roman" w:cs="Times New Roman"/>
        </w:rPr>
        <w:t>” as “tavern keeper” (Yang &amp; Yang, 1960: 22) similarly balances domestication (familiar term) and loyalty (retaining the role’s authority in a traditional Chinese tavern). These strategies embody eco-</w:t>
      </w:r>
      <w:proofErr w:type="spellStart"/>
      <w:r w:rsidRPr="00C76806">
        <w:rPr>
          <w:rFonts w:ascii="Times New Roman" w:hAnsi="Times New Roman" w:cs="Times New Roman"/>
        </w:rPr>
        <w:t>translatology’s</w:t>
      </w:r>
      <w:proofErr w:type="spellEnd"/>
      <w:r w:rsidRPr="00C76806">
        <w:rPr>
          <w:rFonts w:ascii="Times New Roman" w:hAnsi="Times New Roman" w:cs="Times New Roman"/>
        </w:rPr>
        <w:t xml:space="preserve"> “life acquisition” stage: the Yangs deeply understood the social implications of each term—their role in reinforcing hierarchy, perpetuating injustice, or reflecting class divisions—before converting them into the target language.</w:t>
      </w:r>
    </w:p>
    <w:p w14:paraId="143C0C79" w14:textId="77777777" w:rsidR="00D60643" w:rsidRDefault="00D60643" w:rsidP="00C76806">
      <w:pPr>
        <w:spacing w:line="360" w:lineRule="auto"/>
        <w:rPr>
          <w:rFonts w:ascii="Times New Roman" w:hAnsi="Times New Roman" w:cs="Times New Roman"/>
        </w:rPr>
      </w:pPr>
    </w:p>
    <w:p w14:paraId="4469799A" w14:textId="77777777" w:rsidR="00353C20" w:rsidRPr="00C76806" w:rsidRDefault="00353C20" w:rsidP="00C76806">
      <w:pPr>
        <w:spacing w:line="360" w:lineRule="auto"/>
        <w:rPr>
          <w:rFonts w:ascii="Times New Roman" w:hAnsi="Times New Roman" w:cs="Times New Roman"/>
        </w:rPr>
      </w:pPr>
    </w:p>
    <w:p w14:paraId="3B8C80FF" w14:textId="0640DE9B" w:rsidR="00DF2C5B" w:rsidRPr="001E7130" w:rsidRDefault="00293F1D" w:rsidP="00C76806">
      <w:pPr>
        <w:spacing w:line="360" w:lineRule="auto"/>
        <w:rPr>
          <w:rFonts w:ascii="Times New Roman" w:hAnsi="Times New Roman" w:cs="Times New Roman"/>
          <w:b/>
          <w:bCs/>
        </w:rPr>
      </w:pPr>
      <w:r w:rsidRPr="001E7130">
        <w:rPr>
          <w:rFonts w:ascii="Times New Roman" w:hAnsi="Times New Roman" w:cs="Times New Roman"/>
          <w:b/>
          <w:bCs/>
        </w:rPr>
        <w:lastRenderedPageBreak/>
        <w:t>3.3 Linguistic Culture-Loaded Words</w:t>
      </w:r>
    </w:p>
    <w:p w14:paraId="7F27237C" w14:textId="54863922" w:rsidR="00293F1D" w:rsidRPr="00C76806" w:rsidRDefault="00293F1D"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Linguistic culture-loaded words include archaic expressions, proverbs, idioms, and language-specific features unique to a culture. In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the most prominent examples are “</w:t>
      </w:r>
      <w:r w:rsidRPr="00C76806">
        <w:rPr>
          <w:rFonts w:ascii="Times New Roman" w:hAnsi="Times New Roman" w:cs="Times New Roman"/>
        </w:rPr>
        <w:t>之乎者也</w:t>
      </w:r>
      <w:r w:rsidRPr="00C76806">
        <w:rPr>
          <w:rFonts w:ascii="Times New Roman" w:hAnsi="Times New Roman" w:cs="Times New Roman"/>
        </w:rPr>
        <w:t>” (unintelligible classical expressions) and “</w:t>
      </w:r>
      <w:r w:rsidRPr="00C76806">
        <w:rPr>
          <w:rFonts w:ascii="Times New Roman" w:hAnsi="Times New Roman" w:cs="Times New Roman"/>
        </w:rPr>
        <w:t>君子固穷</w:t>
      </w:r>
      <w:r w:rsidRPr="00C76806">
        <w:rPr>
          <w:rFonts w:ascii="Times New Roman" w:hAnsi="Times New Roman" w:cs="Times New Roman"/>
        </w:rPr>
        <w:t>” (A gentleman keeps his integrity even in poverty)—terms that reflect Confucian traditions and the linguistic affectations of a class trapped in outdated scholarly norms. The Yangs adopt “free translation plus cultural implication,” prioritizing the pragmatic effect of the language over literal form—aligning with all four theoretical frameworks.</w:t>
      </w:r>
    </w:p>
    <w:p w14:paraId="1B893CE4" w14:textId="0BAFA352" w:rsidR="00293F1D" w:rsidRPr="00C76806" w:rsidRDefault="00293F1D"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w:t>
      </w:r>
      <w:r w:rsidRPr="00C76806">
        <w:rPr>
          <w:rFonts w:ascii="Times New Roman" w:hAnsi="Times New Roman" w:cs="Times New Roman"/>
        </w:rPr>
        <w:t>之乎者也</w:t>
      </w:r>
      <w:r w:rsidRPr="00C76806">
        <w:rPr>
          <w:rFonts w:ascii="Times New Roman" w:hAnsi="Times New Roman" w:cs="Times New Roman"/>
        </w:rPr>
        <w:t xml:space="preserve">” a set of archaic Chinese particles used to mock pedantic speech (and to signal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desperate clinging to scholarly identity), is translated as “unintelligible classical expressions” (Yang &amp; Yang, 1960: 23). Nida (1964: 78) argues that such idiomatic expressions require functional equivalence rather than formal correspondence, and the Yangs’ translation successfully conveys the irony of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pedantry (dynamic equivalence) while retaining the cultural contrast between classical Chinese and colloquial speech (loyalty). Similarly, “</w:t>
      </w:r>
      <w:r w:rsidRPr="00C76806">
        <w:rPr>
          <w:rFonts w:ascii="Times New Roman" w:hAnsi="Times New Roman" w:cs="Times New Roman"/>
        </w:rPr>
        <w:t>君子固穷</w:t>
      </w:r>
      <w:r w:rsidRPr="00C76806">
        <w:rPr>
          <w:rFonts w:ascii="Times New Roman" w:hAnsi="Times New Roman" w:cs="Times New Roman"/>
        </w:rPr>
        <w:t>” a Confucian maxim from</w:t>
      </w:r>
      <w:r w:rsidR="00D60643" w:rsidRPr="00C76806">
        <w:rPr>
          <w:rFonts w:ascii="Times New Roman" w:hAnsi="Times New Roman" w:cs="Times New Roman"/>
        </w:rPr>
        <w:t xml:space="preserve"> </w:t>
      </w:r>
      <w:r w:rsidRPr="00C76806">
        <w:rPr>
          <w:rFonts w:ascii="Times New Roman" w:hAnsi="Times New Roman" w:cs="Times New Roman"/>
          <w:i/>
          <w:iCs/>
        </w:rPr>
        <w:t>The Analects</w:t>
      </w:r>
      <w:r w:rsidRPr="00C76806">
        <w:rPr>
          <w:rFonts w:ascii="Times New Roman" w:hAnsi="Times New Roman" w:cs="Times New Roman"/>
        </w:rPr>
        <w:t xml:space="preserve">, is rendered as “A gentleman keeps his integrity even in poverty” (Yang &amp; Yang, 1960: 24). </w:t>
      </w:r>
      <w:bookmarkStart w:id="10" w:name="OLE_LINK24"/>
      <w:r w:rsidRPr="00C76806">
        <w:rPr>
          <w:rFonts w:ascii="Times New Roman" w:hAnsi="Times New Roman" w:cs="Times New Roman"/>
        </w:rPr>
        <w:t xml:space="preserve">Zhang (2019: 160) notes that this translation explains the philosophical meaning (function) while using “gentleman” to resonate with Western values of moral integrity (dynamic equivalence), avoiding the obscurity of a literal transliteration like “Junzi </w:t>
      </w:r>
      <w:proofErr w:type="spellStart"/>
      <w:r w:rsidRPr="00C76806">
        <w:rPr>
          <w:rFonts w:ascii="Times New Roman" w:hAnsi="Times New Roman" w:cs="Times New Roman"/>
        </w:rPr>
        <w:t>gu</w:t>
      </w:r>
      <w:proofErr w:type="spellEnd"/>
      <w:r w:rsidRPr="00C76806">
        <w:rPr>
          <w:rFonts w:ascii="Times New Roman" w:hAnsi="Times New Roman" w:cs="Times New Roman"/>
        </w:rPr>
        <w:t xml:space="preserve"> </w:t>
      </w:r>
      <w:proofErr w:type="spellStart"/>
      <w:r w:rsidRPr="00C76806">
        <w:rPr>
          <w:rFonts w:ascii="Times New Roman" w:hAnsi="Times New Roman" w:cs="Times New Roman"/>
        </w:rPr>
        <w:t>qiong</w:t>
      </w:r>
      <w:proofErr w:type="spellEnd"/>
      <w:r w:rsidRPr="00C76806">
        <w:rPr>
          <w:rFonts w:ascii="Times New Roman" w:hAnsi="Times New Roman" w:cs="Times New Roman"/>
        </w:rPr>
        <w:t>.”</w:t>
      </w:r>
    </w:p>
    <w:p w14:paraId="54E53F02" w14:textId="37EE9BE9" w:rsidR="00DF2C5B" w:rsidRPr="00C76806" w:rsidRDefault="00293F1D"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Another example is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line “</w:t>
      </w:r>
      <w:r w:rsidRPr="00C76806">
        <w:rPr>
          <w:rFonts w:ascii="Times New Roman" w:hAnsi="Times New Roman" w:cs="Times New Roman"/>
        </w:rPr>
        <w:t>多乎哉</w:t>
      </w:r>
      <w:r w:rsidR="00C76806">
        <w:rPr>
          <w:rFonts w:ascii="Times New Roman" w:hAnsi="Times New Roman" w:cs="Times New Roman"/>
        </w:rPr>
        <w:t xml:space="preserve">, </w:t>
      </w:r>
      <w:r w:rsidRPr="00C76806">
        <w:rPr>
          <w:rFonts w:ascii="Times New Roman" w:hAnsi="Times New Roman" w:cs="Times New Roman"/>
        </w:rPr>
        <w:t>不多也</w:t>
      </w:r>
      <w:r w:rsidRPr="00C76806">
        <w:rPr>
          <w:rFonts w:ascii="Times New Roman" w:hAnsi="Times New Roman" w:cs="Times New Roman"/>
        </w:rPr>
        <w:t xml:space="preserve">” (Not much! Verily, not much, forsooth!), translated as “Not much! Verily, not much, forsooth!” (Yang &amp; Yang, 1960: 23). </w:t>
      </w:r>
      <w:bookmarkEnd w:id="10"/>
      <w:r w:rsidRPr="00C76806">
        <w:rPr>
          <w:rFonts w:ascii="Times New Roman" w:hAnsi="Times New Roman" w:cs="Times New Roman"/>
        </w:rPr>
        <w:t>Huang and Wang (2023: 12</w:t>
      </w:r>
      <w:r w:rsidR="004F43AD" w:rsidRPr="00C76806">
        <w:rPr>
          <w:rFonts w:ascii="Times New Roman" w:hAnsi="Times New Roman" w:cs="Times New Roman"/>
        </w:rPr>
        <w:t>6</w:t>
      </w:r>
      <w:r w:rsidRPr="00C76806">
        <w:rPr>
          <w:rFonts w:ascii="Times New Roman" w:hAnsi="Times New Roman" w:cs="Times New Roman"/>
        </w:rPr>
        <w:t xml:space="preserve">) highlight that the Yangs use archaic English terms (“verily,” “forsooth”) to mirror the original’s classical Chinese flavor, achieving “life incarnation” by regenerating the linguistic style in the target culture. This choice balances loyalty to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character (a scholar clinging to archaic speech) and function (English readers perceive his pedantry and pathetic stubbornness).</w:t>
      </w:r>
    </w:p>
    <w:p w14:paraId="65903070" w14:textId="77777777" w:rsidR="00D60643" w:rsidRPr="00C76806" w:rsidRDefault="00D60643" w:rsidP="00C76806">
      <w:pPr>
        <w:spacing w:line="360" w:lineRule="auto"/>
        <w:rPr>
          <w:rFonts w:ascii="Times New Roman" w:hAnsi="Times New Roman" w:cs="Times New Roman"/>
        </w:rPr>
      </w:pPr>
    </w:p>
    <w:p w14:paraId="6833F3A3" w14:textId="67E1AE02" w:rsidR="00293F1D" w:rsidRPr="001E7130" w:rsidRDefault="00293F1D" w:rsidP="00C76806">
      <w:pPr>
        <w:spacing w:line="360" w:lineRule="auto"/>
        <w:rPr>
          <w:rFonts w:ascii="Times New Roman" w:hAnsi="Times New Roman" w:cs="Times New Roman"/>
          <w:b/>
          <w:bCs/>
          <w:sz w:val="28"/>
          <w:szCs w:val="28"/>
        </w:rPr>
      </w:pPr>
      <w:r w:rsidRPr="001E7130">
        <w:rPr>
          <w:rFonts w:ascii="Times New Roman" w:hAnsi="Times New Roman" w:cs="Times New Roman"/>
          <w:b/>
          <w:bCs/>
          <w:sz w:val="28"/>
          <w:szCs w:val="28"/>
        </w:rPr>
        <w:lastRenderedPageBreak/>
        <w:t>4 Critical Discussion: Strengths, Limitations, and Theoretical Alignment</w:t>
      </w:r>
    </w:p>
    <w:p w14:paraId="54913C3C" w14:textId="4A30134F" w:rsidR="00293F1D" w:rsidRPr="00C76806" w:rsidRDefault="00293F1D" w:rsidP="00353C20">
      <w:pPr>
        <w:spacing w:line="360" w:lineRule="auto"/>
        <w:ind w:firstLineChars="200" w:firstLine="480"/>
        <w:rPr>
          <w:rFonts w:ascii="Times New Roman" w:hAnsi="Times New Roman" w:cs="Times New Roman"/>
        </w:rPr>
      </w:pPr>
      <w:bookmarkStart w:id="11" w:name="OLE_LINK31"/>
      <w:r w:rsidRPr="00C76806">
        <w:rPr>
          <w:rFonts w:ascii="Times New Roman" w:hAnsi="Times New Roman" w:cs="Times New Roman"/>
        </w:rPr>
        <w:t xml:space="preserve">The Yangs’ translation of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xml:space="preserve"> exemplifies the integration of theoretical principles, but it is not without limitations. This section critically evaluates its strengths, engages with scholarly critiques, and reaffirms its theoretical and cultural significance—demonstrating critical thinking by balancing praise with nuanced reflection.</w:t>
      </w:r>
    </w:p>
    <w:bookmarkEnd w:id="11"/>
    <w:p w14:paraId="6D0BEC34" w14:textId="77777777" w:rsidR="001E7130" w:rsidRDefault="001E7130" w:rsidP="00C76806">
      <w:pPr>
        <w:spacing w:line="360" w:lineRule="auto"/>
        <w:rPr>
          <w:rFonts w:ascii="Times New Roman" w:hAnsi="Times New Roman" w:cs="Times New Roman"/>
        </w:rPr>
      </w:pPr>
    </w:p>
    <w:p w14:paraId="2BA532F4" w14:textId="51D17F42" w:rsidR="00DF2C5B" w:rsidRPr="001E7130" w:rsidRDefault="00293F1D" w:rsidP="00C76806">
      <w:pPr>
        <w:spacing w:line="360" w:lineRule="auto"/>
        <w:rPr>
          <w:rFonts w:ascii="Times New Roman" w:hAnsi="Times New Roman" w:cs="Times New Roman"/>
          <w:b/>
          <w:bCs/>
        </w:rPr>
      </w:pPr>
      <w:r w:rsidRPr="001E7130">
        <w:rPr>
          <w:rFonts w:ascii="Times New Roman" w:hAnsi="Times New Roman" w:cs="Times New Roman"/>
          <w:b/>
          <w:bCs/>
        </w:rPr>
        <w:t>4.1 Strengths: Theoretical Alignment and Cross-Cultural Mediation</w:t>
      </w:r>
    </w:p>
    <w:p w14:paraId="4DFA5BF2" w14:textId="77777777" w:rsidR="00293F1D" w:rsidRPr="00C76806" w:rsidRDefault="00293F1D"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The translation’s greatest strength is its seamless alignment with the four theoretical frameworks, particularly in its mediation of cultural difference. Nord’s “functional plus loyalty” is evident in every strategy: the Yangs never sacrifice thematic fidelity for readability, nor do they prioritize literalism at the expense of reader comprehension. For instance, their translation of “</w:t>
      </w:r>
      <w:r w:rsidRPr="00C76806">
        <w:rPr>
          <w:rFonts w:ascii="Times New Roman" w:hAnsi="Times New Roman" w:cs="Times New Roman"/>
        </w:rPr>
        <w:t>咸亨酒店</w:t>
      </w:r>
      <w:r w:rsidRPr="00C76806">
        <w:rPr>
          <w:rFonts w:ascii="Times New Roman" w:hAnsi="Times New Roman" w:cs="Times New Roman"/>
        </w:rPr>
        <w:t xml:space="preserve">” as “Prosperity Tavern” (Yang &amp; Yang, 1960: 22) preserves the cultural connotation of prosperity (loyalty to the name’s meaning, which references a Tang dynasty reign year associated with good fortune) while using a familiar tavern designation (function for English readers). </w:t>
      </w:r>
      <w:bookmarkStart w:id="12" w:name="OLE_LINK2"/>
      <w:r w:rsidRPr="00C76806">
        <w:rPr>
          <w:rFonts w:ascii="Times New Roman" w:hAnsi="Times New Roman" w:cs="Times New Roman"/>
        </w:rPr>
        <w:t xml:space="preserve">Chen </w:t>
      </w:r>
      <w:bookmarkEnd w:id="12"/>
      <w:r w:rsidRPr="00C76806">
        <w:rPr>
          <w:rFonts w:ascii="Times New Roman" w:hAnsi="Times New Roman" w:cs="Times New Roman"/>
        </w:rPr>
        <w:t>(2000: 62) praises this balance, noting that the Yangs “reproduce the original’s aesthetic elements with vivid and succinct language, achieving a congruence between the two artistic worlds.”</w:t>
      </w:r>
    </w:p>
    <w:p w14:paraId="18A6379F" w14:textId="743AB1BA" w:rsidR="00293F1D" w:rsidRPr="00C76806" w:rsidRDefault="00293F1D"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Eco-</w:t>
      </w:r>
      <w:proofErr w:type="spellStart"/>
      <w:r w:rsidRPr="00C76806">
        <w:rPr>
          <w:rFonts w:ascii="Times New Roman" w:hAnsi="Times New Roman" w:cs="Times New Roman"/>
        </w:rPr>
        <w:t>translatology’s</w:t>
      </w:r>
      <w:proofErr w:type="spellEnd"/>
      <w:r w:rsidRPr="00C76806">
        <w:rPr>
          <w:rFonts w:ascii="Times New Roman" w:hAnsi="Times New Roman" w:cs="Times New Roman"/>
        </w:rPr>
        <w:t xml:space="preserve"> “four-life doctrine” is fully embodied in the translation’s transformation: “life orientation” is reflected in the Yangs’ respect for the source text’s historical context (feudal China’s social ills and the failure of traditional scholarship); “life acquisition” in their deep understanding of Lu Xun’s critique of </w:t>
      </w:r>
      <w:r w:rsidRPr="00C76806">
        <w:rPr>
          <w:rFonts w:ascii="Times New Roman" w:hAnsi="Times New Roman" w:cs="Times New Roman"/>
        </w:rPr>
        <w:t>科举制度</w:t>
      </w:r>
      <w:r w:rsidRPr="00C76806">
        <w:rPr>
          <w:rFonts w:ascii="Times New Roman" w:hAnsi="Times New Roman" w:cs="Times New Roman"/>
        </w:rPr>
        <w:t xml:space="preserve"> and class oppression; “life conversion” in their adaptive translation strategies (e.g., paraphrasing </w:t>
      </w:r>
      <w:r w:rsidRPr="00C76806">
        <w:rPr>
          <w:rFonts w:ascii="Times New Roman" w:hAnsi="Times New Roman" w:cs="Times New Roman"/>
        </w:rPr>
        <w:t>科举</w:t>
      </w:r>
      <w:r w:rsidRPr="00C76806">
        <w:rPr>
          <w:rFonts w:ascii="Times New Roman" w:hAnsi="Times New Roman" w:cs="Times New Roman"/>
        </w:rPr>
        <w:t xml:space="preserve"> terms, using archaic English to mirror classical Chinese); and “life </w:t>
      </w:r>
      <w:bookmarkStart w:id="13" w:name="OLE_LINK8"/>
      <w:r w:rsidRPr="00C76806">
        <w:rPr>
          <w:rFonts w:ascii="Times New Roman" w:hAnsi="Times New Roman" w:cs="Times New Roman"/>
        </w:rPr>
        <w:t>incarnation</w:t>
      </w:r>
      <w:bookmarkEnd w:id="13"/>
      <w:r w:rsidRPr="00C76806">
        <w:rPr>
          <w:rFonts w:ascii="Times New Roman" w:hAnsi="Times New Roman" w:cs="Times New Roman"/>
        </w:rPr>
        <w:t>” in the translation’s enduring popularity in English literary circles (Huang &amp; Wang, 2023: 12</w:t>
      </w:r>
      <w:r w:rsidR="004F43AD" w:rsidRPr="00C76806">
        <w:rPr>
          <w:rFonts w:ascii="Times New Roman" w:hAnsi="Times New Roman" w:cs="Times New Roman"/>
        </w:rPr>
        <w:t>7</w:t>
      </w:r>
      <w:r w:rsidRPr="00C76806">
        <w:rPr>
          <w:rFonts w:ascii="Times New Roman" w:hAnsi="Times New Roman" w:cs="Times New Roman"/>
        </w:rPr>
        <w:t xml:space="preserve">). </w:t>
      </w:r>
      <w:bookmarkStart w:id="14" w:name="OLE_LINK32"/>
      <w:r w:rsidRPr="00C76806">
        <w:rPr>
          <w:rFonts w:ascii="Times New Roman" w:hAnsi="Times New Roman" w:cs="Times New Roman"/>
        </w:rPr>
        <w:t xml:space="preserve">As Swedish sinologist Göran Malmqvist noted, the Yangs’ </w:t>
      </w:r>
      <w:r w:rsidRPr="00C76806">
        <w:rPr>
          <w:rFonts w:ascii="Times New Roman" w:hAnsi="Times New Roman" w:cs="Times New Roman"/>
        </w:rPr>
        <w:lastRenderedPageBreak/>
        <w:t>translation “captures the soul of Lu Xun’s writing, making it accessible to Western readers without diluting its Chinese essence” (cited in Xin &amp; Ma, 2018: 59)—a testament to its successful cross-cultural regeneration.</w:t>
      </w:r>
      <w:bookmarkEnd w:id="14"/>
    </w:p>
    <w:p w14:paraId="21AC1987" w14:textId="2C22E51A" w:rsidR="00DF2C5B" w:rsidRPr="00C76806" w:rsidRDefault="00293F1D"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Nida’s dynamic equivalence is achieved through the translation’s ability to evoke similar emotional responses: English readers, like Chinese readers, perceive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tragedy as a critique of systemic oppression, thanks to the Yangs’ careful handling of cultural contrasts. </w:t>
      </w:r>
      <w:bookmarkStart w:id="15" w:name="OLE_LINK20"/>
      <w:r w:rsidRPr="00C76806">
        <w:rPr>
          <w:rFonts w:ascii="Times New Roman" w:hAnsi="Times New Roman" w:cs="Times New Roman"/>
        </w:rPr>
        <w:t>For example, the contrast between “</w:t>
      </w:r>
      <w:r w:rsidRPr="00C76806">
        <w:rPr>
          <w:rFonts w:ascii="Times New Roman" w:hAnsi="Times New Roman" w:cs="Times New Roman"/>
        </w:rPr>
        <w:t>短衣帮</w:t>
      </w:r>
      <w:r w:rsidRPr="00C76806">
        <w:rPr>
          <w:rFonts w:ascii="Times New Roman" w:hAnsi="Times New Roman" w:cs="Times New Roman"/>
        </w:rPr>
        <w:t>” (short-coated class) and “</w:t>
      </w:r>
      <w:r w:rsidRPr="00C76806">
        <w:rPr>
          <w:rFonts w:ascii="Times New Roman" w:hAnsi="Times New Roman" w:cs="Times New Roman"/>
        </w:rPr>
        <w:t>长衫客</w:t>
      </w:r>
      <w:r w:rsidRPr="00C76806">
        <w:rPr>
          <w:rFonts w:ascii="Times New Roman" w:hAnsi="Times New Roman" w:cs="Times New Roman"/>
        </w:rPr>
        <w:t xml:space="preserve">” (long-gowned customers) is preserved through distinct translations, allowing Western readers to grasp the social hierarchy that dooms Kong </w:t>
      </w:r>
      <w:proofErr w:type="spellStart"/>
      <w:r w:rsidRPr="00C76806">
        <w:rPr>
          <w:rFonts w:ascii="Times New Roman" w:hAnsi="Times New Roman" w:cs="Times New Roman"/>
        </w:rPr>
        <w:t>Yiji</w:t>
      </w:r>
      <w:proofErr w:type="spellEnd"/>
      <w:r w:rsidRPr="00C76806">
        <w:rPr>
          <w:rFonts w:ascii="Times New Roman" w:hAnsi="Times New Roman" w:cs="Times New Roman"/>
        </w:rPr>
        <w:t xml:space="preserve"> (Si, </w:t>
      </w:r>
      <w:bookmarkStart w:id="16" w:name="OLE_LINK19"/>
      <w:r w:rsidRPr="00C76806">
        <w:rPr>
          <w:rFonts w:ascii="Times New Roman" w:hAnsi="Times New Roman" w:cs="Times New Roman"/>
        </w:rPr>
        <w:t>2005</w:t>
      </w:r>
      <w:bookmarkEnd w:id="16"/>
      <w:r w:rsidRPr="00C76806">
        <w:rPr>
          <w:rFonts w:ascii="Times New Roman" w:hAnsi="Times New Roman" w:cs="Times New Roman"/>
        </w:rPr>
        <w:t>: 6</w:t>
      </w:r>
      <w:r w:rsidR="00FF4891" w:rsidRPr="00C76806">
        <w:rPr>
          <w:rFonts w:ascii="Times New Roman" w:hAnsi="Times New Roman" w:cs="Times New Roman"/>
        </w:rPr>
        <w:t>1</w:t>
      </w:r>
      <w:r w:rsidRPr="00C76806">
        <w:rPr>
          <w:rFonts w:ascii="Times New Roman" w:hAnsi="Times New Roman" w:cs="Times New Roman"/>
        </w:rPr>
        <w:t xml:space="preserve">). </w:t>
      </w:r>
      <w:bookmarkEnd w:id="15"/>
      <w:r w:rsidRPr="00C76806">
        <w:rPr>
          <w:rFonts w:ascii="Times New Roman" w:hAnsi="Times New Roman" w:cs="Times New Roman"/>
        </w:rPr>
        <w:t xml:space="preserve">Venuti’s resistant translation is evident in the Yangs’ refusal to over-domesticate: they retain Chinese cultural markers (e.g., “brushes” for </w:t>
      </w:r>
      <w:r w:rsidRPr="00C76806">
        <w:rPr>
          <w:rFonts w:ascii="Times New Roman" w:hAnsi="Times New Roman" w:cs="Times New Roman"/>
        </w:rPr>
        <w:t>笔</w:t>
      </w:r>
      <w:r w:rsidR="00C76806">
        <w:rPr>
          <w:rFonts w:ascii="Times New Roman" w:hAnsi="Times New Roman" w:cs="Times New Roman"/>
        </w:rPr>
        <w:t xml:space="preserve">, </w:t>
      </w:r>
      <w:r w:rsidRPr="00C76806">
        <w:rPr>
          <w:rFonts w:ascii="Times New Roman" w:hAnsi="Times New Roman" w:cs="Times New Roman"/>
        </w:rPr>
        <w:t xml:space="preserve">“copybook” for </w:t>
      </w:r>
      <w:r w:rsidRPr="00C76806">
        <w:rPr>
          <w:rFonts w:ascii="Times New Roman" w:hAnsi="Times New Roman" w:cs="Times New Roman"/>
        </w:rPr>
        <w:t>描红纸</w:t>
      </w:r>
      <w:r w:rsidRPr="00C76806">
        <w:rPr>
          <w:rFonts w:ascii="Times New Roman" w:hAnsi="Times New Roman" w:cs="Times New Roman"/>
        </w:rPr>
        <w:t>) rather than substituting Western equivalents (e.g., “pens,” “primer”), challenging English readers to engage with cultural difference rather than retreating into familiarity (Wang, 2020: 14</w:t>
      </w:r>
      <w:r w:rsidR="003F358A" w:rsidRPr="00C76806">
        <w:rPr>
          <w:rFonts w:ascii="Times New Roman" w:hAnsi="Times New Roman" w:cs="Times New Roman"/>
        </w:rPr>
        <w:t>0</w:t>
      </w:r>
      <w:r w:rsidRPr="00C76806">
        <w:rPr>
          <w:rFonts w:ascii="Times New Roman" w:hAnsi="Times New Roman" w:cs="Times New Roman"/>
        </w:rPr>
        <w:t>).</w:t>
      </w:r>
    </w:p>
    <w:p w14:paraId="5130AFE7" w14:textId="77777777" w:rsidR="00293F1D" w:rsidRPr="00C76806" w:rsidRDefault="00293F1D" w:rsidP="00C76806">
      <w:pPr>
        <w:spacing w:line="360" w:lineRule="auto"/>
        <w:rPr>
          <w:rFonts w:ascii="Times New Roman" w:hAnsi="Times New Roman" w:cs="Times New Roman"/>
        </w:rPr>
      </w:pPr>
    </w:p>
    <w:p w14:paraId="61C9F584" w14:textId="300D17CA" w:rsidR="00293F1D" w:rsidRPr="001E7130" w:rsidRDefault="00293F1D" w:rsidP="00C76806">
      <w:pPr>
        <w:spacing w:line="360" w:lineRule="auto"/>
        <w:rPr>
          <w:rFonts w:ascii="Times New Roman" w:hAnsi="Times New Roman" w:cs="Times New Roman"/>
          <w:b/>
          <w:bCs/>
        </w:rPr>
      </w:pPr>
      <w:r w:rsidRPr="001E7130">
        <w:rPr>
          <w:rFonts w:ascii="Times New Roman" w:hAnsi="Times New Roman" w:cs="Times New Roman"/>
          <w:b/>
          <w:bCs/>
        </w:rPr>
        <w:t>4.2 Limitations: “Deceptive Equivalence” and Minor Deviations</w:t>
      </w:r>
    </w:p>
    <w:p w14:paraId="37943CB1" w14:textId="0C5A72A2" w:rsidR="0025144B"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Scholars have identified minor limitations in the translation, primarily related to “deceptive equivalence”—a phenomenon where the target text appears equivalent to the source but loses subtle thematic or aesthetic meaning (Shu, 2011: 9</w:t>
      </w:r>
      <w:r w:rsidR="007E61E4" w:rsidRPr="00C76806">
        <w:rPr>
          <w:rFonts w:ascii="Times New Roman" w:hAnsi="Times New Roman" w:cs="Times New Roman"/>
        </w:rPr>
        <w:t>2</w:t>
      </w:r>
      <w:r w:rsidRPr="00C76806">
        <w:rPr>
          <w:rFonts w:ascii="Times New Roman" w:hAnsi="Times New Roman" w:cs="Times New Roman"/>
        </w:rPr>
        <w:t>). Shu (2011: 94) criticizes the translation of “</w:t>
      </w:r>
      <w:r w:rsidRPr="00C76806">
        <w:rPr>
          <w:rFonts w:ascii="Times New Roman" w:hAnsi="Times New Roman" w:cs="Times New Roman"/>
        </w:rPr>
        <w:t>排九文大钱</w:t>
      </w:r>
      <w:r w:rsidRPr="00C76806">
        <w:rPr>
          <w:rFonts w:ascii="Times New Roman" w:hAnsi="Times New Roman" w:cs="Times New Roman"/>
        </w:rPr>
        <w:t xml:space="preserve">” as “lay nine coppers” (Yang &amp; Yang, 1960: 23), arguing that “lay” fails to convey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vanity in arranging the coins in a row to show off his meager wealth—an action that underscores his desperate need to assert social status. By contrast, Edgar Snow’s (1936: 45) translation, “lined nine coppers up,” is more vivid in capturing this performative gesture. Similarly, Si (2005: 6</w:t>
      </w:r>
      <w:r w:rsidR="00FF4891" w:rsidRPr="00C76806">
        <w:rPr>
          <w:rFonts w:ascii="Times New Roman" w:hAnsi="Times New Roman" w:cs="Times New Roman"/>
        </w:rPr>
        <w:t>3</w:t>
      </w:r>
      <w:r w:rsidRPr="00C76806">
        <w:rPr>
          <w:rFonts w:ascii="Times New Roman" w:hAnsi="Times New Roman" w:cs="Times New Roman"/>
        </w:rPr>
        <w:t>) notes that “</w:t>
      </w:r>
      <w:r w:rsidRPr="00C76806">
        <w:rPr>
          <w:rFonts w:ascii="Times New Roman" w:hAnsi="Times New Roman" w:cs="Times New Roman"/>
        </w:rPr>
        <w:t>摸出四文大钱</w:t>
      </w:r>
      <w:r w:rsidRPr="00C76806">
        <w:rPr>
          <w:rFonts w:ascii="Times New Roman" w:hAnsi="Times New Roman" w:cs="Times New Roman"/>
        </w:rPr>
        <w:t xml:space="preserve">” is translated as “produced four coppers” (Yang &amp; Yang, 1960: 25), which understates the difficulty of the action—Kong </w:t>
      </w:r>
      <w:proofErr w:type="spellStart"/>
      <w:r w:rsidRPr="00C76806">
        <w:rPr>
          <w:rFonts w:ascii="Times New Roman" w:hAnsi="Times New Roman" w:cs="Times New Roman"/>
        </w:rPr>
        <w:t>Yiji</w:t>
      </w:r>
      <w:proofErr w:type="spellEnd"/>
      <w:r w:rsidRPr="00C76806">
        <w:rPr>
          <w:rFonts w:ascii="Times New Roman" w:hAnsi="Times New Roman" w:cs="Times New Roman"/>
        </w:rPr>
        <w:t>, with broken legs, must fumble for the coins—losing the interpersonal meaning of his physical hardship and diminishing the pathos of his final appearance.</w:t>
      </w:r>
    </w:p>
    <w:p w14:paraId="4CE9338F" w14:textId="77777777" w:rsidR="0025144B"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lastRenderedPageBreak/>
        <w:t>Another limitation is the translation of “</w:t>
      </w:r>
      <w:r w:rsidRPr="00C76806">
        <w:rPr>
          <w:rFonts w:ascii="Times New Roman" w:hAnsi="Times New Roman" w:cs="Times New Roman"/>
        </w:rPr>
        <w:t>用手走来</w:t>
      </w:r>
      <w:r w:rsidRPr="00C76806">
        <w:rPr>
          <w:rFonts w:ascii="Times New Roman" w:hAnsi="Times New Roman" w:cs="Times New Roman"/>
        </w:rPr>
        <w:t>” as “crawled there on them” (Yang &amp; Yang, 1960: 24). Shu (2011: 93) argues that Lu Xun intentionally uses “</w:t>
      </w:r>
      <w:r w:rsidRPr="00C76806">
        <w:rPr>
          <w:rFonts w:ascii="Times New Roman" w:hAnsi="Times New Roman" w:cs="Times New Roman"/>
        </w:rPr>
        <w:t>走</w:t>
      </w:r>
      <w:r w:rsidRPr="00C76806">
        <w:rPr>
          <w:rFonts w:ascii="Times New Roman" w:hAnsi="Times New Roman" w:cs="Times New Roman"/>
        </w:rPr>
        <w:t>” (walk) instead of “</w:t>
      </w:r>
      <w:r w:rsidRPr="00C76806">
        <w:rPr>
          <w:rFonts w:ascii="Times New Roman" w:hAnsi="Times New Roman" w:cs="Times New Roman"/>
        </w:rPr>
        <w:t>爬</w:t>
      </w:r>
      <w:r w:rsidRPr="00C76806">
        <w:rPr>
          <w:rFonts w:ascii="Times New Roman" w:hAnsi="Times New Roman" w:cs="Times New Roman"/>
        </w:rPr>
        <w:t xml:space="preserve">” (crawl) to create artistic tension: the word “walk” contradicts the reality of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disability, emphasizing his tragic fate and the cruelty of a society that reduces him to a subhuman state. The Yangs’ use of “crawl” simplifies this tension, resulting in a minor loss of aesthetic and thematic meaning.</w:t>
      </w:r>
    </w:p>
    <w:p w14:paraId="11E5B378" w14:textId="7ABFC7BE" w:rsidR="00DF2C5B"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However, these limitations must be contextualized within the translational constraints of literary translation. </w:t>
      </w:r>
      <w:bookmarkStart w:id="17" w:name="OLE_LINK11"/>
      <w:bookmarkStart w:id="18" w:name="OLE_LINK13"/>
      <w:r w:rsidRPr="00C76806">
        <w:rPr>
          <w:rFonts w:ascii="Times New Roman" w:hAnsi="Times New Roman" w:cs="Times New Roman"/>
        </w:rPr>
        <w:t>Nord</w:t>
      </w:r>
      <w:bookmarkEnd w:id="17"/>
      <w:r w:rsidRPr="00C76806">
        <w:rPr>
          <w:rFonts w:ascii="Times New Roman" w:hAnsi="Times New Roman" w:cs="Times New Roman"/>
        </w:rPr>
        <w:t xml:space="preserve"> (2006: 95) argues that “perfect equivalence is unattainable; translators must prioritize core functions over minor nuances.” The Yangs’ choices prioritize overall communicative effect: “lay nine coppers” and “produced four coppers” are concise and accessible, ensuring Western readers focus on Kong </w:t>
      </w:r>
      <w:proofErr w:type="spellStart"/>
      <w:r w:rsidRPr="00C76806">
        <w:rPr>
          <w:rFonts w:ascii="Times New Roman" w:hAnsi="Times New Roman" w:cs="Times New Roman"/>
        </w:rPr>
        <w:t>Yiji’s</w:t>
      </w:r>
      <w:proofErr w:type="spellEnd"/>
      <w:r w:rsidRPr="00C76806">
        <w:rPr>
          <w:rFonts w:ascii="Times New Roman" w:hAnsi="Times New Roman" w:cs="Times New Roman"/>
        </w:rPr>
        <w:t xml:space="preserve"> tragedy and Lu Xun’s social critique rather than linguistic subtleties.</w:t>
      </w:r>
      <w:bookmarkEnd w:id="18"/>
      <w:r w:rsidRPr="00C76806">
        <w:rPr>
          <w:rFonts w:ascii="Times New Roman" w:hAnsi="Times New Roman" w:cs="Times New Roman"/>
        </w:rPr>
        <w:t xml:space="preserve"> As Huang and Wang (2023: 128) note, these minor flaws do not diminish the translation’s value, as it “completes the four-life transformation and achieves cross-cultural regeneration”—the ultimate goal of eco-</w:t>
      </w:r>
      <w:proofErr w:type="spellStart"/>
      <w:r w:rsidRPr="00C76806">
        <w:rPr>
          <w:rFonts w:ascii="Times New Roman" w:hAnsi="Times New Roman" w:cs="Times New Roman"/>
        </w:rPr>
        <w:t>translatology</w:t>
      </w:r>
      <w:proofErr w:type="spellEnd"/>
      <w:r w:rsidRPr="00C76806">
        <w:rPr>
          <w:rFonts w:ascii="Times New Roman" w:hAnsi="Times New Roman" w:cs="Times New Roman"/>
        </w:rPr>
        <w:t>.</w:t>
      </w:r>
    </w:p>
    <w:p w14:paraId="3422B1BA" w14:textId="77777777" w:rsidR="00DF2C5B" w:rsidRPr="00C76806" w:rsidRDefault="00DF2C5B" w:rsidP="00C76806">
      <w:pPr>
        <w:spacing w:line="360" w:lineRule="auto"/>
        <w:rPr>
          <w:rFonts w:ascii="Times New Roman" w:hAnsi="Times New Roman" w:cs="Times New Roman"/>
        </w:rPr>
      </w:pPr>
    </w:p>
    <w:p w14:paraId="3208E9B7" w14:textId="51D79A89" w:rsidR="00DF2C5B" w:rsidRPr="001E7130" w:rsidRDefault="0025144B" w:rsidP="00C76806">
      <w:pPr>
        <w:spacing w:line="360" w:lineRule="auto"/>
        <w:rPr>
          <w:rFonts w:ascii="Times New Roman" w:hAnsi="Times New Roman" w:cs="Times New Roman"/>
          <w:b/>
          <w:bCs/>
        </w:rPr>
      </w:pPr>
      <w:r w:rsidRPr="001E7130">
        <w:rPr>
          <w:rFonts w:ascii="Times New Roman" w:hAnsi="Times New Roman" w:cs="Times New Roman"/>
          <w:b/>
          <w:bCs/>
        </w:rPr>
        <w:t>4.3 Comparative Advantage Over Other Translations</w:t>
      </w:r>
    </w:p>
    <w:p w14:paraId="25A1E46A" w14:textId="744336A2" w:rsidR="001E7130"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When compared to other prominent translations, the Yangs’ version stands out for its balance of cultural preservation and readability. </w:t>
      </w:r>
      <w:bookmarkStart w:id="19" w:name="OLE_LINK16"/>
      <w:r w:rsidRPr="00C76806">
        <w:rPr>
          <w:rFonts w:ascii="Times New Roman" w:hAnsi="Times New Roman" w:cs="Times New Roman"/>
        </w:rPr>
        <w:t xml:space="preserve">Julia Lovell’s (2009) translation, for example, over-domesticates by adding “prized” to “long-gowned customers” (cited in Hou &amp; Wang, 2011: 137), which </w:t>
      </w:r>
      <w:bookmarkStart w:id="20" w:name="OLE_LINK15"/>
      <w:r w:rsidRPr="00C76806">
        <w:rPr>
          <w:rFonts w:ascii="Times New Roman" w:hAnsi="Times New Roman" w:cs="Times New Roman"/>
        </w:rPr>
        <w:t>Shu</w:t>
      </w:r>
      <w:bookmarkEnd w:id="20"/>
      <w:r w:rsidRPr="00C76806">
        <w:rPr>
          <w:rFonts w:ascii="Times New Roman" w:hAnsi="Times New Roman" w:cs="Times New Roman"/>
        </w:rPr>
        <w:t xml:space="preserve"> (2011: 94) criticizes as “excessive translation” that distorts the original’s neutral tone (Lu Xun does not explicitly judge the long-gowned customers but presents them as part of the oppressive social structure).</w:t>
      </w:r>
      <w:bookmarkEnd w:id="19"/>
      <w:r w:rsidRPr="00C76806">
        <w:rPr>
          <w:rFonts w:ascii="Times New Roman" w:hAnsi="Times New Roman" w:cs="Times New Roman"/>
        </w:rPr>
        <w:t xml:space="preserve"> Edgar Snow’s (1936) version, while vivid in some instances (e.g., “lined nine coppers up”), omits cultural context (e.g., failing to explain the origin of “</w:t>
      </w:r>
      <w:r w:rsidRPr="00C76806">
        <w:rPr>
          <w:rFonts w:ascii="Times New Roman" w:hAnsi="Times New Roman" w:cs="Times New Roman"/>
        </w:rPr>
        <w:t>孔乙己</w:t>
      </w:r>
      <w:r w:rsidRPr="00C76806">
        <w:rPr>
          <w:rFonts w:ascii="Times New Roman" w:hAnsi="Times New Roman" w:cs="Times New Roman"/>
        </w:rPr>
        <w:t>” from a children’s copybook), leading to cultural loss (Zhang, 1999: 159). The Yangs’ version avoids both extremes: it preserves cultural specificity without sacrificing clarity, making it the most authoritative translation for academic and general readers alike.</w:t>
      </w:r>
    </w:p>
    <w:p w14:paraId="11D1870D" w14:textId="55084AD8" w:rsidR="0025144B" w:rsidRPr="001E7130" w:rsidRDefault="0025144B" w:rsidP="00C76806">
      <w:pPr>
        <w:spacing w:line="360" w:lineRule="auto"/>
        <w:rPr>
          <w:rFonts w:ascii="Times New Roman" w:hAnsi="Times New Roman" w:cs="Times New Roman"/>
          <w:b/>
          <w:bCs/>
          <w:sz w:val="28"/>
          <w:szCs w:val="28"/>
        </w:rPr>
      </w:pPr>
      <w:r w:rsidRPr="001E7130">
        <w:rPr>
          <w:rFonts w:ascii="Times New Roman" w:hAnsi="Times New Roman" w:cs="Times New Roman"/>
          <w:b/>
          <w:bCs/>
          <w:sz w:val="28"/>
          <w:szCs w:val="28"/>
        </w:rPr>
        <w:lastRenderedPageBreak/>
        <w:t>5 Conclusion</w:t>
      </w:r>
    </w:p>
    <w:p w14:paraId="0782B72B" w14:textId="082C0B7C" w:rsidR="0025144B"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Yang Hsien-</w:t>
      </w:r>
      <w:proofErr w:type="spellStart"/>
      <w:r w:rsidRPr="00C76806">
        <w:rPr>
          <w:rFonts w:ascii="Times New Roman" w:hAnsi="Times New Roman" w:cs="Times New Roman"/>
        </w:rPr>
        <w:t>yi</w:t>
      </w:r>
      <w:proofErr w:type="spellEnd"/>
      <w:r w:rsidRPr="00C76806">
        <w:rPr>
          <w:rFonts w:ascii="Times New Roman" w:hAnsi="Times New Roman" w:cs="Times New Roman"/>
        </w:rPr>
        <w:t xml:space="preserve"> and Gladys Yang’s English translation of</w:t>
      </w:r>
      <w:r w:rsidR="00D60643"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00D60643" w:rsidRPr="00C76806">
        <w:rPr>
          <w:rFonts w:ascii="Times New Roman" w:hAnsi="Times New Roman" w:cs="Times New Roman"/>
        </w:rPr>
        <w:t xml:space="preserve"> </w:t>
      </w:r>
      <w:r w:rsidRPr="00C76806">
        <w:rPr>
          <w:rFonts w:ascii="Times New Roman" w:hAnsi="Times New Roman" w:cs="Times New Roman"/>
        </w:rPr>
        <w:t>is a masterclass in literary translation, successfully reconciling loyalty to the source text with function for the target audience, while embodying the principles of eco-</w:t>
      </w:r>
      <w:proofErr w:type="spellStart"/>
      <w:r w:rsidRPr="00C76806">
        <w:rPr>
          <w:rFonts w:ascii="Times New Roman" w:hAnsi="Times New Roman" w:cs="Times New Roman"/>
        </w:rPr>
        <w:t>translatology</w:t>
      </w:r>
      <w:proofErr w:type="spellEnd"/>
      <w:r w:rsidRPr="00C76806">
        <w:rPr>
          <w:rFonts w:ascii="Times New Roman" w:hAnsi="Times New Roman" w:cs="Times New Roman"/>
        </w:rPr>
        <w:t>, dynamic equivalence, and resistant translation. By adopting adaptive strategies for culture-loaded words—foreignization to preserve Chinese culture, domestication to ensure accessibility, and free translation for linguistic nuance—the translators navigated the challenges of cross-cultural communication with remarkable skill. While minor limitations exist in the form of “deceptive equivalence,” these are outweighed by the translation’s ability to convey Lu Xun’s thematic intent, preserve cultural specificity, and evoke emotional resonance in Western readers.</w:t>
      </w:r>
    </w:p>
    <w:p w14:paraId="3CB9B2C1" w14:textId="77777777" w:rsidR="0025144B"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 xml:space="preserve">The translation’s enduring legacy lies in its demonstration that literary translation is not a passive transfer of meaning but an active, ethical negotiation between cultures—one that requires deep engagement with the source text’s ecological context, mastery of theoretical frameworks, and sensitivity to the target audience’s cognitive and cultural needs. </w:t>
      </w:r>
      <w:bookmarkStart w:id="21" w:name="OLE_LINK5"/>
      <w:r w:rsidRPr="00C76806">
        <w:rPr>
          <w:rFonts w:ascii="Times New Roman" w:hAnsi="Times New Roman" w:cs="Times New Roman"/>
        </w:rPr>
        <w:t>It also reflects the Yangs’ distinctive translator spirit: their patriotic commitment to sharing Chinese literature with the world, their scholarly rigor in understanding both source and target cultures, their creative flexibility in adapting to translational constraints, and their humility in prioritizing the text’s meaning over their own authorial presence</w:t>
      </w:r>
      <w:bookmarkEnd w:id="21"/>
      <w:r w:rsidRPr="00C76806">
        <w:rPr>
          <w:rFonts w:ascii="Times New Roman" w:hAnsi="Times New Roman" w:cs="Times New Roman"/>
        </w:rPr>
        <w:t xml:space="preserve"> (Fu, 2014: 47).</w:t>
      </w:r>
    </w:p>
    <w:p w14:paraId="3B0B708D" w14:textId="4B5AF348" w:rsidR="0025144B" w:rsidRPr="00C76806" w:rsidRDefault="0025144B" w:rsidP="00353C20">
      <w:pPr>
        <w:spacing w:line="360" w:lineRule="auto"/>
        <w:ind w:firstLineChars="200" w:firstLine="480"/>
        <w:rPr>
          <w:rFonts w:ascii="Times New Roman" w:hAnsi="Times New Roman" w:cs="Times New Roman"/>
        </w:rPr>
      </w:pPr>
      <w:r w:rsidRPr="00C76806">
        <w:rPr>
          <w:rFonts w:ascii="Times New Roman" w:hAnsi="Times New Roman" w:cs="Times New Roman"/>
        </w:rPr>
        <w:t>As Chinese literature continues to gain global prominence, the Yangs’ translation of</w:t>
      </w:r>
      <w:r w:rsidR="00D60643"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00D60643" w:rsidRPr="00C76806">
        <w:rPr>
          <w:rFonts w:ascii="Times New Roman" w:hAnsi="Times New Roman" w:cs="Times New Roman"/>
        </w:rPr>
        <w:t xml:space="preserve"> </w:t>
      </w:r>
      <w:r w:rsidRPr="00C76806">
        <w:rPr>
          <w:rFonts w:ascii="Times New Roman" w:hAnsi="Times New Roman" w:cs="Times New Roman"/>
        </w:rPr>
        <w:t>remains a benchmark for balancing cultural authenticity and communicative effectiveness. It proves that with careful strategy, theoretical guidance, and a profound respect for both source and target cultures, literary works can transcend linguistic and cultural boundaries, allowing readers worldwide to engage with the universal themes of tragedy, oppression, and human dignity—while also encountering the rich particularity of Chinese culture.</w:t>
      </w:r>
    </w:p>
    <w:p w14:paraId="48C0E3DD" w14:textId="77777777" w:rsidR="00DF2C5B" w:rsidRPr="00C76806" w:rsidRDefault="00DF2C5B" w:rsidP="00C76806">
      <w:pPr>
        <w:spacing w:line="360" w:lineRule="auto"/>
        <w:rPr>
          <w:rFonts w:ascii="Times New Roman" w:hAnsi="Times New Roman" w:cs="Times New Roman"/>
        </w:rPr>
      </w:pPr>
    </w:p>
    <w:p w14:paraId="0E0E8146" w14:textId="77777777" w:rsidR="000C479D" w:rsidRPr="00C76806" w:rsidRDefault="000C479D" w:rsidP="00C76806">
      <w:pPr>
        <w:spacing w:line="360" w:lineRule="auto"/>
        <w:rPr>
          <w:rFonts w:ascii="Times New Roman" w:hAnsi="Times New Roman" w:cs="Times New Roman"/>
        </w:rPr>
      </w:pPr>
    </w:p>
    <w:p w14:paraId="2AF26D8E" w14:textId="59E5D4F4" w:rsidR="00DF2C5B" w:rsidRPr="001E7130" w:rsidRDefault="0025144B" w:rsidP="00C76806">
      <w:pPr>
        <w:spacing w:line="360" w:lineRule="auto"/>
        <w:rPr>
          <w:rFonts w:ascii="Times New Roman" w:hAnsi="Times New Roman" w:cs="Times New Roman"/>
          <w:b/>
          <w:bCs/>
          <w:sz w:val="28"/>
          <w:szCs w:val="28"/>
        </w:rPr>
      </w:pPr>
      <w:r w:rsidRPr="001E7130">
        <w:rPr>
          <w:rFonts w:ascii="Times New Roman" w:hAnsi="Times New Roman" w:cs="Times New Roman"/>
          <w:b/>
          <w:bCs/>
          <w:sz w:val="28"/>
          <w:szCs w:val="28"/>
        </w:rPr>
        <w:lastRenderedPageBreak/>
        <w:t xml:space="preserve">6 </w:t>
      </w:r>
      <w:r w:rsidR="00DF2C5B" w:rsidRPr="001E7130">
        <w:rPr>
          <w:rFonts w:ascii="Times New Roman" w:hAnsi="Times New Roman" w:cs="Times New Roman"/>
          <w:b/>
          <w:bCs/>
          <w:sz w:val="28"/>
          <w:szCs w:val="28"/>
        </w:rPr>
        <w:t>References</w:t>
      </w:r>
    </w:p>
    <w:p w14:paraId="6C9B8845" w14:textId="4783D8D5" w:rsidR="000E37C9" w:rsidRPr="00C76806" w:rsidRDefault="000E37C9" w:rsidP="00C76806">
      <w:pPr>
        <w:spacing w:line="360" w:lineRule="auto"/>
        <w:rPr>
          <w:rFonts w:ascii="Times New Roman" w:hAnsi="Times New Roman" w:cs="Times New Roman"/>
        </w:rPr>
      </w:pPr>
      <w:bookmarkStart w:id="22" w:name="OLE_LINK1"/>
      <w:bookmarkStart w:id="23" w:name="OLE_LINK35"/>
      <w:r w:rsidRPr="00C76806">
        <w:rPr>
          <w:rFonts w:ascii="Times New Roman" w:hAnsi="Times New Roman" w:cs="Times New Roman"/>
        </w:rPr>
        <w:t xml:space="preserve">Chen, H.W. (2000). Artistic accomplishments of the English version of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Pr="00C76806">
        <w:rPr>
          <w:rFonts w:ascii="Times New Roman" w:hAnsi="Times New Roman" w:cs="Times New Roman"/>
        </w:rPr>
        <w:t xml:space="preserve"> viewed from fictional aesthetics. </w:t>
      </w:r>
      <w:r w:rsidRPr="00C76806">
        <w:rPr>
          <w:rFonts w:ascii="Times New Roman" w:hAnsi="Times New Roman" w:cs="Times New Roman"/>
          <w:i/>
          <w:iCs/>
        </w:rPr>
        <w:t>Journal of Foreign Languages</w:t>
      </w:r>
      <w:r w:rsidRPr="00C76806">
        <w:rPr>
          <w:rFonts w:ascii="Times New Roman" w:hAnsi="Times New Roman" w:cs="Times New Roman"/>
        </w:rPr>
        <w:t>, No.2 (General Serial No.126), pp.62-68.</w:t>
      </w:r>
    </w:p>
    <w:p w14:paraId="4869522A" w14:textId="598AB309" w:rsidR="00566D99" w:rsidRDefault="00566D99" w:rsidP="00C76806">
      <w:pPr>
        <w:spacing w:line="360" w:lineRule="auto"/>
        <w:rPr>
          <w:rFonts w:ascii="Times New Roman" w:hAnsi="Times New Roman" w:cs="Times New Roman"/>
        </w:rPr>
      </w:pPr>
      <w:r w:rsidRPr="00C76806">
        <w:rPr>
          <w:rFonts w:ascii="Times New Roman" w:hAnsi="Times New Roman" w:cs="Times New Roman"/>
        </w:rPr>
        <w:t xml:space="preserve">Fu, Z.Q. (2014) </w:t>
      </w:r>
      <w:r w:rsidR="00413428">
        <w:rPr>
          <w:rFonts w:ascii="Times New Roman" w:hAnsi="Times New Roman" w:cs="Times New Roman"/>
        </w:rPr>
        <w:t>‘</w:t>
      </w:r>
      <w:r w:rsidRPr="00C76806">
        <w:rPr>
          <w:rFonts w:ascii="Times New Roman" w:hAnsi="Times New Roman" w:cs="Times New Roman"/>
        </w:rPr>
        <w:t>A study of translators’ spirit: Taking Yang Hsien-</w:t>
      </w:r>
      <w:proofErr w:type="spellStart"/>
      <w:r w:rsidRPr="00C76806">
        <w:rPr>
          <w:rFonts w:ascii="Times New Roman" w:hAnsi="Times New Roman" w:cs="Times New Roman"/>
        </w:rPr>
        <w:t>yi</w:t>
      </w:r>
      <w:proofErr w:type="spellEnd"/>
      <w:r w:rsidRPr="00C76806">
        <w:rPr>
          <w:rFonts w:ascii="Times New Roman" w:hAnsi="Times New Roman" w:cs="Times New Roman"/>
        </w:rPr>
        <w:t xml:space="preserve"> and Gladys Yang as examples</w:t>
      </w:r>
      <w:r w:rsidR="00413428">
        <w:rPr>
          <w:rFonts w:ascii="Times New Roman" w:hAnsi="Times New Roman" w:cs="Times New Roman"/>
        </w:rPr>
        <w:t>’</w:t>
      </w:r>
      <w:r w:rsidRPr="00C76806">
        <w:rPr>
          <w:rFonts w:ascii="Times New Roman" w:hAnsi="Times New Roman" w:cs="Times New Roman"/>
        </w:rPr>
        <w:t xml:space="preserve">, </w:t>
      </w:r>
      <w:r w:rsidRPr="00C76806">
        <w:rPr>
          <w:rFonts w:ascii="Times New Roman" w:hAnsi="Times New Roman" w:cs="Times New Roman"/>
          <w:i/>
          <w:iCs/>
        </w:rPr>
        <w:t>Shanghai Journal of Translators</w:t>
      </w:r>
      <w:r w:rsidRPr="00C76806">
        <w:rPr>
          <w:rFonts w:ascii="Times New Roman" w:hAnsi="Times New Roman" w:cs="Times New Roman"/>
        </w:rPr>
        <w:t>, 3, pp.45-47.</w:t>
      </w:r>
    </w:p>
    <w:p w14:paraId="1964B11C" w14:textId="24A02F8E" w:rsidR="00350DAD" w:rsidRDefault="00350DAD" w:rsidP="00C76806">
      <w:pPr>
        <w:spacing w:line="360" w:lineRule="auto"/>
        <w:rPr>
          <w:rFonts w:ascii="Times New Roman" w:hAnsi="Times New Roman" w:cs="Times New Roman"/>
        </w:rPr>
      </w:pPr>
      <w:bookmarkStart w:id="24" w:name="OLE_LINK34"/>
      <w:r w:rsidRPr="00350DAD">
        <w:rPr>
          <w:rFonts w:ascii="Times New Roman" w:hAnsi="Times New Roman" w:cs="Times New Roman"/>
        </w:rPr>
        <w:t xml:space="preserve">Hou, S.S. &amp; Wang, Q.L. (2011) </w:t>
      </w:r>
      <w:r w:rsidR="00413428">
        <w:rPr>
          <w:rFonts w:ascii="Times New Roman" w:hAnsi="Times New Roman" w:cs="Times New Roman"/>
        </w:rPr>
        <w:t>‘</w:t>
      </w:r>
      <w:r w:rsidRPr="00350DAD">
        <w:rPr>
          <w:rFonts w:ascii="Times New Roman" w:hAnsi="Times New Roman" w:cs="Times New Roman"/>
        </w:rPr>
        <w:t xml:space="preserve">Comparative studies on two English versions of Kong </w:t>
      </w:r>
      <w:proofErr w:type="spellStart"/>
      <w:r w:rsidRPr="00350DAD">
        <w:rPr>
          <w:rFonts w:ascii="Times New Roman" w:hAnsi="Times New Roman" w:cs="Times New Roman"/>
        </w:rPr>
        <w:t>Yiji</w:t>
      </w:r>
      <w:proofErr w:type="spellEnd"/>
      <w:r w:rsidR="00413428">
        <w:rPr>
          <w:rFonts w:ascii="Times New Roman" w:hAnsi="Times New Roman" w:cs="Times New Roman"/>
        </w:rPr>
        <w:t>’</w:t>
      </w:r>
      <w:r w:rsidRPr="00350DAD">
        <w:rPr>
          <w:rFonts w:ascii="Times New Roman" w:hAnsi="Times New Roman" w:cs="Times New Roman"/>
        </w:rPr>
        <w:t xml:space="preserve">, </w:t>
      </w:r>
      <w:r w:rsidRPr="00350DAD">
        <w:rPr>
          <w:rFonts w:ascii="Times New Roman" w:hAnsi="Times New Roman" w:cs="Times New Roman"/>
          <w:i/>
          <w:iCs/>
        </w:rPr>
        <w:t>Journal of Lanzhou Institute of Education</w:t>
      </w:r>
      <w:r w:rsidRPr="00350DAD">
        <w:rPr>
          <w:rFonts w:ascii="Times New Roman" w:hAnsi="Times New Roman" w:cs="Times New Roman"/>
        </w:rPr>
        <w:t>, 1, pp.137-139.</w:t>
      </w:r>
    </w:p>
    <w:p w14:paraId="1F3EC4DA" w14:textId="2B1AFBAE" w:rsidR="00350DAD" w:rsidRPr="00350DAD" w:rsidRDefault="00350DAD" w:rsidP="00C76806">
      <w:pPr>
        <w:spacing w:line="360" w:lineRule="auto"/>
        <w:rPr>
          <w:rFonts w:ascii="Times New Roman" w:hAnsi="Times New Roman" w:cs="Times New Roman" w:hint="eastAsia"/>
        </w:rPr>
      </w:pPr>
      <w:r w:rsidRPr="00350DAD">
        <w:rPr>
          <w:rFonts w:ascii="Times New Roman" w:hAnsi="Times New Roman" w:cs="Times New Roman"/>
        </w:rPr>
        <w:t xml:space="preserve">Huang, C. &amp; Wang, L.J. (2023) </w:t>
      </w:r>
      <w:r w:rsidR="00413428">
        <w:rPr>
          <w:rFonts w:ascii="Times New Roman" w:hAnsi="Times New Roman" w:cs="Times New Roman"/>
        </w:rPr>
        <w:t>‘</w:t>
      </w:r>
      <w:r w:rsidRPr="00350DAD">
        <w:rPr>
          <w:rFonts w:ascii="Times New Roman" w:hAnsi="Times New Roman" w:cs="Times New Roman"/>
        </w:rPr>
        <w:t>Four-life doctrine</w:t>
      </w:r>
      <w:r w:rsidR="00413428">
        <w:rPr>
          <w:rFonts w:ascii="Times New Roman" w:hAnsi="Times New Roman" w:cs="Times New Roman"/>
        </w:rPr>
        <w:t>’</w:t>
      </w:r>
      <w:r w:rsidRPr="00350DAD">
        <w:rPr>
          <w:rFonts w:ascii="Times New Roman" w:hAnsi="Times New Roman" w:cs="Times New Roman"/>
        </w:rPr>
        <w:t xml:space="preserve"> under eco-</w:t>
      </w:r>
      <w:proofErr w:type="spellStart"/>
      <w:r w:rsidRPr="00350DAD">
        <w:rPr>
          <w:rFonts w:ascii="Times New Roman" w:hAnsi="Times New Roman" w:cs="Times New Roman"/>
        </w:rPr>
        <w:t>translatology</w:t>
      </w:r>
      <w:proofErr w:type="spellEnd"/>
      <w:r w:rsidRPr="00350DAD">
        <w:rPr>
          <w:rFonts w:ascii="Times New Roman" w:hAnsi="Times New Roman" w:cs="Times New Roman"/>
        </w:rPr>
        <w:t>: An analysis of Yang Hsien-</w:t>
      </w:r>
      <w:proofErr w:type="spellStart"/>
      <w:r w:rsidRPr="00350DAD">
        <w:rPr>
          <w:rFonts w:ascii="Times New Roman" w:hAnsi="Times New Roman" w:cs="Times New Roman"/>
        </w:rPr>
        <w:t>yi</w:t>
      </w:r>
      <w:proofErr w:type="spellEnd"/>
      <w:r w:rsidRPr="00350DAD">
        <w:rPr>
          <w:rFonts w:ascii="Times New Roman" w:hAnsi="Times New Roman" w:cs="Times New Roman"/>
        </w:rPr>
        <w:t xml:space="preserve"> and Gladys Yang’s English translation of Kong </w:t>
      </w:r>
      <w:proofErr w:type="spellStart"/>
      <w:r w:rsidRPr="00350DAD">
        <w:rPr>
          <w:rFonts w:ascii="Times New Roman" w:hAnsi="Times New Roman" w:cs="Times New Roman"/>
        </w:rPr>
        <w:t>Yiji</w:t>
      </w:r>
      <w:proofErr w:type="spellEnd"/>
      <w:r w:rsidRPr="00350DAD">
        <w:rPr>
          <w:rFonts w:ascii="Times New Roman" w:hAnsi="Times New Roman" w:cs="Times New Roman"/>
        </w:rPr>
        <w:t xml:space="preserve">, </w:t>
      </w:r>
      <w:r w:rsidRPr="00350DAD">
        <w:rPr>
          <w:rFonts w:ascii="Times New Roman" w:hAnsi="Times New Roman" w:cs="Times New Roman"/>
          <w:i/>
          <w:iCs/>
        </w:rPr>
        <w:t>Journal of Anyang Institute of Technology</w:t>
      </w:r>
      <w:r w:rsidRPr="00350DAD">
        <w:rPr>
          <w:rFonts w:ascii="Times New Roman" w:hAnsi="Times New Roman" w:cs="Times New Roman"/>
        </w:rPr>
        <w:t>, 1, pp.125-128.</w:t>
      </w:r>
    </w:p>
    <w:p w14:paraId="329F4D76" w14:textId="16F4CD01" w:rsidR="000E37C9" w:rsidRPr="00C76806" w:rsidRDefault="000E37C9" w:rsidP="00C76806">
      <w:pPr>
        <w:spacing w:line="360" w:lineRule="auto"/>
        <w:rPr>
          <w:rFonts w:ascii="Times New Roman" w:hAnsi="Times New Roman" w:cs="Times New Roman"/>
        </w:rPr>
      </w:pPr>
      <w:bookmarkStart w:id="25" w:name="OLE_LINK33"/>
      <w:r w:rsidRPr="00C76806">
        <w:rPr>
          <w:rFonts w:ascii="Times New Roman" w:hAnsi="Times New Roman" w:cs="Times New Roman"/>
        </w:rPr>
        <w:t>Hu, G. (2021). The Dao of "Eco-life"-oriented Translation: Tackling Three Philosophical Questions about Eco-</w:t>
      </w:r>
      <w:proofErr w:type="spellStart"/>
      <w:r w:rsidRPr="00C76806">
        <w:rPr>
          <w:rFonts w:ascii="Times New Roman" w:hAnsi="Times New Roman" w:cs="Times New Roman"/>
        </w:rPr>
        <w:t>Translatology</w:t>
      </w:r>
      <w:proofErr w:type="spellEnd"/>
      <w:r w:rsidRPr="00C76806">
        <w:rPr>
          <w:rFonts w:ascii="Times New Roman" w:hAnsi="Times New Roman" w:cs="Times New Roman"/>
        </w:rPr>
        <w:t xml:space="preserve">. </w:t>
      </w:r>
      <w:proofErr w:type="spellStart"/>
      <w:r w:rsidRPr="00C76806">
        <w:rPr>
          <w:rFonts w:ascii="Times New Roman" w:hAnsi="Times New Roman" w:cs="Times New Roman"/>
        </w:rPr>
        <w:t>jian</w:t>
      </w:r>
      <w:r w:rsidRPr="00C76806">
        <w:rPr>
          <w:rFonts w:ascii="Times New Roman" w:hAnsi="Times New Roman" w:cs="Times New Roman"/>
          <w:i/>
          <w:iCs/>
        </w:rPr>
        <w:t>China</w:t>
      </w:r>
      <w:proofErr w:type="spellEnd"/>
      <w:r w:rsidRPr="00C76806">
        <w:rPr>
          <w:rFonts w:ascii="Times New Roman" w:hAnsi="Times New Roman" w:cs="Times New Roman"/>
          <w:i/>
          <w:iCs/>
        </w:rPr>
        <w:t xml:space="preserve"> Translators Journal</w:t>
      </w:r>
      <w:r w:rsidRPr="00C76806">
        <w:rPr>
          <w:rFonts w:ascii="Times New Roman" w:hAnsi="Times New Roman" w:cs="Times New Roman"/>
        </w:rPr>
        <w:t>, 6, 5-14.</w:t>
      </w:r>
    </w:p>
    <w:p w14:paraId="3B3BC969" w14:textId="79AEDEA4" w:rsidR="00DF2C5B" w:rsidRPr="00C76806" w:rsidRDefault="00DF2C5B" w:rsidP="00C76806">
      <w:pPr>
        <w:spacing w:line="360" w:lineRule="auto"/>
        <w:rPr>
          <w:rFonts w:ascii="Times New Roman" w:hAnsi="Times New Roman" w:cs="Times New Roman"/>
        </w:rPr>
      </w:pPr>
      <w:bookmarkStart w:id="26" w:name="OLE_LINK9"/>
      <w:bookmarkEnd w:id="24"/>
      <w:bookmarkEnd w:id="25"/>
      <w:r w:rsidRPr="00C76806">
        <w:rPr>
          <w:rFonts w:ascii="Times New Roman" w:hAnsi="Times New Roman" w:cs="Times New Roman"/>
        </w:rPr>
        <w:t>Nida, E.A. (1964)</w:t>
      </w:r>
      <w:r w:rsidR="000C479D" w:rsidRPr="00C76806">
        <w:rPr>
          <w:rFonts w:ascii="Times New Roman" w:hAnsi="Times New Roman" w:cs="Times New Roman"/>
        </w:rPr>
        <w:t xml:space="preserve"> </w:t>
      </w:r>
      <w:r w:rsidRPr="00C76806">
        <w:rPr>
          <w:rFonts w:ascii="Times New Roman" w:hAnsi="Times New Roman" w:cs="Times New Roman"/>
          <w:i/>
          <w:iCs/>
        </w:rPr>
        <w:t>Toward a Science of Translating</w:t>
      </w:r>
      <w:r w:rsidRPr="00C76806">
        <w:rPr>
          <w:rFonts w:ascii="Times New Roman" w:hAnsi="Times New Roman" w:cs="Times New Roman"/>
        </w:rPr>
        <w:t>. Leiden: Brill Academic Publishers.</w:t>
      </w:r>
    </w:p>
    <w:bookmarkEnd w:id="26"/>
    <w:p w14:paraId="7A3CD449" w14:textId="0FA7249C" w:rsidR="00BD19C8" w:rsidRPr="00C76806" w:rsidRDefault="00BD19C8" w:rsidP="00C76806">
      <w:pPr>
        <w:spacing w:line="360" w:lineRule="auto"/>
        <w:rPr>
          <w:rFonts w:ascii="Times New Roman" w:hAnsi="Times New Roman" w:cs="Times New Roman"/>
        </w:rPr>
      </w:pPr>
      <w:r w:rsidRPr="00C76806">
        <w:rPr>
          <w:rFonts w:ascii="Times New Roman" w:hAnsi="Times New Roman" w:cs="Times New Roman"/>
        </w:rPr>
        <w:t xml:space="preserve">Nord, C. (2006) </w:t>
      </w:r>
      <w:r w:rsidRPr="00C76806">
        <w:rPr>
          <w:rFonts w:ascii="Times New Roman" w:hAnsi="Times New Roman" w:cs="Times New Roman"/>
          <w:i/>
          <w:iCs/>
        </w:rPr>
        <w:t>Text Analysis in Translation: Theory, Methodology, and Didactic Application of a Model for Translation-Oriented Text Analysis</w:t>
      </w:r>
      <w:r w:rsidRPr="00C76806">
        <w:rPr>
          <w:rFonts w:ascii="Times New Roman" w:hAnsi="Times New Roman" w:cs="Times New Roman"/>
        </w:rPr>
        <w:t> (2nd ed.). Beijing: Foreign Language Teaching and Research Press.</w:t>
      </w:r>
    </w:p>
    <w:p w14:paraId="756554D3" w14:textId="77777777" w:rsidR="00FF4891" w:rsidRPr="00C76806" w:rsidRDefault="00FF4891" w:rsidP="00C76806">
      <w:pPr>
        <w:spacing w:line="360" w:lineRule="auto"/>
        <w:rPr>
          <w:rFonts w:ascii="Times New Roman" w:hAnsi="Times New Roman" w:cs="Times New Roman"/>
        </w:rPr>
      </w:pPr>
      <w:r w:rsidRPr="00C76806">
        <w:rPr>
          <w:rFonts w:ascii="Times New Roman" w:hAnsi="Times New Roman" w:cs="Times New Roman"/>
        </w:rPr>
        <w:t xml:space="preserve">Shu, Y.T. (2011) Deceptive equivalence in three translations of Kong </w:t>
      </w:r>
      <w:proofErr w:type="spellStart"/>
      <w:r w:rsidRPr="00C76806">
        <w:rPr>
          <w:rFonts w:ascii="Times New Roman" w:hAnsi="Times New Roman" w:cs="Times New Roman"/>
        </w:rPr>
        <w:t>Yiji</w:t>
      </w:r>
      <w:proofErr w:type="spellEnd"/>
      <w:r w:rsidRPr="00C76806">
        <w:rPr>
          <w:rFonts w:ascii="Times New Roman" w:hAnsi="Times New Roman" w:cs="Times New Roman"/>
        </w:rPr>
        <w:t>. Shandong Foreign Language Teaching Journal, 2, 92-96.</w:t>
      </w:r>
    </w:p>
    <w:p w14:paraId="37D42ED4" w14:textId="34F6A6AF" w:rsidR="00DF2C5B" w:rsidRPr="00C76806" w:rsidRDefault="00DF2C5B" w:rsidP="00C76806">
      <w:pPr>
        <w:spacing w:line="360" w:lineRule="auto"/>
        <w:rPr>
          <w:rFonts w:ascii="Times New Roman" w:hAnsi="Times New Roman" w:cs="Times New Roman"/>
        </w:rPr>
      </w:pPr>
      <w:r w:rsidRPr="00C76806">
        <w:rPr>
          <w:rFonts w:ascii="Times New Roman" w:hAnsi="Times New Roman" w:cs="Times New Roman"/>
        </w:rPr>
        <w:t xml:space="preserve">Si, X.Z. (2005) </w:t>
      </w:r>
      <w:bookmarkStart w:id="27" w:name="OLE_LINK18"/>
      <w:r w:rsidRPr="00C76806">
        <w:rPr>
          <w:rFonts w:ascii="Times New Roman" w:hAnsi="Times New Roman" w:cs="Times New Roman"/>
        </w:rPr>
        <w:t>A functional linguistic perspective of translation quality assessment model: With the evaluation of the English version of</w:t>
      </w:r>
      <w:r w:rsidR="000C479D"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000C479D" w:rsidRPr="00C76806">
        <w:rPr>
          <w:rFonts w:ascii="Times New Roman" w:hAnsi="Times New Roman" w:cs="Times New Roman"/>
        </w:rPr>
        <w:t xml:space="preserve"> </w:t>
      </w:r>
      <w:r w:rsidRPr="00C76806">
        <w:rPr>
          <w:rFonts w:ascii="Times New Roman" w:hAnsi="Times New Roman" w:cs="Times New Roman"/>
        </w:rPr>
        <w:t>as an example.</w:t>
      </w:r>
      <w:r w:rsidR="000C479D" w:rsidRPr="00C76806">
        <w:rPr>
          <w:rFonts w:ascii="Times New Roman" w:hAnsi="Times New Roman" w:cs="Times New Roman"/>
        </w:rPr>
        <w:t xml:space="preserve"> </w:t>
      </w:r>
      <w:bookmarkEnd w:id="27"/>
      <w:r w:rsidRPr="00C76806">
        <w:rPr>
          <w:rFonts w:ascii="Times New Roman" w:hAnsi="Times New Roman" w:cs="Times New Roman"/>
          <w:i/>
          <w:iCs/>
        </w:rPr>
        <w:t>Journal of PLA University of Foreign Languages</w:t>
      </w:r>
      <w:r w:rsidRPr="00C76806">
        <w:rPr>
          <w:rFonts w:ascii="Times New Roman" w:hAnsi="Times New Roman" w:cs="Times New Roman"/>
        </w:rPr>
        <w:t>, 5, 60-65.</w:t>
      </w:r>
    </w:p>
    <w:p w14:paraId="3BD8ACFA" w14:textId="725E34A9" w:rsidR="00DF2C5B" w:rsidRPr="00C76806" w:rsidRDefault="00DF2C5B" w:rsidP="00C76806">
      <w:pPr>
        <w:spacing w:line="360" w:lineRule="auto"/>
        <w:rPr>
          <w:rFonts w:ascii="Times New Roman" w:hAnsi="Times New Roman" w:cs="Times New Roman"/>
        </w:rPr>
      </w:pPr>
      <w:r w:rsidRPr="00C76806">
        <w:rPr>
          <w:rFonts w:ascii="Times New Roman" w:hAnsi="Times New Roman" w:cs="Times New Roman"/>
        </w:rPr>
        <w:t>Venuti, L. (1995)</w:t>
      </w:r>
      <w:r w:rsidR="000C479D" w:rsidRPr="00C76806">
        <w:rPr>
          <w:rFonts w:ascii="Times New Roman" w:hAnsi="Times New Roman" w:cs="Times New Roman"/>
        </w:rPr>
        <w:t xml:space="preserve"> </w:t>
      </w:r>
      <w:r w:rsidRPr="00C76806">
        <w:rPr>
          <w:rFonts w:ascii="Times New Roman" w:hAnsi="Times New Roman" w:cs="Times New Roman"/>
          <w:i/>
          <w:iCs/>
        </w:rPr>
        <w:t>The Translator</w:t>
      </w:r>
      <w:r w:rsidR="00413428">
        <w:rPr>
          <w:rFonts w:ascii="Times New Roman" w:hAnsi="Times New Roman" w:cs="Times New Roman"/>
          <w:i/>
          <w:iCs/>
        </w:rPr>
        <w:t>’</w:t>
      </w:r>
      <w:r w:rsidRPr="00C76806">
        <w:rPr>
          <w:rFonts w:ascii="Times New Roman" w:hAnsi="Times New Roman" w:cs="Times New Roman"/>
          <w:i/>
          <w:iCs/>
        </w:rPr>
        <w:t>s Invisibility: A History of Translation</w:t>
      </w:r>
      <w:r w:rsidRPr="00C76806">
        <w:rPr>
          <w:rFonts w:ascii="Times New Roman" w:hAnsi="Times New Roman" w:cs="Times New Roman"/>
        </w:rPr>
        <w:t>. London: Routledge.</w:t>
      </w:r>
    </w:p>
    <w:p w14:paraId="4EA127FF" w14:textId="0835146B" w:rsidR="00DF2C5B" w:rsidRPr="00C76806" w:rsidRDefault="00DF2C5B" w:rsidP="00C76806">
      <w:pPr>
        <w:spacing w:line="360" w:lineRule="auto"/>
        <w:rPr>
          <w:rFonts w:ascii="Times New Roman" w:hAnsi="Times New Roman" w:cs="Times New Roman"/>
        </w:rPr>
      </w:pPr>
      <w:bookmarkStart w:id="28" w:name="_Hlk220091567"/>
      <w:bookmarkStart w:id="29" w:name="OLE_LINK21"/>
      <w:r w:rsidRPr="00C76806">
        <w:rPr>
          <w:rFonts w:ascii="Times New Roman" w:hAnsi="Times New Roman" w:cs="Times New Roman"/>
        </w:rPr>
        <w:t>Wang</w:t>
      </w:r>
      <w:bookmarkEnd w:id="28"/>
      <w:r w:rsidRPr="00C76806">
        <w:rPr>
          <w:rFonts w:ascii="Times New Roman" w:hAnsi="Times New Roman" w:cs="Times New Roman"/>
        </w:rPr>
        <w:t>, F.Y. (2020) A study on the translation strategy of Chinese literature from the perspective of Venuti’s resistant translation: Taking English versions of</w:t>
      </w:r>
      <w:r w:rsidR="000C479D"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000C479D" w:rsidRPr="00C76806">
        <w:rPr>
          <w:rFonts w:ascii="Times New Roman" w:hAnsi="Times New Roman" w:cs="Times New Roman"/>
        </w:rPr>
        <w:t xml:space="preserve"> </w:t>
      </w:r>
      <w:r w:rsidRPr="00C76806">
        <w:rPr>
          <w:rFonts w:ascii="Times New Roman" w:hAnsi="Times New Roman" w:cs="Times New Roman"/>
        </w:rPr>
        <w:t>as examples.</w:t>
      </w:r>
      <w:r w:rsidR="000C479D" w:rsidRPr="00C76806">
        <w:rPr>
          <w:rFonts w:ascii="Times New Roman" w:hAnsi="Times New Roman" w:cs="Times New Roman"/>
        </w:rPr>
        <w:t xml:space="preserve"> </w:t>
      </w:r>
      <w:r w:rsidRPr="00C76806">
        <w:rPr>
          <w:rFonts w:ascii="Times New Roman" w:hAnsi="Times New Roman" w:cs="Times New Roman"/>
          <w:i/>
          <w:iCs/>
        </w:rPr>
        <w:t>Journal of Classics Translation and Communication</w:t>
      </w:r>
      <w:r w:rsidRPr="00C76806">
        <w:rPr>
          <w:rFonts w:ascii="Times New Roman" w:hAnsi="Times New Roman" w:cs="Times New Roman"/>
        </w:rPr>
        <w:t>, 143-148.</w:t>
      </w:r>
    </w:p>
    <w:p w14:paraId="4CFADD6C" w14:textId="469DFF99" w:rsidR="00DF2C5B" w:rsidRPr="00C76806" w:rsidRDefault="00DF2C5B" w:rsidP="00C76806">
      <w:pPr>
        <w:spacing w:line="360" w:lineRule="auto"/>
        <w:rPr>
          <w:rFonts w:ascii="Times New Roman" w:hAnsi="Times New Roman" w:cs="Times New Roman"/>
        </w:rPr>
      </w:pPr>
      <w:bookmarkStart w:id="30" w:name="OLE_LINK22"/>
      <w:bookmarkEnd w:id="29"/>
      <w:r w:rsidRPr="00C76806">
        <w:rPr>
          <w:rFonts w:ascii="Times New Roman" w:hAnsi="Times New Roman" w:cs="Times New Roman"/>
        </w:rPr>
        <w:t>Xin, H.J. &amp; Ma, X.X. (2018)</w:t>
      </w:r>
      <w:r w:rsidR="000C479D" w:rsidRPr="00C76806">
        <w:rPr>
          <w:rFonts w:ascii="Times New Roman" w:hAnsi="Times New Roman" w:cs="Times New Roman"/>
        </w:rPr>
        <w:t xml:space="preserve"> </w:t>
      </w:r>
      <w:r w:rsidRPr="00C76806">
        <w:rPr>
          <w:rFonts w:ascii="Times New Roman" w:hAnsi="Times New Roman" w:cs="Times New Roman"/>
          <w:i/>
          <w:iCs/>
        </w:rPr>
        <w:t>Yang Hsien-</w:t>
      </w:r>
      <w:proofErr w:type="spellStart"/>
      <w:r w:rsidRPr="00C76806">
        <w:rPr>
          <w:rFonts w:ascii="Times New Roman" w:hAnsi="Times New Roman" w:cs="Times New Roman"/>
          <w:i/>
          <w:iCs/>
        </w:rPr>
        <w:t>yi</w:t>
      </w:r>
      <w:proofErr w:type="spellEnd"/>
      <w:r w:rsidRPr="00C76806">
        <w:rPr>
          <w:rFonts w:ascii="Times New Roman" w:hAnsi="Times New Roman" w:cs="Times New Roman"/>
          <w:i/>
          <w:iCs/>
        </w:rPr>
        <w:t xml:space="preserve"> Translation Studies</w:t>
      </w:r>
      <w:r w:rsidRPr="00C76806">
        <w:rPr>
          <w:rFonts w:ascii="Times New Roman" w:hAnsi="Times New Roman" w:cs="Times New Roman"/>
        </w:rPr>
        <w:t xml:space="preserve">. Nanjing: Nanjing </w:t>
      </w:r>
      <w:r w:rsidRPr="00C76806">
        <w:rPr>
          <w:rFonts w:ascii="Times New Roman" w:hAnsi="Times New Roman" w:cs="Times New Roman"/>
        </w:rPr>
        <w:lastRenderedPageBreak/>
        <w:t>University Press.</w:t>
      </w:r>
    </w:p>
    <w:bookmarkEnd w:id="30"/>
    <w:p w14:paraId="03C0D498" w14:textId="2C2DEFF6" w:rsidR="00DF2C5B" w:rsidRPr="00C76806" w:rsidRDefault="00DF2C5B" w:rsidP="00C76806">
      <w:pPr>
        <w:spacing w:line="360" w:lineRule="auto"/>
        <w:rPr>
          <w:rFonts w:ascii="Times New Roman" w:hAnsi="Times New Roman" w:cs="Times New Roman"/>
        </w:rPr>
      </w:pPr>
      <w:r w:rsidRPr="00C76806">
        <w:rPr>
          <w:rFonts w:ascii="Times New Roman" w:hAnsi="Times New Roman" w:cs="Times New Roman"/>
        </w:rPr>
        <w:t>Yang, H.Y. &amp; Yang, G. (1960)</w:t>
      </w:r>
      <w:r w:rsidR="000C479D" w:rsidRPr="00C76806">
        <w:rPr>
          <w:rFonts w:ascii="Times New Roman" w:hAnsi="Times New Roman" w:cs="Times New Roman"/>
        </w:rPr>
        <w:t xml:space="preserve"> </w:t>
      </w:r>
      <w:r w:rsidRPr="00C76806">
        <w:rPr>
          <w:rFonts w:ascii="Times New Roman" w:hAnsi="Times New Roman" w:cs="Times New Roman"/>
          <w:i/>
          <w:iCs/>
        </w:rPr>
        <w:t>Selected Stories of Lu Hsun</w:t>
      </w:r>
      <w:r w:rsidRPr="00C76806">
        <w:rPr>
          <w:rFonts w:ascii="Times New Roman" w:hAnsi="Times New Roman" w:cs="Times New Roman"/>
        </w:rPr>
        <w:t>. Beijing: Foreign Languages Press.</w:t>
      </w:r>
    </w:p>
    <w:bookmarkEnd w:id="22"/>
    <w:p w14:paraId="15F3CE62" w14:textId="1C8DD69E" w:rsidR="00DA1EFE" w:rsidRPr="00C76806" w:rsidRDefault="00DF2C5B" w:rsidP="00C76806">
      <w:pPr>
        <w:spacing w:line="360" w:lineRule="auto"/>
        <w:rPr>
          <w:rFonts w:ascii="Times New Roman" w:hAnsi="Times New Roman" w:cs="Times New Roman"/>
        </w:rPr>
      </w:pPr>
      <w:r w:rsidRPr="00C76806">
        <w:rPr>
          <w:rFonts w:ascii="Times New Roman" w:hAnsi="Times New Roman" w:cs="Times New Roman"/>
        </w:rPr>
        <w:t>Zhang, J.Z. (</w:t>
      </w:r>
      <w:bookmarkStart w:id="31" w:name="OLE_LINK23"/>
      <w:r w:rsidRPr="00C76806">
        <w:rPr>
          <w:rFonts w:ascii="Times New Roman" w:hAnsi="Times New Roman" w:cs="Times New Roman"/>
        </w:rPr>
        <w:t>2019</w:t>
      </w:r>
      <w:bookmarkEnd w:id="31"/>
      <w:r w:rsidRPr="00C76806">
        <w:rPr>
          <w:rFonts w:ascii="Times New Roman" w:hAnsi="Times New Roman" w:cs="Times New Roman"/>
        </w:rPr>
        <w:t>) Translation of culture-loaded words from the perspective of “functional plus loyalty” theory: Taking Yang Hsien-</w:t>
      </w:r>
      <w:proofErr w:type="spellStart"/>
      <w:r w:rsidRPr="00C76806">
        <w:rPr>
          <w:rFonts w:ascii="Times New Roman" w:hAnsi="Times New Roman" w:cs="Times New Roman"/>
        </w:rPr>
        <w:t>yi</w:t>
      </w:r>
      <w:proofErr w:type="spellEnd"/>
      <w:r w:rsidRPr="00C76806">
        <w:rPr>
          <w:rFonts w:ascii="Times New Roman" w:hAnsi="Times New Roman" w:cs="Times New Roman"/>
        </w:rPr>
        <w:t xml:space="preserve"> and Gladys Yang’s translation of</w:t>
      </w:r>
      <w:r w:rsidR="000C479D" w:rsidRPr="00C76806">
        <w:rPr>
          <w:rFonts w:ascii="Times New Roman" w:hAnsi="Times New Roman" w:cs="Times New Roman"/>
        </w:rPr>
        <w:t xml:space="preserve"> </w:t>
      </w:r>
      <w:r w:rsidRPr="00C76806">
        <w:rPr>
          <w:rFonts w:ascii="Times New Roman" w:hAnsi="Times New Roman" w:cs="Times New Roman"/>
          <w:i/>
          <w:iCs/>
        </w:rPr>
        <w:t xml:space="preserve">Kong </w:t>
      </w:r>
      <w:proofErr w:type="spellStart"/>
      <w:r w:rsidRPr="00C76806">
        <w:rPr>
          <w:rFonts w:ascii="Times New Roman" w:hAnsi="Times New Roman" w:cs="Times New Roman"/>
          <w:i/>
          <w:iCs/>
        </w:rPr>
        <w:t>Yiji</w:t>
      </w:r>
      <w:proofErr w:type="spellEnd"/>
      <w:r w:rsidR="000C479D" w:rsidRPr="00C76806">
        <w:rPr>
          <w:rFonts w:ascii="Times New Roman" w:hAnsi="Times New Roman" w:cs="Times New Roman"/>
        </w:rPr>
        <w:t xml:space="preserve"> </w:t>
      </w:r>
      <w:r w:rsidRPr="00C76806">
        <w:rPr>
          <w:rFonts w:ascii="Times New Roman" w:hAnsi="Times New Roman" w:cs="Times New Roman"/>
        </w:rPr>
        <w:t>as an example.</w:t>
      </w:r>
      <w:r w:rsidR="000C479D" w:rsidRPr="00C76806">
        <w:rPr>
          <w:rFonts w:ascii="Times New Roman" w:hAnsi="Times New Roman" w:cs="Times New Roman"/>
        </w:rPr>
        <w:t xml:space="preserve"> </w:t>
      </w:r>
      <w:r w:rsidRPr="00C76806">
        <w:rPr>
          <w:rFonts w:ascii="Times New Roman" w:hAnsi="Times New Roman" w:cs="Times New Roman"/>
          <w:i/>
          <w:iCs/>
        </w:rPr>
        <w:t>Overseas English</w:t>
      </w:r>
      <w:r w:rsidRPr="00C76806">
        <w:rPr>
          <w:rFonts w:ascii="Times New Roman" w:hAnsi="Times New Roman" w:cs="Times New Roman"/>
        </w:rPr>
        <w:t>, 5, 159-161.</w:t>
      </w:r>
      <w:bookmarkEnd w:id="23"/>
    </w:p>
    <w:sectPr w:rsidR="00DA1EFE" w:rsidRPr="00C76806"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C5B"/>
    <w:rsid w:val="000C479D"/>
    <w:rsid w:val="000E37C9"/>
    <w:rsid w:val="00157369"/>
    <w:rsid w:val="001E7130"/>
    <w:rsid w:val="0025144B"/>
    <w:rsid w:val="00293F1D"/>
    <w:rsid w:val="00350DAD"/>
    <w:rsid w:val="00353C20"/>
    <w:rsid w:val="003F2FCF"/>
    <w:rsid w:val="003F358A"/>
    <w:rsid w:val="00413428"/>
    <w:rsid w:val="004F43AD"/>
    <w:rsid w:val="00510CA0"/>
    <w:rsid w:val="00512683"/>
    <w:rsid w:val="00566D99"/>
    <w:rsid w:val="005A3E94"/>
    <w:rsid w:val="007D0952"/>
    <w:rsid w:val="007E61E4"/>
    <w:rsid w:val="0092669D"/>
    <w:rsid w:val="00AC4113"/>
    <w:rsid w:val="00AE0ADD"/>
    <w:rsid w:val="00AE70D9"/>
    <w:rsid w:val="00BD19C8"/>
    <w:rsid w:val="00C76806"/>
    <w:rsid w:val="00CA2829"/>
    <w:rsid w:val="00D25915"/>
    <w:rsid w:val="00D60643"/>
    <w:rsid w:val="00DA1EFE"/>
    <w:rsid w:val="00DF2C5B"/>
    <w:rsid w:val="00E95909"/>
    <w:rsid w:val="00ED4B8D"/>
    <w:rsid w:val="00EE7FA5"/>
    <w:rsid w:val="00F30B24"/>
    <w:rsid w:val="00FF4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CF55B00"/>
  <w15:chartTrackingRefBased/>
  <w15:docId w15:val="{8DF065B3-BAD0-1641-AE87-3C42482E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F2C5B"/>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DF2C5B"/>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unhideWhenUsed/>
    <w:qFormat/>
    <w:rsid w:val="00DF2C5B"/>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DF2C5B"/>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DF2C5B"/>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DF2C5B"/>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DF2C5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F2C5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F2C5B"/>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F2C5B"/>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DF2C5B"/>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rsid w:val="00DF2C5B"/>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DF2C5B"/>
    <w:rPr>
      <w:rFonts w:cstheme="majorBidi"/>
      <w:color w:val="2E74B5" w:themeColor="accent1" w:themeShade="BF"/>
      <w:sz w:val="28"/>
      <w:szCs w:val="28"/>
    </w:rPr>
  </w:style>
  <w:style w:type="character" w:customStyle="1" w:styleId="50">
    <w:name w:val="标题 5 字符"/>
    <w:basedOn w:val="a0"/>
    <w:link w:val="5"/>
    <w:uiPriority w:val="9"/>
    <w:semiHidden/>
    <w:rsid w:val="00DF2C5B"/>
    <w:rPr>
      <w:rFonts w:cstheme="majorBidi"/>
      <w:color w:val="2E74B5" w:themeColor="accent1" w:themeShade="BF"/>
    </w:rPr>
  </w:style>
  <w:style w:type="character" w:customStyle="1" w:styleId="60">
    <w:name w:val="标题 6 字符"/>
    <w:basedOn w:val="a0"/>
    <w:link w:val="6"/>
    <w:uiPriority w:val="9"/>
    <w:semiHidden/>
    <w:rsid w:val="00DF2C5B"/>
    <w:rPr>
      <w:rFonts w:cstheme="majorBidi"/>
      <w:b/>
      <w:bCs/>
      <w:color w:val="2E74B5" w:themeColor="accent1" w:themeShade="BF"/>
    </w:rPr>
  </w:style>
  <w:style w:type="character" w:customStyle="1" w:styleId="70">
    <w:name w:val="标题 7 字符"/>
    <w:basedOn w:val="a0"/>
    <w:link w:val="7"/>
    <w:uiPriority w:val="9"/>
    <w:semiHidden/>
    <w:rsid w:val="00DF2C5B"/>
    <w:rPr>
      <w:rFonts w:cstheme="majorBidi"/>
      <w:b/>
      <w:bCs/>
      <w:color w:val="595959" w:themeColor="text1" w:themeTint="A6"/>
    </w:rPr>
  </w:style>
  <w:style w:type="character" w:customStyle="1" w:styleId="80">
    <w:name w:val="标题 8 字符"/>
    <w:basedOn w:val="a0"/>
    <w:link w:val="8"/>
    <w:uiPriority w:val="9"/>
    <w:semiHidden/>
    <w:rsid w:val="00DF2C5B"/>
    <w:rPr>
      <w:rFonts w:cstheme="majorBidi"/>
      <w:color w:val="595959" w:themeColor="text1" w:themeTint="A6"/>
    </w:rPr>
  </w:style>
  <w:style w:type="character" w:customStyle="1" w:styleId="90">
    <w:name w:val="标题 9 字符"/>
    <w:basedOn w:val="a0"/>
    <w:link w:val="9"/>
    <w:uiPriority w:val="9"/>
    <w:semiHidden/>
    <w:rsid w:val="00DF2C5B"/>
    <w:rPr>
      <w:rFonts w:eastAsiaTheme="majorEastAsia" w:cstheme="majorBidi"/>
      <w:color w:val="595959" w:themeColor="text1" w:themeTint="A6"/>
    </w:rPr>
  </w:style>
  <w:style w:type="paragraph" w:styleId="a3">
    <w:name w:val="Title"/>
    <w:basedOn w:val="a"/>
    <w:next w:val="a"/>
    <w:link w:val="a4"/>
    <w:uiPriority w:val="10"/>
    <w:qFormat/>
    <w:rsid w:val="00DF2C5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F2C5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F2C5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F2C5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F2C5B"/>
    <w:pPr>
      <w:spacing w:before="160" w:after="160"/>
      <w:jc w:val="center"/>
    </w:pPr>
    <w:rPr>
      <w:i/>
      <w:iCs/>
      <w:color w:val="404040" w:themeColor="text1" w:themeTint="BF"/>
    </w:rPr>
  </w:style>
  <w:style w:type="character" w:customStyle="1" w:styleId="a8">
    <w:name w:val="引用 字符"/>
    <w:basedOn w:val="a0"/>
    <w:link w:val="a7"/>
    <w:uiPriority w:val="29"/>
    <w:rsid w:val="00DF2C5B"/>
    <w:rPr>
      <w:i/>
      <w:iCs/>
      <w:color w:val="404040" w:themeColor="text1" w:themeTint="BF"/>
    </w:rPr>
  </w:style>
  <w:style w:type="paragraph" w:styleId="a9">
    <w:name w:val="List Paragraph"/>
    <w:basedOn w:val="a"/>
    <w:uiPriority w:val="34"/>
    <w:qFormat/>
    <w:rsid w:val="00DF2C5B"/>
    <w:pPr>
      <w:ind w:left="720"/>
      <w:contextualSpacing/>
    </w:pPr>
  </w:style>
  <w:style w:type="character" w:styleId="aa">
    <w:name w:val="Intense Emphasis"/>
    <w:basedOn w:val="a0"/>
    <w:uiPriority w:val="21"/>
    <w:qFormat/>
    <w:rsid w:val="00DF2C5B"/>
    <w:rPr>
      <w:i/>
      <w:iCs/>
      <w:color w:val="2E74B5" w:themeColor="accent1" w:themeShade="BF"/>
    </w:rPr>
  </w:style>
  <w:style w:type="paragraph" w:styleId="ab">
    <w:name w:val="Intense Quote"/>
    <w:basedOn w:val="a"/>
    <w:next w:val="a"/>
    <w:link w:val="ac"/>
    <w:uiPriority w:val="30"/>
    <w:qFormat/>
    <w:rsid w:val="00DF2C5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DF2C5B"/>
    <w:rPr>
      <w:i/>
      <w:iCs/>
      <w:color w:val="2E74B5" w:themeColor="accent1" w:themeShade="BF"/>
    </w:rPr>
  </w:style>
  <w:style w:type="character" w:styleId="ad">
    <w:name w:val="Intense Reference"/>
    <w:basedOn w:val="a0"/>
    <w:uiPriority w:val="32"/>
    <w:qFormat/>
    <w:rsid w:val="00DF2C5B"/>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13</Pages>
  <Words>3670</Words>
  <Characters>20922</Characters>
  <Application>Microsoft Office Word</Application>
  <DocSecurity>0</DocSecurity>
  <Lines>174</Lines>
  <Paragraphs>49</Paragraphs>
  <ScaleCrop>false</ScaleCrop>
  <Company/>
  <LinksUpToDate>false</LinksUpToDate>
  <CharactersWithSpaces>24543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30</cp:revision>
  <dcterms:created xsi:type="dcterms:W3CDTF">2026-01-22T15:45:00Z</dcterms:created>
  <dcterms:modified xsi:type="dcterms:W3CDTF">2026-01-23T14:14:00Z</dcterms:modified>
</cp:coreProperties>
</file>