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536050556"/>
        <w:docPartObj>
          <w:docPartGallery w:val="Cover Pages"/>
          <w:docPartUnique/>
        </w:docPartObj>
      </w:sdtPr>
      <w:sdtEndPr/>
      <w:sdtContent>
        <w:p w14:paraId="129EC640" w14:textId="70405B96" w:rsidR="00E76B3E" w:rsidRPr="007C3CC8" w:rsidRDefault="00E76B3E">
          <w:pPr>
            <w:rPr>
              <w:rFonts w:ascii="Arial" w:hAnsi="Arial" w:cs="Arial"/>
            </w:rPr>
          </w:pPr>
          <w:r w:rsidRPr="007C3CC8">
            <w:rPr>
              <w:rFonts w:ascii="Arial" w:hAnsi="Arial" w:cs="Arial"/>
              <w:noProof/>
            </w:rPr>
            <mc:AlternateContent>
              <mc:Choice Requires="wpg">
                <w:drawing>
                  <wp:anchor distT="0" distB="0" distL="114300" distR="114300" simplePos="0" relativeHeight="251659264" behindDoc="1" locked="0" layoutInCell="1" allowOverlap="1" wp14:anchorId="70284BFB" wp14:editId="72674097">
                    <wp:simplePos x="0" y="0"/>
                    <wp:positionH relativeFrom="page">
                      <wp:posOffset>439615</wp:posOffset>
                    </wp:positionH>
                    <wp:positionV relativeFrom="page">
                      <wp:posOffset>486508</wp:posOffset>
                    </wp:positionV>
                    <wp:extent cx="6870686" cy="9170420"/>
                    <wp:effectExtent l="0" t="0" r="6985" b="0"/>
                    <wp:wrapNone/>
                    <wp:docPr id="193" name="Group 198"/>
                    <wp:cNvGraphicFramePr/>
                    <a:graphic xmlns:a="http://schemas.openxmlformats.org/drawingml/2006/main">
                      <a:graphicData uri="http://schemas.microsoft.com/office/word/2010/wordprocessingGroup">
                        <wpg:wgp>
                          <wpg:cNvGrpSpPr/>
                          <wpg:grpSpPr>
                            <a:xfrm>
                              <a:off x="0" y="0"/>
                              <a:ext cx="6870686" cy="9170420"/>
                              <a:chOff x="-5862" y="0"/>
                              <a:chExt cx="6870686" cy="9170420"/>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5862" y="4141220"/>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sz w:val="32"/>
                                      <w:szCs w:val="32"/>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543C3F" w14:textId="31761EA4" w:rsidR="00E76B3E" w:rsidRPr="00F346CB" w:rsidRDefault="00E76B3E">
                                      <w:pPr>
                                        <w:pStyle w:val="NoSpacing"/>
                                        <w:spacing w:before="120"/>
                                        <w:jc w:val="center"/>
                                        <w:rPr>
                                          <w:color w:val="FFFFFF" w:themeColor="background1"/>
                                          <w:u w:val="single"/>
                                        </w:rPr>
                                      </w:pPr>
                                      <w:r w:rsidRPr="00F346CB">
                                        <w:rPr>
                                          <w:rFonts w:ascii="Arial" w:hAnsi="Arial" w:cs="Arial"/>
                                          <w:color w:val="FFFFFF" w:themeColor="background1"/>
                                          <w:sz w:val="32"/>
                                          <w:szCs w:val="32"/>
                                          <w:u w:val="single"/>
                                        </w:rPr>
                                        <w:t>Natalie Griffiths (2316480)</w:t>
                                      </w:r>
                                    </w:p>
                                  </w:sdtContent>
                                </w:sdt>
                                <w:p w14:paraId="38980AE3" w14:textId="2D2F70A4" w:rsidR="00E76B3E" w:rsidRPr="00F346CB" w:rsidRDefault="00661FCB">
                                  <w:pPr>
                                    <w:pStyle w:val="NoSpacing"/>
                                    <w:spacing w:before="120"/>
                                    <w:jc w:val="center"/>
                                    <w:rPr>
                                      <w:rFonts w:ascii="Arial" w:hAnsi="Arial" w:cs="Arial"/>
                                      <w:color w:val="FFFFFF" w:themeColor="background1"/>
                                      <w:sz w:val="40"/>
                                      <w:szCs w:val="40"/>
                                    </w:rPr>
                                  </w:pPr>
                                  <w:sdt>
                                    <w:sdtPr>
                                      <w:rPr>
                                        <w:rFonts w:ascii="Arial" w:hAnsi="Arial" w:cs="Arial"/>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346CB" w:rsidRPr="00F346CB">
                                        <w:rPr>
                                          <w:rFonts w:ascii="Arial" w:hAnsi="Arial" w:cs="Arial"/>
                                          <w:caps/>
                                          <w:color w:val="FFFFFF" w:themeColor="background1"/>
                                          <w:sz w:val="40"/>
                                          <w:szCs w:val="40"/>
                                        </w:rPr>
                                        <w:t>the green economy in practice</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5565C31" w14:textId="45F768B4" w:rsidR="00E76B3E" w:rsidRDefault="00F35D68">
                                      <w:pPr>
                                        <w:pStyle w:val="NoSpacing"/>
                                        <w:jc w:val="center"/>
                                        <w:rPr>
                                          <w:rFonts w:asciiTheme="majorHAnsi" w:eastAsiaTheme="majorEastAsia" w:hAnsiTheme="majorHAnsi" w:cstheme="majorBidi"/>
                                          <w:caps/>
                                          <w:color w:val="156082" w:themeColor="accent1"/>
                                          <w:sz w:val="72"/>
                                          <w:szCs w:val="72"/>
                                        </w:rPr>
                                      </w:pPr>
                                      <w:r w:rsidRPr="00F35D68">
                                        <w:rPr>
                                          <w:rFonts w:asciiTheme="majorHAnsi" w:eastAsiaTheme="majorEastAsia" w:hAnsiTheme="majorHAnsi" w:cstheme="majorBidi"/>
                                          <w:caps/>
                                          <w:color w:val="156082" w:themeColor="accent1"/>
                                          <w:sz w:val="72"/>
                                          <w:szCs w:val="72"/>
                                        </w:rPr>
                                        <w:t>Market Failure and the Sugar Tax</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0284BFB" id="Group 198" o:spid="_x0000_s1026" style="position:absolute;margin-left:34.6pt;margin-top:38.3pt;width:541pt;height:722.1pt;z-index:-251657216;mso-position-horizontal-relative:page;mso-position-vertical-relative:page" coordorigin="-58" coordsize="68706,917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156082 [3204]" stroked="f" strokeweight="1pt"/>
                    <v:rect id="Rectangle 195" o:spid="_x0000_s1028" style="position:absolute;left:-58;top:41412;width:68579;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156082 [3204]" stroked="f" strokeweight="1pt">
                      <v:textbox inset="36pt,57.6pt,36pt,36pt">
                        <w:txbxContent>
                          <w:sdt>
                            <w:sdtPr>
                              <w:rPr>
                                <w:rFonts w:ascii="Arial" w:hAnsi="Arial" w:cs="Arial"/>
                                <w:color w:val="FFFFFF" w:themeColor="background1"/>
                                <w:sz w:val="32"/>
                                <w:szCs w:val="32"/>
                                <w:u w:val="single"/>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16543C3F" w14:textId="31761EA4" w:rsidR="00E76B3E" w:rsidRPr="00F346CB" w:rsidRDefault="00E76B3E">
                                <w:pPr>
                                  <w:pStyle w:val="NoSpacing"/>
                                  <w:spacing w:before="120"/>
                                  <w:jc w:val="center"/>
                                  <w:rPr>
                                    <w:color w:val="FFFFFF" w:themeColor="background1"/>
                                    <w:u w:val="single"/>
                                  </w:rPr>
                                </w:pPr>
                                <w:r w:rsidRPr="00F346CB">
                                  <w:rPr>
                                    <w:rFonts w:ascii="Arial" w:hAnsi="Arial" w:cs="Arial"/>
                                    <w:color w:val="FFFFFF" w:themeColor="background1"/>
                                    <w:sz w:val="32"/>
                                    <w:szCs w:val="32"/>
                                    <w:u w:val="single"/>
                                  </w:rPr>
                                  <w:t>Natalie Griffiths (2316480)</w:t>
                                </w:r>
                              </w:p>
                            </w:sdtContent>
                          </w:sdt>
                          <w:p w14:paraId="38980AE3" w14:textId="2D2F70A4" w:rsidR="00E76B3E" w:rsidRPr="00F346CB" w:rsidRDefault="00661FCB">
                            <w:pPr>
                              <w:pStyle w:val="NoSpacing"/>
                              <w:spacing w:before="120"/>
                              <w:jc w:val="center"/>
                              <w:rPr>
                                <w:rFonts w:ascii="Arial" w:hAnsi="Arial" w:cs="Arial"/>
                                <w:color w:val="FFFFFF" w:themeColor="background1"/>
                                <w:sz w:val="40"/>
                                <w:szCs w:val="40"/>
                              </w:rPr>
                            </w:pPr>
                            <w:sdt>
                              <w:sdtPr>
                                <w:rPr>
                                  <w:rFonts w:ascii="Arial" w:hAnsi="Arial" w:cs="Arial"/>
                                  <w:caps/>
                                  <w:color w:val="FFFFFF" w:themeColor="background1"/>
                                  <w:sz w:val="40"/>
                                  <w:szCs w:val="40"/>
                                </w:rPr>
                                <w:alias w:val="Company"/>
                                <w:tag w:val=""/>
                                <w:id w:val="1618182777"/>
                                <w:dataBinding w:prefixMappings="xmlns:ns0='http://schemas.openxmlformats.org/officeDocument/2006/extended-properties' " w:xpath="/ns0:Properties[1]/ns0:Company[1]" w:storeItemID="{6668398D-A668-4E3E-A5EB-62B293D839F1}"/>
                                <w:text/>
                              </w:sdtPr>
                              <w:sdtEndPr/>
                              <w:sdtContent>
                                <w:r w:rsidR="00F346CB" w:rsidRPr="00F346CB">
                                  <w:rPr>
                                    <w:rFonts w:ascii="Arial" w:hAnsi="Arial" w:cs="Arial"/>
                                    <w:caps/>
                                    <w:color w:val="FFFFFF" w:themeColor="background1"/>
                                    <w:sz w:val="40"/>
                                    <w:szCs w:val="40"/>
                                  </w:rPr>
                                  <w:t>the green economy in practice</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156082"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5565C31" w14:textId="45F768B4" w:rsidR="00E76B3E" w:rsidRDefault="00F35D68">
                                <w:pPr>
                                  <w:pStyle w:val="NoSpacing"/>
                                  <w:jc w:val="center"/>
                                  <w:rPr>
                                    <w:rFonts w:asciiTheme="majorHAnsi" w:eastAsiaTheme="majorEastAsia" w:hAnsiTheme="majorHAnsi" w:cstheme="majorBidi"/>
                                    <w:caps/>
                                    <w:color w:val="156082" w:themeColor="accent1"/>
                                    <w:sz w:val="72"/>
                                    <w:szCs w:val="72"/>
                                  </w:rPr>
                                </w:pPr>
                                <w:r w:rsidRPr="00F35D68">
                                  <w:rPr>
                                    <w:rFonts w:asciiTheme="majorHAnsi" w:eastAsiaTheme="majorEastAsia" w:hAnsiTheme="majorHAnsi" w:cstheme="majorBidi"/>
                                    <w:caps/>
                                    <w:color w:val="156082" w:themeColor="accent1"/>
                                    <w:sz w:val="72"/>
                                    <w:szCs w:val="72"/>
                                  </w:rPr>
                                  <w:t>Market Failure and the Sugar Tax</w:t>
                                </w:r>
                              </w:p>
                            </w:sdtContent>
                          </w:sdt>
                        </w:txbxContent>
                      </v:textbox>
                    </v:shape>
                    <w10:wrap anchorx="page" anchory="page"/>
                  </v:group>
                </w:pict>
              </mc:Fallback>
            </mc:AlternateContent>
          </w:r>
        </w:p>
        <w:p w14:paraId="1398C603" w14:textId="59FC1445" w:rsidR="00E76B3E" w:rsidRPr="007C3CC8" w:rsidRDefault="00E76B3E">
          <w:pPr>
            <w:rPr>
              <w:rFonts w:ascii="Arial" w:hAnsi="Arial" w:cs="Arial"/>
            </w:rPr>
          </w:pPr>
          <w:r w:rsidRPr="007C3CC8">
            <w:rPr>
              <w:rFonts w:ascii="Arial" w:hAnsi="Arial" w:cs="Arial"/>
            </w:rPr>
            <w:br w:type="page"/>
          </w:r>
        </w:p>
      </w:sdtContent>
    </w:sdt>
    <w:sdt>
      <w:sdtPr>
        <w:rPr>
          <w:rFonts w:ascii="Arial" w:eastAsiaTheme="minorHAnsi" w:hAnsi="Arial" w:cs="Arial"/>
          <w:color w:val="auto"/>
          <w:kern w:val="2"/>
          <w:sz w:val="24"/>
          <w:szCs w:val="24"/>
          <w:lang w:val="en-GB"/>
          <w14:ligatures w14:val="standardContextual"/>
        </w:rPr>
        <w:id w:val="2099745287"/>
        <w:docPartObj>
          <w:docPartGallery w:val="Table of Contents"/>
          <w:docPartUnique/>
        </w:docPartObj>
      </w:sdtPr>
      <w:sdtEndPr>
        <w:rPr>
          <w:b/>
          <w:bCs/>
          <w:noProof/>
        </w:rPr>
      </w:sdtEndPr>
      <w:sdtContent>
        <w:p w14:paraId="002ABF1F" w14:textId="1BC3B8C3" w:rsidR="00E76B3E" w:rsidRPr="007C3CC8" w:rsidRDefault="00E76B3E">
          <w:pPr>
            <w:pStyle w:val="TOCHeading"/>
            <w:rPr>
              <w:rFonts w:ascii="Arial" w:hAnsi="Arial" w:cs="Arial"/>
              <w:sz w:val="24"/>
              <w:szCs w:val="24"/>
            </w:rPr>
          </w:pPr>
          <w:r w:rsidRPr="007C3CC8">
            <w:rPr>
              <w:rFonts w:ascii="Arial" w:hAnsi="Arial" w:cs="Arial"/>
              <w:sz w:val="24"/>
              <w:szCs w:val="24"/>
            </w:rPr>
            <w:t>Contents</w:t>
          </w:r>
        </w:p>
        <w:p w14:paraId="68B8FD76" w14:textId="46149F6D" w:rsidR="007C3CC8" w:rsidRDefault="00E76B3E">
          <w:pPr>
            <w:pStyle w:val="TOC1"/>
            <w:tabs>
              <w:tab w:val="right" w:leader="dot" w:pos="9016"/>
            </w:tabs>
            <w:rPr>
              <w:rFonts w:eastAsiaTheme="minorEastAsia"/>
              <w:noProof/>
              <w:lang w:eastAsia="en-GB"/>
            </w:rPr>
          </w:pPr>
          <w:r w:rsidRPr="007C3CC8">
            <w:rPr>
              <w:rFonts w:ascii="Arial" w:hAnsi="Arial" w:cs="Arial"/>
            </w:rPr>
            <w:fldChar w:fldCharType="begin"/>
          </w:r>
          <w:r w:rsidRPr="007C3CC8">
            <w:rPr>
              <w:rFonts w:ascii="Arial" w:hAnsi="Arial" w:cs="Arial"/>
            </w:rPr>
            <w:instrText xml:space="preserve"> TOC \o "1-3" \h \z \u </w:instrText>
          </w:r>
          <w:r w:rsidRPr="007C3CC8">
            <w:rPr>
              <w:rFonts w:ascii="Arial" w:hAnsi="Arial" w:cs="Arial"/>
            </w:rPr>
            <w:fldChar w:fldCharType="separate"/>
          </w:r>
          <w:hyperlink w:anchor="_Toc223438483" w:history="1">
            <w:r w:rsidR="007C3CC8" w:rsidRPr="00C765EC">
              <w:rPr>
                <w:rStyle w:val="Hyperlink"/>
                <w:rFonts w:ascii="Arial" w:hAnsi="Arial" w:cs="Arial"/>
                <w:noProof/>
              </w:rPr>
              <w:t>Introduction</w:t>
            </w:r>
            <w:r w:rsidR="007C3CC8">
              <w:rPr>
                <w:noProof/>
                <w:webHidden/>
              </w:rPr>
              <w:tab/>
            </w:r>
            <w:r w:rsidR="007C3CC8">
              <w:rPr>
                <w:noProof/>
                <w:webHidden/>
              </w:rPr>
              <w:fldChar w:fldCharType="begin"/>
            </w:r>
            <w:r w:rsidR="007C3CC8">
              <w:rPr>
                <w:noProof/>
                <w:webHidden/>
              </w:rPr>
              <w:instrText xml:space="preserve"> PAGEREF _Toc223438483 \h </w:instrText>
            </w:r>
            <w:r w:rsidR="007C3CC8">
              <w:rPr>
                <w:noProof/>
                <w:webHidden/>
              </w:rPr>
            </w:r>
            <w:r w:rsidR="007C3CC8">
              <w:rPr>
                <w:noProof/>
                <w:webHidden/>
              </w:rPr>
              <w:fldChar w:fldCharType="separate"/>
            </w:r>
            <w:r w:rsidR="007C3CC8">
              <w:rPr>
                <w:noProof/>
                <w:webHidden/>
              </w:rPr>
              <w:t>1</w:t>
            </w:r>
            <w:r w:rsidR="007C3CC8">
              <w:rPr>
                <w:noProof/>
                <w:webHidden/>
              </w:rPr>
              <w:fldChar w:fldCharType="end"/>
            </w:r>
          </w:hyperlink>
        </w:p>
        <w:p w14:paraId="1BE07501" w14:textId="28DB54A8" w:rsidR="007C3CC8" w:rsidRDefault="007C3CC8">
          <w:pPr>
            <w:pStyle w:val="TOC1"/>
            <w:tabs>
              <w:tab w:val="right" w:leader="dot" w:pos="9016"/>
            </w:tabs>
            <w:rPr>
              <w:rFonts w:eastAsiaTheme="minorEastAsia"/>
              <w:noProof/>
              <w:lang w:eastAsia="en-GB"/>
            </w:rPr>
          </w:pPr>
          <w:hyperlink w:anchor="_Toc223438484" w:history="1">
            <w:r w:rsidRPr="00C765EC">
              <w:rPr>
                <w:rStyle w:val="Hyperlink"/>
                <w:rFonts w:ascii="Arial" w:hAnsi="Arial" w:cs="Arial"/>
                <w:noProof/>
              </w:rPr>
              <w:t>Market Failure Analysis</w:t>
            </w:r>
            <w:r>
              <w:rPr>
                <w:noProof/>
                <w:webHidden/>
              </w:rPr>
              <w:tab/>
            </w:r>
            <w:r>
              <w:rPr>
                <w:noProof/>
                <w:webHidden/>
              </w:rPr>
              <w:fldChar w:fldCharType="begin"/>
            </w:r>
            <w:r>
              <w:rPr>
                <w:noProof/>
                <w:webHidden/>
              </w:rPr>
              <w:instrText xml:space="preserve"> PAGEREF _Toc223438484 \h </w:instrText>
            </w:r>
            <w:r>
              <w:rPr>
                <w:noProof/>
                <w:webHidden/>
              </w:rPr>
            </w:r>
            <w:r>
              <w:rPr>
                <w:noProof/>
                <w:webHidden/>
              </w:rPr>
              <w:fldChar w:fldCharType="separate"/>
            </w:r>
            <w:r>
              <w:rPr>
                <w:noProof/>
                <w:webHidden/>
              </w:rPr>
              <w:t>2</w:t>
            </w:r>
            <w:r>
              <w:rPr>
                <w:noProof/>
                <w:webHidden/>
              </w:rPr>
              <w:fldChar w:fldCharType="end"/>
            </w:r>
          </w:hyperlink>
        </w:p>
        <w:p w14:paraId="0CF578BD" w14:textId="475DFE3D" w:rsidR="007C3CC8" w:rsidRDefault="007C3CC8">
          <w:pPr>
            <w:pStyle w:val="TOC1"/>
            <w:tabs>
              <w:tab w:val="right" w:leader="dot" w:pos="9016"/>
            </w:tabs>
            <w:rPr>
              <w:rFonts w:eastAsiaTheme="minorEastAsia"/>
              <w:noProof/>
              <w:lang w:eastAsia="en-GB"/>
            </w:rPr>
          </w:pPr>
          <w:hyperlink w:anchor="_Toc223438485" w:history="1">
            <w:r w:rsidRPr="00C765EC">
              <w:rPr>
                <w:rStyle w:val="Hyperlink"/>
                <w:rFonts w:ascii="Arial" w:hAnsi="Arial" w:cs="Arial"/>
                <w:noProof/>
              </w:rPr>
              <w:t>The policy solution</w:t>
            </w:r>
            <w:r>
              <w:rPr>
                <w:noProof/>
                <w:webHidden/>
              </w:rPr>
              <w:tab/>
            </w:r>
            <w:r>
              <w:rPr>
                <w:noProof/>
                <w:webHidden/>
              </w:rPr>
              <w:fldChar w:fldCharType="begin"/>
            </w:r>
            <w:r>
              <w:rPr>
                <w:noProof/>
                <w:webHidden/>
              </w:rPr>
              <w:instrText xml:space="preserve"> PAGEREF _Toc223438485 \h </w:instrText>
            </w:r>
            <w:r>
              <w:rPr>
                <w:noProof/>
                <w:webHidden/>
              </w:rPr>
            </w:r>
            <w:r>
              <w:rPr>
                <w:noProof/>
                <w:webHidden/>
              </w:rPr>
              <w:fldChar w:fldCharType="separate"/>
            </w:r>
            <w:r>
              <w:rPr>
                <w:noProof/>
                <w:webHidden/>
              </w:rPr>
              <w:t>4</w:t>
            </w:r>
            <w:r>
              <w:rPr>
                <w:noProof/>
                <w:webHidden/>
              </w:rPr>
              <w:fldChar w:fldCharType="end"/>
            </w:r>
          </w:hyperlink>
        </w:p>
        <w:p w14:paraId="4025A82D" w14:textId="2635C3F2" w:rsidR="007C3CC8" w:rsidRDefault="007C3CC8">
          <w:pPr>
            <w:pStyle w:val="TOC2"/>
            <w:tabs>
              <w:tab w:val="right" w:leader="dot" w:pos="9016"/>
            </w:tabs>
            <w:rPr>
              <w:rFonts w:eastAsiaTheme="minorEastAsia"/>
              <w:noProof/>
              <w:lang w:eastAsia="en-GB"/>
            </w:rPr>
          </w:pPr>
          <w:hyperlink w:anchor="_Toc223438486" w:history="1">
            <w:r w:rsidRPr="00C765EC">
              <w:rPr>
                <w:rStyle w:val="Hyperlink"/>
                <w:rFonts w:ascii="Arial" w:hAnsi="Arial" w:cs="Arial"/>
                <w:noProof/>
              </w:rPr>
              <w:t>Policy Description.</w:t>
            </w:r>
            <w:r>
              <w:rPr>
                <w:noProof/>
                <w:webHidden/>
              </w:rPr>
              <w:tab/>
            </w:r>
            <w:r>
              <w:rPr>
                <w:noProof/>
                <w:webHidden/>
              </w:rPr>
              <w:fldChar w:fldCharType="begin"/>
            </w:r>
            <w:r>
              <w:rPr>
                <w:noProof/>
                <w:webHidden/>
              </w:rPr>
              <w:instrText xml:space="preserve"> PAGEREF _Toc223438486 \h </w:instrText>
            </w:r>
            <w:r>
              <w:rPr>
                <w:noProof/>
                <w:webHidden/>
              </w:rPr>
            </w:r>
            <w:r>
              <w:rPr>
                <w:noProof/>
                <w:webHidden/>
              </w:rPr>
              <w:fldChar w:fldCharType="separate"/>
            </w:r>
            <w:r>
              <w:rPr>
                <w:noProof/>
                <w:webHidden/>
              </w:rPr>
              <w:t>4</w:t>
            </w:r>
            <w:r>
              <w:rPr>
                <w:noProof/>
                <w:webHidden/>
              </w:rPr>
              <w:fldChar w:fldCharType="end"/>
            </w:r>
          </w:hyperlink>
        </w:p>
        <w:p w14:paraId="7FB1A50E" w14:textId="7379AD6C" w:rsidR="007C3CC8" w:rsidRDefault="007C3CC8">
          <w:pPr>
            <w:pStyle w:val="TOC1"/>
            <w:tabs>
              <w:tab w:val="right" w:leader="dot" w:pos="9016"/>
            </w:tabs>
            <w:rPr>
              <w:rFonts w:eastAsiaTheme="minorEastAsia"/>
              <w:noProof/>
              <w:lang w:eastAsia="en-GB"/>
            </w:rPr>
          </w:pPr>
          <w:hyperlink w:anchor="_Toc223438487" w:history="1">
            <w:r w:rsidRPr="00C765EC">
              <w:rPr>
                <w:rStyle w:val="Hyperlink"/>
                <w:rFonts w:ascii="Arial" w:hAnsi="Arial" w:cs="Arial"/>
                <w:noProof/>
              </w:rPr>
              <w:t>Evaluation</w:t>
            </w:r>
            <w:r>
              <w:rPr>
                <w:noProof/>
                <w:webHidden/>
              </w:rPr>
              <w:tab/>
            </w:r>
            <w:r>
              <w:rPr>
                <w:noProof/>
                <w:webHidden/>
              </w:rPr>
              <w:fldChar w:fldCharType="begin"/>
            </w:r>
            <w:r>
              <w:rPr>
                <w:noProof/>
                <w:webHidden/>
              </w:rPr>
              <w:instrText xml:space="preserve"> PAGEREF _Toc223438487 \h </w:instrText>
            </w:r>
            <w:r>
              <w:rPr>
                <w:noProof/>
                <w:webHidden/>
              </w:rPr>
            </w:r>
            <w:r>
              <w:rPr>
                <w:noProof/>
                <w:webHidden/>
              </w:rPr>
              <w:fldChar w:fldCharType="separate"/>
            </w:r>
            <w:r>
              <w:rPr>
                <w:noProof/>
                <w:webHidden/>
              </w:rPr>
              <w:t>5</w:t>
            </w:r>
            <w:r>
              <w:rPr>
                <w:noProof/>
                <w:webHidden/>
              </w:rPr>
              <w:fldChar w:fldCharType="end"/>
            </w:r>
          </w:hyperlink>
        </w:p>
        <w:p w14:paraId="5D15FAB4" w14:textId="59F99932" w:rsidR="007C3CC8" w:rsidRDefault="007C3CC8">
          <w:pPr>
            <w:pStyle w:val="TOC3"/>
            <w:tabs>
              <w:tab w:val="right" w:leader="dot" w:pos="9016"/>
            </w:tabs>
            <w:rPr>
              <w:rFonts w:eastAsiaTheme="minorEastAsia"/>
              <w:noProof/>
              <w:lang w:eastAsia="en-GB"/>
            </w:rPr>
          </w:pPr>
          <w:hyperlink w:anchor="_Toc223438488" w:history="1">
            <w:r w:rsidRPr="00C765EC">
              <w:rPr>
                <w:rStyle w:val="Hyperlink"/>
                <w:rFonts w:ascii="Arial" w:hAnsi="Arial" w:cs="Arial"/>
                <w:noProof/>
              </w:rPr>
              <w:t>Benefits Observed</w:t>
            </w:r>
            <w:r>
              <w:rPr>
                <w:noProof/>
                <w:webHidden/>
              </w:rPr>
              <w:tab/>
            </w:r>
            <w:r>
              <w:rPr>
                <w:noProof/>
                <w:webHidden/>
              </w:rPr>
              <w:fldChar w:fldCharType="begin"/>
            </w:r>
            <w:r>
              <w:rPr>
                <w:noProof/>
                <w:webHidden/>
              </w:rPr>
              <w:instrText xml:space="preserve"> PAGEREF _Toc223438488 \h </w:instrText>
            </w:r>
            <w:r>
              <w:rPr>
                <w:noProof/>
                <w:webHidden/>
              </w:rPr>
            </w:r>
            <w:r>
              <w:rPr>
                <w:noProof/>
                <w:webHidden/>
              </w:rPr>
              <w:fldChar w:fldCharType="separate"/>
            </w:r>
            <w:r>
              <w:rPr>
                <w:noProof/>
                <w:webHidden/>
              </w:rPr>
              <w:t>5</w:t>
            </w:r>
            <w:r>
              <w:rPr>
                <w:noProof/>
                <w:webHidden/>
              </w:rPr>
              <w:fldChar w:fldCharType="end"/>
            </w:r>
          </w:hyperlink>
        </w:p>
        <w:p w14:paraId="2F3FA588" w14:textId="08DF2BFF" w:rsidR="007C3CC8" w:rsidRDefault="007C3CC8">
          <w:pPr>
            <w:pStyle w:val="TOC3"/>
            <w:tabs>
              <w:tab w:val="right" w:leader="dot" w:pos="9016"/>
            </w:tabs>
            <w:rPr>
              <w:rFonts w:eastAsiaTheme="minorEastAsia"/>
              <w:noProof/>
              <w:lang w:eastAsia="en-GB"/>
            </w:rPr>
          </w:pPr>
          <w:hyperlink w:anchor="_Toc223438489" w:history="1">
            <w:r w:rsidRPr="00C765EC">
              <w:rPr>
                <w:rStyle w:val="Hyperlink"/>
                <w:rFonts w:ascii="Arial" w:hAnsi="Arial" w:cs="Arial"/>
                <w:noProof/>
              </w:rPr>
              <w:t>Fall in Sugar Sold from Soft Drinks</w:t>
            </w:r>
            <w:r>
              <w:rPr>
                <w:noProof/>
                <w:webHidden/>
              </w:rPr>
              <w:tab/>
            </w:r>
            <w:r>
              <w:rPr>
                <w:noProof/>
                <w:webHidden/>
              </w:rPr>
              <w:fldChar w:fldCharType="begin"/>
            </w:r>
            <w:r>
              <w:rPr>
                <w:noProof/>
                <w:webHidden/>
              </w:rPr>
              <w:instrText xml:space="preserve"> PAGEREF _Toc223438489 \h </w:instrText>
            </w:r>
            <w:r>
              <w:rPr>
                <w:noProof/>
                <w:webHidden/>
              </w:rPr>
            </w:r>
            <w:r>
              <w:rPr>
                <w:noProof/>
                <w:webHidden/>
              </w:rPr>
              <w:fldChar w:fldCharType="separate"/>
            </w:r>
            <w:r>
              <w:rPr>
                <w:noProof/>
                <w:webHidden/>
              </w:rPr>
              <w:t>5</w:t>
            </w:r>
            <w:r>
              <w:rPr>
                <w:noProof/>
                <w:webHidden/>
              </w:rPr>
              <w:fldChar w:fldCharType="end"/>
            </w:r>
          </w:hyperlink>
        </w:p>
        <w:p w14:paraId="37BE1997" w14:textId="591BDC87" w:rsidR="007C3CC8" w:rsidRDefault="007C3CC8">
          <w:pPr>
            <w:pStyle w:val="TOC3"/>
            <w:tabs>
              <w:tab w:val="right" w:leader="dot" w:pos="9016"/>
            </w:tabs>
            <w:rPr>
              <w:rFonts w:eastAsiaTheme="minorEastAsia"/>
              <w:noProof/>
              <w:lang w:eastAsia="en-GB"/>
            </w:rPr>
          </w:pPr>
          <w:hyperlink w:anchor="_Toc223438490" w:history="1">
            <w:r w:rsidRPr="00C765EC">
              <w:rPr>
                <w:rStyle w:val="Hyperlink"/>
                <w:rFonts w:ascii="Arial" w:hAnsi="Arial" w:cs="Arial"/>
                <w:noProof/>
              </w:rPr>
              <w:t>Revenue Generated for Public Health Programs</w:t>
            </w:r>
            <w:r>
              <w:rPr>
                <w:noProof/>
                <w:webHidden/>
              </w:rPr>
              <w:tab/>
            </w:r>
            <w:r>
              <w:rPr>
                <w:noProof/>
                <w:webHidden/>
              </w:rPr>
              <w:fldChar w:fldCharType="begin"/>
            </w:r>
            <w:r>
              <w:rPr>
                <w:noProof/>
                <w:webHidden/>
              </w:rPr>
              <w:instrText xml:space="preserve"> PAGEREF _Toc223438490 \h </w:instrText>
            </w:r>
            <w:r>
              <w:rPr>
                <w:noProof/>
                <w:webHidden/>
              </w:rPr>
            </w:r>
            <w:r>
              <w:rPr>
                <w:noProof/>
                <w:webHidden/>
              </w:rPr>
              <w:fldChar w:fldCharType="separate"/>
            </w:r>
            <w:r>
              <w:rPr>
                <w:noProof/>
                <w:webHidden/>
              </w:rPr>
              <w:t>6</w:t>
            </w:r>
            <w:r>
              <w:rPr>
                <w:noProof/>
                <w:webHidden/>
              </w:rPr>
              <w:fldChar w:fldCharType="end"/>
            </w:r>
          </w:hyperlink>
        </w:p>
        <w:p w14:paraId="12E87EC4" w14:textId="0BC72C28" w:rsidR="007C3CC8" w:rsidRDefault="007C3CC8">
          <w:pPr>
            <w:pStyle w:val="TOC3"/>
            <w:tabs>
              <w:tab w:val="right" w:leader="dot" w:pos="9016"/>
            </w:tabs>
            <w:rPr>
              <w:rFonts w:eastAsiaTheme="minorEastAsia"/>
              <w:noProof/>
              <w:lang w:eastAsia="en-GB"/>
            </w:rPr>
          </w:pPr>
          <w:hyperlink w:anchor="_Toc223438491" w:history="1">
            <w:r w:rsidRPr="00C765EC">
              <w:rPr>
                <w:rStyle w:val="Hyperlink"/>
                <w:rFonts w:ascii="Arial" w:hAnsi="Arial" w:cs="Arial"/>
                <w:noProof/>
              </w:rPr>
              <w:t>No Major Job Losses in the Sector</w:t>
            </w:r>
            <w:r>
              <w:rPr>
                <w:noProof/>
                <w:webHidden/>
              </w:rPr>
              <w:tab/>
            </w:r>
            <w:r>
              <w:rPr>
                <w:noProof/>
                <w:webHidden/>
              </w:rPr>
              <w:fldChar w:fldCharType="begin"/>
            </w:r>
            <w:r>
              <w:rPr>
                <w:noProof/>
                <w:webHidden/>
              </w:rPr>
              <w:instrText xml:space="preserve"> PAGEREF _Toc223438491 \h </w:instrText>
            </w:r>
            <w:r>
              <w:rPr>
                <w:noProof/>
                <w:webHidden/>
              </w:rPr>
            </w:r>
            <w:r>
              <w:rPr>
                <w:noProof/>
                <w:webHidden/>
              </w:rPr>
              <w:fldChar w:fldCharType="separate"/>
            </w:r>
            <w:r>
              <w:rPr>
                <w:noProof/>
                <w:webHidden/>
              </w:rPr>
              <w:t>6</w:t>
            </w:r>
            <w:r>
              <w:rPr>
                <w:noProof/>
                <w:webHidden/>
              </w:rPr>
              <w:fldChar w:fldCharType="end"/>
            </w:r>
          </w:hyperlink>
        </w:p>
        <w:p w14:paraId="7C53CE8F" w14:textId="560495B1" w:rsidR="007C3CC8" w:rsidRDefault="007C3CC8">
          <w:pPr>
            <w:pStyle w:val="TOC1"/>
            <w:tabs>
              <w:tab w:val="right" w:leader="dot" w:pos="9016"/>
            </w:tabs>
            <w:rPr>
              <w:rFonts w:eastAsiaTheme="minorEastAsia"/>
              <w:noProof/>
              <w:lang w:eastAsia="en-GB"/>
            </w:rPr>
          </w:pPr>
          <w:hyperlink w:anchor="_Toc223438492" w:history="1">
            <w:r w:rsidRPr="00C765EC">
              <w:rPr>
                <w:rStyle w:val="Hyperlink"/>
                <w:rFonts w:ascii="Arial" w:hAnsi="Arial" w:cs="Arial"/>
                <w:noProof/>
              </w:rPr>
              <w:t>Conclusion</w:t>
            </w:r>
            <w:r>
              <w:rPr>
                <w:noProof/>
                <w:webHidden/>
              </w:rPr>
              <w:tab/>
            </w:r>
            <w:r>
              <w:rPr>
                <w:noProof/>
                <w:webHidden/>
              </w:rPr>
              <w:fldChar w:fldCharType="begin"/>
            </w:r>
            <w:r>
              <w:rPr>
                <w:noProof/>
                <w:webHidden/>
              </w:rPr>
              <w:instrText xml:space="preserve"> PAGEREF _Toc223438492 \h </w:instrText>
            </w:r>
            <w:r>
              <w:rPr>
                <w:noProof/>
                <w:webHidden/>
              </w:rPr>
            </w:r>
            <w:r>
              <w:rPr>
                <w:noProof/>
                <w:webHidden/>
              </w:rPr>
              <w:fldChar w:fldCharType="separate"/>
            </w:r>
            <w:r>
              <w:rPr>
                <w:noProof/>
                <w:webHidden/>
              </w:rPr>
              <w:t>6</w:t>
            </w:r>
            <w:r>
              <w:rPr>
                <w:noProof/>
                <w:webHidden/>
              </w:rPr>
              <w:fldChar w:fldCharType="end"/>
            </w:r>
          </w:hyperlink>
        </w:p>
        <w:p w14:paraId="36284E58" w14:textId="67960F9C" w:rsidR="007C3CC8" w:rsidRDefault="007C3CC8">
          <w:pPr>
            <w:pStyle w:val="TOC1"/>
            <w:tabs>
              <w:tab w:val="right" w:leader="dot" w:pos="9016"/>
            </w:tabs>
            <w:rPr>
              <w:rFonts w:eastAsiaTheme="minorEastAsia"/>
              <w:noProof/>
              <w:lang w:eastAsia="en-GB"/>
            </w:rPr>
          </w:pPr>
          <w:hyperlink w:anchor="_Toc223438493" w:history="1">
            <w:r w:rsidRPr="00C765EC">
              <w:rPr>
                <w:rStyle w:val="Hyperlink"/>
                <w:rFonts w:ascii="Arial" w:hAnsi="Arial" w:cs="Arial"/>
                <w:noProof/>
              </w:rPr>
              <w:t>Reference</w:t>
            </w:r>
            <w:r>
              <w:rPr>
                <w:noProof/>
                <w:webHidden/>
              </w:rPr>
              <w:tab/>
            </w:r>
            <w:r>
              <w:rPr>
                <w:noProof/>
                <w:webHidden/>
              </w:rPr>
              <w:fldChar w:fldCharType="begin"/>
            </w:r>
            <w:r>
              <w:rPr>
                <w:noProof/>
                <w:webHidden/>
              </w:rPr>
              <w:instrText xml:space="preserve"> PAGEREF _Toc223438493 \h </w:instrText>
            </w:r>
            <w:r>
              <w:rPr>
                <w:noProof/>
                <w:webHidden/>
              </w:rPr>
            </w:r>
            <w:r>
              <w:rPr>
                <w:noProof/>
                <w:webHidden/>
              </w:rPr>
              <w:fldChar w:fldCharType="separate"/>
            </w:r>
            <w:r>
              <w:rPr>
                <w:noProof/>
                <w:webHidden/>
              </w:rPr>
              <w:t>7</w:t>
            </w:r>
            <w:r>
              <w:rPr>
                <w:noProof/>
                <w:webHidden/>
              </w:rPr>
              <w:fldChar w:fldCharType="end"/>
            </w:r>
          </w:hyperlink>
        </w:p>
        <w:p w14:paraId="02F2AF01" w14:textId="43524C54" w:rsidR="00E76B3E" w:rsidRPr="007C3CC8" w:rsidRDefault="00E76B3E">
          <w:pPr>
            <w:rPr>
              <w:rFonts w:ascii="Arial" w:hAnsi="Arial" w:cs="Arial"/>
            </w:rPr>
          </w:pPr>
          <w:r w:rsidRPr="007C3CC8">
            <w:rPr>
              <w:rFonts w:ascii="Arial" w:hAnsi="Arial" w:cs="Arial"/>
              <w:b/>
              <w:bCs/>
              <w:noProof/>
            </w:rPr>
            <w:fldChar w:fldCharType="end"/>
          </w:r>
        </w:p>
      </w:sdtContent>
    </w:sdt>
    <w:p w14:paraId="6B5D0FE6" w14:textId="77777777" w:rsidR="00912D0E" w:rsidRPr="007C3CC8" w:rsidRDefault="00912D0E" w:rsidP="00E76B3E">
      <w:pPr>
        <w:rPr>
          <w:rStyle w:val="Heading1Char"/>
          <w:rFonts w:ascii="Arial" w:hAnsi="Arial" w:cs="Arial"/>
          <w:sz w:val="24"/>
          <w:szCs w:val="24"/>
        </w:rPr>
      </w:pPr>
    </w:p>
    <w:p w14:paraId="37BD2BA8" w14:textId="77777777" w:rsidR="00912D0E" w:rsidRPr="007C3CC8" w:rsidRDefault="00912D0E" w:rsidP="00E76B3E">
      <w:pPr>
        <w:rPr>
          <w:rStyle w:val="Heading1Char"/>
          <w:rFonts w:ascii="Arial" w:hAnsi="Arial" w:cs="Arial"/>
          <w:sz w:val="24"/>
          <w:szCs w:val="24"/>
        </w:rPr>
      </w:pPr>
    </w:p>
    <w:p w14:paraId="1C5682A3" w14:textId="77777777" w:rsidR="00912D0E" w:rsidRPr="007C3CC8" w:rsidRDefault="00912D0E" w:rsidP="00E76B3E">
      <w:pPr>
        <w:rPr>
          <w:rStyle w:val="Heading1Char"/>
          <w:rFonts w:ascii="Arial" w:hAnsi="Arial" w:cs="Arial"/>
          <w:sz w:val="24"/>
          <w:szCs w:val="24"/>
        </w:rPr>
      </w:pPr>
    </w:p>
    <w:p w14:paraId="1888F01C" w14:textId="77777777" w:rsidR="00912D0E" w:rsidRPr="007C3CC8" w:rsidRDefault="00912D0E" w:rsidP="00E76B3E">
      <w:pPr>
        <w:rPr>
          <w:rStyle w:val="Heading1Char"/>
          <w:rFonts w:ascii="Arial" w:hAnsi="Arial" w:cs="Arial"/>
          <w:sz w:val="24"/>
          <w:szCs w:val="24"/>
        </w:rPr>
      </w:pPr>
    </w:p>
    <w:p w14:paraId="61E0F19C" w14:textId="77777777" w:rsidR="00912D0E" w:rsidRPr="007C3CC8" w:rsidRDefault="00912D0E" w:rsidP="00E76B3E">
      <w:pPr>
        <w:rPr>
          <w:rStyle w:val="Heading1Char"/>
          <w:rFonts w:ascii="Arial" w:hAnsi="Arial" w:cs="Arial"/>
          <w:sz w:val="24"/>
          <w:szCs w:val="24"/>
        </w:rPr>
      </w:pPr>
    </w:p>
    <w:p w14:paraId="14022C29" w14:textId="77777777" w:rsidR="00912D0E" w:rsidRPr="007C3CC8" w:rsidRDefault="00912D0E" w:rsidP="00E76B3E">
      <w:pPr>
        <w:rPr>
          <w:rStyle w:val="Heading1Char"/>
          <w:rFonts w:ascii="Arial" w:hAnsi="Arial" w:cs="Arial"/>
          <w:sz w:val="24"/>
          <w:szCs w:val="24"/>
        </w:rPr>
      </w:pPr>
    </w:p>
    <w:p w14:paraId="60E9558B" w14:textId="77777777" w:rsidR="00912D0E" w:rsidRPr="007C3CC8" w:rsidRDefault="00912D0E" w:rsidP="00E76B3E">
      <w:pPr>
        <w:rPr>
          <w:rStyle w:val="Heading1Char"/>
          <w:rFonts w:ascii="Arial" w:hAnsi="Arial" w:cs="Arial"/>
          <w:sz w:val="24"/>
          <w:szCs w:val="24"/>
        </w:rPr>
      </w:pPr>
    </w:p>
    <w:p w14:paraId="409C742F" w14:textId="77777777" w:rsidR="00912D0E" w:rsidRPr="007C3CC8" w:rsidRDefault="00912D0E" w:rsidP="00E76B3E">
      <w:pPr>
        <w:rPr>
          <w:rStyle w:val="Heading1Char"/>
          <w:rFonts w:ascii="Arial" w:hAnsi="Arial" w:cs="Arial"/>
          <w:sz w:val="24"/>
          <w:szCs w:val="24"/>
        </w:rPr>
      </w:pPr>
    </w:p>
    <w:p w14:paraId="2DDF4921" w14:textId="77777777" w:rsidR="00912D0E" w:rsidRPr="007C3CC8" w:rsidRDefault="00912D0E" w:rsidP="00E76B3E">
      <w:pPr>
        <w:rPr>
          <w:rStyle w:val="Heading1Char"/>
          <w:rFonts w:ascii="Arial" w:hAnsi="Arial" w:cs="Arial"/>
          <w:sz w:val="24"/>
          <w:szCs w:val="24"/>
        </w:rPr>
      </w:pPr>
    </w:p>
    <w:p w14:paraId="673FFA9A" w14:textId="77777777" w:rsidR="00912D0E" w:rsidRPr="007C3CC8" w:rsidRDefault="00912D0E" w:rsidP="00E76B3E">
      <w:pPr>
        <w:rPr>
          <w:rStyle w:val="Heading1Char"/>
          <w:rFonts w:ascii="Arial" w:hAnsi="Arial" w:cs="Arial"/>
          <w:sz w:val="24"/>
          <w:szCs w:val="24"/>
        </w:rPr>
      </w:pPr>
    </w:p>
    <w:p w14:paraId="22413084" w14:textId="77777777" w:rsidR="00912D0E" w:rsidRPr="007C3CC8" w:rsidRDefault="00912D0E" w:rsidP="00E76B3E">
      <w:pPr>
        <w:rPr>
          <w:rStyle w:val="Heading1Char"/>
          <w:rFonts w:ascii="Arial" w:hAnsi="Arial" w:cs="Arial"/>
          <w:sz w:val="24"/>
          <w:szCs w:val="24"/>
        </w:rPr>
      </w:pPr>
    </w:p>
    <w:p w14:paraId="223739AE" w14:textId="77777777" w:rsidR="00912D0E" w:rsidRPr="007C3CC8" w:rsidRDefault="00912D0E" w:rsidP="00E76B3E">
      <w:pPr>
        <w:rPr>
          <w:rStyle w:val="Heading1Char"/>
          <w:rFonts w:ascii="Arial" w:hAnsi="Arial" w:cs="Arial"/>
          <w:sz w:val="24"/>
          <w:szCs w:val="24"/>
        </w:rPr>
      </w:pPr>
    </w:p>
    <w:p w14:paraId="66E334A3" w14:textId="77777777" w:rsidR="00912D0E" w:rsidRPr="007C3CC8" w:rsidRDefault="00912D0E" w:rsidP="00E76B3E">
      <w:pPr>
        <w:rPr>
          <w:rStyle w:val="Heading1Char"/>
          <w:rFonts w:ascii="Arial" w:hAnsi="Arial" w:cs="Arial"/>
          <w:sz w:val="24"/>
          <w:szCs w:val="24"/>
        </w:rPr>
      </w:pPr>
    </w:p>
    <w:p w14:paraId="5497AAFA" w14:textId="77777777" w:rsidR="00912D0E" w:rsidRPr="007C3CC8" w:rsidRDefault="00912D0E" w:rsidP="00E76B3E">
      <w:pPr>
        <w:rPr>
          <w:rStyle w:val="Heading1Char"/>
          <w:rFonts w:ascii="Arial" w:hAnsi="Arial" w:cs="Arial"/>
          <w:sz w:val="24"/>
          <w:szCs w:val="24"/>
        </w:rPr>
      </w:pPr>
    </w:p>
    <w:p w14:paraId="1B80C3A9" w14:textId="77777777" w:rsidR="00912D0E" w:rsidRPr="007C3CC8" w:rsidRDefault="00912D0E" w:rsidP="00E76B3E">
      <w:pPr>
        <w:rPr>
          <w:rStyle w:val="Heading1Char"/>
          <w:rFonts w:ascii="Arial" w:hAnsi="Arial" w:cs="Arial"/>
          <w:sz w:val="24"/>
          <w:szCs w:val="24"/>
        </w:rPr>
      </w:pPr>
    </w:p>
    <w:p w14:paraId="024261DA" w14:textId="607C4C1C" w:rsidR="00E76B3E" w:rsidRPr="00EA13C4" w:rsidRDefault="00E76B3E" w:rsidP="00912D0E">
      <w:pPr>
        <w:pStyle w:val="Heading1"/>
        <w:rPr>
          <w:rFonts w:ascii="Arial" w:hAnsi="Arial" w:cs="Arial"/>
          <w:sz w:val="28"/>
          <w:szCs w:val="28"/>
        </w:rPr>
      </w:pPr>
      <w:r w:rsidRPr="007C3CC8">
        <w:rPr>
          <w:rStyle w:val="Heading1Char"/>
          <w:rFonts w:ascii="Arial" w:hAnsi="Arial" w:cs="Arial"/>
          <w:sz w:val="24"/>
          <w:szCs w:val="24"/>
        </w:rPr>
        <w:lastRenderedPageBreak/>
        <w:t xml:space="preserve"> </w:t>
      </w:r>
      <w:bookmarkStart w:id="0" w:name="_Toc223438483"/>
      <w:r w:rsidRPr="00EA13C4">
        <w:rPr>
          <w:rStyle w:val="Heading1Char"/>
          <w:rFonts w:ascii="Arial" w:hAnsi="Arial" w:cs="Arial"/>
          <w:sz w:val="28"/>
          <w:szCs w:val="28"/>
        </w:rPr>
        <w:t>Introduction</w:t>
      </w:r>
      <w:bookmarkEnd w:id="0"/>
      <w:r w:rsidRPr="00EA13C4">
        <w:rPr>
          <w:rFonts w:ascii="Arial" w:hAnsi="Arial" w:cs="Arial"/>
          <w:sz w:val="28"/>
          <w:szCs w:val="28"/>
        </w:rPr>
        <w:t xml:space="preserve"> </w:t>
      </w:r>
    </w:p>
    <w:p w14:paraId="2FFFC850" w14:textId="302C02D4" w:rsidR="005E53F8" w:rsidRPr="007C3CC8" w:rsidRDefault="00371895" w:rsidP="00F1651A">
      <w:pPr>
        <w:rPr>
          <w:rFonts w:ascii="Arial" w:hAnsi="Arial" w:cs="Arial"/>
        </w:rPr>
      </w:pPr>
      <w:r w:rsidRPr="007C3CC8">
        <w:rPr>
          <w:rFonts w:ascii="Arial" w:hAnsi="Arial" w:cs="Arial"/>
        </w:rPr>
        <w:t xml:space="preserve">Market failure </w:t>
      </w:r>
      <w:r w:rsidR="00E44AAC" w:rsidRPr="007C3CC8">
        <w:rPr>
          <w:rFonts w:ascii="Arial" w:hAnsi="Arial" w:cs="Arial"/>
        </w:rPr>
        <w:t xml:space="preserve">is when the free market is unable to distribute </w:t>
      </w:r>
      <w:r w:rsidR="00CE3F5A" w:rsidRPr="007C3CC8">
        <w:rPr>
          <w:rFonts w:ascii="Arial" w:hAnsi="Arial" w:cs="Arial"/>
        </w:rPr>
        <w:t>resources effectively, social welfare is lost. This is known as market failure,</w:t>
      </w:r>
      <w:r w:rsidR="005350F0" w:rsidRPr="007C3CC8">
        <w:rPr>
          <w:rFonts w:ascii="Arial" w:hAnsi="Arial" w:cs="Arial"/>
        </w:rPr>
        <w:t xml:space="preserve"> (Lee, &amp; Clark, 2013). </w:t>
      </w:r>
      <w:r w:rsidR="00FE412D" w:rsidRPr="007C3CC8">
        <w:rPr>
          <w:rFonts w:ascii="Arial" w:hAnsi="Arial" w:cs="Arial"/>
          <w:color w:val="EE0000"/>
        </w:rPr>
        <w:t xml:space="preserve"> </w:t>
      </w:r>
      <w:r w:rsidR="0066778B" w:rsidRPr="007C3CC8">
        <w:rPr>
          <w:rFonts w:ascii="Arial" w:hAnsi="Arial" w:cs="Arial"/>
        </w:rPr>
        <w:t>Negative externalities of consumption occur when individuals use a good or service without bearing all the associated social costs, leading to market failure.</w:t>
      </w:r>
      <w:r w:rsidR="00100CAD" w:rsidRPr="007C3CC8">
        <w:rPr>
          <w:rFonts w:ascii="Arial" w:hAnsi="Arial" w:cs="Arial"/>
        </w:rPr>
        <w:t xml:space="preserve"> Type 2 dia</w:t>
      </w:r>
      <w:r w:rsidR="002F4A7B" w:rsidRPr="007C3CC8">
        <w:rPr>
          <w:rFonts w:ascii="Arial" w:hAnsi="Arial" w:cs="Arial"/>
        </w:rPr>
        <w:t>betes, obesity, and other chronic illnesses have increased</w:t>
      </w:r>
      <w:r w:rsidR="004A323F" w:rsidRPr="007C3CC8">
        <w:rPr>
          <w:rFonts w:ascii="Arial" w:hAnsi="Arial" w:cs="Arial"/>
        </w:rPr>
        <w:t xml:space="preserve"> in the UK</w:t>
      </w:r>
      <w:r w:rsidR="004842A1" w:rsidRPr="007C3CC8">
        <w:rPr>
          <w:rFonts w:ascii="Arial" w:hAnsi="Arial" w:cs="Arial"/>
        </w:rPr>
        <w:t xml:space="preserve"> as a result of excessive sugar consumption, especially from soft drinks,</w:t>
      </w:r>
      <w:r w:rsidR="005167F7" w:rsidRPr="007C3CC8">
        <w:rPr>
          <w:rFonts w:ascii="Arial" w:hAnsi="Arial" w:cs="Arial"/>
        </w:rPr>
        <w:t xml:space="preserve"> (Stanhope, 2016). </w:t>
      </w:r>
      <w:r w:rsidR="005E53F8" w:rsidRPr="007C3CC8">
        <w:rPr>
          <w:rFonts w:ascii="Arial" w:hAnsi="Arial" w:cs="Arial"/>
        </w:rPr>
        <w:t xml:space="preserve"> </w:t>
      </w:r>
      <w:r w:rsidR="006B6D28" w:rsidRPr="007C3CC8">
        <w:rPr>
          <w:rFonts w:ascii="Arial" w:hAnsi="Arial" w:cs="Arial"/>
        </w:rPr>
        <w:t xml:space="preserve">Although consumers think about the personal advantages </w:t>
      </w:r>
      <w:r w:rsidR="00C93D51" w:rsidRPr="007C3CC8">
        <w:rPr>
          <w:rFonts w:ascii="Arial" w:hAnsi="Arial" w:cs="Arial"/>
        </w:rPr>
        <w:t xml:space="preserve">of sugar-filled beverages, they frequently overlook </w:t>
      </w:r>
      <w:r w:rsidR="00C225FB" w:rsidRPr="007C3CC8">
        <w:rPr>
          <w:rFonts w:ascii="Arial" w:hAnsi="Arial" w:cs="Arial"/>
        </w:rPr>
        <w:t xml:space="preserve">the cost to society as a whole, many of which are paid for by the </w:t>
      </w:r>
      <w:r w:rsidR="002B196B" w:rsidRPr="007C3CC8">
        <w:rPr>
          <w:rFonts w:ascii="Arial" w:hAnsi="Arial" w:cs="Arial"/>
        </w:rPr>
        <w:t xml:space="preserve">National Health Service (NHS). The NHS </w:t>
      </w:r>
      <w:r w:rsidR="009975BF" w:rsidRPr="007C3CC8">
        <w:rPr>
          <w:rFonts w:ascii="Arial" w:hAnsi="Arial" w:cs="Arial"/>
        </w:rPr>
        <w:t>spends billions of pounds</w:t>
      </w:r>
      <w:r w:rsidR="00EB3E4C" w:rsidRPr="007C3CC8">
        <w:rPr>
          <w:rFonts w:ascii="Arial" w:hAnsi="Arial" w:cs="Arial"/>
        </w:rPr>
        <w:t xml:space="preserve"> annually on obesity related</w:t>
      </w:r>
      <w:r w:rsidR="00C70B74" w:rsidRPr="007C3CC8">
        <w:rPr>
          <w:rFonts w:ascii="Arial" w:hAnsi="Arial" w:cs="Arial"/>
        </w:rPr>
        <w:t xml:space="preserve"> conditions, which puts further pressure on the </w:t>
      </w:r>
      <w:r w:rsidR="00F401E9" w:rsidRPr="007C3CC8">
        <w:rPr>
          <w:rFonts w:ascii="Arial" w:hAnsi="Arial" w:cs="Arial"/>
        </w:rPr>
        <w:t>taxpayers</w:t>
      </w:r>
      <w:r w:rsidR="00C70B74" w:rsidRPr="007C3CC8">
        <w:rPr>
          <w:rFonts w:ascii="Arial" w:hAnsi="Arial" w:cs="Arial"/>
        </w:rPr>
        <w:t xml:space="preserve"> and reduces</w:t>
      </w:r>
      <w:r w:rsidR="00F401E9" w:rsidRPr="007C3CC8">
        <w:rPr>
          <w:rFonts w:ascii="Arial" w:hAnsi="Arial" w:cs="Arial"/>
        </w:rPr>
        <w:t xml:space="preserve"> overall economic productivity,</w:t>
      </w:r>
      <w:r w:rsidR="00BF326B" w:rsidRPr="007C3CC8">
        <w:rPr>
          <w:rFonts w:ascii="Arial" w:hAnsi="Arial" w:cs="Arial"/>
        </w:rPr>
        <w:t>(</w:t>
      </w:r>
      <w:r w:rsidR="008F19CD" w:rsidRPr="007C3CC8">
        <w:rPr>
          <w:rFonts w:ascii="Arial" w:hAnsi="Arial" w:cs="Arial"/>
        </w:rPr>
        <w:t>Obesity and Excess Weight Costing UK Economy £31 Billion a Year in Lost Productivity, 2025)</w:t>
      </w:r>
      <w:r w:rsidR="003D550A" w:rsidRPr="007C3CC8">
        <w:rPr>
          <w:rFonts w:ascii="Arial" w:hAnsi="Arial" w:cs="Arial"/>
        </w:rPr>
        <w:t xml:space="preserve"> </w:t>
      </w:r>
      <w:r w:rsidR="005E53F8" w:rsidRPr="007C3CC8">
        <w:rPr>
          <w:rFonts w:ascii="Arial" w:hAnsi="Arial" w:cs="Arial"/>
        </w:rPr>
        <w:t>To address this market failu</w:t>
      </w:r>
      <w:r w:rsidR="000B5268" w:rsidRPr="007C3CC8">
        <w:rPr>
          <w:rFonts w:ascii="Arial" w:hAnsi="Arial" w:cs="Arial"/>
        </w:rPr>
        <w:t>re, the UK government introduced the soft drinks industry levy (SDIL)</w:t>
      </w:r>
      <w:r w:rsidR="0050186C" w:rsidRPr="007C3CC8">
        <w:rPr>
          <w:rFonts w:ascii="Arial" w:hAnsi="Arial" w:cs="Arial"/>
        </w:rPr>
        <w:t xml:space="preserve"> in 2008</w:t>
      </w:r>
      <w:r w:rsidR="005F6242" w:rsidRPr="007C3CC8">
        <w:rPr>
          <w:rFonts w:ascii="Arial" w:hAnsi="Arial" w:cs="Arial"/>
        </w:rPr>
        <w:t xml:space="preserve"> a tiered tax on producers of high</w:t>
      </w:r>
      <w:r w:rsidR="00BF6C66" w:rsidRPr="007C3CC8">
        <w:rPr>
          <w:rFonts w:ascii="Arial" w:hAnsi="Arial" w:cs="Arial"/>
        </w:rPr>
        <w:t xml:space="preserve"> sugar beverages designed to encourage reformulation and reduce sugar consumption, </w:t>
      </w:r>
      <w:r w:rsidR="006754E1" w:rsidRPr="007C3CC8">
        <w:rPr>
          <w:rFonts w:ascii="Arial" w:hAnsi="Arial" w:cs="Arial"/>
        </w:rPr>
        <w:t>(UK Government, 2016).</w:t>
      </w:r>
    </w:p>
    <w:p w14:paraId="4D7CA050" w14:textId="1CA18152" w:rsidR="009920BC" w:rsidRPr="007C3CC8" w:rsidRDefault="009920BC" w:rsidP="0083508C">
      <w:pPr>
        <w:rPr>
          <w:rFonts w:ascii="Arial" w:hAnsi="Arial" w:cs="Arial"/>
          <w:color w:val="EE0000"/>
        </w:rPr>
      </w:pPr>
      <w:r w:rsidRPr="007C3CC8">
        <w:rPr>
          <w:rFonts w:ascii="Arial" w:hAnsi="Arial" w:cs="Arial"/>
        </w:rPr>
        <w:t>This report will analyse the nature of the market failure ass</w:t>
      </w:r>
      <w:r w:rsidR="00AA7857" w:rsidRPr="007C3CC8">
        <w:rPr>
          <w:rFonts w:ascii="Arial" w:hAnsi="Arial" w:cs="Arial"/>
        </w:rPr>
        <w:t>ociated with sugar consumption and evaluate the effectiveness of the sugar tax as corrective policy.</w:t>
      </w:r>
    </w:p>
    <w:p w14:paraId="7CCA8DA1" w14:textId="77777777" w:rsidR="008F417E" w:rsidRPr="007C3CC8" w:rsidRDefault="008F417E" w:rsidP="0083508C">
      <w:pPr>
        <w:rPr>
          <w:rFonts w:ascii="Arial" w:hAnsi="Arial" w:cs="Arial"/>
        </w:rPr>
      </w:pPr>
    </w:p>
    <w:p w14:paraId="23672197" w14:textId="77777777" w:rsidR="008F417E" w:rsidRPr="007C3CC8" w:rsidRDefault="008F417E" w:rsidP="0083508C">
      <w:pPr>
        <w:rPr>
          <w:rFonts w:ascii="Arial" w:hAnsi="Arial" w:cs="Arial"/>
        </w:rPr>
      </w:pPr>
    </w:p>
    <w:p w14:paraId="7E82F19A" w14:textId="77777777" w:rsidR="008F417E" w:rsidRPr="007C3CC8" w:rsidRDefault="008F417E" w:rsidP="0083508C">
      <w:pPr>
        <w:rPr>
          <w:rFonts w:ascii="Arial" w:hAnsi="Arial" w:cs="Arial"/>
        </w:rPr>
      </w:pPr>
    </w:p>
    <w:p w14:paraId="1B022AF2" w14:textId="77777777" w:rsidR="008F417E" w:rsidRPr="007C3CC8" w:rsidRDefault="008F417E" w:rsidP="0083508C">
      <w:pPr>
        <w:rPr>
          <w:rFonts w:ascii="Arial" w:hAnsi="Arial" w:cs="Arial"/>
        </w:rPr>
      </w:pPr>
    </w:p>
    <w:p w14:paraId="14DAD4DA" w14:textId="77777777" w:rsidR="008F417E" w:rsidRPr="007C3CC8" w:rsidRDefault="008F417E" w:rsidP="0083508C">
      <w:pPr>
        <w:rPr>
          <w:rFonts w:ascii="Arial" w:hAnsi="Arial" w:cs="Arial"/>
        </w:rPr>
      </w:pPr>
    </w:p>
    <w:p w14:paraId="75E797D3" w14:textId="77777777" w:rsidR="008F417E" w:rsidRPr="007C3CC8" w:rsidRDefault="008F417E" w:rsidP="0083508C">
      <w:pPr>
        <w:rPr>
          <w:rFonts w:ascii="Arial" w:hAnsi="Arial" w:cs="Arial"/>
        </w:rPr>
      </w:pPr>
    </w:p>
    <w:p w14:paraId="3004E846" w14:textId="77777777" w:rsidR="00B7234E" w:rsidRPr="007C3CC8" w:rsidRDefault="00B7234E" w:rsidP="0083508C">
      <w:pPr>
        <w:rPr>
          <w:rFonts w:ascii="Arial" w:hAnsi="Arial" w:cs="Arial"/>
        </w:rPr>
      </w:pPr>
    </w:p>
    <w:p w14:paraId="76C0490F" w14:textId="77777777" w:rsidR="00B7234E" w:rsidRPr="007C3CC8" w:rsidRDefault="00B7234E" w:rsidP="0083508C">
      <w:pPr>
        <w:rPr>
          <w:rFonts w:ascii="Arial" w:hAnsi="Arial" w:cs="Arial"/>
        </w:rPr>
      </w:pPr>
    </w:p>
    <w:p w14:paraId="5DFBFFFF" w14:textId="77777777" w:rsidR="00B7234E" w:rsidRPr="007C3CC8" w:rsidRDefault="00B7234E" w:rsidP="0083508C">
      <w:pPr>
        <w:rPr>
          <w:rFonts w:ascii="Arial" w:hAnsi="Arial" w:cs="Arial"/>
        </w:rPr>
      </w:pPr>
    </w:p>
    <w:p w14:paraId="2D180838" w14:textId="77777777" w:rsidR="00B7234E" w:rsidRPr="007C3CC8" w:rsidRDefault="00B7234E" w:rsidP="0083508C">
      <w:pPr>
        <w:rPr>
          <w:rFonts w:ascii="Arial" w:hAnsi="Arial" w:cs="Arial"/>
        </w:rPr>
      </w:pPr>
    </w:p>
    <w:p w14:paraId="6F0B99AA" w14:textId="77777777" w:rsidR="00036A58" w:rsidRPr="007C3CC8" w:rsidRDefault="00036A58" w:rsidP="0083508C">
      <w:pPr>
        <w:rPr>
          <w:rFonts w:ascii="Arial" w:hAnsi="Arial" w:cs="Arial"/>
        </w:rPr>
      </w:pPr>
    </w:p>
    <w:p w14:paraId="106EFBF4" w14:textId="77777777" w:rsidR="00036A58" w:rsidRPr="007C3CC8" w:rsidRDefault="00036A58" w:rsidP="0083508C">
      <w:pPr>
        <w:rPr>
          <w:rFonts w:ascii="Arial" w:hAnsi="Arial" w:cs="Arial"/>
        </w:rPr>
      </w:pPr>
    </w:p>
    <w:p w14:paraId="65E04A52" w14:textId="77777777" w:rsidR="00036A58" w:rsidRPr="007C3CC8" w:rsidRDefault="00036A58" w:rsidP="0083508C">
      <w:pPr>
        <w:rPr>
          <w:rFonts w:ascii="Arial" w:hAnsi="Arial" w:cs="Arial"/>
        </w:rPr>
      </w:pPr>
    </w:p>
    <w:p w14:paraId="7B737DC8" w14:textId="77777777" w:rsidR="00036A58" w:rsidRPr="007C3CC8" w:rsidRDefault="00036A58" w:rsidP="0083508C">
      <w:pPr>
        <w:rPr>
          <w:rFonts w:ascii="Arial" w:hAnsi="Arial" w:cs="Arial"/>
        </w:rPr>
      </w:pPr>
    </w:p>
    <w:p w14:paraId="296F6444" w14:textId="77777777" w:rsidR="00B7234E" w:rsidRPr="007C3CC8" w:rsidRDefault="00B7234E" w:rsidP="0083508C">
      <w:pPr>
        <w:rPr>
          <w:rFonts w:ascii="Arial" w:hAnsi="Arial" w:cs="Arial"/>
        </w:rPr>
      </w:pPr>
    </w:p>
    <w:p w14:paraId="2BFA0F9A" w14:textId="77777777" w:rsidR="008F417E" w:rsidRPr="007C3CC8" w:rsidRDefault="008F417E" w:rsidP="0083508C">
      <w:pPr>
        <w:rPr>
          <w:rFonts w:ascii="Arial" w:hAnsi="Arial" w:cs="Arial"/>
        </w:rPr>
      </w:pPr>
    </w:p>
    <w:p w14:paraId="266DC088" w14:textId="60793741" w:rsidR="00A953BE" w:rsidRPr="007C3CC8" w:rsidRDefault="00AE6C3B" w:rsidP="009A694A">
      <w:pPr>
        <w:rPr>
          <w:rFonts w:ascii="Arial" w:hAnsi="Arial" w:cs="Arial"/>
          <w:b/>
          <w:bCs/>
        </w:rPr>
      </w:pPr>
      <w:bookmarkStart w:id="1" w:name="_Toc223438484"/>
      <w:r w:rsidRPr="00EA13C4">
        <w:rPr>
          <w:rStyle w:val="Heading1Char"/>
          <w:rFonts w:ascii="Arial" w:hAnsi="Arial" w:cs="Arial"/>
          <w:sz w:val="28"/>
          <w:szCs w:val="28"/>
        </w:rPr>
        <w:lastRenderedPageBreak/>
        <w:t>Market Failure Analysis</w:t>
      </w:r>
      <w:bookmarkEnd w:id="1"/>
      <w:r w:rsidRPr="007C3CC8">
        <w:rPr>
          <w:rFonts w:ascii="Arial" w:hAnsi="Arial" w:cs="Arial"/>
          <w:b/>
          <w:bCs/>
        </w:rPr>
        <w:t xml:space="preserve"> </w:t>
      </w:r>
      <w:r w:rsidR="00651D3D" w:rsidRPr="007C3CC8">
        <w:rPr>
          <w:rFonts w:ascii="Arial" w:hAnsi="Arial" w:cs="Arial"/>
        </w:rPr>
        <w:tab/>
      </w:r>
    </w:p>
    <w:p w14:paraId="58F2086A" w14:textId="039DDB67" w:rsidR="00FE18C7" w:rsidRPr="007C3CC8" w:rsidRDefault="00072927" w:rsidP="00FE18C7">
      <w:pPr>
        <w:spacing w:after="0" w:line="240" w:lineRule="auto"/>
        <w:rPr>
          <w:rFonts w:ascii="Arial" w:hAnsi="Arial" w:cs="Arial"/>
        </w:rPr>
      </w:pPr>
      <w:r w:rsidRPr="007C3CC8">
        <w:rPr>
          <w:rFonts w:ascii="Arial" w:eastAsia="Times New Roman" w:hAnsi="Arial" w:cs="Arial"/>
          <w:kern w:val="0"/>
          <w:lang w:eastAsia="en-GB"/>
          <w14:ligatures w14:val="none"/>
        </w:rPr>
        <w:t xml:space="preserve">The existence of a negative externality in consumption is one of the main arguments in favour of the sugar tax. When people buy a good but do not pay all of the societal expenses involved, this is known as a negative externality in consumption. Because the entire cost to society is not represented in the price that consumers pay, the market outcome is efficient, (Griffith et al., 2017). Customers base their choices in a free market on </w:t>
      </w:r>
      <w:r w:rsidR="00B141A0" w:rsidRPr="007C3CC8">
        <w:rPr>
          <w:rFonts w:ascii="Arial" w:eastAsia="Times New Roman" w:hAnsi="Arial" w:cs="Arial"/>
          <w:kern w:val="0"/>
          <w:lang w:eastAsia="en-GB"/>
          <w14:ligatures w14:val="none"/>
        </w:rPr>
        <w:t>Private Marginal Benefit (PMB), which is the extra benefit</w:t>
      </w:r>
      <w:r w:rsidR="00D56CFC" w:rsidRPr="007C3CC8">
        <w:rPr>
          <w:rFonts w:ascii="Arial" w:eastAsia="Times New Roman" w:hAnsi="Arial" w:cs="Arial"/>
          <w:kern w:val="0"/>
          <w:lang w:eastAsia="en-GB"/>
          <w14:ligatures w14:val="none"/>
        </w:rPr>
        <w:t xml:space="preserve"> or happiness they get from consuming one more unit of an item</w:t>
      </w:r>
      <w:r w:rsidR="004A52BD" w:rsidRPr="007C3CC8">
        <w:rPr>
          <w:rFonts w:ascii="Arial" w:eastAsia="Times New Roman" w:hAnsi="Arial" w:cs="Arial"/>
          <w:kern w:val="0"/>
          <w:lang w:eastAsia="en-GB"/>
          <w14:ligatures w14:val="none"/>
        </w:rPr>
        <w:t>, (Vorster, 2024). PMB considers convenience</w:t>
      </w:r>
      <w:r w:rsidR="00556F3D" w:rsidRPr="007C3CC8">
        <w:rPr>
          <w:rFonts w:ascii="Arial" w:eastAsia="Times New Roman" w:hAnsi="Arial" w:cs="Arial"/>
          <w:kern w:val="0"/>
          <w:lang w:eastAsia="en-GB"/>
          <w14:ligatures w14:val="none"/>
        </w:rPr>
        <w:t>, taste, enjoyment, and immediate energy benefits when it comes to sugary drinks. When choosing how much to buy, consumers weigh the market price</w:t>
      </w:r>
      <w:r w:rsidR="003B0ED4" w:rsidRPr="007C3CC8">
        <w:rPr>
          <w:rFonts w:ascii="Arial" w:eastAsia="Times New Roman" w:hAnsi="Arial" w:cs="Arial"/>
          <w:kern w:val="0"/>
          <w:lang w:eastAsia="en-GB"/>
          <w14:ligatures w14:val="none"/>
        </w:rPr>
        <w:t xml:space="preserve"> against the private advantage.</w:t>
      </w:r>
      <w:r w:rsidR="007F4EB5" w:rsidRPr="007C3CC8">
        <w:rPr>
          <w:rFonts w:ascii="Arial" w:eastAsia="Times New Roman" w:hAnsi="Arial" w:cs="Arial"/>
          <w:kern w:val="0"/>
          <w:lang w:eastAsia="en-GB"/>
          <w14:ligatures w14:val="none"/>
        </w:rPr>
        <w:t xml:space="preserve"> Nonetheless</w:t>
      </w:r>
      <w:r w:rsidR="00E37FB3" w:rsidRPr="007C3CC8">
        <w:rPr>
          <w:rFonts w:ascii="Arial" w:eastAsia="Times New Roman" w:hAnsi="Arial" w:cs="Arial"/>
          <w:kern w:val="0"/>
          <w:lang w:eastAsia="en-GB"/>
          <w14:ligatures w14:val="none"/>
        </w:rPr>
        <w:t>, Social Marginal Benefit (SMB) is a represen</w:t>
      </w:r>
      <w:r w:rsidR="00580E01" w:rsidRPr="007C3CC8">
        <w:rPr>
          <w:rFonts w:ascii="Arial" w:eastAsia="Times New Roman" w:hAnsi="Arial" w:cs="Arial"/>
          <w:kern w:val="0"/>
          <w:lang w:eastAsia="en-GB"/>
          <w14:ligatures w14:val="none"/>
        </w:rPr>
        <w:t xml:space="preserve">tation of the actual benefit to society. </w:t>
      </w:r>
      <w:r w:rsidR="00E325D5" w:rsidRPr="007C3CC8">
        <w:rPr>
          <w:rFonts w:ascii="Arial" w:eastAsia="Times New Roman" w:hAnsi="Arial" w:cs="Arial"/>
          <w:kern w:val="0"/>
          <w:lang w:eastAsia="en-GB"/>
          <w14:ligatures w14:val="none"/>
        </w:rPr>
        <w:t>Because society must also consider</w:t>
      </w:r>
      <w:r w:rsidR="00FE18C7" w:rsidRPr="007C3CC8">
        <w:rPr>
          <w:rFonts w:ascii="Arial" w:eastAsia="Times New Roman" w:hAnsi="Arial" w:cs="Arial"/>
          <w:kern w:val="0"/>
          <w:lang w:eastAsia="en-GB"/>
          <w14:ligatures w14:val="none"/>
        </w:rPr>
        <w:t xml:space="preserve"> </w:t>
      </w:r>
      <w:r w:rsidR="00FE18C7" w:rsidRPr="007C3CC8">
        <w:rPr>
          <w:rFonts w:ascii="Arial" w:hAnsi="Arial" w:cs="Arial"/>
        </w:rPr>
        <w:t>external expenses that consumers do not consider, SMB is smaller than PMB when negative externalities are present. Increased rates of obesity, type 2 diabetes, heart illness, and dental issues are some of the external expenses associated with sugary drinks. Publicly funded healthcare systems like the NHS are financially burdened by treating these disorders, therefore taxpayers as a whole pay a portion of the bill, (Allcott et al., 2019).</w:t>
      </w:r>
    </w:p>
    <w:p w14:paraId="4F2B7F50" w14:textId="09450E39" w:rsidR="00564F69" w:rsidRPr="007C3CC8" w:rsidRDefault="00455FBA" w:rsidP="00564F69">
      <w:pPr>
        <w:spacing w:after="0" w:line="240" w:lineRule="auto"/>
        <w:rPr>
          <w:rFonts w:ascii="Arial" w:hAnsi="Arial" w:cs="Arial"/>
        </w:rPr>
      </w:pPr>
      <w:r w:rsidRPr="007C3CC8">
        <w:rPr>
          <w:rFonts w:ascii="Arial" w:hAnsi="Arial" w:cs="Arial"/>
        </w:rPr>
        <w:t>Sugary drinks are drunk in excess of what is socially desirable because consumers solely consider PMB and disregard these external healthcare expenditures. As a result, the traditional overconsumption issue linked to negative externalities arises. The market equilibrium is found where supply and demand (which represents PMB) converge in a typical supply and demand diagram,  (Emerson, 2019) Nonetheless, the quantity at which SMB equals marginal social cost would be the socially ideal equilibrium. A deadweight loss triangle is frequently used to show welfare loss, which is the difference between these two numbers.</w:t>
      </w:r>
      <w:r w:rsidR="00564F69" w:rsidRPr="007C3CC8">
        <w:rPr>
          <w:rFonts w:ascii="Arial" w:hAnsi="Arial" w:cs="Arial"/>
        </w:rPr>
        <w:t xml:space="preserve"> The scale of these external social costs is illustrated by empirical data from the UK. NHS England estimates that obesity</w:t>
      </w:r>
      <w:r w:rsidR="00E83784" w:rsidRPr="007C3CC8">
        <w:rPr>
          <w:rFonts w:ascii="Arial" w:hAnsi="Arial" w:cs="Arial"/>
        </w:rPr>
        <w:t xml:space="preserve"> </w:t>
      </w:r>
      <w:r w:rsidR="00564F69" w:rsidRPr="007C3CC8">
        <w:rPr>
          <w:rFonts w:ascii="Arial" w:hAnsi="Arial" w:cs="Arial"/>
        </w:rPr>
        <w:t>related illnesses cost the NHS billions of pounds per year. When lost productivity is considered, broader economic analyses including one commissioned by Nesta estimate that obesity and excess weight cost the UK economy tens of billions of pounds annually. These numbers show that the cost of sugary drinks fails to sufficiently account for the substantial healthcare expense linked to excessive sugar consumption.</w:t>
      </w:r>
    </w:p>
    <w:p w14:paraId="5D283A91" w14:textId="67A78D29" w:rsidR="00750209" w:rsidRPr="007C3CC8" w:rsidRDefault="00750209" w:rsidP="00750209">
      <w:pPr>
        <w:spacing w:after="0" w:line="240" w:lineRule="auto"/>
        <w:rPr>
          <w:rFonts w:ascii="Arial" w:hAnsi="Arial" w:cs="Arial"/>
        </w:rPr>
      </w:pPr>
      <w:r w:rsidRPr="007C3CC8">
        <w:rPr>
          <w:rFonts w:ascii="Arial" w:hAnsi="Arial" w:cs="Arial"/>
        </w:rPr>
        <w:t>Since consumers do not directly pay these future healthcare and productivity costs at the point of purchase, the market price understates the true social cost of consumption. This misallocation of resources results in allocative inefficiency</w:t>
      </w:r>
      <w:r w:rsidR="005F1182" w:rsidRPr="007C3CC8">
        <w:rPr>
          <w:rFonts w:ascii="Arial" w:hAnsi="Arial" w:cs="Arial"/>
        </w:rPr>
        <w:t>,</w:t>
      </w:r>
      <w:r w:rsidRPr="007C3CC8">
        <w:rPr>
          <w:rFonts w:ascii="Arial" w:hAnsi="Arial" w:cs="Arial"/>
        </w:rPr>
        <w:t xml:space="preserve"> too many sugary drinks are produced and consumed compared to the socially efficient level.</w:t>
      </w:r>
    </w:p>
    <w:p w14:paraId="3578DF81" w14:textId="35705E25" w:rsidR="009A694A" w:rsidRPr="007C3CC8" w:rsidRDefault="009A694A" w:rsidP="009A694A">
      <w:pPr>
        <w:spacing w:after="0" w:line="240" w:lineRule="auto"/>
        <w:rPr>
          <w:rFonts w:ascii="Arial" w:hAnsi="Arial" w:cs="Arial"/>
        </w:rPr>
      </w:pPr>
      <w:r w:rsidRPr="007C3CC8">
        <w:rPr>
          <w:rFonts w:ascii="Arial" w:hAnsi="Arial" w:cs="Arial"/>
        </w:rPr>
        <w:t>The sugar tax, formally known as the Soft Drinks Industry Levy, was introduced to address this market failure. By increasing the price of high-sugar beverages, the policy aims to internalise the externality  effectively shifting consumer behaviour closer to the socially optimal level of consumption. In theory, the tax reduces quantity demanded, lowers sugar intake, and helps offset some of the external healthcare costs imposed on society. All things considered, the use of sugar</w:t>
      </w:r>
      <w:r w:rsidR="00973913" w:rsidRPr="007C3CC8">
        <w:rPr>
          <w:rFonts w:ascii="Arial" w:hAnsi="Arial" w:cs="Arial"/>
        </w:rPr>
        <w:t xml:space="preserve"> </w:t>
      </w:r>
      <w:r w:rsidRPr="007C3CC8">
        <w:rPr>
          <w:rFonts w:ascii="Arial" w:hAnsi="Arial" w:cs="Arial"/>
        </w:rPr>
        <w:t>filled beverages is an obvious instance of market failure brought on by negative externalities, which supports taxation by the government.</w:t>
      </w:r>
    </w:p>
    <w:p w14:paraId="79233931" w14:textId="77777777" w:rsidR="009A694A" w:rsidRPr="007C3CC8" w:rsidRDefault="009A694A" w:rsidP="009A694A">
      <w:pPr>
        <w:spacing w:after="0" w:line="240" w:lineRule="auto"/>
        <w:rPr>
          <w:rFonts w:ascii="Arial" w:hAnsi="Arial" w:cs="Arial"/>
        </w:rPr>
      </w:pPr>
    </w:p>
    <w:p w14:paraId="57560B21" w14:textId="77777777" w:rsidR="009A694A" w:rsidRPr="007C3CC8" w:rsidRDefault="009A694A" w:rsidP="009A694A">
      <w:pPr>
        <w:spacing w:after="0" w:line="240" w:lineRule="auto"/>
        <w:rPr>
          <w:rFonts w:ascii="Arial" w:hAnsi="Arial" w:cs="Arial"/>
        </w:rPr>
      </w:pPr>
    </w:p>
    <w:p w14:paraId="7EC264D7" w14:textId="77777777" w:rsidR="00601824" w:rsidRPr="007C3CC8" w:rsidRDefault="00601824" w:rsidP="00651D3D">
      <w:pPr>
        <w:tabs>
          <w:tab w:val="left" w:pos="3585"/>
        </w:tabs>
        <w:rPr>
          <w:rFonts w:ascii="Arial" w:hAnsi="Arial" w:cs="Arial"/>
        </w:rPr>
      </w:pPr>
    </w:p>
    <w:p w14:paraId="55BB9D47" w14:textId="2A33A22F" w:rsidR="00E76B3E" w:rsidRPr="00EA13C4" w:rsidRDefault="005B16CB" w:rsidP="008312A7">
      <w:pPr>
        <w:pStyle w:val="Heading1"/>
        <w:rPr>
          <w:rFonts w:ascii="Arial" w:hAnsi="Arial" w:cs="Arial"/>
          <w:sz w:val="28"/>
          <w:szCs w:val="28"/>
        </w:rPr>
      </w:pPr>
      <w:bookmarkStart w:id="2" w:name="_Toc223438485"/>
      <w:r w:rsidRPr="00EA13C4">
        <w:rPr>
          <w:rFonts w:ascii="Arial" w:hAnsi="Arial" w:cs="Arial"/>
          <w:sz w:val="28"/>
          <w:szCs w:val="28"/>
        </w:rPr>
        <w:lastRenderedPageBreak/>
        <w:t>The policy s</w:t>
      </w:r>
      <w:r w:rsidR="008312A7" w:rsidRPr="00EA13C4">
        <w:rPr>
          <w:rFonts w:ascii="Arial" w:hAnsi="Arial" w:cs="Arial"/>
          <w:sz w:val="28"/>
          <w:szCs w:val="28"/>
        </w:rPr>
        <w:t>olution</w:t>
      </w:r>
      <w:bookmarkEnd w:id="2"/>
    </w:p>
    <w:p w14:paraId="5222D755" w14:textId="65AB7ECC" w:rsidR="008312A7" w:rsidRPr="007C3CC8" w:rsidRDefault="00D75969" w:rsidP="00E15EBE">
      <w:pPr>
        <w:pStyle w:val="Heading2"/>
        <w:rPr>
          <w:rFonts w:ascii="Arial" w:hAnsi="Arial" w:cs="Arial"/>
          <w:sz w:val="24"/>
          <w:szCs w:val="24"/>
        </w:rPr>
      </w:pPr>
      <w:bookmarkStart w:id="3" w:name="_Toc223438486"/>
      <w:r w:rsidRPr="007C3CC8">
        <w:rPr>
          <w:rFonts w:ascii="Arial" w:hAnsi="Arial" w:cs="Arial"/>
          <w:sz w:val="24"/>
          <w:szCs w:val="24"/>
        </w:rPr>
        <w:t>Policy Description</w:t>
      </w:r>
      <w:r w:rsidR="00BB36C6" w:rsidRPr="007C3CC8">
        <w:rPr>
          <w:rFonts w:ascii="Arial" w:hAnsi="Arial" w:cs="Arial"/>
          <w:sz w:val="24"/>
          <w:szCs w:val="24"/>
        </w:rPr>
        <w:t>.</w:t>
      </w:r>
      <w:bookmarkEnd w:id="3"/>
    </w:p>
    <w:p w14:paraId="0B74AFFD" w14:textId="496C1A81" w:rsidR="00975FFC" w:rsidRPr="007C3CC8" w:rsidRDefault="00CB5446" w:rsidP="00975FFC">
      <w:pPr>
        <w:rPr>
          <w:rFonts w:ascii="Arial" w:hAnsi="Arial" w:cs="Arial"/>
        </w:rPr>
      </w:pPr>
      <w:r w:rsidRPr="007C3CC8">
        <w:rPr>
          <w:rFonts w:ascii="Arial" w:hAnsi="Arial" w:cs="Arial"/>
        </w:rPr>
        <w:t>The Soft Drinks Industry Levy, implemented by the UK government in April 2018, aims to decrease sugar consumption in soft drinks to address obesity and health issues related to diet, (Gov</w:t>
      </w:r>
      <w:r w:rsidR="00204DF6" w:rsidRPr="007C3CC8">
        <w:rPr>
          <w:rFonts w:ascii="Arial" w:hAnsi="Arial" w:cs="Arial"/>
        </w:rPr>
        <w:t>.</w:t>
      </w:r>
      <w:r w:rsidRPr="007C3CC8">
        <w:rPr>
          <w:rFonts w:ascii="Arial" w:hAnsi="Arial" w:cs="Arial"/>
        </w:rPr>
        <w:t>uk</w:t>
      </w:r>
      <w:r w:rsidR="003C273D" w:rsidRPr="007C3CC8">
        <w:rPr>
          <w:rFonts w:ascii="Arial" w:hAnsi="Arial" w:cs="Arial"/>
        </w:rPr>
        <w:t>, 2024</w:t>
      </w:r>
      <w:r w:rsidRPr="007C3CC8">
        <w:rPr>
          <w:rFonts w:ascii="Arial" w:hAnsi="Arial" w:cs="Arial"/>
        </w:rPr>
        <w:t>).</w:t>
      </w:r>
      <w:r w:rsidR="00975FFC" w:rsidRPr="007C3CC8">
        <w:rPr>
          <w:rFonts w:ascii="Arial" w:hAnsi="Arial" w:cs="Arial"/>
        </w:rPr>
        <w:t xml:space="preserve"> Under the levy, a two-tier tax is applied to sugary drinks based on their sugar content: 18p per litre for drinks with 5–8g of sugar per 100ml, and 24p per litre for those with 8g or more per 100ml</w:t>
      </w:r>
      <w:r w:rsidR="00440E0F" w:rsidRPr="007C3CC8">
        <w:rPr>
          <w:rFonts w:ascii="Arial" w:hAnsi="Arial" w:cs="Arial"/>
        </w:rPr>
        <w:t xml:space="preserve">,(Gov.uk, 2024). </w:t>
      </w:r>
      <w:r w:rsidR="00975FFC" w:rsidRPr="007C3CC8">
        <w:rPr>
          <w:rFonts w:ascii="Arial" w:hAnsi="Arial" w:cs="Arial"/>
        </w:rPr>
        <w:t>The Sugar Drink Industry Levy (SDIL) targets producers and importers, incentivising them to reformulate beverages to decrease sugar content and avoid higher tax rates</w:t>
      </w:r>
      <w:r w:rsidR="00204DF6" w:rsidRPr="007C3CC8">
        <w:rPr>
          <w:rFonts w:ascii="Arial" w:hAnsi="Arial" w:cs="Arial"/>
        </w:rPr>
        <w:t>,</w:t>
      </w:r>
      <w:r w:rsidR="00BF3984" w:rsidRPr="007C3CC8">
        <w:rPr>
          <w:rFonts w:ascii="Arial" w:hAnsi="Arial" w:cs="Arial"/>
        </w:rPr>
        <w:t xml:space="preserve"> </w:t>
      </w:r>
      <w:r w:rsidR="00204DF6" w:rsidRPr="007C3CC8">
        <w:rPr>
          <w:rFonts w:ascii="Arial" w:hAnsi="Arial" w:cs="Arial"/>
        </w:rPr>
        <w:t>(Gov.</w:t>
      </w:r>
      <w:r w:rsidR="003C273D" w:rsidRPr="007C3CC8">
        <w:rPr>
          <w:rFonts w:ascii="Arial" w:hAnsi="Arial" w:cs="Arial"/>
        </w:rPr>
        <w:t>uk, 2024)</w:t>
      </w:r>
      <w:r w:rsidR="00BF3984" w:rsidRPr="007C3CC8">
        <w:rPr>
          <w:rFonts w:ascii="Arial" w:hAnsi="Arial" w:cs="Arial"/>
        </w:rPr>
        <w:t>.</w:t>
      </w:r>
    </w:p>
    <w:p w14:paraId="4BC4D3BC" w14:textId="4CD5D3C7" w:rsidR="003C4532" w:rsidRPr="007C3CC8" w:rsidRDefault="008B0D1A" w:rsidP="003C4532">
      <w:pPr>
        <w:rPr>
          <w:rFonts w:ascii="Arial" w:hAnsi="Arial" w:cs="Arial"/>
        </w:rPr>
      </w:pPr>
      <w:r w:rsidRPr="007C3CC8">
        <w:rPr>
          <w:rFonts w:ascii="Arial" w:hAnsi="Arial" w:cs="Arial"/>
        </w:rPr>
        <w:t>The SDIL is a Pigouvian tax, named in honour of economist Arthur Pigou, that is intended to internalise a negative externality from an economic standpoint.(</w:t>
      </w:r>
      <w:r w:rsidR="00A70DB7" w:rsidRPr="007C3CC8">
        <w:rPr>
          <w:rFonts w:ascii="Arial" w:hAnsi="Arial" w:cs="Arial"/>
        </w:rPr>
        <w:t>Allcott,</w:t>
      </w:r>
      <w:r w:rsidR="00C31EBD" w:rsidRPr="007C3CC8">
        <w:rPr>
          <w:rFonts w:ascii="Arial" w:hAnsi="Arial" w:cs="Arial"/>
        </w:rPr>
        <w:t xml:space="preserve">&amp; </w:t>
      </w:r>
      <w:r w:rsidR="00A70DB7" w:rsidRPr="007C3CC8">
        <w:rPr>
          <w:rFonts w:ascii="Arial" w:hAnsi="Arial" w:cs="Arial"/>
        </w:rPr>
        <w:t>Lockwood</w:t>
      </w:r>
      <w:r w:rsidR="00C31EBD" w:rsidRPr="007C3CC8">
        <w:rPr>
          <w:rFonts w:ascii="Arial" w:hAnsi="Arial" w:cs="Arial"/>
        </w:rPr>
        <w:t>,</w:t>
      </w:r>
      <w:r w:rsidR="00A70DB7" w:rsidRPr="007C3CC8">
        <w:rPr>
          <w:rFonts w:ascii="Arial" w:hAnsi="Arial" w:cs="Arial"/>
        </w:rPr>
        <w:t>&amp; Taubinsky,</w:t>
      </w:r>
      <w:r w:rsidR="00C31EBD" w:rsidRPr="007C3CC8">
        <w:rPr>
          <w:rFonts w:ascii="Arial" w:hAnsi="Arial" w:cs="Arial"/>
        </w:rPr>
        <w:t xml:space="preserve"> </w:t>
      </w:r>
      <w:r w:rsidR="00A70DB7" w:rsidRPr="007C3CC8">
        <w:rPr>
          <w:rFonts w:ascii="Arial" w:hAnsi="Arial" w:cs="Arial"/>
        </w:rPr>
        <w:t xml:space="preserve">2019). </w:t>
      </w:r>
      <w:r w:rsidR="001656F1" w:rsidRPr="007C3CC8">
        <w:rPr>
          <w:rFonts w:ascii="Arial" w:hAnsi="Arial" w:cs="Arial"/>
        </w:rPr>
        <w:t>The market is unable to allocate resources effectively when consumers and producers do not face the full social costs associated with the consumption of sugary drinks such as</w:t>
      </w:r>
      <w:r w:rsidR="007F52C3" w:rsidRPr="007C3CC8">
        <w:rPr>
          <w:rFonts w:ascii="Arial" w:hAnsi="Arial" w:cs="Arial"/>
        </w:rPr>
        <w:t xml:space="preserve">, </w:t>
      </w:r>
      <w:r w:rsidR="001656F1" w:rsidRPr="007C3CC8">
        <w:rPr>
          <w:rFonts w:ascii="Arial" w:hAnsi="Arial" w:cs="Arial"/>
        </w:rPr>
        <w:t>increased healthcare expenditures from obesity, diabetes, and dental disease. By raising the price of the goods to reflect those external costs, a Pigouvian tax helps to bring private and societal expenses into line and brings consumption closer to the level that society finds ideal.</w:t>
      </w:r>
      <w:r w:rsidR="003C4532" w:rsidRPr="007C3CC8">
        <w:rPr>
          <w:rFonts w:ascii="Arial" w:hAnsi="Arial" w:cs="Arial"/>
        </w:rPr>
        <w:t xml:space="preserve"> The charge effectively raises the supply curve for high</w:t>
      </w:r>
      <w:r w:rsidR="005E6408" w:rsidRPr="007C3CC8">
        <w:rPr>
          <w:rFonts w:ascii="Arial" w:hAnsi="Arial" w:cs="Arial"/>
        </w:rPr>
        <w:t xml:space="preserve"> </w:t>
      </w:r>
      <w:r w:rsidR="003C4532" w:rsidRPr="007C3CC8">
        <w:rPr>
          <w:rFonts w:ascii="Arial" w:hAnsi="Arial" w:cs="Arial"/>
        </w:rPr>
        <w:t xml:space="preserve">sugar drinks by raising the cost of production. In order to communicate to the </w:t>
      </w:r>
      <w:r w:rsidR="00A91545" w:rsidRPr="007C3CC8">
        <w:rPr>
          <w:rFonts w:ascii="Arial" w:hAnsi="Arial" w:cs="Arial"/>
        </w:rPr>
        <w:t>market,</w:t>
      </w:r>
      <w:r w:rsidR="003C4532" w:rsidRPr="007C3CC8">
        <w:rPr>
          <w:rFonts w:ascii="Arial" w:hAnsi="Arial" w:cs="Arial"/>
        </w:rPr>
        <w:t xml:space="preserve"> the true societal costs that were not factored into the initial prices, this results in either higher prices or lower sugar content.</w:t>
      </w:r>
    </w:p>
    <w:p w14:paraId="6EF3764A" w14:textId="5E795C1F" w:rsidR="00A91545" w:rsidRPr="007C3CC8" w:rsidRDefault="00A91545" w:rsidP="003C4532">
      <w:pPr>
        <w:rPr>
          <w:rFonts w:ascii="Arial" w:hAnsi="Arial" w:cs="Arial"/>
        </w:rPr>
      </w:pPr>
      <w:r w:rsidRPr="007C3CC8">
        <w:rPr>
          <w:rFonts w:ascii="Arial" w:hAnsi="Arial" w:cs="Arial"/>
        </w:rPr>
        <w:t>Empirical evidence shows that the SDIL has encouraged widespread reformulation and reduced sugar in the UK soft drinks market:</w:t>
      </w:r>
    </w:p>
    <w:p w14:paraId="0CC64B2F" w14:textId="4ED70F3B" w:rsidR="00A37B99" w:rsidRPr="007C3CC8" w:rsidRDefault="00A37B99" w:rsidP="00A37B99">
      <w:pPr>
        <w:pStyle w:val="ListParagraph"/>
        <w:numPr>
          <w:ilvl w:val="0"/>
          <w:numId w:val="26"/>
        </w:numPr>
        <w:spacing w:after="0" w:line="240" w:lineRule="auto"/>
        <w:rPr>
          <w:rFonts w:ascii="Arial" w:eastAsia="Times New Roman" w:hAnsi="Arial" w:cs="Arial"/>
          <w:kern w:val="0"/>
          <w:lang w:eastAsia="en-GB"/>
          <w14:ligatures w14:val="none"/>
        </w:rPr>
      </w:pPr>
      <w:r w:rsidRPr="007C3CC8">
        <w:rPr>
          <w:rFonts w:ascii="Arial" w:eastAsia="Times New Roman" w:hAnsi="Arial" w:cs="Arial"/>
          <w:kern w:val="0"/>
          <w:lang w:eastAsia="en-GB"/>
          <w14:ligatures w14:val="none"/>
        </w:rPr>
        <w:t>The total sugar content of drinks covered by the levy decreased by about 28.8% between 2015 and 2018, according to a Public Health England progress report and evaluations, and consumption shifted toward goods with less or no sugar,</w:t>
      </w:r>
      <w:r w:rsidR="00506717" w:rsidRPr="007C3CC8">
        <w:rPr>
          <w:rFonts w:ascii="Arial" w:eastAsia="Times New Roman" w:hAnsi="Arial" w:cs="Arial"/>
          <w:kern w:val="0"/>
          <w:lang w:eastAsia="en-GB"/>
          <w14:ligatures w14:val="none"/>
        </w:rPr>
        <w:t>(</w:t>
      </w:r>
      <w:r w:rsidR="00506717" w:rsidRPr="007C3CC8">
        <w:rPr>
          <w:rFonts w:ascii="Arial" w:eastAsia="Times New Roman" w:hAnsi="Arial" w:cs="Arial"/>
          <w:i/>
          <w:iCs/>
          <w:kern w:val="0"/>
          <w:lang w:eastAsia="en-GB"/>
          <w14:ligatures w14:val="none"/>
        </w:rPr>
        <w:t>Analyses</w:t>
      </w:r>
      <w:r w:rsidR="00506717" w:rsidRPr="007C3CC8">
        <w:rPr>
          <w:rFonts w:ascii="Arial" w:eastAsia="Times New Roman" w:hAnsi="Arial" w:cs="Arial"/>
          <w:kern w:val="0"/>
          <w:lang w:eastAsia="en-GB"/>
          <w14:ligatures w14:val="none"/>
        </w:rPr>
        <w:t>, 2020).</w:t>
      </w:r>
    </w:p>
    <w:p w14:paraId="114C7941" w14:textId="2869F78E" w:rsidR="00062CD2" w:rsidRPr="007C3CC8" w:rsidRDefault="00062CD2" w:rsidP="00062CD2">
      <w:pPr>
        <w:pStyle w:val="ListParagraph"/>
        <w:numPr>
          <w:ilvl w:val="0"/>
          <w:numId w:val="26"/>
        </w:numPr>
        <w:spacing w:after="0" w:line="240" w:lineRule="auto"/>
        <w:rPr>
          <w:rFonts w:ascii="Arial" w:eastAsia="Times New Roman" w:hAnsi="Arial" w:cs="Arial"/>
          <w:kern w:val="0"/>
          <w:lang w:eastAsia="en-GB"/>
          <w14:ligatures w14:val="none"/>
        </w:rPr>
      </w:pPr>
      <w:r w:rsidRPr="007C3CC8">
        <w:rPr>
          <w:rFonts w:ascii="Arial" w:eastAsia="Times New Roman" w:hAnsi="Arial" w:cs="Arial"/>
          <w:kern w:val="0"/>
          <w:lang w:eastAsia="en-GB"/>
          <w14:ligatures w14:val="none"/>
        </w:rPr>
        <w:t>A significant portion of items that were previously above the lower sugar level were modified to fall below it, according to research compiled by the UK government. This allowed businesses to avoid liability and lessen the amount of sugar available in the market, (</w:t>
      </w:r>
      <w:r w:rsidR="000E45D1" w:rsidRPr="007C3CC8">
        <w:rPr>
          <w:rFonts w:ascii="Arial" w:eastAsia="Times New Roman" w:hAnsi="Arial" w:cs="Arial"/>
          <w:kern w:val="0"/>
          <w:lang w:eastAsia="en-GB"/>
          <w14:ligatures w14:val="none"/>
        </w:rPr>
        <w:t>Scarborough et al., 2020)</w:t>
      </w:r>
      <w:r w:rsidR="00A34704" w:rsidRPr="007C3CC8">
        <w:rPr>
          <w:rFonts w:ascii="Arial" w:eastAsia="Times New Roman" w:hAnsi="Arial" w:cs="Arial"/>
          <w:kern w:val="0"/>
          <w:lang w:eastAsia="en-GB"/>
          <w14:ligatures w14:val="none"/>
        </w:rPr>
        <w:t>.</w:t>
      </w:r>
    </w:p>
    <w:p w14:paraId="5B3ECC1F" w14:textId="17069105" w:rsidR="00F92642" w:rsidRPr="007C3CC8" w:rsidRDefault="00F92642" w:rsidP="00F92642">
      <w:pPr>
        <w:pStyle w:val="ListParagraph"/>
        <w:numPr>
          <w:ilvl w:val="0"/>
          <w:numId w:val="26"/>
        </w:numPr>
        <w:spacing w:after="0" w:line="240" w:lineRule="auto"/>
        <w:rPr>
          <w:rFonts w:ascii="Arial" w:eastAsia="Times New Roman" w:hAnsi="Arial" w:cs="Arial"/>
          <w:kern w:val="0"/>
          <w:lang w:eastAsia="en-GB"/>
          <w14:ligatures w14:val="none"/>
        </w:rPr>
      </w:pPr>
      <w:r w:rsidRPr="007C3CC8">
        <w:rPr>
          <w:rFonts w:ascii="Arial" w:eastAsia="Times New Roman" w:hAnsi="Arial" w:cs="Arial"/>
          <w:kern w:val="0"/>
          <w:lang w:eastAsia="en-GB"/>
          <w14:ligatures w14:val="none"/>
        </w:rPr>
        <w:t>According to a study by the Nuffield Department of Population Health, the weekly amount of sugar bought from soft drinks dropped following the implementation of the levy, which is comparable to a notable drop in weekly sugar consumption per person, (</w:t>
      </w:r>
      <w:r w:rsidR="005E41BB" w:rsidRPr="007C3CC8">
        <w:rPr>
          <w:rFonts w:ascii="Arial" w:eastAsia="Times New Roman" w:hAnsi="Arial" w:cs="Arial"/>
          <w:i/>
          <w:iCs/>
          <w:kern w:val="0"/>
          <w:lang w:eastAsia="en-GB"/>
          <w14:ligatures w14:val="none"/>
        </w:rPr>
        <w:t>Soft Drinks Levy Shows Success on Reducing Sugar Intakes — Nuffield Department of Population Health</w:t>
      </w:r>
      <w:r w:rsidR="005E41BB" w:rsidRPr="007C3CC8">
        <w:rPr>
          <w:rFonts w:ascii="Arial" w:eastAsia="Times New Roman" w:hAnsi="Arial" w:cs="Arial"/>
          <w:kern w:val="0"/>
          <w:lang w:eastAsia="en-GB"/>
          <w14:ligatures w14:val="none"/>
        </w:rPr>
        <w:t>, 2021).</w:t>
      </w:r>
    </w:p>
    <w:p w14:paraId="36277F4C" w14:textId="77777777" w:rsidR="00A37B99" w:rsidRPr="007C3CC8" w:rsidRDefault="00A37B99" w:rsidP="002C4527">
      <w:pPr>
        <w:rPr>
          <w:rFonts w:ascii="Arial" w:hAnsi="Arial" w:cs="Arial"/>
        </w:rPr>
      </w:pPr>
    </w:p>
    <w:p w14:paraId="49B0AEC1" w14:textId="77777777" w:rsidR="00DB16E8" w:rsidRPr="007C3CC8" w:rsidRDefault="002C4527" w:rsidP="00573493">
      <w:pPr>
        <w:rPr>
          <w:rFonts w:ascii="Arial" w:hAnsi="Arial" w:cs="Arial"/>
        </w:rPr>
      </w:pPr>
      <w:r w:rsidRPr="007C3CC8">
        <w:rPr>
          <w:rFonts w:ascii="Arial" w:hAnsi="Arial" w:cs="Arial"/>
        </w:rPr>
        <w:t xml:space="preserve">When taken as a whole, these findings show that the SDIL changed producer conduct through reformulation and decreased consumer exposure to sugar. These results are consistent with internalising the external cost of sugar consumption and reducing the market failure brought on by negative externalities. </w:t>
      </w:r>
    </w:p>
    <w:p w14:paraId="4ED139C9" w14:textId="73EE024E" w:rsidR="00BB36C6" w:rsidRPr="007C3CC8" w:rsidRDefault="00573493" w:rsidP="008312A7">
      <w:pPr>
        <w:rPr>
          <w:rFonts w:ascii="Arial" w:hAnsi="Arial" w:cs="Arial"/>
        </w:rPr>
      </w:pPr>
      <w:r w:rsidRPr="007C3CC8">
        <w:rPr>
          <w:rFonts w:ascii="Arial" w:hAnsi="Arial" w:cs="Arial"/>
        </w:rPr>
        <w:lastRenderedPageBreak/>
        <w:t>By increasing the private production costs of high</w:t>
      </w:r>
      <w:r w:rsidR="00D23331" w:rsidRPr="007C3CC8">
        <w:rPr>
          <w:rFonts w:ascii="Arial" w:hAnsi="Arial" w:cs="Arial"/>
        </w:rPr>
        <w:t xml:space="preserve"> </w:t>
      </w:r>
      <w:r w:rsidRPr="007C3CC8">
        <w:rPr>
          <w:rFonts w:ascii="Arial" w:hAnsi="Arial" w:cs="Arial"/>
        </w:rPr>
        <w:t>sugar beverages, the levy brings them closer to the societal costs</w:t>
      </w:r>
      <w:r w:rsidR="00456B6A" w:rsidRPr="007C3CC8">
        <w:rPr>
          <w:rFonts w:ascii="Arial" w:hAnsi="Arial" w:cs="Arial"/>
        </w:rPr>
        <w:t>,</w:t>
      </w:r>
      <w:r w:rsidRPr="007C3CC8">
        <w:rPr>
          <w:rFonts w:ascii="Arial" w:hAnsi="Arial" w:cs="Arial"/>
        </w:rPr>
        <w:t xml:space="preserve"> healthcare and welfare burdens</w:t>
      </w:r>
      <w:r w:rsidR="00456B6A" w:rsidRPr="007C3CC8">
        <w:rPr>
          <w:rFonts w:ascii="Arial" w:hAnsi="Arial" w:cs="Arial"/>
        </w:rPr>
        <w:t xml:space="preserve"> </w:t>
      </w:r>
      <w:r w:rsidRPr="007C3CC8">
        <w:rPr>
          <w:rFonts w:ascii="Arial" w:hAnsi="Arial" w:cs="Arial"/>
        </w:rPr>
        <w:t>that were not previously factored into the market pricing. By encouraging reformulation and changing consumption habits, this price signal lowers sugar intake, therefore the negative externality.</w:t>
      </w:r>
      <w:r w:rsidRPr="007C3CC8">
        <w:rPr>
          <w:rFonts w:ascii="Arial" w:hAnsi="Arial" w:cs="Arial"/>
        </w:rPr>
        <w:br/>
      </w:r>
    </w:p>
    <w:p w14:paraId="7FA8DF40" w14:textId="5D763C03" w:rsidR="008312A7" w:rsidRPr="00EA13C4" w:rsidRDefault="008312A7" w:rsidP="008312A7">
      <w:pPr>
        <w:pStyle w:val="Heading1"/>
        <w:rPr>
          <w:rFonts w:ascii="Arial" w:hAnsi="Arial" w:cs="Arial"/>
          <w:sz w:val="28"/>
          <w:szCs w:val="28"/>
        </w:rPr>
      </w:pPr>
      <w:bookmarkStart w:id="4" w:name="_Toc223438487"/>
      <w:r w:rsidRPr="00EA13C4">
        <w:rPr>
          <w:rFonts w:ascii="Arial" w:hAnsi="Arial" w:cs="Arial"/>
          <w:sz w:val="28"/>
          <w:szCs w:val="28"/>
        </w:rPr>
        <w:t>Evaluation</w:t>
      </w:r>
      <w:bookmarkEnd w:id="4"/>
      <w:r w:rsidRPr="00EA13C4">
        <w:rPr>
          <w:rFonts w:ascii="Arial" w:hAnsi="Arial" w:cs="Arial"/>
          <w:sz w:val="28"/>
          <w:szCs w:val="28"/>
        </w:rPr>
        <w:t xml:space="preserve"> </w:t>
      </w:r>
    </w:p>
    <w:p w14:paraId="503FF0B1" w14:textId="753F9B34" w:rsidR="000167E5" w:rsidRPr="007C3CC8" w:rsidRDefault="000167E5" w:rsidP="000003E2">
      <w:pPr>
        <w:pStyle w:val="Heading3"/>
        <w:rPr>
          <w:rFonts w:ascii="Arial" w:hAnsi="Arial" w:cs="Arial"/>
          <w:sz w:val="24"/>
          <w:szCs w:val="24"/>
        </w:rPr>
      </w:pPr>
      <w:bookmarkStart w:id="5" w:name="_Toc223438488"/>
      <w:r w:rsidRPr="007C3CC8">
        <w:rPr>
          <w:rFonts w:ascii="Arial" w:hAnsi="Arial" w:cs="Arial"/>
          <w:sz w:val="24"/>
          <w:szCs w:val="24"/>
        </w:rPr>
        <w:t>Benefits Observed</w:t>
      </w:r>
      <w:bookmarkEnd w:id="5"/>
    </w:p>
    <w:p w14:paraId="74980688" w14:textId="77777777" w:rsidR="002E5DEB" w:rsidRPr="007C3CC8" w:rsidRDefault="00F121E8" w:rsidP="007A0FBA">
      <w:pPr>
        <w:rPr>
          <w:rFonts w:ascii="Arial" w:hAnsi="Arial" w:cs="Arial"/>
        </w:rPr>
      </w:pPr>
      <w:r w:rsidRPr="007C3CC8">
        <w:rPr>
          <w:rFonts w:ascii="Arial" w:hAnsi="Arial" w:cs="Arial"/>
        </w:rPr>
        <w:t>Industry</w:t>
      </w:r>
      <w:r w:rsidR="00BD1C57" w:rsidRPr="007C3CC8">
        <w:rPr>
          <w:rFonts w:ascii="Arial" w:hAnsi="Arial" w:cs="Arial"/>
        </w:rPr>
        <w:t xml:space="preserve"> r</w:t>
      </w:r>
      <w:r w:rsidRPr="007C3CC8">
        <w:rPr>
          <w:rFonts w:ascii="Arial" w:hAnsi="Arial" w:cs="Arial"/>
        </w:rPr>
        <w:t xml:space="preserve">eformulation has been one of the most reliable indicators of the </w:t>
      </w:r>
      <w:r w:rsidR="00724780" w:rsidRPr="007C3CC8">
        <w:rPr>
          <w:rFonts w:ascii="Arial" w:hAnsi="Arial" w:cs="Arial"/>
        </w:rPr>
        <w:t>sugar tax’s success. The policy resulted in significant recipe changes in the soft drink</w:t>
      </w:r>
      <w:r w:rsidR="00BD1C57" w:rsidRPr="007C3CC8">
        <w:rPr>
          <w:rFonts w:ascii="Arial" w:hAnsi="Arial" w:cs="Arial"/>
        </w:rPr>
        <w:t xml:space="preserve"> industry, by giving producers a financial incentive to maintain sugar levels below taxable criteria</w:t>
      </w:r>
      <w:r w:rsidR="00517201" w:rsidRPr="007C3CC8">
        <w:rPr>
          <w:rFonts w:ascii="Arial" w:hAnsi="Arial" w:cs="Arial"/>
        </w:rPr>
        <w:t>, (HM Treasury, 2024). According to government ev</w:t>
      </w:r>
      <w:r w:rsidR="00C31605" w:rsidRPr="007C3CC8">
        <w:rPr>
          <w:rFonts w:ascii="Arial" w:hAnsi="Arial" w:cs="Arial"/>
        </w:rPr>
        <w:t xml:space="preserve">aluation results, the average sugar content of drinks covered by SDIL decreased by almost 46% between 2015 and 2020, with </w:t>
      </w:r>
      <w:r w:rsidR="0057021A" w:rsidRPr="007C3CC8">
        <w:rPr>
          <w:rFonts w:ascii="Arial" w:hAnsi="Arial" w:cs="Arial"/>
        </w:rPr>
        <w:t>producer’s</w:t>
      </w:r>
      <w:r w:rsidR="00C31605" w:rsidRPr="007C3CC8">
        <w:rPr>
          <w:rFonts w:ascii="Arial" w:hAnsi="Arial" w:cs="Arial"/>
        </w:rPr>
        <w:t xml:space="preserve"> reformulation to avoid paying the charge</w:t>
      </w:r>
      <w:r w:rsidR="00AE1458" w:rsidRPr="007C3CC8">
        <w:rPr>
          <w:rFonts w:ascii="Arial" w:hAnsi="Arial" w:cs="Arial"/>
        </w:rPr>
        <w:t>, ( HM Treasury, 2024).</w:t>
      </w:r>
      <w:r w:rsidR="0057021A" w:rsidRPr="007C3CC8">
        <w:rPr>
          <w:rFonts w:ascii="Arial" w:hAnsi="Arial" w:cs="Arial"/>
        </w:rPr>
        <w:t xml:space="preserve"> Similar conclusions are supported by independent data published in 2025, which showed that reformulation had a significant effect</w:t>
      </w:r>
      <w:r w:rsidR="00CC182F" w:rsidRPr="007C3CC8">
        <w:rPr>
          <w:rFonts w:ascii="Arial" w:hAnsi="Arial" w:cs="Arial"/>
        </w:rPr>
        <w:t xml:space="preserve"> on what consumers were purchasing. The overall average </w:t>
      </w:r>
      <w:r w:rsidR="00BD2D8B" w:rsidRPr="007C3CC8">
        <w:rPr>
          <w:rFonts w:ascii="Arial" w:hAnsi="Arial" w:cs="Arial"/>
        </w:rPr>
        <w:t xml:space="preserve">sugar content of drinks decreased by over 47% with a similar decrease in the average calories per item, </w:t>
      </w:r>
      <w:r w:rsidR="002A7988" w:rsidRPr="007C3CC8">
        <w:rPr>
          <w:rFonts w:ascii="Arial" w:hAnsi="Arial" w:cs="Arial"/>
        </w:rPr>
        <w:t>(2025 News Stories - New Statistics Reveal Significant Sugar Reduction as a Result of the Soft Drinks Industry Levy - Action on Sugar, 2025).</w:t>
      </w:r>
    </w:p>
    <w:p w14:paraId="2D105E70" w14:textId="3F0D4049" w:rsidR="002E5DEB" w:rsidRPr="007C3CC8" w:rsidRDefault="002E5DEB" w:rsidP="002E5DEB">
      <w:pPr>
        <w:pStyle w:val="Heading3"/>
        <w:rPr>
          <w:rFonts w:ascii="Arial" w:hAnsi="Arial" w:cs="Arial"/>
          <w:sz w:val="24"/>
          <w:szCs w:val="24"/>
        </w:rPr>
      </w:pPr>
      <w:bookmarkStart w:id="6" w:name="_Toc223438489"/>
      <w:r w:rsidRPr="007C3CC8">
        <w:rPr>
          <w:rFonts w:ascii="Arial" w:hAnsi="Arial" w:cs="Arial"/>
          <w:sz w:val="24"/>
          <w:szCs w:val="24"/>
        </w:rPr>
        <w:t>Fall in Sugar Sold from Soft Drinks</w:t>
      </w:r>
      <w:bookmarkEnd w:id="6"/>
    </w:p>
    <w:p w14:paraId="59863782" w14:textId="073F93A9" w:rsidR="007A0FBA" w:rsidRPr="007C3CC8" w:rsidRDefault="007F19BA" w:rsidP="007A0FBA">
      <w:pPr>
        <w:rPr>
          <w:rFonts w:ascii="Arial" w:hAnsi="Arial" w:cs="Arial"/>
        </w:rPr>
      </w:pPr>
      <w:r w:rsidRPr="007C3CC8">
        <w:rPr>
          <w:rFonts w:ascii="Arial" w:hAnsi="Arial" w:cs="Arial"/>
        </w:rPr>
        <w:t xml:space="preserve"> This change in product composition reflects a fundamental shift in industry behaviour, which is one of the policy's main goals. It also serves as some of the best proof that the levy has had the desired effect, encouraging manufacturers to either completely reformulate recipes or replace sugar with lower</w:t>
      </w:r>
      <w:r w:rsidR="00CB2802" w:rsidRPr="007C3CC8">
        <w:rPr>
          <w:rFonts w:ascii="Arial" w:hAnsi="Arial" w:cs="Arial"/>
        </w:rPr>
        <w:t xml:space="preserve"> </w:t>
      </w:r>
      <w:r w:rsidRPr="007C3CC8">
        <w:rPr>
          <w:rFonts w:ascii="Arial" w:hAnsi="Arial" w:cs="Arial"/>
        </w:rPr>
        <w:t>sugar alternatives</w:t>
      </w:r>
      <w:r w:rsidR="00005E55" w:rsidRPr="007C3CC8">
        <w:rPr>
          <w:rFonts w:ascii="Arial" w:hAnsi="Arial" w:cs="Arial"/>
        </w:rPr>
        <w:t>, (Scarborough et al., 2020).</w:t>
      </w:r>
      <w:r w:rsidR="00417677" w:rsidRPr="007C3CC8">
        <w:rPr>
          <w:rFonts w:ascii="Arial" w:hAnsi="Arial" w:cs="Arial"/>
        </w:rPr>
        <w:t xml:space="preserve"> </w:t>
      </w:r>
      <w:r w:rsidR="007A0FBA" w:rsidRPr="007C3CC8">
        <w:rPr>
          <w:rFonts w:ascii="Arial" w:hAnsi="Arial" w:cs="Arial"/>
        </w:rPr>
        <w:t>Reductions in the total quantity of sugar in soft drinks Despite a 13% increase in drink volume between 2015 and 2024, the total amount of sugar sold from these beverages fell by around 39%. This suggests that even while consumers continued to buy soft drinks, their sugar content was much lower than it was before the levy (2025 News Stories - New Statistics Reveal Significant Sugar Reduction as a Result of the Soft Drinks Industry Levy - Action on Sugar, 2025).</w:t>
      </w:r>
    </w:p>
    <w:p w14:paraId="343C5DD0" w14:textId="763B25BA" w:rsidR="00B44C0E" w:rsidRPr="007C3CC8" w:rsidRDefault="00607F94" w:rsidP="00B44C0E">
      <w:pPr>
        <w:rPr>
          <w:rFonts w:ascii="Arial" w:hAnsi="Arial" w:cs="Arial"/>
        </w:rPr>
      </w:pPr>
      <w:r w:rsidRPr="00607F94">
        <w:rPr>
          <w:rFonts w:ascii="Arial" w:hAnsi="Arial" w:cs="Arial"/>
        </w:rPr>
        <w:t>Sugar from soft drinks decreased in household purchases in the months after SDIL adoption, according to additional scholarly analysis utilising national purchase data. According to a controlled interrupted time series study, households' weekly sugar purchases from soft drinks decreased by about 8 g when compared to a counterfactual situation in which the tax had not been imposed</w:t>
      </w:r>
      <w:r w:rsidR="00953DAD" w:rsidRPr="007C3CC8">
        <w:rPr>
          <w:rFonts w:ascii="Arial" w:hAnsi="Arial" w:cs="Arial"/>
        </w:rPr>
        <w:t>, (Rogers et al., 2025).</w:t>
      </w:r>
      <w:r w:rsidR="00B44C0E" w:rsidRPr="007C3CC8">
        <w:rPr>
          <w:rFonts w:ascii="Arial" w:hAnsi="Arial" w:cs="Arial"/>
        </w:rPr>
        <w:t xml:space="preserve"> </w:t>
      </w:r>
      <w:r w:rsidR="008C1EB3" w:rsidRPr="007C3CC8">
        <w:rPr>
          <w:rFonts w:ascii="Arial" w:hAnsi="Arial" w:cs="Arial"/>
        </w:rPr>
        <w:t>Since</w:t>
      </w:r>
      <w:r w:rsidR="00B44C0E" w:rsidRPr="007C3CC8">
        <w:rPr>
          <w:rFonts w:ascii="Arial" w:hAnsi="Arial" w:cs="Arial"/>
        </w:rPr>
        <w:t xml:space="preserve"> they show a change in consumer exposure to dietary sugar, these drops in sugar sales are significant because they may support long-term public health benefits including decreases in obesity and diabetes.</w:t>
      </w:r>
    </w:p>
    <w:p w14:paraId="3FBD4C6F" w14:textId="0F84585D" w:rsidR="00607F94" w:rsidRPr="007C3CC8" w:rsidRDefault="00ED2F43" w:rsidP="00ED2F43">
      <w:pPr>
        <w:pStyle w:val="Heading3"/>
        <w:rPr>
          <w:rFonts w:ascii="Arial" w:hAnsi="Arial" w:cs="Arial"/>
          <w:sz w:val="24"/>
          <w:szCs w:val="24"/>
        </w:rPr>
      </w:pPr>
      <w:bookmarkStart w:id="7" w:name="_Toc223438490"/>
      <w:r w:rsidRPr="007C3CC8">
        <w:rPr>
          <w:rFonts w:ascii="Arial" w:hAnsi="Arial" w:cs="Arial"/>
          <w:sz w:val="24"/>
          <w:szCs w:val="24"/>
        </w:rPr>
        <w:lastRenderedPageBreak/>
        <w:t>Revenue Generated for Public Health Programs</w:t>
      </w:r>
      <w:bookmarkEnd w:id="7"/>
    </w:p>
    <w:p w14:paraId="16459A6F" w14:textId="030D3FE8" w:rsidR="00ED2F43" w:rsidRPr="007C3CC8" w:rsidRDefault="00BF4A76" w:rsidP="007A0FBA">
      <w:pPr>
        <w:rPr>
          <w:rFonts w:ascii="Arial" w:hAnsi="Arial" w:cs="Arial"/>
        </w:rPr>
      </w:pPr>
      <w:r w:rsidRPr="007C3CC8">
        <w:rPr>
          <w:rFonts w:ascii="Arial" w:hAnsi="Arial" w:cs="Arial"/>
        </w:rPr>
        <w:t>The SDIL has been successful in</w:t>
      </w:r>
      <w:r w:rsidR="00A244F2" w:rsidRPr="007C3CC8">
        <w:rPr>
          <w:rFonts w:ascii="Arial" w:hAnsi="Arial" w:cs="Arial"/>
        </w:rPr>
        <w:t xml:space="preserve"> producing considerable tax revenues, even though </w:t>
      </w:r>
      <w:r w:rsidR="00190786" w:rsidRPr="007C3CC8">
        <w:rPr>
          <w:rFonts w:ascii="Arial" w:hAnsi="Arial" w:cs="Arial"/>
        </w:rPr>
        <w:t>reformulation continued to lower the volume of high sugar drinks subject to the tax</w:t>
      </w:r>
      <w:r w:rsidR="00B5277E" w:rsidRPr="007C3CC8">
        <w:rPr>
          <w:rFonts w:ascii="Arial" w:hAnsi="Arial" w:cs="Arial"/>
        </w:rPr>
        <w:t xml:space="preserve">, (HM Revenue and Customs, 2024). </w:t>
      </w:r>
      <w:r w:rsidR="001E5A46" w:rsidRPr="007C3CC8">
        <w:rPr>
          <w:rFonts w:ascii="Arial" w:hAnsi="Arial" w:cs="Arial"/>
        </w:rPr>
        <w:t xml:space="preserve"> </w:t>
      </w:r>
      <w:r w:rsidR="00726B68" w:rsidRPr="007C3CC8">
        <w:rPr>
          <w:rFonts w:ascii="Arial" w:hAnsi="Arial" w:cs="Arial"/>
        </w:rPr>
        <w:t>When the policy was first proposed it was anticipated that funds would be utilised to help with public health and school sports activities</w:t>
      </w:r>
      <w:r w:rsidR="00617FA7" w:rsidRPr="007C3CC8">
        <w:rPr>
          <w:rFonts w:ascii="Arial" w:hAnsi="Arial" w:cs="Arial"/>
        </w:rPr>
        <w:t>, though exact distribution may change from year to year. The levy’s</w:t>
      </w:r>
      <w:r w:rsidR="00B36EA2" w:rsidRPr="007C3CC8">
        <w:rPr>
          <w:rFonts w:ascii="Arial" w:hAnsi="Arial" w:cs="Arial"/>
        </w:rPr>
        <w:t xml:space="preserve"> </w:t>
      </w:r>
      <w:r w:rsidR="009658AC" w:rsidRPr="007C3CC8">
        <w:rPr>
          <w:rFonts w:ascii="Arial" w:hAnsi="Arial" w:cs="Arial"/>
        </w:rPr>
        <w:t>on-going</w:t>
      </w:r>
      <w:r w:rsidR="00B36EA2" w:rsidRPr="007C3CC8">
        <w:rPr>
          <w:rFonts w:ascii="Arial" w:hAnsi="Arial" w:cs="Arial"/>
        </w:rPr>
        <w:t xml:space="preserve"> revenue has given policymakers a steady supply of mon</w:t>
      </w:r>
      <w:r w:rsidR="00A632F6" w:rsidRPr="007C3CC8">
        <w:rPr>
          <w:rFonts w:ascii="Arial" w:hAnsi="Arial" w:cs="Arial"/>
        </w:rPr>
        <w:t>e</w:t>
      </w:r>
      <w:r w:rsidR="00B36EA2" w:rsidRPr="007C3CC8">
        <w:rPr>
          <w:rFonts w:ascii="Arial" w:hAnsi="Arial" w:cs="Arial"/>
        </w:rPr>
        <w:t>y</w:t>
      </w:r>
      <w:r w:rsidR="00A632F6" w:rsidRPr="007C3CC8">
        <w:rPr>
          <w:rFonts w:ascii="Arial" w:hAnsi="Arial" w:cs="Arial"/>
        </w:rPr>
        <w:t xml:space="preserve"> to reinvest in </w:t>
      </w:r>
      <w:r w:rsidR="009658AC" w:rsidRPr="007C3CC8">
        <w:rPr>
          <w:rFonts w:ascii="Arial" w:hAnsi="Arial" w:cs="Arial"/>
        </w:rPr>
        <w:t>health-related</w:t>
      </w:r>
      <w:r w:rsidR="00A632F6" w:rsidRPr="007C3CC8">
        <w:rPr>
          <w:rFonts w:ascii="Arial" w:hAnsi="Arial" w:cs="Arial"/>
        </w:rPr>
        <w:t xml:space="preserve"> projects supporting the larger goal of enhancing public health beyond just product reformu</w:t>
      </w:r>
      <w:r w:rsidR="009658AC" w:rsidRPr="007C3CC8">
        <w:rPr>
          <w:rFonts w:ascii="Arial" w:hAnsi="Arial" w:cs="Arial"/>
        </w:rPr>
        <w:t>lation,(Pell et al., 2019).</w:t>
      </w:r>
    </w:p>
    <w:p w14:paraId="107538E9" w14:textId="4F23C0C8" w:rsidR="000167E5" w:rsidRPr="007C3CC8" w:rsidRDefault="00F9080E" w:rsidP="00F9080E">
      <w:pPr>
        <w:pStyle w:val="Heading3"/>
        <w:rPr>
          <w:rFonts w:ascii="Arial" w:hAnsi="Arial" w:cs="Arial"/>
          <w:sz w:val="24"/>
          <w:szCs w:val="24"/>
        </w:rPr>
      </w:pPr>
      <w:bookmarkStart w:id="8" w:name="_Toc223438491"/>
      <w:r w:rsidRPr="007C3CC8">
        <w:rPr>
          <w:rFonts w:ascii="Arial" w:hAnsi="Arial" w:cs="Arial"/>
          <w:sz w:val="24"/>
          <w:szCs w:val="24"/>
        </w:rPr>
        <w:t>No Major Job Losses in the Sector</w:t>
      </w:r>
      <w:bookmarkEnd w:id="8"/>
    </w:p>
    <w:p w14:paraId="77706797" w14:textId="0FA88263" w:rsidR="00F346CB" w:rsidRPr="007C3CC8" w:rsidRDefault="00F450F8" w:rsidP="000167E5">
      <w:pPr>
        <w:rPr>
          <w:rFonts w:ascii="Arial" w:hAnsi="Arial" w:cs="Arial"/>
        </w:rPr>
      </w:pPr>
      <w:r w:rsidRPr="007C3CC8">
        <w:rPr>
          <w:rFonts w:ascii="Arial" w:hAnsi="Arial" w:cs="Arial"/>
        </w:rPr>
        <w:t xml:space="preserve">Advocates </w:t>
      </w:r>
      <w:r w:rsidR="00953A5F" w:rsidRPr="007C3CC8">
        <w:rPr>
          <w:rFonts w:ascii="Arial" w:hAnsi="Arial" w:cs="Arial"/>
        </w:rPr>
        <w:t xml:space="preserve">of the sugar tax first expressed concern that it might result </w:t>
      </w:r>
      <w:r w:rsidR="00BB1DE5" w:rsidRPr="007C3CC8">
        <w:rPr>
          <w:rFonts w:ascii="Arial" w:hAnsi="Arial" w:cs="Arial"/>
        </w:rPr>
        <w:t>in job losses or a declined in investment in the soft drink industry.</w:t>
      </w:r>
      <w:r w:rsidR="0032258E" w:rsidRPr="007C3CC8">
        <w:rPr>
          <w:rFonts w:ascii="Arial" w:hAnsi="Arial" w:cs="Arial"/>
        </w:rPr>
        <w:t xml:space="preserve"> Economic analysis, </w:t>
      </w:r>
      <w:r w:rsidR="002B5E53" w:rsidRPr="007C3CC8">
        <w:rPr>
          <w:rFonts w:ascii="Arial" w:hAnsi="Arial" w:cs="Arial"/>
        </w:rPr>
        <w:t>however,</w:t>
      </w:r>
      <w:r w:rsidR="0032258E" w:rsidRPr="007C3CC8">
        <w:rPr>
          <w:rFonts w:ascii="Arial" w:hAnsi="Arial" w:cs="Arial"/>
        </w:rPr>
        <w:t xml:space="preserve"> </w:t>
      </w:r>
      <w:r w:rsidR="008300AC" w:rsidRPr="007C3CC8">
        <w:rPr>
          <w:rFonts w:ascii="Arial" w:hAnsi="Arial" w:cs="Arial"/>
        </w:rPr>
        <w:t>have not found  any evidence to back up these claims</w:t>
      </w:r>
      <w:r w:rsidR="002B5E53" w:rsidRPr="007C3CC8">
        <w:rPr>
          <w:rFonts w:ascii="Arial" w:hAnsi="Arial" w:cs="Arial"/>
        </w:rPr>
        <w:t xml:space="preserve">, (Sugar Levy Had No Lasting Negative Impacts on the UK Soft Drinks Industry, despite Substantial Reformulation of Drinks, 2020). </w:t>
      </w:r>
      <w:r w:rsidR="00FA6CC3" w:rsidRPr="007C3CC8">
        <w:rPr>
          <w:rFonts w:ascii="Arial" w:hAnsi="Arial" w:cs="Arial"/>
        </w:rPr>
        <w:t xml:space="preserve">According </w:t>
      </w:r>
      <w:r w:rsidR="00605282" w:rsidRPr="007C3CC8">
        <w:rPr>
          <w:rFonts w:ascii="Arial" w:hAnsi="Arial" w:cs="Arial"/>
        </w:rPr>
        <w:t>to a study of UK soft drink businesses that included</w:t>
      </w:r>
      <w:r w:rsidR="00E67E3F" w:rsidRPr="007C3CC8">
        <w:rPr>
          <w:rFonts w:ascii="Arial" w:hAnsi="Arial" w:cs="Arial"/>
        </w:rPr>
        <w:t xml:space="preserve"> evaluation of stock market returns and business performance, any unfavourable </w:t>
      </w:r>
      <w:r w:rsidR="000D7DD2" w:rsidRPr="007C3CC8">
        <w:rPr>
          <w:rFonts w:ascii="Arial" w:hAnsi="Arial" w:cs="Arial"/>
        </w:rPr>
        <w:t>short-term</w:t>
      </w:r>
      <w:r w:rsidR="00E67E3F" w:rsidRPr="007C3CC8">
        <w:rPr>
          <w:rFonts w:ascii="Arial" w:hAnsi="Arial" w:cs="Arial"/>
        </w:rPr>
        <w:t xml:space="preserve"> reactions </w:t>
      </w:r>
      <w:r w:rsidR="003C3155" w:rsidRPr="007C3CC8">
        <w:rPr>
          <w:rFonts w:ascii="Arial" w:hAnsi="Arial" w:cs="Arial"/>
        </w:rPr>
        <w:t>to the announcement of the charge were brief</w:t>
      </w:r>
      <w:r w:rsidR="00DF25B6" w:rsidRPr="007C3CC8">
        <w:rPr>
          <w:rFonts w:ascii="Arial" w:hAnsi="Arial" w:cs="Arial"/>
        </w:rPr>
        <w:t>, and the tax had no long</w:t>
      </w:r>
      <w:r w:rsidR="000D7DD2" w:rsidRPr="007C3CC8">
        <w:rPr>
          <w:rFonts w:ascii="Arial" w:hAnsi="Arial" w:cs="Arial"/>
        </w:rPr>
        <w:t>-</w:t>
      </w:r>
      <w:r w:rsidR="00DF25B6" w:rsidRPr="007C3CC8">
        <w:rPr>
          <w:rFonts w:ascii="Arial" w:hAnsi="Arial" w:cs="Arial"/>
        </w:rPr>
        <w:t>term negative conse</w:t>
      </w:r>
      <w:r w:rsidR="00D61264" w:rsidRPr="007C3CC8">
        <w:rPr>
          <w:rFonts w:ascii="Arial" w:hAnsi="Arial" w:cs="Arial"/>
        </w:rPr>
        <w:t xml:space="preserve">quences on industry performance, (Sugar Levy Had No Lasting Negative Impacts on the UK Soft Drinks Industry, despite Substantial Reformulation of Drinks, 2020). </w:t>
      </w:r>
      <w:r w:rsidR="0094224F" w:rsidRPr="007C3CC8">
        <w:rPr>
          <w:rFonts w:ascii="Arial" w:hAnsi="Arial" w:cs="Arial"/>
        </w:rPr>
        <w:t>Additionally, industry feedback during recent government consultations acknowledged concerns about costs and technical challenges of further reformulation but did not provide evidence of major job losses</w:t>
      </w:r>
      <w:r w:rsidR="00E16F90" w:rsidRPr="007C3CC8">
        <w:rPr>
          <w:rFonts w:ascii="Arial" w:hAnsi="Arial" w:cs="Arial"/>
        </w:rPr>
        <w:t>, (Scarborough et al., 2020).</w:t>
      </w:r>
    </w:p>
    <w:p w14:paraId="57FB394E" w14:textId="10E6B0F7" w:rsidR="008312A7" w:rsidRPr="00EA13C4" w:rsidRDefault="008312A7" w:rsidP="008312A7">
      <w:pPr>
        <w:pStyle w:val="Heading1"/>
        <w:rPr>
          <w:rFonts w:ascii="Arial" w:hAnsi="Arial" w:cs="Arial"/>
          <w:sz w:val="28"/>
          <w:szCs w:val="28"/>
        </w:rPr>
      </w:pPr>
      <w:bookmarkStart w:id="9" w:name="_Toc223438492"/>
      <w:r w:rsidRPr="00EA13C4">
        <w:rPr>
          <w:rFonts w:ascii="Arial" w:hAnsi="Arial" w:cs="Arial"/>
          <w:sz w:val="28"/>
          <w:szCs w:val="28"/>
        </w:rPr>
        <w:t>Conclusion</w:t>
      </w:r>
      <w:bookmarkEnd w:id="9"/>
      <w:r w:rsidRPr="00EA13C4">
        <w:rPr>
          <w:rFonts w:ascii="Arial" w:hAnsi="Arial" w:cs="Arial"/>
          <w:sz w:val="28"/>
          <w:szCs w:val="28"/>
        </w:rPr>
        <w:t xml:space="preserve"> </w:t>
      </w:r>
    </w:p>
    <w:p w14:paraId="1B812129" w14:textId="01C52CA3" w:rsidR="000D7DD2" w:rsidRPr="007C3CC8" w:rsidRDefault="0058434A" w:rsidP="008F3B8B">
      <w:pPr>
        <w:rPr>
          <w:rFonts w:ascii="Arial" w:hAnsi="Arial" w:cs="Arial"/>
        </w:rPr>
      </w:pPr>
      <w:r>
        <w:rPr>
          <w:rFonts w:ascii="Arial" w:hAnsi="Arial" w:cs="Arial"/>
        </w:rPr>
        <w:t>in order to address a negative consumption externality caused by excessive sugar intak</w:t>
      </w:r>
      <w:r w:rsidR="00A12F25">
        <w:rPr>
          <w:rFonts w:ascii="Arial" w:hAnsi="Arial" w:cs="Arial"/>
        </w:rPr>
        <w:t>e,</w:t>
      </w:r>
      <w:r>
        <w:rPr>
          <w:rFonts w:ascii="Arial" w:hAnsi="Arial" w:cs="Arial"/>
        </w:rPr>
        <w:t xml:space="preserve"> the sugar</w:t>
      </w:r>
      <w:r w:rsidR="00402445">
        <w:rPr>
          <w:rFonts w:ascii="Arial" w:hAnsi="Arial" w:cs="Arial"/>
        </w:rPr>
        <w:t xml:space="preserve"> </w:t>
      </w:r>
      <w:r w:rsidR="00A12F25">
        <w:rPr>
          <w:rFonts w:ascii="Arial" w:hAnsi="Arial" w:cs="Arial"/>
        </w:rPr>
        <w:t>tax was implemented</w:t>
      </w:r>
      <w:r w:rsidR="00E50FED">
        <w:rPr>
          <w:rFonts w:ascii="Arial" w:hAnsi="Arial" w:cs="Arial"/>
        </w:rPr>
        <w:t>. Private soft drinks consumption resulted in increased social cost due to obesity, diabetes and health care expenditures</w:t>
      </w:r>
      <w:r w:rsidR="00AB294D">
        <w:rPr>
          <w:rFonts w:ascii="Arial" w:hAnsi="Arial" w:cs="Arial"/>
        </w:rPr>
        <w:t xml:space="preserve">. While producers and consumers failed to fully account for these </w:t>
      </w:r>
      <w:r w:rsidR="00AB5578">
        <w:rPr>
          <w:rFonts w:ascii="Arial" w:hAnsi="Arial" w:cs="Arial"/>
        </w:rPr>
        <w:t xml:space="preserve">external costs, the market failed. The soft drinks industry levy, a government </w:t>
      </w:r>
      <w:r w:rsidR="00967D0C">
        <w:rPr>
          <w:rFonts w:ascii="Arial" w:hAnsi="Arial" w:cs="Arial"/>
        </w:rPr>
        <w:t xml:space="preserve">intervention was justified as an attempt to enhance public health results. </w:t>
      </w:r>
      <w:r w:rsidR="005E3BFA">
        <w:rPr>
          <w:rFonts w:ascii="Arial" w:hAnsi="Arial" w:cs="Arial"/>
        </w:rPr>
        <w:t>The tax effectively promoted product reformulation, decr</w:t>
      </w:r>
      <w:r w:rsidR="00D02CD0">
        <w:rPr>
          <w:rFonts w:ascii="Arial" w:hAnsi="Arial" w:cs="Arial"/>
        </w:rPr>
        <w:t xml:space="preserve">eased the amount of sugar provided in soft drinks, and raised money for </w:t>
      </w:r>
      <w:r w:rsidR="005C0FD9">
        <w:rPr>
          <w:rFonts w:ascii="Arial" w:hAnsi="Arial" w:cs="Arial"/>
        </w:rPr>
        <w:t>health-related</w:t>
      </w:r>
      <w:r w:rsidR="00D02CD0">
        <w:rPr>
          <w:rFonts w:ascii="Arial" w:hAnsi="Arial" w:cs="Arial"/>
        </w:rPr>
        <w:t xml:space="preserve"> initiatives</w:t>
      </w:r>
      <w:r w:rsidR="00341434">
        <w:rPr>
          <w:rFonts w:ascii="Arial" w:hAnsi="Arial" w:cs="Arial"/>
        </w:rPr>
        <w:t>, according to data HM Treasury, the Office of National Statistics, and the Institute for Financial studies</w:t>
      </w:r>
      <w:r w:rsidR="00A81528">
        <w:rPr>
          <w:rFonts w:ascii="Arial" w:hAnsi="Arial" w:cs="Arial"/>
        </w:rPr>
        <w:t>, by coordinating private production with social welfare objectives these results points to better market outcomes.</w:t>
      </w:r>
      <w:r w:rsidR="005C0FD9">
        <w:rPr>
          <w:rFonts w:ascii="Arial" w:hAnsi="Arial" w:cs="Arial"/>
        </w:rPr>
        <w:t xml:space="preserve"> </w:t>
      </w:r>
      <w:r w:rsidR="005C0FD9" w:rsidRPr="005C0FD9">
        <w:rPr>
          <w:rFonts w:ascii="Arial" w:hAnsi="Arial" w:cs="Arial"/>
        </w:rPr>
        <w:t>Overall, by discouraging excessive use of high-sugar beverages and promoting healthier product choices, the sugar tax has probably increased allocative efficiency. Obesity rates, however, continue to be a problem, suggesting that more intervention</w:t>
      </w:r>
      <w:r w:rsidR="005C0FD9">
        <w:rPr>
          <w:rFonts w:ascii="Arial" w:hAnsi="Arial" w:cs="Arial"/>
        </w:rPr>
        <w:t xml:space="preserve"> </w:t>
      </w:r>
      <w:r w:rsidR="005C0FD9" w:rsidRPr="005C0FD9">
        <w:rPr>
          <w:rFonts w:ascii="Arial" w:hAnsi="Arial" w:cs="Arial"/>
        </w:rPr>
        <w:t>such as extending the tax to other high-sugar goods or increasing funding for nutrition education</w:t>
      </w:r>
      <w:r w:rsidR="005C0FD9">
        <w:rPr>
          <w:rFonts w:ascii="Arial" w:hAnsi="Arial" w:cs="Arial"/>
        </w:rPr>
        <w:t xml:space="preserve"> </w:t>
      </w:r>
      <w:r w:rsidR="005C0FD9" w:rsidRPr="005C0FD9">
        <w:rPr>
          <w:rFonts w:ascii="Arial" w:hAnsi="Arial" w:cs="Arial"/>
        </w:rPr>
        <w:t>may be necessary. Long-term health effects will depend on ongoing government action and corporate cooperation, even though the strategy has been mostly successful</w:t>
      </w:r>
    </w:p>
    <w:p w14:paraId="16282347" w14:textId="77777777" w:rsidR="0001715B" w:rsidRPr="007C3CC8" w:rsidRDefault="0001715B" w:rsidP="008F3B8B">
      <w:pPr>
        <w:rPr>
          <w:rFonts w:ascii="Arial" w:hAnsi="Arial" w:cs="Arial"/>
        </w:rPr>
      </w:pPr>
    </w:p>
    <w:p w14:paraId="40DD3F41" w14:textId="34CB11D7" w:rsidR="008312A7" w:rsidRPr="007C3CC8" w:rsidRDefault="008312A7" w:rsidP="00754F7E">
      <w:pPr>
        <w:pStyle w:val="Heading1"/>
        <w:spacing w:line="360" w:lineRule="auto"/>
        <w:ind w:left="720" w:hanging="720"/>
        <w:rPr>
          <w:rFonts w:ascii="Arial" w:hAnsi="Arial" w:cs="Arial"/>
          <w:sz w:val="24"/>
          <w:szCs w:val="24"/>
        </w:rPr>
      </w:pPr>
      <w:bookmarkStart w:id="10" w:name="_Toc223438493"/>
      <w:r w:rsidRPr="007C3CC8">
        <w:rPr>
          <w:rFonts w:ascii="Arial" w:hAnsi="Arial" w:cs="Arial"/>
          <w:sz w:val="24"/>
          <w:szCs w:val="24"/>
        </w:rPr>
        <w:t>Reference</w:t>
      </w:r>
      <w:bookmarkEnd w:id="10"/>
    </w:p>
    <w:p w14:paraId="19C90734" w14:textId="6E9C48D6" w:rsidR="00D83854" w:rsidRPr="00D83854" w:rsidRDefault="00D83854" w:rsidP="00754F7E">
      <w:pPr>
        <w:spacing w:line="360" w:lineRule="auto"/>
        <w:ind w:hanging="720"/>
        <w:rPr>
          <w:rFonts w:ascii="Arial" w:hAnsi="Arial" w:cs="Arial"/>
        </w:rPr>
      </w:pPr>
      <w:r w:rsidRPr="00D83854">
        <w:rPr>
          <w:rFonts w:ascii="Arial" w:hAnsi="Arial" w:cs="Arial"/>
          <w:i/>
          <w:iCs/>
        </w:rPr>
        <w:t>2025 News Stories - New statistics reveal significant sugar reduction as a result of the Soft Drinks Industry Levy - Action on Sugar</w:t>
      </w:r>
      <w:r w:rsidRPr="00D83854">
        <w:rPr>
          <w:rFonts w:ascii="Arial" w:hAnsi="Arial" w:cs="Arial"/>
        </w:rPr>
        <w:t xml:space="preserve">. (2025,). Actiononsugar.org. </w:t>
      </w:r>
      <w:hyperlink r:id="rId10" w:history="1">
        <w:r w:rsidRPr="00D83854">
          <w:rPr>
            <w:rStyle w:val="Hyperlink"/>
            <w:rFonts w:ascii="Arial" w:hAnsi="Arial" w:cs="Arial"/>
          </w:rPr>
          <w:t>https://www.actiononsugar.org/news-centre/sugar-in-the-news/2025/2025-news-stories/new-statistics-reveal-significant-sugar-reduction-as-a-result-of-the-soft-drinks-industry-levy-.html</w:t>
        </w:r>
      </w:hyperlink>
      <w:r w:rsidRPr="007C3CC8">
        <w:rPr>
          <w:rFonts w:ascii="Arial" w:hAnsi="Arial" w:cs="Arial"/>
        </w:rPr>
        <w:t xml:space="preserve"> </w:t>
      </w:r>
    </w:p>
    <w:p w14:paraId="5BFB5180" w14:textId="77777777" w:rsidR="00D83854" w:rsidRPr="007C3CC8" w:rsidRDefault="00D83854" w:rsidP="00754F7E">
      <w:pPr>
        <w:spacing w:line="360" w:lineRule="auto"/>
        <w:ind w:hanging="720"/>
        <w:rPr>
          <w:rFonts w:ascii="Arial" w:hAnsi="Arial" w:cs="Arial"/>
        </w:rPr>
      </w:pPr>
    </w:p>
    <w:p w14:paraId="64A1BD7D" w14:textId="353499EB" w:rsidR="00244465" w:rsidRPr="007C3CC8" w:rsidRDefault="00244465" w:rsidP="00754F7E">
      <w:pPr>
        <w:spacing w:line="360" w:lineRule="auto"/>
        <w:ind w:hanging="720"/>
        <w:rPr>
          <w:rFonts w:ascii="Arial" w:hAnsi="Arial" w:cs="Arial"/>
        </w:rPr>
      </w:pPr>
      <w:r w:rsidRPr="007C3CC8">
        <w:rPr>
          <w:rFonts w:ascii="Arial" w:hAnsi="Arial" w:cs="Arial"/>
          <w:i/>
          <w:iCs/>
        </w:rPr>
        <w:t>Analyses</w:t>
      </w:r>
      <w:r w:rsidRPr="007C3CC8">
        <w:rPr>
          <w:rFonts w:ascii="Arial" w:hAnsi="Arial" w:cs="Arial"/>
        </w:rPr>
        <w:t xml:space="preserve">. (2020). Who.int. </w:t>
      </w:r>
      <w:hyperlink r:id="rId11" w:history="1">
        <w:r w:rsidRPr="007C3CC8">
          <w:rPr>
            <w:rStyle w:val="Hyperlink"/>
            <w:rFonts w:ascii="Arial" w:hAnsi="Arial" w:cs="Arial"/>
          </w:rPr>
          <w:t>https://eurohealthobservatory.who.int/monitors/health-systems-monitor/analyses/hspm/united-kingdom-2015/impact-of-the-soft-drinks-industry-levy</w:t>
        </w:r>
      </w:hyperlink>
      <w:r w:rsidRPr="007C3CC8">
        <w:rPr>
          <w:rFonts w:ascii="Arial" w:hAnsi="Arial" w:cs="Arial"/>
        </w:rPr>
        <w:t xml:space="preserve"> </w:t>
      </w:r>
    </w:p>
    <w:p w14:paraId="34800710" w14:textId="2FE31A1A" w:rsidR="00244465" w:rsidRPr="007C3CC8" w:rsidRDefault="00244465" w:rsidP="00754F7E">
      <w:pPr>
        <w:spacing w:line="360" w:lineRule="auto"/>
        <w:ind w:hanging="720"/>
        <w:rPr>
          <w:rFonts w:ascii="Arial" w:hAnsi="Arial" w:cs="Arial"/>
        </w:rPr>
      </w:pPr>
      <w:r w:rsidRPr="007C3CC8">
        <w:rPr>
          <w:rFonts w:ascii="Arial" w:hAnsi="Arial" w:cs="Arial"/>
        </w:rPr>
        <w:t>‌</w:t>
      </w:r>
    </w:p>
    <w:p w14:paraId="2CD614DB" w14:textId="5E45ACB5" w:rsidR="00644E37" w:rsidRPr="007C3CC8" w:rsidRDefault="00644E37" w:rsidP="00754F7E">
      <w:pPr>
        <w:spacing w:line="360" w:lineRule="auto"/>
        <w:ind w:left="720" w:hanging="720"/>
        <w:rPr>
          <w:rFonts w:ascii="Arial" w:hAnsi="Arial" w:cs="Arial"/>
        </w:rPr>
      </w:pPr>
      <w:r w:rsidRPr="007C3CC8">
        <w:rPr>
          <w:rFonts w:ascii="Arial" w:hAnsi="Arial" w:cs="Arial"/>
        </w:rPr>
        <w:t>Allcott, H., Lockwood, B. B., &amp; Taubinsky, D. (2019). Should We Tax Sugar-Sweetened Beverages? An Overview of Theory and Evidence. </w:t>
      </w:r>
      <w:r w:rsidRPr="007C3CC8">
        <w:rPr>
          <w:rFonts w:ascii="Arial" w:hAnsi="Arial" w:cs="Arial"/>
          <w:i/>
          <w:iCs/>
        </w:rPr>
        <w:t>Journal of Economic Perspectives</w:t>
      </w:r>
      <w:r w:rsidRPr="007C3CC8">
        <w:rPr>
          <w:rFonts w:ascii="Arial" w:hAnsi="Arial" w:cs="Arial"/>
        </w:rPr>
        <w:t>, </w:t>
      </w:r>
      <w:r w:rsidRPr="007C3CC8">
        <w:rPr>
          <w:rFonts w:ascii="Arial" w:hAnsi="Arial" w:cs="Arial"/>
          <w:i/>
          <w:iCs/>
        </w:rPr>
        <w:t>33</w:t>
      </w:r>
      <w:r w:rsidRPr="007C3CC8">
        <w:rPr>
          <w:rFonts w:ascii="Arial" w:hAnsi="Arial" w:cs="Arial"/>
        </w:rPr>
        <w:t xml:space="preserve">(3), 202–227. </w:t>
      </w:r>
      <w:hyperlink r:id="rId12" w:history="1">
        <w:r w:rsidRPr="007C3CC8">
          <w:rPr>
            <w:rStyle w:val="Hyperlink"/>
            <w:rFonts w:ascii="Arial" w:hAnsi="Arial" w:cs="Arial"/>
          </w:rPr>
          <w:t>https://doi.org/10.1257/jep.33.3.202</w:t>
        </w:r>
      </w:hyperlink>
      <w:r w:rsidRPr="007C3CC8">
        <w:rPr>
          <w:rFonts w:ascii="Arial" w:hAnsi="Arial" w:cs="Arial"/>
        </w:rPr>
        <w:t xml:space="preserve"> </w:t>
      </w:r>
    </w:p>
    <w:p w14:paraId="752BB2D7" w14:textId="77777777" w:rsidR="0001715B" w:rsidRPr="007C3CC8" w:rsidRDefault="0001715B" w:rsidP="00754F7E">
      <w:pPr>
        <w:spacing w:line="360" w:lineRule="auto"/>
        <w:ind w:hanging="720"/>
        <w:rPr>
          <w:rFonts w:ascii="Arial" w:hAnsi="Arial" w:cs="Arial"/>
        </w:rPr>
      </w:pPr>
    </w:p>
    <w:p w14:paraId="1ED73237" w14:textId="77777777" w:rsidR="00A933C8" w:rsidRPr="007C3CC8" w:rsidRDefault="00A933C8" w:rsidP="00754F7E">
      <w:pPr>
        <w:spacing w:line="360" w:lineRule="auto"/>
        <w:ind w:hanging="720"/>
        <w:rPr>
          <w:rFonts w:ascii="Arial" w:hAnsi="Arial" w:cs="Arial"/>
        </w:rPr>
      </w:pPr>
    </w:p>
    <w:p w14:paraId="2878C6F6" w14:textId="77777777" w:rsidR="0001715B" w:rsidRPr="007C3CC8" w:rsidRDefault="0001715B" w:rsidP="00754F7E">
      <w:pPr>
        <w:spacing w:line="360" w:lineRule="auto"/>
        <w:ind w:left="720" w:hanging="720"/>
        <w:rPr>
          <w:rFonts w:ascii="Arial" w:hAnsi="Arial" w:cs="Arial"/>
        </w:rPr>
      </w:pPr>
      <w:r w:rsidRPr="007C3CC8">
        <w:rPr>
          <w:rFonts w:ascii="Arial" w:hAnsi="Arial" w:cs="Arial"/>
        </w:rPr>
        <w:t>Emerson, P. M. (2019). Module 10: Market Equilibrium – Supply and Demand. </w:t>
      </w:r>
      <w:r w:rsidRPr="007C3CC8">
        <w:rPr>
          <w:rFonts w:ascii="Arial" w:hAnsi="Arial" w:cs="Arial"/>
          <w:i/>
          <w:iCs/>
        </w:rPr>
        <w:t>Open.oregonstate.education</w:t>
      </w:r>
      <w:r w:rsidRPr="007C3CC8">
        <w:rPr>
          <w:rFonts w:ascii="Arial" w:hAnsi="Arial" w:cs="Arial"/>
        </w:rPr>
        <w:t xml:space="preserve">. </w:t>
      </w:r>
      <w:hyperlink r:id="rId13" w:history="1">
        <w:r w:rsidRPr="007C3CC8">
          <w:rPr>
            <w:rStyle w:val="Hyperlink"/>
            <w:rFonts w:ascii="Arial" w:hAnsi="Arial" w:cs="Arial"/>
          </w:rPr>
          <w:t>https://open.oregonstate.education/intermediatemicroeconomics/chapter/module-10/</w:t>
        </w:r>
      </w:hyperlink>
    </w:p>
    <w:p w14:paraId="55609472" w14:textId="77777777" w:rsidR="0001715B" w:rsidRPr="007C3CC8" w:rsidRDefault="0001715B" w:rsidP="00754F7E">
      <w:pPr>
        <w:spacing w:line="360" w:lineRule="auto"/>
        <w:ind w:left="720" w:hanging="720"/>
        <w:rPr>
          <w:rFonts w:ascii="Arial" w:hAnsi="Arial" w:cs="Arial"/>
        </w:rPr>
      </w:pPr>
    </w:p>
    <w:p w14:paraId="2ABDB642" w14:textId="7FDFC4DA" w:rsidR="00644E37" w:rsidRPr="007C3CC8" w:rsidRDefault="00644E37" w:rsidP="00754F7E">
      <w:pPr>
        <w:spacing w:line="360" w:lineRule="auto"/>
        <w:ind w:left="720" w:hanging="720"/>
        <w:rPr>
          <w:rFonts w:ascii="Arial" w:hAnsi="Arial" w:cs="Arial"/>
        </w:rPr>
      </w:pPr>
      <w:r w:rsidRPr="007C3CC8">
        <w:rPr>
          <w:rFonts w:ascii="Arial" w:hAnsi="Arial" w:cs="Arial"/>
        </w:rPr>
        <w:t>‌</w:t>
      </w:r>
    </w:p>
    <w:p w14:paraId="7F757BDA" w14:textId="77777777" w:rsidR="00D10AEE" w:rsidRPr="007C3CC8" w:rsidRDefault="00D10AEE" w:rsidP="00754F7E">
      <w:pPr>
        <w:spacing w:line="360" w:lineRule="auto"/>
        <w:ind w:left="720" w:hanging="720"/>
        <w:rPr>
          <w:rFonts w:ascii="Arial" w:hAnsi="Arial" w:cs="Arial"/>
        </w:rPr>
      </w:pPr>
      <w:r w:rsidRPr="007C3CC8">
        <w:rPr>
          <w:rFonts w:ascii="Arial" w:hAnsi="Arial" w:cs="Arial"/>
        </w:rPr>
        <w:t xml:space="preserve">Gareth Myles, Nigar Hashimzade, &amp; John Black. (2012). marginal social benefit. In </w:t>
      </w:r>
      <w:r w:rsidRPr="007C3CC8">
        <w:rPr>
          <w:rFonts w:ascii="Arial" w:hAnsi="Arial" w:cs="Arial"/>
          <w:i/>
          <w:iCs/>
        </w:rPr>
        <w:t>A Dictionary of Economics</w:t>
      </w:r>
      <w:r w:rsidRPr="007C3CC8">
        <w:rPr>
          <w:rFonts w:ascii="Arial" w:hAnsi="Arial" w:cs="Arial"/>
        </w:rPr>
        <w:t xml:space="preserve"> (4th ed.). Oxford University Press. </w:t>
      </w:r>
    </w:p>
    <w:p w14:paraId="2506B4A2" w14:textId="619F916F" w:rsidR="00B24636" w:rsidRPr="007C3CC8" w:rsidRDefault="00B24636" w:rsidP="00754F7E">
      <w:pPr>
        <w:spacing w:line="360" w:lineRule="auto"/>
        <w:ind w:left="720" w:hanging="720"/>
        <w:rPr>
          <w:rFonts w:ascii="Arial" w:hAnsi="Arial" w:cs="Arial"/>
        </w:rPr>
      </w:pPr>
    </w:p>
    <w:p w14:paraId="5DB46AE7" w14:textId="6D7601D9" w:rsidR="00647F79" w:rsidRPr="007C3CC8" w:rsidRDefault="00647F79" w:rsidP="00754F7E">
      <w:pPr>
        <w:spacing w:line="360" w:lineRule="auto"/>
        <w:ind w:left="720" w:hanging="720"/>
        <w:rPr>
          <w:rFonts w:ascii="Arial" w:hAnsi="Arial" w:cs="Arial"/>
        </w:rPr>
      </w:pPr>
      <w:r w:rsidRPr="007C3CC8">
        <w:rPr>
          <w:rFonts w:ascii="Arial" w:hAnsi="Arial" w:cs="Arial"/>
        </w:rPr>
        <w:t>Griffith, R., O’Connell, M., &amp; Smith, K. (2017). Corrective Taxation and Internalities from Food Consumption. </w:t>
      </w:r>
      <w:r w:rsidRPr="007C3CC8">
        <w:rPr>
          <w:rFonts w:ascii="Arial" w:hAnsi="Arial" w:cs="Arial"/>
          <w:i/>
          <w:iCs/>
        </w:rPr>
        <w:t>CESifo Economic Studies</w:t>
      </w:r>
      <w:r w:rsidRPr="007C3CC8">
        <w:rPr>
          <w:rFonts w:ascii="Arial" w:hAnsi="Arial" w:cs="Arial"/>
        </w:rPr>
        <w:t>, </w:t>
      </w:r>
      <w:r w:rsidRPr="007C3CC8">
        <w:rPr>
          <w:rFonts w:ascii="Arial" w:hAnsi="Arial" w:cs="Arial"/>
          <w:i/>
          <w:iCs/>
        </w:rPr>
        <w:t>64</w:t>
      </w:r>
      <w:r w:rsidRPr="007C3CC8">
        <w:rPr>
          <w:rFonts w:ascii="Arial" w:hAnsi="Arial" w:cs="Arial"/>
        </w:rPr>
        <w:t xml:space="preserve">(1), 1–14. </w:t>
      </w:r>
      <w:hyperlink r:id="rId14" w:history="1">
        <w:r w:rsidRPr="007C3CC8">
          <w:rPr>
            <w:rStyle w:val="Hyperlink"/>
            <w:rFonts w:ascii="Arial" w:hAnsi="Arial" w:cs="Arial"/>
          </w:rPr>
          <w:t>https://doi.org/10.1093/cesifo/ifx018</w:t>
        </w:r>
      </w:hyperlink>
    </w:p>
    <w:p w14:paraId="5EB935D6" w14:textId="77777777" w:rsidR="0001715B" w:rsidRPr="007C3CC8" w:rsidRDefault="0001715B" w:rsidP="00072A12">
      <w:pPr>
        <w:spacing w:line="360" w:lineRule="auto"/>
        <w:rPr>
          <w:rFonts w:ascii="Arial" w:hAnsi="Arial" w:cs="Arial"/>
        </w:rPr>
      </w:pPr>
    </w:p>
    <w:p w14:paraId="25FC277D" w14:textId="6354FE0A" w:rsidR="005728C1" w:rsidRPr="007C3CC8" w:rsidRDefault="005728C1" w:rsidP="00754F7E">
      <w:pPr>
        <w:spacing w:line="360" w:lineRule="auto"/>
        <w:ind w:left="720" w:hanging="720"/>
        <w:rPr>
          <w:rFonts w:ascii="Arial" w:hAnsi="Arial" w:cs="Arial"/>
        </w:rPr>
      </w:pPr>
      <w:r w:rsidRPr="007C3CC8">
        <w:rPr>
          <w:rFonts w:ascii="Arial" w:hAnsi="Arial" w:cs="Arial"/>
        </w:rPr>
        <w:t>GOV.UK. (2024). </w:t>
      </w:r>
      <w:r w:rsidRPr="007C3CC8">
        <w:rPr>
          <w:rFonts w:ascii="Arial" w:hAnsi="Arial" w:cs="Arial"/>
          <w:i/>
          <w:iCs/>
        </w:rPr>
        <w:t>Soft Drinks Industry Levy uprating</w:t>
      </w:r>
      <w:r w:rsidRPr="007C3CC8">
        <w:rPr>
          <w:rFonts w:ascii="Arial" w:hAnsi="Arial" w:cs="Arial"/>
        </w:rPr>
        <w:t xml:space="preserve">. GOV.UK. </w:t>
      </w:r>
      <w:hyperlink r:id="rId15" w:history="1">
        <w:r w:rsidRPr="007C3CC8">
          <w:rPr>
            <w:rStyle w:val="Hyperlink"/>
            <w:rFonts w:ascii="Arial" w:hAnsi="Arial" w:cs="Arial"/>
          </w:rPr>
          <w:t>https://www.gov.uk/government/publications/increasing-the-rates-of-the-soft-drinks-industry-levy/soft-drinks-industry-levy-uprating</w:t>
        </w:r>
      </w:hyperlink>
    </w:p>
    <w:p w14:paraId="76317D34" w14:textId="77777777" w:rsidR="00A933C8" w:rsidRPr="007C3CC8" w:rsidRDefault="00A933C8" w:rsidP="00754F7E">
      <w:pPr>
        <w:spacing w:line="360" w:lineRule="auto"/>
        <w:ind w:left="720" w:hanging="720"/>
        <w:rPr>
          <w:rFonts w:ascii="Arial" w:hAnsi="Arial" w:cs="Arial"/>
        </w:rPr>
      </w:pPr>
    </w:p>
    <w:p w14:paraId="4C0C0485" w14:textId="0579E8E1" w:rsidR="00A933C8" w:rsidRPr="00A933C8" w:rsidRDefault="00A933C8" w:rsidP="00754F7E">
      <w:pPr>
        <w:spacing w:line="360" w:lineRule="auto"/>
        <w:ind w:left="720" w:hanging="720"/>
        <w:rPr>
          <w:rFonts w:ascii="Arial" w:hAnsi="Arial" w:cs="Arial"/>
        </w:rPr>
      </w:pPr>
      <w:r w:rsidRPr="00A933C8">
        <w:rPr>
          <w:rFonts w:ascii="Arial" w:hAnsi="Arial" w:cs="Arial"/>
        </w:rPr>
        <w:t>HM Treasury. (2024). </w:t>
      </w:r>
      <w:r w:rsidRPr="00A933C8">
        <w:rPr>
          <w:rFonts w:ascii="Arial" w:hAnsi="Arial" w:cs="Arial"/>
          <w:i/>
          <w:iCs/>
        </w:rPr>
        <w:t>HMT-HMRC Soft Drinks Industry Levy Review</w:t>
      </w:r>
      <w:r w:rsidRPr="00A933C8">
        <w:rPr>
          <w:rFonts w:ascii="Arial" w:hAnsi="Arial" w:cs="Arial"/>
        </w:rPr>
        <w:t xml:space="preserve">. GOV.UK. </w:t>
      </w:r>
      <w:hyperlink r:id="rId16" w:history="1">
        <w:r w:rsidRPr="00A933C8">
          <w:rPr>
            <w:rStyle w:val="Hyperlink"/>
            <w:rFonts w:ascii="Arial" w:hAnsi="Arial" w:cs="Arial"/>
          </w:rPr>
          <w:t>https://www.gov.uk/government/publications/soft-drinks-industry-levy-review/hmt-hmrc-soft-drinks-industry-levy-review</w:t>
        </w:r>
      </w:hyperlink>
      <w:r w:rsidRPr="007C3CC8">
        <w:rPr>
          <w:rFonts w:ascii="Arial" w:hAnsi="Arial" w:cs="Arial"/>
        </w:rPr>
        <w:t xml:space="preserve"> </w:t>
      </w:r>
    </w:p>
    <w:p w14:paraId="19981F0D" w14:textId="40A03047" w:rsidR="00542AFF" w:rsidRPr="007C3CC8" w:rsidRDefault="00542AFF" w:rsidP="00754F7E">
      <w:pPr>
        <w:spacing w:line="360" w:lineRule="auto"/>
        <w:ind w:left="720" w:hanging="720"/>
        <w:rPr>
          <w:rFonts w:ascii="Arial" w:hAnsi="Arial" w:cs="Arial"/>
        </w:rPr>
      </w:pPr>
    </w:p>
    <w:p w14:paraId="67EE8D34" w14:textId="6F430524" w:rsidR="00590478" w:rsidRPr="00590478" w:rsidRDefault="00590478" w:rsidP="00754F7E">
      <w:pPr>
        <w:spacing w:line="360" w:lineRule="auto"/>
        <w:ind w:left="720" w:hanging="720"/>
        <w:rPr>
          <w:rFonts w:ascii="Arial" w:hAnsi="Arial" w:cs="Arial"/>
        </w:rPr>
      </w:pPr>
      <w:r w:rsidRPr="00590478">
        <w:rPr>
          <w:rFonts w:ascii="Arial" w:hAnsi="Arial" w:cs="Arial"/>
        </w:rPr>
        <w:t>HM Revenue and Customs. (2024, September 27). </w:t>
      </w:r>
      <w:r w:rsidRPr="00590478">
        <w:rPr>
          <w:rFonts w:ascii="Arial" w:hAnsi="Arial" w:cs="Arial"/>
          <w:i/>
          <w:iCs/>
        </w:rPr>
        <w:t>Soft Drinks Industry Levy Statistics Commentary 2024</w:t>
      </w:r>
      <w:r w:rsidRPr="00590478">
        <w:rPr>
          <w:rFonts w:ascii="Arial" w:hAnsi="Arial" w:cs="Arial"/>
        </w:rPr>
        <w:t xml:space="preserve">. GOV.UK. </w:t>
      </w:r>
      <w:hyperlink r:id="rId17" w:history="1">
        <w:r w:rsidRPr="00590478">
          <w:rPr>
            <w:rStyle w:val="Hyperlink"/>
            <w:rFonts w:ascii="Arial" w:hAnsi="Arial" w:cs="Arial"/>
          </w:rPr>
          <w:t>https://www.gov.uk/government/statistics/soft-drinks-industry-levy-statistics/soft-drinks-industry-levy-statistics-commentary-2021</w:t>
        </w:r>
      </w:hyperlink>
      <w:r w:rsidRPr="007C3CC8">
        <w:rPr>
          <w:rFonts w:ascii="Arial" w:hAnsi="Arial" w:cs="Arial"/>
        </w:rPr>
        <w:t xml:space="preserve"> </w:t>
      </w:r>
    </w:p>
    <w:p w14:paraId="0378180A" w14:textId="3B64B5E1" w:rsidR="00590478" w:rsidRPr="007C3CC8" w:rsidRDefault="00590478" w:rsidP="00072A12">
      <w:pPr>
        <w:spacing w:line="360" w:lineRule="auto"/>
        <w:ind w:left="720" w:hanging="720"/>
        <w:rPr>
          <w:rFonts w:ascii="Arial" w:hAnsi="Arial" w:cs="Arial"/>
        </w:rPr>
      </w:pPr>
      <w:r w:rsidRPr="00590478">
        <w:rPr>
          <w:rFonts w:ascii="Arial" w:hAnsi="Arial" w:cs="Arial"/>
        </w:rPr>
        <w:t>‌</w:t>
      </w:r>
    </w:p>
    <w:p w14:paraId="42CFB63C" w14:textId="77777777" w:rsidR="00A933C8" w:rsidRPr="007C3CC8" w:rsidRDefault="00A933C8" w:rsidP="00754F7E">
      <w:pPr>
        <w:spacing w:line="360" w:lineRule="auto"/>
        <w:ind w:left="720" w:hanging="720"/>
        <w:rPr>
          <w:rFonts w:ascii="Arial" w:hAnsi="Arial" w:cs="Arial"/>
        </w:rPr>
      </w:pPr>
    </w:p>
    <w:p w14:paraId="7BEBFD80" w14:textId="77777777" w:rsidR="00542AFF" w:rsidRPr="007C3CC8" w:rsidRDefault="00542AFF" w:rsidP="00754F7E">
      <w:pPr>
        <w:spacing w:line="360" w:lineRule="auto"/>
        <w:ind w:left="720" w:hanging="720"/>
        <w:rPr>
          <w:rFonts w:ascii="Arial" w:hAnsi="Arial" w:cs="Arial"/>
        </w:rPr>
      </w:pPr>
      <w:r w:rsidRPr="007C3CC8">
        <w:rPr>
          <w:rFonts w:ascii="Arial" w:hAnsi="Arial" w:cs="Arial"/>
        </w:rPr>
        <w:t xml:space="preserve">Lee, D. R., &amp; Clark, J. R. (2013). Market failures, government solutions, and moral perceptions. </w:t>
      </w:r>
      <w:r w:rsidRPr="007C3CC8">
        <w:rPr>
          <w:rFonts w:ascii="Arial" w:hAnsi="Arial" w:cs="Arial"/>
          <w:i/>
          <w:iCs/>
        </w:rPr>
        <w:t>The Cato Journal</w:t>
      </w:r>
      <w:r w:rsidRPr="007C3CC8">
        <w:rPr>
          <w:rFonts w:ascii="Arial" w:hAnsi="Arial" w:cs="Arial"/>
        </w:rPr>
        <w:t xml:space="preserve">, </w:t>
      </w:r>
      <w:r w:rsidRPr="007C3CC8">
        <w:rPr>
          <w:rFonts w:ascii="Arial" w:hAnsi="Arial" w:cs="Arial"/>
          <w:i/>
          <w:iCs/>
        </w:rPr>
        <w:t>33</w:t>
      </w:r>
      <w:r w:rsidRPr="007C3CC8">
        <w:rPr>
          <w:rFonts w:ascii="Arial" w:hAnsi="Arial" w:cs="Arial"/>
        </w:rPr>
        <w:t>(2), 287–297.</w:t>
      </w:r>
    </w:p>
    <w:p w14:paraId="18ED6E0A" w14:textId="77777777" w:rsidR="006836AB" w:rsidRPr="007C3CC8" w:rsidRDefault="006836AB" w:rsidP="00754F7E">
      <w:pPr>
        <w:spacing w:line="360" w:lineRule="auto"/>
        <w:ind w:left="720" w:hanging="720"/>
        <w:rPr>
          <w:rFonts w:ascii="Arial" w:hAnsi="Arial" w:cs="Arial"/>
        </w:rPr>
      </w:pPr>
    </w:p>
    <w:p w14:paraId="65DC2AE1" w14:textId="77777777" w:rsidR="006836AB" w:rsidRPr="007C3CC8" w:rsidRDefault="006836AB" w:rsidP="00754F7E">
      <w:pPr>
        <w:spacing w:line="360" w:lineRule="auto"/>
        <w:ind w:left="720" w:hanging="720"/>
        <w:rPr>
          <w:rFonts w:ascii="Arial" w:hAnsi="Arial" w:cs="Arial"/>
        </w:rPr>
      </w:pPr>
      <w:r w:rsidRPr="007C3CC8">
        <w:rPr>
          <w:rFonts w:ascii="Arial" w:hAnsi="Arial" w:cs="Arial"/>
          <w:i/>
          <w:iCs/>
        </w:rPr>
        <w:t>Obesity and excess weight costing UK economy £31 billion a year in lost productivity</w:t>
      </w:r>
      <w:r w:rsidRPr="007C3CC8">
        <w:rPr>
          <w:rFonts w:ascii="Arial" w:hAnsi="Arial" w:cs="Arial"/>
        </w:rPr>
        <w:t xml:space="preserve">. (2025). Nesta. </w:t>
      </w:r>
      <w:hyperlink r:id="rId18" w:history="1">
        <w:r w:rsidRPr="007C3CC8">
          <w:rPr>
            <w:rStyle w:val="Hyperlink"/>
            <w:rFonts w:ascii="Arial" w:hAnsi="Arial" w:cs="Arial"/>
          </w:rPr>
          <w:t>https://www.nesta.org.uk/press-release/obesity-and-excess-weight-costing-uk-economy-31-billion-a-year-in-lost-productivity/</w:t>
        </w:r>
      </w:hyperlink>
    </w:p>
    <w:p w14:paraId="5B10DD1C" w14:textId="77777777" w:rsidR="006836AB" w:rsidRPr="007C3CC8" w:rsidRDefault="006836AB" w:rsidP="00754F7E">
      <w:pPr>
        <w:spacing w:line="360" w:lineRule="auto"/>
        <w:ind w:hanging="720"/>
        <w:rPr>
          <w:rFonts w:ascii="Arial" w:hAnsi="Arial" w:cs="Arial"/>
        </w:rPr>
      </w:pPr>
    </w:p>
    <w:p w14:paraId="252CB305" w14:textId="77777777" w:rsidR="00754F7E" w:rsidRPr="007C3CC8" w:rsidRDefault="00754F7E" w:rsidP="00072A12">
      <w:pPr>
        <w:spacing w:line="360" w:lineRule="auto"/>
        <w:rPr>
          <w:rFonts w:ascii="Arial" w:hAnsi="Arial" w:cs="Arial"/>
        </w:rPr>
      </w:pPr>
    </w:p>
    <w:p w14:paraId="66D57436" w14:textId="37A30A90" w:rsidR="006836AB" w:rsidRPr="006836AB" w:rsidRDefault="006836AB" w:rsidP="00754F7E">
      <w:pPr>
        <w:spacing w:line="360" w:lineRule="auto"/>
        <w:ind w:left="720" w:hanging="720"/>
        <w:rPr>
          <w:rFonts w:ascii="Arial" w:hAnsi="Arial" w:cs="Arial"/>
        </w:rPr>
      </w:pPr>
      <w:r w:rsidRPr="006836AB">
        <w:rPr>
          <w:rFonts w:ascii="Arial" w:hAnsi="Arial" w:cs="Arial"/>
        </w:rPr>
        <w:t>Pell, D., Penney, T., Hammond, D., Vanderlee, L., White, M., &amp; Adams, J. (2019). Support for, and Perceived Effectiveness of, the UK Soft Drinks Industry Levy among UK Adults: Cross-Sectional Analysis of the International Food Policy Study. </w:t>
      </w:r>
      <w:r w:rsidRPr="006836AB">
        <w:rPr>
          <w:rFonts w:ascii="Arial" w:hAnsi="Arial" w:cs="Arial"/>
          <w:i/>
          <w:iCs/>
        </w:rPr>
        <w:t>BMJ Open</w:t>
      </w:r>
      <w:r w:rsidRPr="006836AB">
        <w:rPr>
          <w:rFonts w:ascii="Arial" w:hAnsi="Arial" w:cs="Arial"/>
        </w:rPr>
        <w:t>, </w:t>
      </w:r>
      <w:r w:rsidRPr="006836AB">
        <w:rPr>
          <w:rFonts w:ascii="Arial" w:hAnsi="Arial" w:cs="Arial"/>
          <w:i/>
          <w:iCs/>
        </w:rPr>
        <w:t>9</w:t>
      </w:r>
      <w:r w:rsidRPr="006836AB">
        <w:rPr>
          <w:rFonts w:ascii="Arial" w:hAnsi="Arial" w:cs="Arial"/>
        </w:rPr>
        <w:t xml:space="preserve">(3). </w:t>
      </w:r>
      <w:hyperlink r:id="rId19" w:history="1">
        <w:r w:rsidR="00754F7E" w:rsidRPr="006836AB">
          <w:rPr>
            <w:rStyle w:val="Hyperlink"/>
            <w:rFonts w:ascii="Arial" w:hAnsi="Arial" w:cs="Arial"/>
          </w:rPr>
          <w:t>https://doi.org/10.1136/bmjopen-2018-026698</w:t>
        </w:r>
      </w:hyperlink>
      <w:r w:rsidR="00754F7E" w:rsidRPr="007C3CC8">
        <w:rPr>
          <w:rFonts w:ascii="Arial" w:hAnsi="Arial" w:cs="Arial"/>
        </w:rPr>
        <w:t xml:space="preserve"> </w:t>
      </w:r>
    </w:p>
    <w:p w14:paraId="5207DC3F" w14:textId="7D9390E4" w:rsidR="006836AB" w:rsidRPr="007C3CC8" w:rsidRDefault="006836AB" w:rsidP="00754F7E">
      <w:pPr>
        <w:spacing w:line="360" w:lineRule="auto"/>
        <w:ind w:left="720" w:hanging="720"/>
        <w:rPr>
          <w:rFonts w:ascii="Arial" w:hAnsi="Arial" w:cs="Arial"/>
        </w:rPr>
      </w:pPr>
      <w:r w:rsidRPr="006836AB">
        <w:rPr>
          <w:rFonts w:ascii="Arial" w:hAnsi="Arial" w:cs="Arial"/>
        </w:rPr>
        <w:t>‌</w:t>
      </w:r>
    </w:p>
    <w:p w14:paraId="4133AAF2" w14:textId="77777777" w:rsidR="001449BA" w:rsidRPr="007C3CC8" w:rsidRDefault="001449BA" w:rsidP="00754F7E">
      <w:pPr>
        <w:spacing w:line="360" w:lineRule="auto"/>
        <w:ind w:left="720" w:hanging="720"/>
        <w:rPr>
          <w:rFonts w:ascii="Arial" w:hAnsi="Arial" w:cs="Arial"/>
        </w:rPr>
      </w:pPr>
    </w:p>
    <w:p w14:paraId="6157CD77" w14:textId="006E89C3" w:rsidR="001449BA" w:rsidRPr="001449BA" w:rsidRDefault="001449BA" w:rsidP="00754F7E">
      <w:pPr>
        <w:spacing w:line="360" w:lineRule="auto"/>
        <w:ind w:left="720" w:hanging="720"/>
        <w:rPr>
          <w:rFonts w:ascii="Arial" w:hAnsi="Arial" w:cs="Arial"/>
        </w:rPr>
      </w:pPr>
      <w:r w:rsidRPr="001449BA">
        <w:rPr>
          <w:rFonts w:ascii="Arial" w:hAnsi="Arial" w:cs="Arial"/>
        </w:rPr>
        <w:t>Rogers, N. T., Cummins, S., Pell, D., Rutter, H., Sharp, S. J., Smith, R. D., White, M., &amp; Adams, J. (2025). Changes in household purchasing of soft drinks following the UK soft drinks industry levy by household income and composition: controlled interrupted time series analysis, March 2014 to November 2019. </w:t>
      </w:r>
      <w:r w:rsidRPr="001449BA">
        <w:rPr>
          <w:rFonts w:ascii="Arial" w:hAnsi="Arial" w:cs="Arial"/>
          <w:i/>
          <w:iCs/>
        </w:rPr>
        <w:t>BMJ Nutrition Prevention &amp; Health</w:t>
      </w:r>
      <w:r w:rsidRPr="001449BA">
        <w:rPr>
          <w:rFonts w:ascii="Arial" w:hAnsi="Arial" w:cs="Arial"/>
        </w:rPr>
        <w:t xml:space="preserve">, e000981–e000981. </w:t>
      </w:r>
      <w:hyperlink r:id="rId20" w:history="1">
        <w:r w:rsidRPr="001449BA">
          <w:rPr>
            <w:rStyle w:val="Hyperlink"/>
            <w:rFonts w:ascii="Arial" w:hAnsi="Arial" w:cs="Arial"/>
          </w:rPr>
          <w:t>https://doi.org/10.1136/bmjnph-2024-000981</w:t>
        </w:r>
      </w:hyperlink>
      <w:r w:rsidRPr="007C3CC8">
        <w:rPr>
          <w:rFonts w:ascii="Arial" w:hAnsi="Arial" w:cs="Arial"/>
        </w:rPr>
        <w:t xml:space="preserve"> </w:t>
      </w:r>
    </w:p>
    <w:p w14:paraId="5583A221" w14:textId="51058CB9" w:rsidR="005728C1" w:rsidRPr="007C3CC8" w:rsidRDefault="001449BA" w:rsidP="00754F7E">
      <w:pPr>
        <w:spacing w:line="360" w:lineRule="auto"/>
        <w:ind w:left="720" w:hanging="720"/>
        <w:rPr>
          <w:rFonts w:ascii="Arial" w:hAnsi="Arial" w:cs="Arial"/>
        </w:rPr>
      </w:pPr>
      <w:r w:rsidRPr="001449BA">
        <w:rPr>
          <w:rFonts w:ascii="Arial" w:hAnsi="Arial" w:cs="Arial"/>
        </w:rPr>
        <w:t>‌</w:t>
      </w:r>
    </w:p>
    <w:p w14:paraId="2310527E" w14:textId="60C8DB73" w:rsidR="00A5219E" w:rsidRPr="007C3CC8" w:rsidRDefault="00A5219E" w:rsidP="00754F7E">
      <w:pPr>
        <w:spacing w:line="360" w:lineRule="auto"/>
        <w:ind w:left="720" w:hanging="720"/>
        <w:rPr>
          <w:rFonts w:ascii="Arial" w:hAnsi="Arial" w:cs="Arial"/>
        </w:rPr>
      </w:pPr>
      <w:r w:rsidRPr="007C3CC8">
        <w:rPr>
          <w:rFonts w:ascii="Arial" w:hAnsi="Arial" w:cs="Arial"/>
        </w:rPr>
        <w:t>Sasse, T., &amp; Metcalfe, S. (2022, November 14). </w:t>
      </w:r>
      <w:r w:rsidRPr="007C3CC8">
        <w:rPr>
          <w:rFonts w:ascii="Arial" w:hAnsi="Arial" w:cs="Arial"/>
          <w:i/>
          <w:iCs/>
        </w:rPr>
        <w:t>Sugar tax</w:t>
      </w:r>
      <w:r w:rsidRPr="007C3CC8">
        <w:rPr>
          <w:rFonts w:ascii="Arial" w:hAnsi="Arial" w:cs="Arial"/>
        </w:rPr>
        <w:t xml:space="preserve">. Institute for Government. </w:t>
      </w:r>
      <w:hyperlink r:id="rId21" w:history="1">
        <w:r w:rsidRPr="007C3CC8">
          <w:rPr>
            <w:rStyle w:val="Hyperlink"/>
            <w:rFonts w:ascii="Arial" w:hAnsi="Arial" w:cs="Arial"/>
          </w:rPr>
          <w:t>https://www.instituteforgovernment.org.uk/explainer/sugar-tax</w:t>
        </w:r>
      </w:hyperlink>
      <w:r w:rsidRPr="007C3CC8">
        <w:rPr>
          <w:rFonts w:ascii="Arial" w:hAnsi="Arial" w:cs="Arial"/>
        </w:rPr>
        <w:t xml:space="preserve"> </w:t>
      </w:r>
    </w:p>
    <w:p w14:paraId="06F85EDA" w14:textId="478BF5FD" w:rsidR="00A5219E" w:rsidRPr="007C3CC8" w:rsidRDefault="00A5219E" w:rsidP="00754F7E">
      <w:pPr>
        <w:spacing w:line="360" w:lineRule="auto"/>
        <w:ind w:left="720" w:hanging="720"/>
        <w:rPr>
          <w:rFonts w:ascii="Arial" w:hAnsi="Arial" w:cs="Arial"/>
        </w:rPr>
      </w:pPr>
      <w:r w:rsidRPr="007C3CC8">
        <w:rPr>
          <w:rFonts w:ascii="Arial" w:hAnsi="Arial" w:cs="Arial"/>
        </w:rPr>
        <w:t>‌</w:t>
      </w:r>
    </w:p>
    <w:p w14:paraId="0E09A4A0" w14:textId="77777777" w:rsidR="0001715B" w:rsidRPr="007C3CC8" w:rsidRDefault="005167F7" w:rsidP="00754F7E">
      <w:pPr>
        <w:spacing w:line="360" w:lineRule="auto"/>
        <w:ind w:left="720" w:hanging="720"/>
        <w:rPr>
          <w:rFonts w:ascii="Arial" w:hAnsi="Arial" w:cs="Arial"/>
        </w:rPr>
      </w:pPr>
      <w:r w:rsidRPr="007C3CC8">
        <w:rPr>
          <w:rFonts w:ascii="Arial" w:hAnsi="Arial" w:cs="Arial"/>
        </w:rPr>
        <w:t>Stanhope, K. L. (2016). Sugar consumption, metabolic disease and obesity: The state of the controversy. </w:t>
      </w:r>
      <w:r w:rsidRPr="007C3CC8">
        <w:rPr>
          <w:rFonts w:ascii="Arial" w:hAnsi="Arial" w:cs="Arial"/>
          <w:i/>
          <w:iCs/>
        </w:rPr>
        <w:t>Critical Reviews in Clinical Laboratory Sciences</w:t>
      </w:r>
      <w:r w:rsidRPr="007C3CC8">
        <w:rPr>
          <w:rFonts w:ascii="Arial" w:hAnsi="Arial" w:cs="Arial"/>
        </w:rPr>
        <w:t>, </w:t>
      </w:r>
      <w:r w:rsidRPr="007C3CC8">
        <w:rPr>
          <w:rFonts w:ascii="Arial" w:hAnsi="Arial" w:cs="Arial"/>
          <w:i/>
          <w:iCs/>
        </w:rPr>
        <w:t>53</w:t>
      </w:r>
      <w:r w:rsidRPr="007C3CC8">
        <w:rPr>
          <w:rFonts w:ascii="Arial" w:hAnsi="Arial" w:cs="Arial"/>
        </w:rPr>
        <w:t xml:space="preserve">(1), 52–67. </w:t>
      </w:r>
      <w:hyperlink r:id="rId22" w:history="1">
        <w:r w:rsidRPr="007C3CC8">
          <w:rPr>
            <w:rStyle w:val="Hyperlink"/>
            <w:rFonts w:ascii="Arial" w:hAnsi="Arial" w:cs="Arial"/>
          </w:rPr>
          <w:t>https://doi.org/10.3109/10408363.2015.1084990</w:t>
        </w:r>
      </w:hyperlink>
    </w:p>
    <w:p w14:paraId="0F55B70B" w14:textId="77777777" w:rsidR="002156AD" w:rsidRPr="007C3CC8" w:rsidRDefault="002156AD" w:rsidP="00754F7E">
      <w:pPr>
        <w:spacing w:line="360" w:lineRule="auto"/>
        <w:ind w:left="720" w:hanging="720"/>
        <w:rPr>
          <w:rFonts w:ascii="Arial" w:hAnsi="Arial" w:cs="Arial"/>
        </w:rPr>
      </w:pPr>
    </w:p>
    <w:p w14:paraId="44EB64DB" w14:textId="77777777" w:rsidR="0094232E" w:rsidRPr="007C3CC8" w:rsidRDefault="0094232E" w:rsidP="00072A12">
      <w:pPr>
        <w:spacing w:line="360" w:lineRule="auto"/>
        <w:rPr>
          <w:rFonts w:ascii="Arial" w:hAnsi="Arial" w:cs="Arial"/>
        </w:rPr>
      </w:pPr>
    </w:p>
    <w:p w14:paraId="5FF31E60" w14:textId="47D65826" w:rsidR="002156AD" w:rsidRPr="007C3CC8" w:rsidRDefault="002156AD" w:rsidP="00754F7E">
      <w:pPr>
        <w:spacing w:line="360" w:lineRule="auto"/>
        <w:ind w:left="720" w:hanging="720"/>
        <w:rPr>
          <w:rFonts w:ascii="Arial" w:hAnsi="Arial" w:cs="Arial"/>
        </w:rPr>
      </w:pPr>
      <w:r w:rsidRPr="007C3CC8">
        <w:rPr>
          <w:rFonts w:ascii="Arial" w:hAnsi="Arial" w:cs="Arial"/>
        </w:rPr>
        <w:t>Scarborough, P., Adhikari, V., Harrington, R. A., Elhussein, A., Briggs, A., Rayner, M., Adams, J., Cummins, S., Penney, T., &amp; White, M. (2020). Impact of the Announcement and Implementation of the UK Soft Drinks Industry Levy on Sugar content, price, Product Size and Number of Available Soft Drinks in the UK, 2015-19: A controlled Interrupted Time Series Analysis. </w:t>
      </w:r>
      <w:r w:rsidRPr="007C3CC8">
        <w:rPr>
          <w:rFonts w:ascii="Arial" w:hAnsi="Arial" w:cs="Arial"/>
          <w:i/>
          <w:iCs/>
        </w:rPr>
        <w:t>PLOS Medicine</w:t>
      </w:r>
      <w:r w:rsidRPr="007C3CC8">
        <w:rPr>
          <w:rFonts w:ascii="Arial" w:hAnsi="Arial" w:cs="Arial"/>
        </w:rPr>
        <w:t>, </w:t>
      </w:r>
      <w:r w:rsidRPr="007C3CC8">
        <w:rPr>
          <w:rFonts w:ascii="Arial" w:hAnsi="Arial" w:cs="Arial"/>
          <w:i/>
          <w:iCs/>
        </w:rPr>
        <w:t>17</w:t>
      </w:r>
      <w:r w:rsidRPr="007C3CC8">
        <w:rPr>
          <w:rFonts w:ascii="Arial" w:hAnsi="Arial" w:cs="Arial"/>
        </w:rPr>
        <w:t xml:space="preserve">(2), e1003025. </w:t>
      </w:r>
      <w:hyperlink r:id="rId23" w:history="1">
        <w:r w:rsidRPr="007C3CC8">
          <w:rPr>
            <w:rStyle w:val="Hyperlink"/>
            <w:rFonts w:ascii="Arial" w:hAnsi="Arial" w:cs="Arial"/>
          </w:rPr>
          <w:t>https://doi.org/10.1371/journal.pmed.1003025</w:t>
        </w:r>
      </w:hyperlink>
      <w:r w:rsidRPr="007C3CC8">
        <w:rPr>
          <w:rFonts w:ascii="Arial" w:hAnsi="Arial" w:cs="Arial"/>
        </w:rPr>
        <w:t xml:space="preserve"> </w:t>
      </w:r>
    </w:p>
    <w:p w14:paraId="410BBCA3" w14:textId="77777777" w:rsidR="0094232E" w:rsidRPr="007C3CC8" w:rsidRDefault="0094232E" w:rsidP="00754F7E">
      <w:pPr>
        <w:spacing w:line="360" w:lineRule="auto"/>
        <w:ind w:left="720" w:hanging="720"/>
        <w:rPr>
          <w:rFonts w:ascii="Arial" w:hAnsi="Arial" w:cs="Arial"/>
        </w:rPr>
      </w:pPr>
    </w:p>
    <w:p w14:paraId="36E30AF3" w14:textId="5ED57757" w:rsidR="0094232E" w:rsidRPr="007C3CC8" w:rsidRDefault="0094232E" w:rsidP="00754F7E">
      <w:pPr>
        <w:spacing w:line="360" w:lineRule="auto"/>
        <w:ind w:left="720" w:hanging="720"/>
        <w:rPr>
          <w:rFonts w:ascii="Arial" w:hAnsi="Arial" w:cs="Arial"/>
        </w:rPr>
      </w:pPr>
      <w:r w:rsidRPr="007C3CC8">
        <w:rPr>
          <w:rFonts w:ascii="Arial" w:hAnsi="Arial" w:cs="Arial"/>
          <w:i/>
          <w:iCs/>
        </w:rPr>
        <w:t>Soft drinks levy shows success on reducing sugar intakes — Nuffield Department of Population Health</w:t>
      </w:r>
      <w:r w:rsidRPr="007C3CC8">
        <w:rPr>
          <w:rFonts w:ascii="Arial" w:hAnsi="Arial" w:cs="Arial"/>
        </w:rPr>
        <w:t xml:space="preserve">. (2021, March 10). Www.ndph.ox.ac.uk. </w:t>
      </w:r>
      <w:hyperlink r:id="rId24" w:history="1">
        <w:r w:rsidRPr="007C3CC8">
          <w:rPr>
            <w:rStyle w:val="Hyperlink"/>
            <w:rFonts w:ascii="Arial" w:hAnsi="Arial" w:cs="Arial"/>
          </w:rPr>
          <w:t>https://www.ndph.ox.ac.uk/news/soft-drinks-levy-shows-success-on-reducing-sugar-intakes</w:t>
        </w:r>
      </w:hyperlink>
      <w:r w:rsidRPr="007C3CC8">
        <w:rPr>
          <w:rFonts w:ascii="Arial" w:hAnsi="Arial" w:cs="Arial"/>
        </w:rPr>
        <w:t xml:space="preserve"> </w:t>
      </w:r>
    </w:p>
    <w:p w14:paraId="3F27EF68" w14:textId="77777777" w:rsidR="0094232E" w:rsidRPr="007C3CC8" w:rsidRDefault="0094232E" w:rsidP="00754F7E">
      <w:pPr>
        <w:spacing w:line="360" w:lineRule="auto"/>
        <w:ind w:left="720" w:hanging="720"/>
        <w:rPr>
          <w:rFonts w:ascii="Arial" w:hAnsi="Arial" w:cs="Arial"/>
        </w:rPr>
      </w:pPr>
      <w:r w:rsidRPr="007C3CC8">
        <w:rPr>
          <w:rFonts w:ascii="Arial" w:hAnsi="Arial" w:cs="Arial"/>
        </w:rPr>
        <w:t>‌</w:t>
      </w:r>
    </w:p>
    <w:p w14:paraId="69B917E2" w14:textId="6DD9AF18" w:rsidR="0001715B" w:rsidRPr="007C3CC8" w:rsidRDefault="0001715B" w:rsidP="00754F7E">
      <w:pPr>
        <w:spacing w:line="360" w:lineRule="auto"/>
        <w:ind w:hanging="720"/>
        <w:rPr>
          <w:rFonts w:ascii="Arial" w:hAnsi="Arial" w:cs="Arial"/>
        </w:rPr>
      </w:pPr>
    </w:p>
    <w:p w14:paraId="5A4F7E08" w14:textId="7CD615B6" w:rsidR="00E76B3E" w:rsidRPr="007C3CC8" w:rsidRDefault="0001715B" w:rsidP="00754F7E">
      <w:pPr>
        <w:spacing w:line="360" w:lineRule="auto"/>
        <w:ind w:left="720" w:hanging="720"/>
        <w:rPr>
          <w:rFonts w:ascii="Arial" w:hAnsi="Arial" w:cs="Arial"/>
        </w:rPr>
      </w:pPr>
      <w:r w:rsidRPr="007C3CC8">
        <w:rPr>
          <w:rFonts w:ascii="Arial" w:hAnsi="Arial" w:cs="Arial"/>
        </w:rPr>
        <w:lastRenderedPageBreak/>
        <w:t>UK Government. (2016). </w:t>
      </w:r>
      <w:r w:rsidRPr="007C3CC8">
        <w:rPr>
          <w:rFonts w:ascii="Arial" w:hAnsi="Arial" w:cs="Arial"/>
          <w:i/>
          <w:iCs/>
        </w:rPr>
        <w:t>Soft Drinks Industry Levy</w:t>
      </w:r>
      <w:r w:rsidRPr="007C3CC8">
        <w:rPr>
          <w:rFonts w:ascii="Arial" w:hAnsi="Arial" w:cs="Arial"/>
        </w:rPr>
        <w:t xml:space="preserve">. GOV.UK. </w:t>
      </w:r>
      <w:hyperlink r:id="rId25" w:history="1">
        <w:r w:rsidRPr="007C3CC8">
          <w:rPr>
            <w:rStyle w:val="Hyperlink"/>
            <w:rFonts w:ascii="Arial" w:hAnsi="Arial" w:cs="Arial"/>
          </w:rPr>
          <w:t>https://www.gov.uk/government/publications/soft-drinks-industry-levy/soft-drinks-industry-levy</w:t>
        </w:r>
      </w:hyperlink>
      <w:r w:rsidR="005167F7" w:rsidRPr="007C3CC8">
        <w:rPr>
          <w:rFonts w:ascii="Arial" w:hAnsi="Arial" w:cs="Arial"/>
        </w:rPr>
        <w:t xml:space="preserve"> </w:t>
      </w:r>
    </w:p>
    <w:p w14:paraId="0CB5EF77" w14:textId="2CE1A721" w:rsidR="00647F79" w:rsidRPr="007C3CC8" w:rsidRDefault="00647F79" w:rsidP="00754F7E">
      <w:pPr>
        <w:spacing w:line="360" w:lineRule="auto"/>
        <w:ind w:left="720" w:hanging="720"/>
        <w:rPr>
          <w:rFonts w:ascii="Arial" w:hAnsi="Arial" w:cs="Arial"/>
        </w:rPr>
      </w:pPr>
    </w:p>
    <w:p w14:paraId="093A6039" w14:textId="3835B447" w:rsidR="001C748F" w:rsidRDefault="00647F79" w:rsidP="00072A12">
      <w:pPr>
        <w:spacing w:line="360" w:lineRule="auto"/>
        <w:ind w:left="720" w:hanging="720"/>
        <w:rPr>
          <w:rFonts w:ascii="Arial" w:hAnsi="Arial" w:cs="Arial"/>
        </w:rPr>
      </w:pPr>
      <w:r w:rsidRPr="007C3CC8">
        <w:rPr>
          <w:rFonts w:ascii="Arial" w:hAnsi="Arial" w:cs="Arial"/>
        </w:rPr>
        <w:t>‌</w:t>
      </w:r>
      <w:r w:rsidR="00B24636" w:rsidRPr="007C3CC8">
        <w:rPr>
          <w:rFonts w:ascii="Arial" w:hAnsi="Arial" w:cs="Arial"/>
        </w:rPr>
        <w:t>Vorster, S. (2024, September 25). </w:t>
      </w:r>
      <w:r w:rsidR="00B24636" w:rsidRPr="007C3CC8">
        <w:rPr>
          <w:rFonts w:ascii="Arial" w:hAnsi="Arial" w:cs="Arial"/>
          <w:i/>
          <w:iCs/>
        </w:rPr>
        <w:t>Externalities | Edexcel A Level Economics A Revision Notes 2015</w:t>
      </w:r>
      <w:r w:rsidR="00B24636" w:rsidRPr="007C3CC8">
        <w:rPr>
          <w:rFonts w:ascii="Arial" w:hAnsi="Arial" w:cs="Arial"/>
        </w:rPr>
        <w:t xml:space="preserve">. Save My Exams. </w:t>
      </w:r>
      <w:hyperlink r:id="rId26" w:history="1">
        <w:r w:rsidR="00B24636" w:rsidRPr="007C3CC8">
          <w:rPr>
            <w:rStyle w:val="Hyperlink"/>
            <w:rFonts w:ascii="Arial" w:hAnsi="Arial" w:cs="Arial"/>
          </w:rPr>
          <w:t>https://www.savemyexams.com/a-level/economics/edexcel/a/17/revision-notes/1-introduction-to-markets-market-failure/1-3-market-failure/externalities/</w:t>
        </w:r>
      </w:hyperlink>
    </w:p>
    <w:p w14:paraId="6FACAF10" w14:textId="77777777" w:rsidR="00B032DF" w:rsidRPr="007C3CC8" w:rsidRDefault="00B032DF" w:rsidP="00072A12">
      <w:pPr>
        <w:spacing w:line="360" w:lineRule="auto"/>
        <w:ind w:left="720" w:hanging="720"/>
        <w:rPr>
          <w:rFonts w:ascii="Arial" w:hAnsi="Arial" w:cs="Arial"/>
        </w:rPr>
      </w:pPr>
    </w:p>
    <w:sectPr w:rsidR="00B032DF" w:rsidRPr="007C3CC8" w:rsidSect="00E76B3E">
      <w:headerReference w:type="even" r:id="rId27"/>
      <w:headerReference w:type="default" r:id="rId28"/>
      <w:footerReference w:type="even" r:id="rId29"/>
      <w:footerReference w:type="default" r:id="rId30"/>
      <w:headerReference w:type="first" r:id="rId31"/>
      <w:footerReference w:type="first" r:id="rId3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69823F" w14:textId="77777777" w:rsidR="00661FCB" w:rsidRDefault="00661FCB" w:rsidP="00E76B3E">
      <w:pPr>
        <w:spacing w:after="0" w:line="240" w:lineRule="auto"/>
      </w:pPr>
      <w:r>
        <w:separator/>
      </w:r>
    </w:p>
  </w:endnote>
  <w:endnote w:type="continuationSeparator" w:id="0">
    <w:p w14:paraId="2076779C" w14:textId="77777777" w:rsidR="00661FCB" w:rsidRDefault="00661FCB" w:rsidP="00E76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F3A4B" w14:textId="77777777" w:rsidR="00D23331" w:rsidRDefault="00D2333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1852133"/>
      <w:docPartObj>
        <w:docPartGallery w:val="Page Numbers (Bottom of Page)"/>
        <w:docPartUnique/>
      </w:docPartObj>
    </w:sdtPr>
    <w:sdtEndPr>
      <w:rPr>
        <w:noProof/>
      </w:rPr>
    </w:sdtEndPr>
    <w:sdtContent>
      <w:p w14:paraId="058490E3" w14:textId="68FC7EA3" w:rsidR="003D5A1A" w:rsidRDefault="003D5A1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1A6A28" w14:textId="77777777" w:rsidR="003D5A1A" w:rsidRDefault="003D5A1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358394" w14:textId="77777777" w:rsidR="00D23331" w:rsidRDefault="00D233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176F74" w14:textId="77777777" w:rsidR="00661FCB" w:rsidRDefault="00661FCB" w:rsidP="00E76B3E">
      <w:pPr>
        <w:spacing w:after="0" w:line="240" w:lineRule="auto"/>
      </w:pPr>
      <w:r>
        <w:separator/>
      </w:r>
    </w:p>
  </w:footnote>
  <w:footnote w:type="continuationSeparator" w:id="0">
    <w:p w14:paraId="16EC2F72" w14:textId="77777777" w:rsidR="00661FCB" w:rsidRDefault="00661FCB" w:rsidP="00E76B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7FE2E" w14:textId="77777777" w:rsidR="00D23331" w:rsidRDefault="00D2333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8D2881" w14:textId="43C367E9" w:rsidR="003D5A1A" w:rsidRDefault="003D5A1A">
    <w:pPr>
      <w:pStyle w:val="Header"/>
    </w:pPr>
    <w:r>
      <w:t>Natalie Griffiths 2316480</w:t>
    </w:r>
  </w:p>
  <w:p w14:paraId="4213C6AE" w14:textId="77777777" w:rsidR="00E76B3E" w:rsidRDefault="00E76B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67BF0" w14:textId="77777777" w:rsidR="00D23331" w:rsidRDefault="00D233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51BB1"/>
    <w:multiLevelType w:val="multilevel"/>
    <w:tmpl w:val="FFD42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5F33A5"/>
    <w:multiLevelType w:val="multilevel"/>
    <w:tmpl w:val="06203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8A25DE"/>
    <w:multiLevelType w:val="multilevel"/>
    <w:tmpl w:val="D5C8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8B3B73"/>
    <w:multiLevelType w:val="multilevel"/>
    <w:tmpl w:val="E2821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9A5108"/>
    <w:multiLevelType w:val="multilevel"/>
    <w:tmpl w:val="E140F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101CAD"/>
    <w:multiLevelType w:val="multilevel"/>
    <w:tmpl w:val="82DA65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FF7C73"/>
    <w:multiLevelType w:val="multilevel"/>
    <w:tmpl w:val="53904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C52DA6"/>
    <w:multiLevelType w:val="multilevel"/>
    <w:tmpl w:val="EB88433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3E5CDA"/>
    <w:multiLevelType w:val="multilevel"/>
    <w:tmpl w:val="AF56E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1494B"/>
    <w:multiLevelType w:val="multilevel"/>
    <w:tmpl w:val="2998F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921396"/>
    <w:multiLevelType w:val="multilevel"/>
    <w:tmpl w:val="286E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5453A64"/>
    <w:multiLevelType w:val="multilevel"/>
    <w:tmpl w:val="9C1C7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9561B20"/>
    <w:multiLevelType w:val="multilevel"/>
    <w:tmpl w:val="AFB8D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D6424"/>
    <w:multiLevelType w:val="multilevel"/>
    <w:tmpl w:val="07E65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9F57797"/>
    <w:multiLevelType w:val="multilevel"/>
    <w:tmpl w:val="4E5C7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ECB016B"/>
    <w:multiLevelType w:val="multilevel"/>
    <w:tmpl w:val="2D765E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4F43B2"/>
    <w:multiLevelType w:val="multilevel"/>
    <w:tmpl w:val="6BE6BA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3505D78"/>
    <w:multiLevelType w:val="hybridMultilevel"/>
    <w:tmpl w:val="FDFC5E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BA1AF4"/>
    <w:multiLevelType w:val="multilevel"/>
    <w:tmpl w:val="7D34A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DA96C2D"/>
    <w:multiLevelType w:val="multilevel"/>
    <w:tmpl w:val="A3FA5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EFF1989"/>
    <w:multiLevelType w:val="multilevel"/>
    <w:tmpl w:val="9F24C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1014049"/>
    <w:multiLevelType w:val="multilevel"/>
    <w:tmpl w:val="E468F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1721CA9"/>
    <w:multiLevelType w:val="multilevel"/>
    <w:tmpl w:val="5614D4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C7469AB"/>
    <w:multiLevelType w:val="multilevel"/>
    <w:tmpl w:val="18EA4D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3777281"/>
    <w:multiLevelType w:val="multilevel"/>
    <w:tmpl w:val="3018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B6471DB"/>
    <w:multiLevelType w:val="multilevel"/>
    <w:tmpl w:val="456C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4001890">
    <w:abstractNumId w:val="11"/>
  </w:num>
  <w:num w:numId="2" w16cid:durableId="2043899239">
    <w:abstractNumId w:val="25"/>
  </w:num>
  <w:num w:numId="3" w16cid:durableId="381707922">
    <w:abstractNumId w:val="18"/>
  </w:num>
  <w:num w:numId="4" w16cid:durableId="697779302">
    <w:abstractNumId w:val="13"/>
  </w:num>
  <w:num w:numId="5" w16cid:durableId="404911243">
    <w:abstractNumId w:val="16"/>
  </w:num>
  <w:num w:numId="6" w16cid:durableId="1283541260">
    <w:abstractNumId w:val="23"/>
  </w:num>
  <w:num w:numId="7" w16cid:durableId="1080446933">
    <w:abstractNumId w:val="4"/>
  </w:num>
  <w:num w:numId="8" w16cid:durableId="1351569325">
    <w:abstractNumId w:val="22"/>
  </w:num>
  <w:num w:numId="9" w16cid:durableId="1565873740">
    <w:abstractNumId w:val="14"/>
  </w:num>
  <w:num w:numId="10" w16cid:durableId="253051403">
    <w:abstractNumId w:val="0"/>
  </w:num>
  <w:num w:numId="11" w16cid:durableId="942297937">
    <w:abstractNumId w:val="3"/>
  </w:num>
  <w:num w:numId="12" w16cid:durableId="1832211713">
    <w:abstractNumId w:val="12"/>
  </w:num>
  <w:num w:numId="13" w16cid:durableId="1413237638">
    <w:abstractNumId w:val="24"/>
  </w:num>
  <w:num w:numId="14" w16cid:durableId="650795108">
    <w:abstractNumId w:val="1"/>
  </w:num>
  <w:num w:numId="15" w16cid:durableId="1081829283">
    <w:abstractNumId w:val="10"/>
  </w:num>
  <w:num w:numId="16" w16cid:durableId="1724021767">
    <w:abstractNumId w:val="9"/>
  </w:num>
  <w:num w:numId="17" w16cid:durableId="1992709633">
    <w:abstractNumId w:val="7"/>
  </w:num>
  <w:num w:numId="18" w16cid:durableId="239949035">
    <w:abstractNumId w:val="20"/>
  </w:num>
  <w:num w:numId="19" w16cid:durableId="1699508404">
    <w:abstractNumId w:val="6"/>
  </w:num>
  <w:num w:numId="20" w16cid:durableId="588125153">
    <w:abstractNumId w:val="5"/>
  </w:num>
  <w:num w:numId="21" w16cid:durableId="1334988699">
    <w:abstractNumId w:val="21"/>
  </w:num>
  <w:num w:numId="22" w16cid:durableId="1725178755">
    <w:abstractNumId w:val="8"/>
  </w:num>
  <w:num w:numId="23" w16cid:durableId="1137332291">
    <w:abstractNumId w:val="2"/>
  </w:num>
  <w:num w:numId="24" w16cid:durableId="234516221">
    <w:abstractNumId w:val="19"/>
  </w:num>
  <w:num w:numId="25" w16cid:durableId="254443481">
    <w:abstractNumId w:val="15"/>
  </w:num>
  <w:num w:numId="26" w16cid:durableId="1808813413">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6B3E"/>
    <w:rsid w:val="000003E2"/>
    <w:rsid w:val="00005E55"/>
    <w:rsid w:val="000167E5"/>
    <w:rsid w:val="0001715B"/>
    <w:rsid w:val="00036A58"/>
    <w:rsid w:val="00062CD2"/>
    <w:rsid w:val="00063626"/>
    <w:rsid w:val="00072927"/>
    <w:rsid w:val="00072A12"/>
    <w:rsid w:val="00082A57"/>
    <w:rsid w:val="00085E34"/>
    <w:rsid w:val="000A0F8A"/>
    <w:rsid w:val="000B5268"/>
    <w:rsid w:val="000C1EB6"/>
    <w:rsid w:val="000D7DD2"/>
    <w:rsid w:val="000E45D1"/>
    <w:rsid w:val="00100CAD"/>
    <w:rsid w:val="00131422"/>
    <w:rsid w:val="001449BA"/>
    <w:rsid w:val="0016562F"/>
    <w:rsid w:val="001656F1"/>
    <w:rsid w:val="00190786"/>
    <w:rsid w:val="001B5B98"/>
    <w:rsid w:val="001C748F"/>
    <w:rsid w:val="001E2A16"/>
    <w:rsid w:val="001E5A46"/>
    <w:rsid w:val="00204DF6"/>
    <w:rsid w:val="002149AD"/>
    <w:rsid w:val="002156AD"/>
    <w:rsid w:val="00244465"/>
    <w:rsid w:val="00282428"/>
    <w:rsid w:val="002906F0"/>
    <w:rsid w:val="002A7988"/>
    <w:rsid w:val="002B196B"/>
    <w:rsid w:val="002B5E53"/>
    <w:rsid w:val="002C4527"/>
    <w:rsid w:val="002D203D"/>
    <w:rsid w:val="002D5F44"/>
    <w:rsid w:val="002E5DEB"/>
    <w:rsid w:val="002F4A7B"/>
    <w:rsid w:val="002F6A83"/>
    <w:rsid w:val="0032258E"/>
    <w:rsid w:val="00341434"/>
    <w:rsid w:val="00350A07"/>
    <w:rsid w:val="00354F2B"/>
    <w:rsid w:val="00355160"/>
    <w:rsid w:val="003646E9"/>
    <w:rsid w:val="00364FB0"/>
    <w:rsid w:val="00371895"/>
    <w:rsid w:val="00372C2F"/>
    <w:rsid w:val="003B0ED4"/>
    <w:rsid w:val="003C273D"/>
    <w:rsid w:val="003C3155"/>
    <w:rsid w:val="003C4532"/>
    <w:rsid w:val="003D550A"/>
    <w:rsid w:val="003D5A1A"/>
    <w:rsid w:val="00402445"/>
    <w:rsid w:val="00417677"/>
    <w:rsid w:val="00440E0F"/>
    <w:rsid w:val="00445DD6"/>
    <w:rsid w:val="00455FBA"/>
    <w:rsid w:val="00456B6A"/>
    <w:rsid w:val="00473E7A"/>
    <w:rsid w:val="00474966"/>
    <w:rsid w:val="004842A1"/>
    <w:rsid w:val="004A323F"/>
    <w:rsid w:val="004A52BD"/>
    <w:rsid w:val="004A7FE1"/>
    <w:rsid w:val="0050186C"/>
    <w:rsid w:val="00506717"/>
    <w:rsid w:val="005167F7"/>
    <w:rsid w:val="00517201"/>
    <w:rsid w:val="00521A7B"/>
    <w:rsid w:val="00524503"/>
    <w:rsid w:val="005350F0"/>
    <w:rsid w:val="00542AFF"/>
    <w:rsid w:val="00556F3D"/>
    <w:rsid w:val="00564F69"/>
    <w:rsid w:val="0057021A"/>
    <w:rsid w:val="005728C1"/>
    <w:rsid w:val="00573493"/>
    <w:rsid w:val="00574528"/>
    <w:rsid w:val="00580E01"/>
    <w:rsid w:val="0058434A"/>
    <w:rsid w:val="00590478"/>
    <w:rsid w:val="005A6BED"/>
    <w:rsid w:val="005B16CB"/>
    <w:rsid w:val="005C0FD9"/>
    <w:rsid w:val="005E3BFA"/>
    <w:rsid w:val="005E41BB"/>
    <w:rsid w:val="005E53F8"/>
    <w:rsid w:val="005E6408"/>
    <w:rsid w:val="005F1182"/>
    <w:rsid w:val="005F6242"/>
    <w:rsid w:val="00601824"/>
    <w:rsid w:val="00605282"/>
    <w:rsid w:val="00607F94"/>
    <w:rsid w:val="00617FA7"/>
    <w:rsid w:val="00644E37"/>
    <w:rsid w:val="00647F79"/>
    <w:rsid w:val="00651D3D"/>
    <w:rsid w:val="00661FCB"/>
    <w:rsid w:val="0066778B"/>
    <w:rsid w:val="006754E1"/>
    <w:rsid w:val="006836AB"/>
    <w:rsid w:val="006A288B"/>
    <w:rsid w:val="006B0E69"/>
    <w:rsid w:val="006B6D28"/>
    <w:rsid w:val="006B7572"/>
    <w:rsid w:val="00724780"/>
    <w:rsid w:val="00726B68"/>
    <w:rsid w:val="00750209"/>
    <w:rsid w:val="00754F7E"/>
    <w:rsid w:val="00783A8B"/>
    <w:rsid w:val="007A0FBA"/>
    <w:rsid w:val="007C3CC8"/>
    <w:rsid w:val="007F19BA"/>
    <w:rsid w:val="007F264D"/>
    <w:rsid w:val="007F4EB5"/>
    <w:rsid w:val="007F52C3"/>
    <w:rsid w:val="008300AC"/>
    <w:rsid w:val="008312A7"/>
    <w:rsid w:val="0083508C"/>
    <w:rsid w:val="00845E87"/>
    <w:rsid w:val="00854BA3"/>
    <w:rsid w:val="008A6E75"/>
    <w:rsid w:val="008A7F3D"/>
    <w:rsid w:val="008B0D1A"/>
    <w:rsid w:val="008C1EB3"/>
    <w:rsid w:val="008E0AE0"/>
    <w:rsid w:val="008F19CD"/>
    <w:rsid w:val="008F3B8B"/>
    <w:rsid w:val="008F417E"/>
    <w:rsid w:val="009067FD"/>
    <w:rsid w:val="00912D0E"/>
    <w:rsid w:val="00915FAF"/>
    <w:rsid w:val="00935998"/>
    <w:rsid w:val="0094224F"/>
    <w:rsid w:val="0094232E"/>
    <w:rsid w:val="00953A5F"/>
    <w:rsid w:val="00953DAD"/>
    <w:rsid w:val="009658AC"/>
    <w:rsid w:val="009671CD"/>
    <w:rsid w:val="00967D0C"/>
    <w:rsid w:val="00973913"/>
    <w:rsid w:val="00975FFC"/>
    <w:rsid w:val="009920BC"/>
    <w:rsid w:val="009975BF"/>
    <w:rsid w:val="009A52E5"/>
    <w:rsid w:val="009A694A"/>
    <w:rsid w:val="009E3F9D"/>
    <w:rsid w:val="00A12F25"/>
    <w:rsid w:val="00A139D1"/>
    <w:rsid w:val="00A22E88"/>
    <w:rsid w:val="00A244F2"/>
    <w:rsid w:val="00A34704"/>
    <w:rsid w:val="00A37B99"/>
    <w:rsid w:val="00A5219E"/>
    <w:rsid w:val="00A632F6"/>
    <w:rsid w:val="00A708E2"/>
    <w:rsid w:val="00A70DB7"/>
    <w:rsid w:val="00A81528"/>
    <w:rsid w:val="00A91545"/>
    <w:rsid w:val="00A91CBB"/>
    <w:rsid w:val="00A933C8"/>
    <w:rsid w:val="00A953BE"/>
    <w:rsid w:val="00AA7857"/>
    <w:rsid w:val="00AB294D"/>
    <w:rsid w:val="00AB5578"/>
    <w:rsid w:val="00AE1458"/>
    <w:rsid w:val="00AE6C3B"/>
    <w:rsid w:val="00B032DF"/>
    <w:rsid w:val="00B141A0"/>
    <w:rsid w:val="00B24636"/>
    <w:rsid w:val="00B36EA2"/>
    <w:rsid w:val="00B429B5"/>
    <w:rsid w:val="00B44C0E"/>
    <w:rsid w:val="00B46D6C"/>
    <w:rsid w:val="00B46F6A"/>
    <w:rsid w:val="00B5277E"/>
    <w:rsid w:val="00B64637"/>
    <w:rsid w:val="00B7234E"/>
    <w:rsid w:val="00B85523"/>
    <w:rsid w:val="00BB1DE5"/>
    <w:rsid w:val="00BB36C6"/>
    <w:rsid w:val="00BC471B"/>
    <w:rsid w:val="00BD1C57"/>
    <w:rsid w:val="00BD2D8B"/>
    <w:rsid w:val="00BF326B"/>
    <w:rsid w:val="00BF3984"/>
    <w:rsid w:val="00BF4A76"/>
    <w:rsid w:val="00BF6C66"/>
    <w:rsid w:val="00C225FB"/>
    <w:rsid w:val="00C31605"/>
    <w:rsid w:val="00C31EBD"/>
    <w:rsid w:val="00C354DB"/>
    <w:rsid w:val="00C70B74"/>
    <w:rsid w:val="00C93D51"/>
    <w:rsid w:val="00CA3C74"/>
    <w:rsid w:val="00CB2802"/>
    <w:rsid w:val="00CB5446"/>
    <w:rsid w:val="00CC182F"/>
    <w:rsid w:val="00CE3F5A"/>
    <w:rsid w:val="00CF4BCB"/>
    <w:rsid w:val="00D02CD0"/>
    <w:rsid w:val="00D10AEE"/>
    <w:rsid w:val="00D1487F"/>
    <w:rsid w:val="00D22B9F"/>
    <w:rsid w:val="00D23331"/>
    <w:rsid w:val="00D56CFC"/>
    <w:rsid w:val="00D61264"/>
    <w:rsid w:val="00D66F36"/>
    <w:rsid w:val="00D75969"/>
    <w:rsid w:val="00D83854"/>
    <w:rsid w:val="00D856F0"/>
    <w:rsid w:val="00DB16E8"/>
    <w:rsid w:val="00DB423B"/>
    <w:rsid w:val="00DF25B6"/>
    <w:rsid w:val="00E15EBE"/>
    <w:rsid w:val="00E16F90"/>
    <w:rsid w:val="00E325D5"/>
    <w:rsid w:val="00E36220"/>
    <w:rsid w:val="00E37FB3"/>
    <w:rsid w:val="00E44AAC"/>
    <w:rsid w:val="00E50FED"/>
    <w:rsid w:val="00E67E3F"/>
    <w:rsid w:val="00E76B3E"/>
    <w:rsid w:val="00E83784"/>
    <w:rsid w:val="00EA13C4"/>
    <w:rsid w:val="00EB3E4C"/>
    <w:rsid w:val="00ED2F43"/>
    <w:rsid w:val="00ED7CA4"/>
    <w:rsid w:val="00F121E8"/>
    <w:rsid w:val="00F1651A"/>
    <w:rsid w:val="00F346CB"/>
    <w:rsid w:val="00F35D68"/>
    <w:rsid w:val="00F401E9"/>
    <w:rsid w:val="00F450F8"/>
    <w:rsid w:val="00F553F4"/>
    <w:rsid w:val="00F70F2B"/>
    <w:rsid w:val="00F753C6"/>
    <w:rsid w:val="00F9080E"/>
    <w:rsid w:val="00F92642"/>
    <w:rsid w:val="00FA1339"/>
    <w:rsid w:val="00FA6CC3"/>
    <w:rsid w:val="00FD6B9B"/>
    <w:rsid w:val="00FE18C7"/>
    <w:rsid w:val="00FE412D"/>
    <w:rsid w:val="00FF0D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6AE86"/>
  <w15:chartTrackingRefBased/>
  <w15:docId w15:val="{E031B2A8-20F4-402F-B8C5-B6A3BC641E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76B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76B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E76B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76B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76B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76B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76B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76B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76B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6B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76B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E76B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6B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6B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6B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6B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6B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6B3E"/>
    <w:rPr>
      <w:rFonts w:eastAsiaTheme="majorEastAsia" w:cstheme="majorBidi"/>
      <w:color w:val="272727" w:themeColor="text1" w:themeTint="D8"/>
    </w:rPr>
  </w:style>
  <w:style w:type="paragraph" w:styleId="Title">
    <w:name w:val="Title"/>
    <w:basedOn w:val="Normal"/>
    <w:next w:val="Normal"/>
    <w:link w:val="TitleChar"/>
    <w:uiPriority w:val="10"/>
    <w:qFormat/>
    <w:rsid w:val="00E76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6B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6B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76B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6B3E"/>
    <w:pPr>
      <w:spacing w:before="160"/>
      <w:jc w:val="center"/>
    </w:pPr>
    <w:rPr>
      <w:i/>
      <w:iCs/>
      <w:color w:val="404040" w:themeColor="text1" w:themeTint="BF"/>
    </w:rPr>
  </w:style>
  <w:style w:type="character" w:customStyle="1" w:styleId="QuoteChar">
    <w:name w:val="Quote Char"/>
    <w:basedOn w:val="DefaultParagraphFont"/>
    <w:link w:val="Quote"/>
    <w:uiPriority w:val="29"/>
    <w:rsid w:val="00E76B3E"/>
    <w:rPr>
      <w:i/>
      <w:iCs/>
      <w:color w:val="404040" w:themeColor="text1" w:themeTint="BF"/>
    </w:rPr>
  </w:style>
  <w:style w:type="paragraph" w:styleId="ListParagraph">
    <w:name w:val="List Paragraph"/>
    <w:basedOn w:val="Normal"/>
    <w:uiPriority w:val="34"/>
    <w:qFormat/>
    <w:rsid w:val="00E76B3E"/>
    <w:pPr>
      <w:ind w:left="720"/>
      <w:contextualSpacing/>
    </w:pPr>
  </w:style>
  <w:style w:type="character" w:styleId="IntenseEmphasis">
    <w:name w:val="Intense Emphasis"/>
    <w:basedOn w:val="DefaultParagraphFont"/>
    <w:uiPriority w:val="21"/>
    <w:qFormat/>
    <w:rsid w:val="00E76B3E"/>
    <w:rPr>
      <w:i/>
      <w:iCs/>
      <w:color w:val="0F4761" w:themeColor="accent1" w:themeShade="BF"/>
    </w:rPr>
  </w:style>
  <w:style w:type="paragraph" w:styleId="IntenseQuote">
    <w:name w:val="Intense Quote"/>
    <w:basedOn w:val="Normal"/>
    <w:next w:val="Normal"/>
    <w:link w:val="IntenseQuoteChar"/>
    <w:uiPriority w:val="30"/>
    <w:qFormat/>
    <w:rsid w:val="00E76B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76B3E"/>
    <w:rPr>
      <w:i/>
      <w:iCs/>
      <w:color w:val="0F4761" w:themeColor="accent1" w:themeShade="BF"/>
    </w:rPr>
  </w:style>
  <w:style w:type="character" w:styleId="IntenseReference">
    <w:name w:val="Intense Reference"/>
    <w:basedOn w:val="DefaultParagraphFont"/>
    <w:uiPriority w:val="32"/>
    <w:qFormat/>
    <w:rsid w:val="00E76B3E"/>
    <w:rPr>
      <w:b/>
      <w:bCs/>
      <w:smallCaps/>
      <w:color w:val="0F4761" w:themeColor="accent1" w:themeShade="BF"/>
      <w:spacing w:val="5"/>
    </w:rPr>
  </w:style>
  <w:style w:type="paragraph" w:styleId="NoSpacing">
    <w:name w:val="No Spacing"/>
    <w:link w:val="NoSpacingChar"/>
    <w:uiPriority w:val="1"/>
    <w:qFormat/>
    <w:rsid w:val="00E76B3E"/>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76B3E"/>
    <w:rPr>
      <w:rFonts w:eastAsiaTheme="minorEastAsia"/>
      <w:kern w:val="0"/>
      <w:sz w:val="22"/>
      <w:szCs w:val="22"/>
      <w:lang w:val="en-US"/>
      <w14:ligatures w14:val="none"/>
    </w:rPr>
  </w:style>
  <w:style w:type="paragraph" w:styleId="Header">
    <w:name w:val="header"/>
    <w:basedOn w:val="Normal"/>
    <w:link w:val="HeaderChar"/>
    <w:uiPriority w:val="99"/>
    <w:unhideWhenUsed/>
    <w:rsid w:val="00E76B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6B3E"/>
  </w:style>
  <w:style w:type="paragraph" w:styleId="Footer">
    <w:name w:val="footer"/>
    <w:basedOn w:val="Normal"/>
    <w:link w:val="FooterChar"/>
    <w:uiPriority w:val="99"/>
    <w:unhideWhenUsed/>
    <w:rsid w:val="00E76B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6B3E"/>
  </w:style>
  <w:style w:type="paragraph" w:styleId="TOCHeading">
    <w:name w:val="TOC Heading"/>
    <w:basedOn w:val="Heading1"/>
    <w:next w:val="Normal"/>
    <w:uiPriority w:val="39"/>
    <w:unhideWhenUsed/>
    <w:qFormat/>
    <w:rsid w:val="00E76B3E"/>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E76B3E"/>
    <w:pPr>
      <w:spacing w:after="100"/>
    </w:pPr>
  </w:style>
  <w:style w:type="paragraph" w:styleId="TOC2">
    <w:name w:val="toc 2"/>
    <w:basedOn w:val="Normal"/>
    <w:next w:val="Normal"/>
    <w:autoRedefine/>
    <w:uiPriority w:val="39"/>
    <w:unhideWhenUsed/>
    <w:rsid w:val="00E76B3E"/>
    <w:pPr>
      <w:spacing w:after="100"/>
      <w:ind w:left="240"/>
    </w:pPr>
  </w:style>
  <w:style w:type="character" w:styleId="Hyperlink">
    <w:name w:val="Hyperlink"/>
    <w:basedOn w:val="DefaultParagraphFont"/>
    <w:uiPriority w:val="99"/>
    <w:unhideWhenUsed/>
    <w:rsid w:val="00E76B3E"/>
    <w:rPr>
      <w:color w:val="467886" w:themeColor="hyperlink"/>
      <w:u w:val="single"/>
    </w:rPr>
  </w:style>
  <w:style w:type="paragraph" w:styleId="NormalWeb">
    <w:name w:val="Normal (Web)"/>
    <w:basedOn w:val="Normal"/>
    <w:uiPriority w:val="99"/>
    <w:semiHidden/>
    <w:unhideWhenUsed/>
    <w:rsid w:val="00131422"/>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whitespace-normal">
    <w:name w:val="whitespace-normal"/>
    <w:basedOn w:val="DefaultParagraphFont"/>
    <w:rsid w:val="00131422"/>
  </w:style>
  <w:style w:type="character" w:styleId="UnresolvedMention">
    <w:name w:val="Unresolved Mention"/>
    <w:basedOn w:val="DefaultParagraphFont"/>
    <w:uiPriority w:val="99"/>
    <w:semiHidden/>
    <w:unhideWhenUsed/>
    <w:rsid w:val="005728C1"/>
    <w:rPr>
      <w:color w:val="605E5C"/>
      <w:shd w:val="clear" w:color="auto" w:fill="E1DFDD"/>
    </w:rPr>
  </w:style>
  <w:style w:type="paragraph" w:styleId="TOC3">
    <w:name w:val="toc 3"/>
    <w:basedOn w:val="Normal"/>
    <w:next w:val="Normal"/>
    <w:autoRedefine/>
    <w:uiPriority w:val="39"/>
    <w:unhideWhenUsed/>
    <w:rsid w:val="00F9080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open.oregonstate.education/intermediatemicroeconomics/chapter/module-10/" TargetMode="External"/><Relationship Id="rId18" Type="http://schemas.openxmlformats.org/officeDocument/2006/relationships/hyperlink" Target="https://www.nesta.org.uk/press-release/obesity-and-excess-weight-costing-uk-economy-31-billion-a-year-in-lost-productivity/" TargetMode="External"/><Relationship Id="rId26" Type="http://schemas.openxmlformats.org/officeDocument/2006/relationships/hyperlink" Target="https://www.savemyexams.com/a-level/economics/edexcel/a/17/revision-notes/1-introduction-to-markets-market-failure/1-3-market-failure/externalities/" TargetMode="External"/><Relationship Id="rId3" Type="http://schemas.openxmlformats.org/officeDocument/2006/relationships/customXml" Target="../customXml/item3.xml"/><Relationship Id="rId21" Type="http://schemas.openxmlformats.org/officeDocument/2006/relationships/hyperlink" Target="https://www.instituteforgovernment.org.uk/explainer/sugar-tax"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doi.org/10.1257/jep.33.3.202" TargetMode="External"/><Relationship Id="rId17" Type="http://schemas.openxmlformats.org/officeDocument/2006/relationships/hyperlink" Target="https://www.gov.uk/government/statistics/soft-drinks-industry-levy-statistics/soft-drinks-industry-levy-statistics-commentary-2021" TargetMode="External"/><Relationship Id="rId25" Type="http://schemas.openxmlformats.org/officeDocument/2006/relationships/hyperlink" Target="https://www.gov.uk/government/publications/soft-drinks-industry-levy/soft-drinks-industry-levy"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v.uk/government/publications/soft-drinks-industry-levy-review/hmt-hmrc-soft-drinks-industry-levy-review" TargetMode="External"/><Relationship Id="rId20" Type="http://schemas.openxmlformats.org/officeDocument/2006/relationships/hyperlink" Target="https://doi.org/10.1136/bmjnph-2024-00098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eurohealthobservatory.who.int/monitors/health-systems-monitor/analyses/hspm/united-kingdom-2015/impact-of-the-soft-drinks-industry-levy" TargetMode="External"/><Relationship Id="rId24" Type="http://schemas.openxmlformats.org/officeDocument/2006/relationships/hyperlink" Target="https://www.ndph.ox.ac.uk/news/soft-drinks-levy-shows-success-on-reducing-sugar-intakes" TargetMode="External"/><Relationship Id="rId32" Type="http://schemas.openxmlformats.org/officeDocument/2006/relationships/footer" Target="footer3.xml"/><Relationship Id="rId5" Type="http://schemas.openxmlformats.org/officeDocument/2006/relationships/styles" Target="styles.xml"/><Relationship Id="rId15" Type="http://schemas.openxmlformats.org/officeDocument/2006/relationships/hyperlink" Target="https://www.gov.uk/government/publications/increasing-the-rates-of-the-soft-drinks-industry-levy/soft-drinks-industry-levy-uprating" TargetMode="External"/><Relationship Id="rId23" Type="http://schemas.openxmlformats.org/officeDocument/2006/relationships/hyperlink" Target="https://doi.org/10.1371/journal.pmed.1003025" TargetMode="External"/><Relationship Id="rId28" Type="http://schemas.openxmlformats.org/officeDocument/2006/relationships/header" Target="header2.xml"/><Relationship Id="rId10" Type="http://schemas.openxmlformats.org/officeDocument/2006/relationships/hyperlink" Target="https://www.actiononsugar.org/news-centre/sugar-in-the-news/2025/2025-news-stories/new-statistics-reveal-significant-sugar-reduction-as-a-result-of-the-soft-drinks-industry-levy-.html" TargetMode="External"/><Relationship Id="rId19" Type="http://schemas.openxmlformats.org/officeDocument/2006/relationships/hyperlink" Target="https://doi.org/10.1136/bmjopen-2018-026698" TargetMode="External"/><Relationship Id="rId31" Type="http://schemas.openxmlformats.org/officeDocument/2006/relationships/header" Target="header3.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doi.org/10.1093/cesifo/ifx018" TargetMode="External"/><Relationship Id="rId22" Type="http://schemas.openxmlformats.org/officeDocument/2006/relationships/hyperlink" Target="https://doi.org/10.3109/10408363.2015.1084990" TargetMode="External"/><Relationship Id="rId27" Type="http://schemas.openxmlformats.org/officeDocument/2006/relationships/header" Target="header1.xml"/><Relationship Id="rId30" Type="http://schemas.openxmlformats.org/officeDocument/2006/relationships/footer" Target="footer2.xm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6C48B67E562FF45ADD1FE43E2BC7706" ma:contentTypeVersion="14" ma:contentTypeDescription="Create a new document." ma:contentTypeScope="" ma:versionID="99b5216ecc988bbb1b7c6985644261b1">
  <xsd:schema xmlns:xsd="http://www.w3.org/2001/XMLSchema" xmlns:xs="http://www.w3.org/2001/XMLSchema" xmlns:p="http://schemas.microsoft.com/office/2006/metadata/properties" xmlns:ns3="ad7316b1-23f1-480c-8fa6-cbf037f4db9c" xmlns:ns4="bd2b2a82-bc2e-4fcc-b8ad-fd63686c78d2" targetNamespace="http://schemas.microsoft.com/office/2006/metadata/properties" ma:root="true" ma:fieldsID="d2846c779cdbe15f08abd17bd031e7a0" ns3:_="" ns4:_="">
    <xsd:import namespace="ad7316b1-23f1-480c-8fa6-cbf037f4db9c"/>
    <xsd:import namespace="bd2b2a82-bc2e-4fcc-b8ad-fd63686c78d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7316b1-23f1-480c-8fa6-cbf037f4db9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d2b2a82-bc2e-4fcc-b8ad-fd63686c78d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d7316b1-23f1-480c-8fa6-cbf037f4db9c" xsi:nil="true"/>
  </documentManagement>
</p:properties>
</file>

<file path=customXml/itemProps1.xml><?xml version="1.0" encoding="utf-8"?>
<ds:datastoreItem xmlns:ds="http://schemas.openxmlformats.org/officeDocument/2006/customXml" ds:itemID="{80F96149-EE9B-4DE0-A189-62B1EB7EF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7316b1-23f1-480c-8fa6-cbf037f4db9c"/>
    <ds:schemaRef ds:uri="bd2b2a82-bc2e-4fcc-b8ad-fd63686c7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109D76F-D3A2-4D79-B06C-01C4753FE298}">
  <ds:schemaRefs>
    <ds:schemaRef ds:uri="http://schemas.microsoft.com/sharepoint/v3/contenttype/forms"/>
  </ds:schemaRefs>
</ds:datastoreItem>
</file>

<file path=customXml/itemProps3.xml><?xml version="1.0" encoding="utf-8"?>
<ds:datastoreItem xmlns:ds="http://schemas.openxmlformats.org/officeDocument/2006/customXml" ds:itemID="{2E880EF0-FBBE-43A6-817B-8829DA196076}">
  <ds:schemaRefs>
    <ds:schemaRef ds:uri="http://schemas.microsoft.com/office/2006/metadata/properties"/>
    <ds:schemaRef ds:uri="http://schemas.microsoft.com/office/infopath/2007/PartnerControls"/>
    <ds:schemaRef ds:uri="ad7316b1-23f1-480c-8fa6-cbf037f4db9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3117</Words>
  <Characters>17769</Characters>
  <Application>Microsoft Office Word</Application>
  <DocSecurity>0</DocSecurity>
  <Lines>148</Lines>
  <Paragraphs>41</Paragraphs>
  <ScaleCrop>false</ScaleCrop>
  <Company>the green economy in practice</Company>
  <LinksUpToDate>false</LinksUpToDate>
  <CharactersWithSpaces>20845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 Failure and the Sugar Tax</dc:title>
  <dc:subject/>
  <dc:creator>Natalie Griffiths (2316480)</dc:creator>
  <cp:keywords/>
  <dc:description/>
  <cp:lastModifiedBy>Natalie Griffiths (2316480)</cp:lastModifiedBy>
  <cp:revision>2</cp:revision>
  <dcterms:created xsi:type="dcterms:W3CDTF">2026-03-03T14:27:00Z</dcterms:created>
  <dcterms:modified xsi:type="dcterms:W3CDTF">2026-03-03T14:27:00Z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0x01010096C48B67E562FF45ADD1FE43E2BC7706</vt:lpwstr>
  </property>
</Properties>
</file>