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7E8E7" w14:textId="0F538BF3" w:rsidR="00D15CD6" w:rsidRPr="008B51A5" w:rsidRDefault="2457028A" w:rsidP="78CC0EB5">
      <w:pPr>
        <w:spacing w:line="360" w:lineRule="auto"/>
        <w:jc w:val="both"/>
        <w:rPr>
          <w:b/>
          <w:bCs/>
          <w:sz w:val="24"/>
          <w:szCs w:val="24"/>
        </w:rPr>
      </w:pPr>
      <w:bookmarkStart w:id="0" w:name="_Hlk129350285"/>
      <w:r w:rsidRPr="2457028A">
        <w:rPr>
          <w:sz w:val="40"/>
          <w:szCs w:val="40"/>
        </w:rPr>
        <w:t>Evidence-Based Policing and Decision Making</w:t>
      </w:r>
    </w:p>
    <w:p w14:paraId="37D06FFB" w14:textId="20ACD9AE" w:rsidR="2457028A" w:rsidRDefault="2457028A" w:rsidP="2457028A">
      <w:pPr>
        <w:spacing w:line="360" w:lineRule="auto"/>
        <w:jc w:val="both"/>
        <w:rPr>
          <w:sz w:val="40"/>
          <w:szCs w:val="40"/>
        </w:rPr>
      </w:pPr>
      <w:r w:rsidRPr="2457028A">
        <w:rPr>
          <w:sz w:val="40"/>
          <w:szCs w:val="40"/>
        </w:rPr>
        <w:t xml:space="preserve">   BMPL 4001</w:t>
      </w:r>
    </w:p>
    <w:p w14:paraId="0D29B883" w14:textId="19D58E49" w:rsidR="2457028A" w:rsidRDefault="2457028A" w:rsidP="2457028A">
      <w:pPr>
        <w:spacing w:line="360" w:lineRule="auto"/>
        <w:jc w:val="both"/>
        <w:rPr>
          <w:sz w:val="40"/>
          <w:szCs w:val="40"/>
        </w:rPr>
      </w:pPr>
      <w:r w:rsidRPr="2457028A">
        <w:rPr>
          <w:sz w:val="40"/>
          <w:szCs w:val="40"/>
        </w:rPr>
        <w:t xml:space="preserve">                  </w:t>
      </w:r>
      <w:r w:rsidRPr="2457028A">
        <w:rPr>
          <w:sz w:val="32"/>
          <w:szCs w:val="32"/>
        </w:rPr>
        <w:t>MARIA-MADALINA FEIER (2207140)</w:t>
      </w:r>
    </w:p>
    <w:p w14:paraId="427EDB1B" w14:textId="77777777" w:rsidR="00D15CD6" w:rsidRPr="008B51A5" w:rsidRDefault="00D15CD6" w:rsidP="00F4234D">
      <w:pPr>
        <w:spacing w:line="360" w:lineRule="auto"/>
        <w:jc w:val="center"/>
        <w:rPr>
          <w:b/>
          <w:sz w:val="24"/>
          <w:szCs w:val="24"/>
        </w:rPr>
      </w:pPr>
    </w:p>
    <w:p w14:paraId="17A877F2" w14:textId="7F44E980" w:rsidR="00D15CD6" w:rsidRPr="008B51A5" w:rsidRDefault="00D15CD6" w:rsidP="78CC0EB5">
      <w:pPr>
        <w:spacing w:line="360" w:lineRule="auto"/>
        <w:jc w:val="center"/>
        <w:rPr>
          <w:b/>
          <w:bCs/>
          <w:sz w:val="24"/>
          <w:szCs w:val="24"/>
        </w:rPr>
      </w:pPr>
    </w:p>
    <w:p w14:paraId="350E504A" w14:textId="77777777" w:rsidR="00D15CD6" w:rsidRPr="008B51A5" w:rsidRDefault="00D15CD6" w:rsidP="00F4234D">
      <w:pPr>
        <w:spacing w:line="360" w:lineRule="auto"/>
        <w:jc w:val="center"/>
        <w:rPr>
          <w:b/>
          <w:bCs/>
          <w:sz w:val="24"/>
          <w:szCs w:val="24"/>
        </w:rPr>
      </w:pPr>
    </w:p>
    <w:p w14:paraId="012AE467" w14:textId="77777777" w:rsidR="008B51A5" w:rsidRDefault="00B727CE" w:rsidP="00F4234D">
      <w:pPr>
        <w:spacing w:line="360" w:lineRule="auto"/>
        <w:jc w:val="center"/>
        <w:rPr>
          <w:b/>
          <w:bCs/>
          <w:sz w:val="24"/>
          <w:szCs w:val="24"/>
        </w:rPr>
      </w:pPr>
      <w:r w:rsidRPr="008B51A5">
        <w:rPr>
          <w:b/>
          <w:bCs/>
          <w:sz w:val="24"/>
          <w:szCs w:val="24"/>
        </w:rPr>
        <w:t>Essay</w:t>
      </w:r>
    </w:p>
    <w:p w14:paraId="6588FBC3" w14:textId="77777777" w:rsidR="008B51A5" w:rsidRPr="008B51A5" w:rsidRDefault="008B51A5" w:rsidP="00F4234D">
      <w:pPr>
        <w:spacing w:line="360" w:lineRule="auto"/>
        <w:jc w:val="center"/>
        <w:rPr>
          <w:b/>
          <w:bCs/>
          <w:sz w:val="24"/>
          <w:szCs w:val="24"/>
        </w:rPr>
      </w:pPr>
    </w:p>
    <w:p w14:paraId="532F5875" w14:textId="77777777" w:rsidR="00082492" w:rsidRDefault="00935F99" w:rsidP="00F4234D">
      <w:pPr>
        <w:spacing w:line="360" w:lineRule="auto"/>
        <w:jc w:val="center"/>
        <w:rPr>
          <w:b/>
          <w:bCs/>
          <w:sz w:val="24"/>
          <w:szCs w:val="24"/>
        </w:rPr>
      </w:pPr>
      <w:r w:rsidRPr="008B51A5">
        <w:rPr>
          <w:b/>
          <w:bCs/>
          <w:sz w:val="24"/>
          <w:szCs w:val="24"/>
        </w:rPr>
        <w:t xml:space="preserve">Using a crime activity of your choice, describe and discuss how classical criminology informs </w:t>
      </w:r>
      <w:r w:rsidR="00090D1E" w:rsidRPr="008B51A5">
        <w:rPr>
          <w:b/>
          <w:bCs/>
          <w:sz w:val="24"/>
          <w:szCs w:val="24"/>
        </w:rPr>
        <w:t>evidence-based</w:t>
      </w:r>
      <w:r w:rsidRPr="008B51A5">
        <w:rPr>
          <w:b/>
          <w:bCs/>
          <w:sz w:val="24"/>
          <w:szCs w:val="24"/>
        </w:rPr>
        <w:t xml:space="preserve"> policing</w:t>
      </w:r>
    </w:p>
    <w:p w14:paraId="5A616608" w14:textId="77777777" w:rsidR="00082492" w:rsidRDefault="00082492" w:rsidP="00F4234D">
      <w:pPr>
        <w:spacing w:after="160" w:line="360" w:lineRule="auto"/>
        <w:rPr>
          <w:b/>
          <w:bCs/>
          <w:sz w:val="24"/>
          <w:szCs w:val="24"/>
        </w:rPr>
      </w:pPr>
      <w:r>
        <w:rPr>
          <w:b/>
          <w:bCs/>
          <w:sz w:val="24"/>
          <w:szCs w:val="24"/>
        </w:rPr>
        <w:br w:type="page"/>
      </w:r>
    </w:p>
    <w:sdt>
      <w:sdtPr>
        <w:rPr>
          <w:rFonts w:ascii="Times New Roman" w:eastAsia="Times New Roman" w:hAnsi="Times New Roman" w:cs="Times New Roman"/>
          <w:color w:val="auto"/>
          <w:sz w:val="20"/>
          <w:szCs w:val="20"/>
          <w:lang w:val="en-GB" w:eastAsia="en-GB"/>
        </w:rPr>
        <w:id w:val="886917711"/>
        <w:docPartObj>
          <w:docPartGallery w:val="Table of Contents"/>
          <w:docPartUnique/>
        </w:docPartObj>
      </w:sdtPr>
      <w:sdtEndPr>
        <w:rPr>
          <w:b/>
          <w:bCs/>
          <w:noProof/>
        </w:rPr>
      </w:sdtEndPr>
      <w:sdtContent>
        <w:p w14:paraId="65941F77" w14:textId="77777777" w:rsidR="00082492" w:rsidRPr="00082492" w:rsidRDefault="00082492" w:rsidP="00F4234D">
          <w:pPr>
            <w:pStyle w:val="TOCHeading"/>
            <w:spacing w:line="360" w:lineRule="auto"/>
            <w:jc w:val="center"/>
            <w:rPr>
              <w:rFonts w:ascii="Times New Roman" w:hAnsi="Times New Roman" w:cs="Times New Roman"/>
              <w:b/>
              <w:color w:val="auto"/>
              <w:sz w:val="24"/>
              <w:szCs w:val="24"/>
            </w:rPr>
          </w:pPr>
          <w:r w:rsidRPr="00082492">
            <w:rPr>
              <w:rFonts w:ascii="Times New Roman" w:hAnsi="Times New Roman" w:cs="Times New Roman"/>
              <w:b/>
              <w:color w:val="auto"/>
              <w:sz w:val="24"/>
              <w:szCs w:val="24"/>
            </w:rPr>
            <w:t>Table of Contents</w:t>
          </w:r>
        </w:p>
        <w:p w14:paraId="7E87FAE8" w14:textId="77777777" w:rsidR="00082492" w:rsidRPr="00082492" w:rsidRDefault="00082492" w:rsidP="00F4234D">
          <w:pPr>
            <w:pStyle w:val="TOC3"/>
            <w:tabs>
              <w:tab w:val="left" w:pos="880"/>
              <w:tab w:val="right" w:leader="dot" w:pos="9350"/>
            </w:tabs>
            <w:spacing w:line="360" w:lineRule="auto"/>
            <w:jc w:val="both"/>
            <w:rPr>
              <w:noProof/>
              <w:sz w:val="24"/>
              <w:szCs w:val="24"/>
            </w:rPr>
          </w:pPr>
          <w:r w:rsidRPr="00082492">
            <w:rPr>
              <w:sz w:val="24"/>
              <w:szCs w:val="24"/>
            </w:rPr>
            <w:fldChar w:fldCharType="begin"/>
          </w:r>
          <w:r w:rsidRPr="00082492">
            <w:rPr>
              <w:sz w:val="24"/>
              <w:szCs w:val="24"/>
            </w:rPr>
            <w:instrText xml:space="preserve"> TOC \o "1-3" \h \z \u </w:instrText>
          </w:r>
          <w:r w:rsidRPr="00082492">
            <w:rPr>
              <w:sz w:val="24"/>
              <w:szCs w:val="24"/>
            </w:rPr>
            <w:fldChar w:fldCharType="separate"/>
          </w:r>
          <w:hyperlink w:anchor="_Toc129354991" w:history="1">
            <w:r w:rsidRPr="00082492">
              <w:rPr>
                <w:rStyle w:val="Hyperlink"/>
                <w:noProof/>
                <w:sz w:val="24"/>
                <w:szCs w:val="24"/>
              </w:rPr>
              <w:t>1.</w:t>
            </w:r>
            <w:r w:rsidRPr="00082492">
              <w:rPr>
                <w:noProof/>
                <w:sz w:val="24"/>
                <w:szCs w:val="24"/>
              </w:rPr>
              <w:tab/>
            </w:r>
            <w:r w:rsidRPr="00082492">
              <w:rPr>
                <w:rStyle w:val="Hyperlink"/>
                <w:noProof/>
                <w:sz w:val="24"/>
                <w:szCs w:val="24"/>
              </w:rPr>
              <w:t>Introduction</w:t>
            </w:r>
            <w:r w:rsidRPr="00082492">
              <w:rPr>
                <w:noProof/>
                <w:webHidden/>
                <w:sz w:val="24"/>
                <w:szCs w:val="24"/>
              </w:rPr>
              <w:tab/>
            </w:r>
            <w:r w:rsidRPr="00082492">
              <w:rPr>
                <w:noProof/>
                <w:webHidden/>
                <w:sz w:val="24"/>
                <w:szCs w:val="24"/>
              </w:rPr>
              <w:fldChar w:fldCharType="begin"/>
            </w:r>
            <w:r w:rsidRPr="00082492">
              <w:rPr>
                <w:noProof/>
                <w:webHidden/>
                <w:sz w:val="24"/>
                <w:szCs w:val="24"/>
              </w:rPr>
              <w:instrText xml:space="preserve"> PAGEREF _Toc129354991 \h </w:instrText>
            </w:r>
            <w:r w:rsidRPr="00082492">
              <w:rPr>
                <w:noProof/>
                <w:webHidden/>
                <w:sz w:val="24"/>
                <w:szCs w:val="24"/>
              </w:rPr>
            </w:r>
            <w:r w:rsidRPr="00082492">
              <w:rPr>
                <w:noProof/>
                <w:webHidden/>
                <w:sz w:val="24"/>
                <w:szCs w:val="24"/>
              </w:rPr>
              <w:fldChar w:fldCharType="separate"/>
            </w:r>
            <w:r w:rsidRPr="00082492">
              <w:rPr>
                <w:noProof/>
                <w:webHidden/>
                <w:sz w:val="24"/>
                <w:szCs w:val="24"/>
              </w:rPr>
              <w:t>3</w:t>
            </w:r>
            <w:r w:rsidRPr="00082492">
              <w:rPr>
                <w:noProof/>
                <w:webHidden/>
                <w:sz w:val="24"/>
                <w:szCs w:val="24"/>
              </w:rPr>
              <w:fldChar w:fldCharType="end"/>
            </w:r>
          </w:hyperlink>
        </w:p>
        <w:p w14:paraId="41B19EF3" w14:textId="77777777" w:rsidR="00082492" w:rsidRPr="00082492" w:rsidRDefault="0014353C" w:rsidP="00F4234D">
          <w:pPr>
            <w:pStyle w:val="TOC3"/>
            <w:tabs>
              <w:tab w:val="left" w:pos="880"/>
              <w:tab w:val="right" w:leader="dot" w:pos="9350"/>
            </w:tabs>
            <w:spacing w:line="360" w:lineRule="auto"/>
            <w:jc w:val="both"/>
            <w:rPr>
              <w:noProof/>
              <w:sz w:val="24"/>
              <w:szCs w:val="24"/>
            </w:rPr>
          </w:pPr>
          <w:hyperlink w:anchor="_Toc129354992" w:history="1">
            <w:r w:rsidR="00082492" w:rsidRPr="00082492">
              <w:rPr>
                <w:rStyle w:val="Hyperlink"/>
                <w:noProof/>
                <w:sz w:val="24"/>
                <w:szCs w:val="24"/>
              </w:rPr>
              <w:t>2.</w:t>
            </w:r>
            <w:r w:rsidR="00082492" w:rsidRPr="00082492">
              <w:rPr>
                <w:noProof/>
                <w:sz w:val="24"/>
                <w:szCs w:val="24"/>
              </w:rPr>
              <w:tab/>
            </w:r>
            <w:r w:rsidR="00082492" w:rsidRPr="00082492">
              <w:rPr>
                <w:rStyle w:val="Hyperlink"/>
                <w:noProof/>
                <w:sz w:val="24"/>
                <w:szCs w:val="24"/>
              </w:rPr>
              <w:t>Discussion</w:t>
            </w:r>
            <w:r w:rsidR="00082492" w:rsidRPr="00082492">
              <w:rPr>
                <w:noProof/>
                <w:webHidden/>
                <w:sz w:val="24"/>
                <w:szCs w:val="24"/>
              </w:rPr>
              <w:tab/>
            </w:r>
            <w:r w:rsidR="00082492" w:rsidRPr="00082492">
              <w:rPr>
                <w:noProof/>
                <w:webHidden/>
                <w:sz w:val="24"/>
                <w:szCs w:val="24"/>
              </w:rPr>
              <w:fldChar w:fldCharType="begin"/>
            </w:r>
            <w:r w:rsidR="00082492" w:rsidRPr="00082492">
              <w:rPr>
                <w:noProof/>
                <w:webHidden/>
                <w:sz w:val="24"/>
                <w:szCs w:val="24"/>
              </w:rPr>
              <w:instrText xml:space="preserve"> PAGEREF _Toc129354992 \h </w:instrText>
            </w:r>
            <w:r w:rsidR="00082492" w:rsidRPr="00082492">
              <w:rPr>
                <w:noProof/>
                <w:webHidden/>
                <w:sz w:val="24"/>
                <w:szCs w:val="24"/>
              </w:rPr>
            </w:r>
            <w:r w:rsidR="00082492" w:rsidRPr="00082492">
              <w:rPr>
                <w:noProof/>
                <w:webHidden/>
                <w:sz w:val="24"/>
                <w:szCs w:val="24"/>
              </w:rPr>
              <w:fldChar w:fldCharType="separate"/>
            </w:r>
            <w:r w:rsidR="00082492" w:rsidRPr="00082492">
              <w:rPr>
                <w:noProof/>
                <w:webHidden/>
                <w:sz w:val="24"/>
                <w:szCs w:val="24"/>
              </w:rPr>
              <w:t>3</w:t>
            </w:r>
            <w:r w:rsidR="00082492" w:rsidRPr="00082492">
              <w:rPr>
                <w:noProof/>
                <w:webHidden/>
                <w:sz w:val="24"/>
                <w:szCs w:val="24"/>
              </w:rPr>
              <w:fldChar w:fldCharType="end"/>
            </w:r>
          </w:hyperlink>
        </w:p>
        <w:p w14:paraId="562BB61B" w14:textId="77777777" w:rsidR="00082492" w:rsidRPr="00082492" w:rsidRDefault="0014353C" w:rsidP="00F4234D">
          <w:pPr>
            <w:pStyle w:val="TOC3"/>
            <w:tabs>
              <w:tab w:val="left" w:pos="880"/>
              <w:tab w:val="right" w:leader="dot" w:pos="9350"/>
            </w:tabs>
            <w:spacing w:line="360" w:lineRule="auto"/>
            <w:jc w:val="both"/>
            <w:rPr>
              <w:noProof/>
              <w:sz w:val="24"/>
              <w:szCs w:val="24"/>
            </w:rPr>
          </w:pPr>
          <w:hyperlink w:anchor="_Toc129354993" w:history="1">
            <w:r w:rsidR="00082492" w:rsidRPr="00082492">
              <w:rPr>
                <w:rStyle w:val="Hyperlink"/>
                <w:noProof/>
                <w:sz w:val="24"/>
                <w:szCs w:val="24"/>
              </w:rPr>
              <w:t>3.</w:t>
            </w:r>
            <w:r w:rsidR="00082492" w:rsidRPr="00082492">
              <w:rPr>
                <w:noProof/>
                <w:sz w:val="24"/>
                <w:szCs w:val="24"/>
              </w:rPr>
              <w:tab/>
            </w:r>
            <w:r w:rsidR="00082492" w:rsidRPr="00082492">
              <w:rPr>
                <w:rStyle w:val="Hyperlink"/>
                <w:noProof/>
                <w:sz w:val="24"/>
                <w:szCs w:val="24"/>
              </w:rPr>
              <w:t>Conclusion</w:t>
            </w:r>
            <w:r w:rsidR="00082492" w:rsidRPr="00082492">
              <w:rPr>
                <w:noProof/>
                <w:webHidden/>
                <w:sz w:val="24"/>
                <w:szCs w:val="24"/>
              </w:rPr>
              <w:tab/>
            </w:r>
            <w:r w:rsidR="00082492" w:rsidRPr="00082492">
              <w:rPr>
                <w:noProof/>
                <w:webHidden/>
                <w:sz w:val="24"/>
                <w:szCs w:val="24"/>
              </w:rPr>
              <w:fldChar w:fldCharType="begin"/>
            </w:r>
            <w:r w:rsidR="00082492" w:rsidRPr="00082492">
              <w:rPr>
                <w:noProof/>
                <w:webHidden/>
                <w:sz w:val="24"/>
                <w:szCs w:val="24"/>
              </w:rPr>
              <w:instrText xml:space="preserve"> PAGEREF _Toc129354993 \h </w:instrText>
            </w:r>
            <w:r w:rsidR="00082492" w:rsidRPr="00082492">
              <w:rPr>
                <w:noProof/>
                <w:webHidden/>
                <w:sz w:val="24"/>
                <w:szCs w:val="24"/>
              </w:rPr>
            </w:r>
            <w:r w:rsidR="00082492" w:rsidRPr="00082492">
              <w:rPr>
                <w:noProof/>
                <w:webHidden/>
                <w:sz w:val="24"/>
                <w:szCs w:val="24"/>
              </w:rPr>
              <w:fldChar w:fldCharType="separate"/>
            </w:r>
            <w:r w:rsidR="00082492" w:rsidRPr="00082492">
              <w:rPr>
                <w:noProof/>
                <w:webHidden/>
                <w:sz w:val="24"/>
                <w:szCs w:val="24"/>
              </w:rPr>
              <w:t>7</w:t>
            </w:r>
            <w:r w:rsidR="00082492" w:rsidRPr="00082492">
              <w:rPr>
                <w:noProof/>
                <w:webHidden/>
                <w:sz w:val="24"/>
                <w:szCs w:val="24"/>
              </w:rPr>
              <w:fldChar w:fldCharType="end"/>
            </w:r>
          </w:hyperlink>
        </w:p>
        <w:p w14:paraId="65F5FDE0" w14:textId="77777777" w:rsidR="00082492" w:rsidRPr="00082492" w:rsidRDefault="0014353C" w:rsidP="00F4234D">
          <w:pPr>
            <w:pStyle w:val="TOC3"/>
            <w:tabs>
              <w:tab w:val="left" w:pos="880"/>
              <w:tab w:val="right" w:leader="dot" w:pos="9350"/>
            </w:tabs>
            <w:spacing w:line="360" w:lineRule="auto"/>
            <w:jc w:val="both"/>
            <w:rPr>
              <w:noProof/>
              <w:sz w:val="24"/>
              <w:szCs w:val="24"/>
            </w:rPr>
          </w:pPr>
          <w:hyperlink w:anchor="_Toc129354994" w:history="1">
            <w:r w:rsidR="00082492" w:rsidRPr="00082492">
              <w:rPr>
                <w:rStyle w:val="Hyperlink"/>
                <w:noProof/>
                <w:sz w:val="24"/>
                <w:szCs w:val="24"/>
              </w:rPr>
              <w:t>4.</w:t>
            </w:r>
            <w:r w:rsidR="00082492" w:rsidRPr="00082492">
              <w:rPr>
                <w:noProof/>
                <w:sz w:val="24"/>
                <w:szCs w:val="24"/>
              </w:rPr>
              <w:tab/>
            </w:r>
            <w:r w:rsidR="00082492" w:rsidRPr="00082492">
              <w:rPr>
                <w:rStyle w:val="Hyperlink"/>
                <w:noProof/>
                <w:sz w:val="24"/>
                <w:szCs w:val="24"/>
              </w:rPr>
              <w:t>References</w:t>
            </w:r>
            <w:r w:rsidR="00082492" w:rsidRPr="00082492">
              <w:rPr>
                <w:noProof/>
                <w:webHidden/>
                <w:sz w:val="24"/>
                <w:szCs w:val="24"/>
              </w:rPr>
              <w:tab/>
            </w:r>
            <w:r w:rsidR="00082492" w:rsidRPr="00082492">
              <w:rPr>
                <w:noProof/>
                <w:webHidden/>
                <w:sz w:val="24"/>
                <w:szCs w:val="24"/>
              </w:rPr>
              <w:fldChar w:fldCharType="begin"/>
            </w:r>
            <w:r w:rsidR="00082492" w:rsidRPr="00082492">
              <w:rPr>
                <w:noProof/>
                <w:webHidden/>
                <w:sz w:val="24"/>
                <w:szCs w:val="24"/>
              </w:rPr>
              <w:instrText xml:space="preserve"> PAGEREF _Toc129354994 \h </w:instrText>
            </w:r>
            <w:r w:rsidR="00082492" w:rsidRPr="00082492">
              <w:rPr>
                <w:noProof/>
                <w:webHidden/>
                <w:sz w:val="24"/>
                <w:szCs w:val="24"/>
              </w:rPr>
            </w:r>
            <w:r w:rsidR="00082492" w:rsidRPr="00082492">
              <w:rPr>
                <w:noProof/>
                <w:webHidden/>
                <w:sz w:val="24"/>
                <w:szCs w:val="24"/>
              </w:rPr>
              <w:fldChar w:fldCharType="separate"/>
            </w:r>
            <w:r w:rsidR="00082492" w:rsidRPr="00082492">
              <w:rPr>
                <w:noProof/>
                <w:webHidden/>
                <w:sz w:val="24"/>
                <w:szCs w:val="24"/>
              </w:rPr>
              <w:t>8</w:t>
            </w:r>
            <w:r w:rsidR="00082492" w:rsidRPr="00082492">
              <w:rPr>
                <w:noProof/>
                <w:webHidden/>
                <w:sz w:val="24"/>
                <w:szCs w:val="24"/>
              </w:rPr>
              <w:fldChar w:fldCharType="end"/>
            </w:r>
          </w:hyperlink>
        </w:p>
        <w:p w14:paraId="291972F0" w14:textId="77777777" w:rsidR="00082492" w:rsidRDefault="00082492" w:rsidP="00F4234D">
          <w:pPr>
            <w:spacing w:line="360" w:lineRule="auto"/>
            <w:jc w:val="both"/>
          </w:pPr>
          <w:r w:rsidRPr="00082492">
            <w:rPr>
              <w:b/>
              <w:bCs/>
              <w:noProof/>
              <w:sz w:val="24"/>
              <w:szCs w:val="24"/>
            </w:rPr>
            <w:fldChar w:fldCharType="end"/>
          </w:r>
        </w:p>
      </w:sdtContent>
    </w:sdt>
    <w:p w14:paraId="505B1EA1" w14:textId="77777777" w:rsidR="00935F99" w:rsidRPr="008B51A5" w:rsidRDefault="00935F99" w:rsidP="00F4234D">
      <w:pPr>
        <w:spacing w:line="360" w:lineRule="auto"/>
        <w:jc w:val="center"/>
        <w:rPr>
          <w:b/>
          <w:bCs/>
          <w:color w:val="000000" w:themeColor="text1"/>
          <w:sz w:val="24"/>
          <w:szCs w:val="24"/>
        </w:rPr>
      </w:pPr>
    </w:p>
    <w:p w14:paraId="52B2DE3A" w14:textId="77777777" w:rsidR="00082492" w:rsidRDefault="00082492" w:rsidP="00F4234D">
      <w:pPr>
        <w:spacing w:after="160" w:line="360" w:lineRule="auto"/>
        <w:rPr>
          <w:b/>
          <w:sz w:val="24"/>
          <w:szCs w:val="24"/>
        </w:rPr>
      </w:pPr>
      <w:r>
        <w:rPr>
          <w:szCs w:val="24"/>
        </w:rPr>
        <w:br w:type="page"/>
      </w:r>
    </w:p>
    <w:p w14:paraId="33044BCF" w14:textId="77777777" w:rsidR="006E0703" w:rsidRPr="008B6D6C" w:rsidRDefault="006E0703" w:rsidP="00F4234D">
      <w:pPr>
        <w:pStyle w:val="Heading3"/>
        <w:spacing w:line="360" w:lineRule="auto"/>
        <w:rPr>
          <w:szCs w:val="24"/>
          <w:lang w:val="en-GB"/>
        </w:rPr>
      </w:pPr>
      <w:bookmarkStart w:id="1" w:name="_Toc129354991"/>
      <w:r w:rsidRPr="008B6D6C">
        <w:rPr>
          <w:szCs w:val="24"/>
          <w:lang w:val="en-GB"/>
        </w:rPr>
        <w:t>Introduction</w:t>
      </w:r>
      <w:bookmarkEnd w:id="1"/>
      <w:r w:rsidRPr="008B6D6C">
        <w:rPr>
          <w:szCs w:val="24"/>
          <w:lang w:val="en-GB"/>
        </w:rPr>
        <w:t xml:space="preserve"> </w:t>
      </w:r>
    </w:p>
    <w:bookmarkEnd w:id="0"/>
    <w:p w14:paraId="46DD1DE3" w14:textId="0F349F0D" w:rsidR="00090D1E" w:rsidRPr="008B6D6C" w:rsidRDefault="71B15B2C" w:rsidP="00F4234D">
      <w:pPr>
        <w:spacing w:line="360" w:lineRule="auto"/>
        <w:jc w:val="both"/>
        <w:rPr>
          <w:sz w:val="24"/>
          <w:szCs w:val="24"/>
        </w:rPr>
      </w:pPr>
      <w:r w:rsidRPr="71B15B2C">
        <w:rPr>
          <w:sz w:val="24"/>
          <w:szCs w:val="24"/>
        </w:rPr>
        <w:t xml:space="preserve">In recent years, officials have paid more attention to evidence-based enforcement. Typically, evidence-based policing refers to police procedures that are supported by empirical data to maximize effectiveness. The classical school had a major impact on modern jurisprudence, which owes a lot to its reliance on the American Bill of Rights guarantees of due process and human rights as well as its presumption of reason. The main concern of evidence-based policing is data that aids in decision-making because the phrase "evidence-based policing" refers to police strategies and tactics that are informed by scientific evidence of efficacy. This article tries to make traditional criminology more understandable to support enforcement that is supported by facts. The ideas and principles of enforcement will be used to analyse violence as a selected crime activity. </w:t>
      </w:r>
    </w:p>
    <w:p w14:paraId="2BD07791" w14:textId="77777777" w:rsidR="00F15748" w:rsidRPr="00F4234D" w:rsidRDefault="00090D1E" w:rsidP="00F4234D">
      <w:pPr>
        <w:pStyle w:val="Heading3"/>
        <w:spacing w:line="360" w:lineRule="auto"/>
        <w:rPr>
          <w:szCs w:val="24"/>
          <w:lang w:val="en-GB"/>
        </w:rPr>
      </w:pPr>
      <w:bookmarkStart w:id="2" w:name="_Toc129354992"/>
      <w:r w:rsidRPr="008B6D6C">
        <w:rPr>
          <w:szCs w:val="24"/>
          <w:lang w:val="en-GB"/>
        </w:rPr>
        <w:t>Discussion</w:t>
      </w:r>
      <w:bookmarkEnd w:id="2"/>
    </w:p>
    <w:p w14:paraId="7787B0F1" w14:textId="5EF8F859" w:rsidR="00082492" w:rsidRDefault="00CC1B3C" w:rsidP="00F4234D">
      <w:pPr>
        <w:spacing w:line="360" w:lineRule="auto"/>
        <w:jc w:val="both"/>
        <w:rPr>
          <w:sz w:val="24"/>
          <w:szCs w:val="24"/>
        </w:rPr>
      </w:pPr>
      <w:r w:rsidRPr="008B6D6C">
        <w:rPr>
          <w:sz w:val="24"/>
          <w:szCs w:val="24"/>
        </w:rPr>
        <w:t>T</w:t>
      </w:r>
      <w:r w:rsidR="00F15748" w:rsidRPr="008B6D6C">
        <w:rPr>
          <w:sz w:val="24"/>
          <w:szCs w:val="24"/>
        </w:rPr>
        <w:t xml:space="preserve">he </w:t>
      </w:r>
      <w:r w:rsidRPr="008B6D6C">
        <w:rPr>
          <w:sz w:val="24"/>
          <w:szCs w:val="24"/>
        </w:rPr>
        <w:t>classical</w:t>
      </w:r>
      <w:r w:rsidR="00F15748" w:rsidRPr="008B6D6C">
        <w:rPr>
          <w:sz w:val="24"/>
          <w:szCs w:val="24"/>
        </w:rPr>
        <w:t xml:space="preserve"> criminological perspective clarifies crime by characterizing it as the outcome of an individual's free will</w:t>
      </w:r>
      <w:r w:rsidRPr="008B6D6C">
        <w:rPr>
          <w:sz w:val="24"/>
          <w:szCs w:val="24"/>
        </w:rPr>
        <w:t xml:space="preserve"> (</w:t>
      </w:r>
      <w:r w:rsidRPr="008B6D6C">
        <w:rPr>
          <w:color w:val="222222"/>
          <w:sz w:val="24"/>
          <w:szCs w:val="24"/>
          <w:shd w:val="clear" w:color="auto" w:fill="FFFFFF"/>
        </w:rPr>
        <w:t>Popa, 2022)</w:t>
      </w:r>
      <w:r w:rsidR="00F15748" w:rsidRPr="008B6D6C">
        <w:rPr>
          <w:sz w:val="24"/>
          <w:szCs w:val="24"/>
        </w:rPr>
        <w:t xml:space="preserve">. The application of the pain-pleasure idea and criminal activity are related. This theory holds that people typically act in ways that lessen discomfort while boosting happiness. In most criminal cases, the decision to perpetrate the crime was made deliberately and of free will by the actor. We now have a clear understanding of criminal </w:t>
      </w:r>
      <w:r w:rsidR="007E7587" w:rsidRPr="008B6D6C">
        <w:rPr>
          <w:sz w:val="24"/>
          <w:szCs w:val="24"/>
        </w:rPr>
        <w:t>behaviour</w:t>
      </w:r>
      <w:r w:rsidR="00F15748" w:rsidRPr="008B6D6C">
        <w:rPr>
          <w:sz w:val="24"/>
          <w:szCs w:val="24"/>
        </w:rPr>
        <w:t xml:space="preserve"> and its appropriate punishments thanks to the </w:t>
      </w:r>
      <w:r w:rsidR="007E7587" w:rsidRPr="008B6D6C">
        <w:rPr>
          <w:sz w:val="24"/>
          <w:szCs w:val="24"/>
        </w:rPr>
        <w:t>ground-breaking</w:t>
      </w:r>
      <w:r w:rsidR="00F15748" w:rsidRPr="008B6D6C">
        <w:rPr>
          <w:sz w:val="24"/>
          <w:szCs w:val="24"/>
        </w:rPr>
        <w:t xml:space="preserve"> contributions of Jeremy Bentham and Cesare Beccaria, who are acknowledged as the founders of classical criminology. The classical approach implies that people are hedonistic in their pursuit of pleasure and averse to suffering when applied to criminal behavio</w:t>
      </w:r>
      <w:r w:rsidR="007E7587">
        <w:rPr>
          <w:sz w:val="24"/>
          <w:szCs w:val="24"/>
        </w:rPr>
        <w:t>u</w:t>
      </w:r>
      <w:r w:rsidR="00F15748" w:rsidRPr="008B6D6C">
        <w:rPr>
          <w:sz w:val="24"/>
          <w:szCs w:val="24"/>
        </w:rPr>
        <w:t>r. Beccaria and Bentham drew inspiration from social contract theories, which contend that individuals voluntarily trade some of their freedom for the safety of their interests. The law</w:t>
      </w:r>
      <w:r w:rsidR="007E7587">
        <w:rPr>
          <w:sz w:val="24"/>
          <w:szCs w:val="24"/>
        </w:rPr>
        <w:t>, therefore,</w:t>
      </w:r>
      <w:r w:rsidR="00F15748" w:rsidRPr="008B6D6C">
        <w:rPr>
          <w:sz w:val="24"/>
          <w:szCs w:val="24"/>
        </w:rPr>
        <w:t xml:space="preserve"> served as a weapon for upholding social order by stifling the hedonistic tendencies of a population that was predisposed to crime to further their own self-interest. The objective was to create a system of justice that was transparent, rational, and equitable for all parties, with penalties that were reasonable for the offense, swiftly applied, and easily understood. </w:t>
      </w:r>
    </w:p>
    <w:p w14:paraId="2B9C0164" w14:textId="77777777" w:rsidR="00082492" w:rsidRDefault="00082492" w:rsidP="00F4234D">
      <w:pPr>
        <w:spacing w:line="360" w:lineRule="auto"/>
        <w:jc w:val="both"/>
        <w:rPr>
          <w:sz w:val="24"/>
          <w:szCs w:val="24"/>
        </w:rPr>
      </w:pPr>
    </w:p>
    <w:p w14:paraId="1AEE2C47" w14:textId="56899AEF" w:rsidR="00F15748" w:rsidRPr="008B6D6C" w:rsidRDefault="00F15748" w:rsidP="00F4234D">
      <w:pPr>
        <w:spacing w:line="360" w:lineRule="auto"/>
        <w:jc w:val="both"/>
        <w:rPr>
          <w:sz w:val="24"/>
          <w:szCs w:val="24"/>
        </w:rPr>
      </w:pPr>
      <w:r w:rsidRPr="008B6D6C">
        <w:rPr>
          <w:sz w:val="24"/>
          <w:szCs w:val="24"/>
        </w:rPr>
        <w:t xml:space="preserve">According to </w:t>
      </w:r>
      <w:r w:rsidR="00CC1B3C" w:rsidRPr="008B6D6C">
        <w:rPr>
          <w:color w:val="222222"/>
          <w:sz w:val="24"/>
          <w:szCs w:val="24"/>
          <w:shd w:val="clear" w:color="auto" w:fill="FFFFFF"/>
        </w:rPr>
        <w:t>Bruinsma (2018)</w:t>
      </w:r>
      <w:r w:rsidRPr="008B6D6C">
        <w:rPr>
          <w:sz w:val="24"/>
          <w:szCs w:val="24"/>
        </w:rPr>
        <w:t>, classicists believe that people are hedonistic and will go to any lengths to maximize their own enjoyment and minimize their own suffering. The best way to decrease criminal activity, according to classicists, is to make it more likely that offenders will be discovered and punished (</w:t>
      </w:r>
      <w:r w:rsidR="00CC1B3C" w:rsidRPr="008B6D6C">
        <w:rPr>
          <w:color w:val="222222"/>
          <w:sz w:val="24"/>
          <w:szCs w:val="24"/>
          <w:shd w:val="clear" w:color="auto" w:fill="FFFFFF"/>
        </w:rPr>
        <w:t>Ranasinghe, 2022</w:t>
      </w:r>
      <w:r w:rsidRPr="008B6D6C">
        <w:rPr>
          <w:sz w:val="24"/>
          <w:szCs w:val="24"/>
        </w:rPr>
        <w:t>).</w:t>
      </w:r>
      <w:r w:rsidR="00C67AEF" w:rsidRPr="008B6D6C">
        <w:rPr>
          <w:sz w:val="24"/>
          <w:szCs w:val="24"/>
        </w:rPr>
        <w:t xml:space="preserve"> </w:t>
      </w:r>
      <w:r w:rsidR="00605087" w:rsidRPr="008B6D6C">
        <w:rPr>
          <w:sz w:val="24"/>
          <w:szCs w:val="24"/>
        </w:rPr>
        <w:t xml:space="preserve">The utilitarian beliefs of Bentham, who was concerned with the welfare of society as a whole and believed that punishments involving the infliction of suffering had to be justified in terms of the greater good, underlie his addition to "classical" theory. The central idea of Bentham's writings was that people should act in a manner that gives them the most pleasure while causing them the least suffering. (The pleasure-pain principle). According to Bentham's theory, criminal </w:t>
      </w:r>
      <w:r w:rsidR="007E7587" w:rsidRPr="008B6D6C">
        <w:rPr>
          <w:sz w:val="24"/>
          <w:szCs w:val="24"/>
        </w:rPr>
        <w:t>behaviour</w:t>
      </w:r>
      <w:r w:rsidR="00605087" w:rsidRPr="008B6D6C">
        <w:rPr>
          <w:sz w:val="24"/>
          <w:szCs w:val="24"/>
        </w:rPr>
        <w:t xml:space="preserve"> is motivated by a desire to gain new experiences, money, love, or other personal needs.</w:t>
      </w:r>
    </w:p>
    <w:p w14:paraId="3E255631" w14:textId="77777777" w:rsidR="000E3E7F" w:rsidRPr="008B6D6C" w:rsidRDefault="000E3E7F" w:rsidP="00F4234D">
      <w:pPr>
        <w:spacing w:line="360" w:lineRule="auto"/>
        <w:jc w:val="both"/>
        <w:rPr>
          <w:sz w:val="24"/>
          <w:szCs w:val="24"/>
        </w:rPr>
      </w:pPr>
    </w:p>
    <w:p w14:paraId="39686AB2" w14:textId="77777777" w:rsidR="00F15748" w:rsidRPr="008B6D6C" w:rsidRDefault="00F15748" w:rsidP="00F4234D">
      <w:pPr>
        <w:spacing w:line="360" w:lineRule="auto"/>
        <w:jc w:val="both"/>
        <w:rPr>
          <w:sz w:val="24"/>
          <w:szCs w:val="24"/>
        </w:rPr>
      </w:pPr>
      <w:r w:rsidRPr="008B6D6C">
        <w:rPr>
          <w:sz w:val="24"/>
          <w:szCs w:val="24"/>
        </w:rPr>
        <w:t xml:space="preserve">Crime is a fascinating topic because, in many ways, it symbolizes the </w:t>
      </w:r>
      <w:r w:rsidR="00074502" w:rsidRPr="008B6D6C">
        <w:rPr>
          <w:sz w:val="24"/>
          <w:szCs w:val="24"/>
        </w:rPr>
        <w:t>opposite side</w:t>
      </w:r>
      <w:r w:rsidRPr="008B6D6C">
        <w:rPr>
          <w:sz w:val="24"/>
          <w:szCs w:val="24"/>
        </w:rPr>
        <w:t xml:space="preserve"> of charity. This is especially true if we define criminal </w:t>
      </w:r>
      <w:r w:rsidR="007E7587" w:rsidRPr="008B6D6C">
        <w:rPr>
          <w:sz w:val="24"/>
          <w:szCs w:val="24"/>
        </w:rPr>
        <w:t>behaviour</w:t>
      </w:r>
      <w:r w:rsidRPr="008B6D6C">
        <w:rPr>
          <w:sz w:val="24"/>
          <w:szCs w:val="24"/>
        </w:rPr>
        <w:t xml:space="preserve"> as any action done by a person to obtain something of value from another person through coercion, fraud, or stealth. Think about this. The importance of altruism in extensive social encounters between strangers has been discussed. Criminality is a quality or state, either as an individual or collectively. There are certain traits that criminals have in common</w:t>
      </w:r>
      <w:r w:rsidR="00074502" w:rsidRPr="008B6D6C">
        <w:rPr>
          <w:sz w:val="24"/>
          <w:szCs w:val="24"/>
        </w:rPr>
        <w:t xml:space="preserve"> (</w:t>
      </w:r>
      <w:r w:rsidR="00074502" w:rsidRPr="008B6D6C">
        <w:rPr>
          <w:color w:val="222222"/>
          <w:sz w:val="24"/>
          <w:szCs w:val="24"/>
          <w:shd w:val="clear" w:color="auto" w:fill="FFFFFF"/>
        </w:rPr>
        <w:t>Draca et al., 2019)</w:t>
      </w:r>
      <w:r w:rsidRPr="008B6D6C">
        <w:rPr>
          <w:sz w:val="24"/>
          <w:szCs w:val="24"/>
        </w:rPr>
        <w:t xml:space="preserve">. Various criminal justice ideas are based on various assumptions about what it means to be a human. The victim(s) of a crime may sustain physical and mental harm, </w:t>
      </w:r>
      <w:r w:rsidR="007E7587" w:rsidRPr="008B6D6C">
        <w:rPr>
          <w:sz w:val="24"/>
          <w:szCs w:val="24"/>
        </w:rPr>
        <w:t>lose</w:t>
      </w:r>
      <w:r w:rsidRPr="008B6D6C">
        <w:rPr>
          <w:sz w:val="24"/>
          <w:szCs w:val="24"/>
        </w:rPr>
        <w:t xml:space="preserve"> money, and deal with social repercussions like family conflict. Crimes are any actions or inactions that harm another person. A criminal wrong is committed when an offense is committed. Every crime is done in rem, or against the entire cosmos</w:t>
      </w:r>
      <w:r w:rsidR="00074502" w:rsidRPr="008B6D6C">
        <w:rPr>
          <w:sz w:val="24"/>
          <w:szCs w:val="24"/>
        </w:rPr>
        <w:t xml:space="preserve"> (</w:t>
      </w:r>
      <w:r w:rsidR="00074502" w:rsidRPr="008B6D6C">
        <w:rPr>
          <w:color w:val="222222"/>
          <w:sz w:val="24"/>
          <w:szCs w:val="24"/>
          <w:shd w:val="clear" w:color="auto" w:fill="FFFFFF"/>
        </w:rPr>
        <w:t>White et al., 2019)</w:t>
      </w:r>
      <w:r w:rsidRPr="008B6D6C">
        <w:rPr>
          <w:sz w:val="24"/>
          <w:szCs w:val="24"/>
        </w:rPr>
        <w:t>.</w:t>
      </w:r>
    </w:p>
    <w:p w14:paraId="75D200C8" w14:textId="77777777" w:rsidR="00F15748" w:rsidRPr="008B6D6C" w:rsidRDefault="00F15748" w:rsidP="00F4234D">
      <w:pPr>
        <w:spacing w:line="360" w:lineRule="auto"/>
        <w:jc w:val="both"/>
        <w:rPr>
          <w:sz w:val="24"/>
          <w:szCs w:val="24"/>
        </w:rPr>
      </w:pPr>
    </w:p>
    <w:p w14:paraId="1474FBDC" w14:textId="15AFADD0" w:rsidR="00F15748" w:rsidRPr="008B6D6C" w:rsidRDefault="00F15748" w:rsidP="2457028A">
      <w:pPr>
        <w:shd w:val="clear" w:color="auto" w:fill="FFFFFF" w:themeFill="background1"/>
        <w:spacing w:line="360" w:lineRule="auto"/>
        <w:jc w:val="both"/>
        <w:rPr>
          <w:sz w:val="24"/>
          <w:szCs w:val="24"/>
        </w:rPr>
      </w:pPr>
      <w:r w:rsidRPr="008B6D6C">
        <w:rPr>
          <w:sz w:val="24"/>
          <w:szCs w:val="24"/>
        </w:rPr>
        <w:t xml:space="preserve">However, there are several evidence-based policing strategies that enable law enforcement organizations to take wise, fact-based, and tactically sound choices. The most popular versions are SARA, Hotspot, ATLAS, and POP. </w:t>
      </w:r>
      <w:r w:rsidR="00605087" w:rsidRPr="008B6D6C">
        <w:rPr>
          <w:rStyle w:val="hgkelc"/>
          <w:color w:val="202124"/>
          <w:sz w:val="24"/>
          <w:szCs w:val="24"/>
        </w:rPr>
        <w:t>A feasibility study for a suggested technique serves as the basis for a proof of concept (PoC). It</w:t>
      </w:r>
      <w:r w:rsidR="00090D1E" w:rsidRPr="008B6D6C">
        <w:rPr>
          <w:rStyle w:val="hgkelc"/>
          <w:color w:val="202124"/>
          <w:sz w:val="24"/>
          <w:szCs w:val="24"/>
        </w:rPr>
        <w:t xml:space="preserve"> i</w:t>
      </w:r>
      <w:r w:rsidR="00605087" w:rsidRPr="008B6D6C">
        <w:rPr>
          <w:rStyle w:val="hgkelc"/>
          <w:color w:val="202124"/>
          <w:sz w:val="24"/>
          <w:szCs w:val="24"/>
        </w:rPr>
        <w:t>s a technique for demonstrating a product or service's potential in particular situations.</w:t>
      </w:r>
      <w:r w:rsidR="00090D1E" w:rsidRPr="008B6D6C">
        <w:rPr>
          <w:color w:val="202124"/>
          <w:sz w:val="24"/>
          <w:szCs w:val="24"/>
        </w:rPr>
        <w:t xml:space="preserve"> </w:t>
      </w:r>
      <w:r w:rsidRPr="008B6D6C">
        <w:rPr>
          <w:sz w:val="24"/>
          <w:szCs w:val="24"/>
        </w:rPr>
        <w:t>The SARA Model approaches policing as a problem-solving strategy, which is evident in its focus on analysis and study that result</w:t>
      </w:r>
      <w:r w:rsidR="007E7587">
        <w:rPr>
          <w:sz w:val="24"/>
          <w:szCs w:val="24"/>
        </w:rPr>
        <w:t>s</w:t>
      </w:r>
      <w:r w:rsidRPr="008B6D6C">
        <w:rPr>
          <w:sz w:val="24"/>
          <w:szCs w:val="24"/>
        </w:rPr>
        <w:t xml:space="preserve"> in customized solutions. This model is helpful for determining the effectiveness of the response as well. Four stages make up the model: scanning, analysis, reaction, and evaluation. As an illustration, the first phase effectively carries out a scan and pinpoints the problem in terms of the violent crime that was selected. (</w:t>
      </w:r>
      <w:r w:rsidR="0019494E" w:rsidRPr="008B6D6C">
        <w:rPr>
          <w:color w:val="222222"/>
          <w:sz w:val="24"/>
          <w:szCs w:val="24"/>
          <w:shd w:val="clear" w:color="auto" w:fill="FFFFFF"/>
        </w:rPr>
        <w:t>Mitchell and Huey, 2018</w:t>
      </w:r>
      <w:r w:rsidRPr="008B6D6C">
        <w:rPr>
          <w:sz w:val="24"/>
          <w:szCs w:val="24"/>
        </w:rPr>
        <w:t xml:space="preserve">). This necessitates the use of pertinent data from other sources, including feedback from the public, the </w:t>
      </w:r>
      <w:r w:rsidR="007E7587" w:rsidRPr="008B6D6C">
        <w:rPr>
          <w:sz w:val="24"/>
          <w:szCs w:val="24"/>
        </w:rPr>
        <w:t>neighbourhood</w:t>
      </w:r>
      <w:r w:rsidRPr="008B6D6C">
        <w:rPr>
          <w:sz w:val="24"/>
          <w:szCs w:val="24"/>
        </w:rPr>
        <w:t>, and the police. At this point, we examine the offender and any additional contextual elements that might have influenced the violent behavio</w:t>
      </w:r>
      <w:r w:rsidR="007E7587">
        <w:rPr>
          <w:sz w:val="24"/>
          <w:szCs w:val="24"/>
        </w:rPr>
        <w:t>u</w:t>
      </w:r>
      <w:r w:rsidRPr="008B6D6C">
        <w:rPr>
          <w:sz w:val="24"/>
          <w:szCs w:val="24"/>
        </w:rPr>
        <w:t>r of the offender. According to</w:t>
      </w:r>
      <w:r w:rsidR="0019494E" w:rsidRPr="008B6D6C">
        <w:rPr>
          <w:sz w:val="24"/>
          <w:szCs w:val="24"/>
        </w:rPr>
        <w:t xml:space="preserve"> </w:t>
      </w:r>
      <w:r w:rsidR="0019494E" w:rsidRPr="008B6D6C">
        <w:rPr>
          <w:color w:val="222222"/>
          <w:sz w:val="24"/>
          <w:szCs w:val="24"/>
          <w:shd w:val="clear" w:color="auto" w:fill="FFFFFF"/>
        </w:rPr>
        <w:t>Krupar (2020</w:t>
      </w:r>
      <w:r w:rsidRPr="008B6D6C">
        <w:rPr>
          <w:sz w:val="24"/>
          <w:szCs w:val="24"/>
        </w:rPr>
        <w:t xml:space="preserve">), a variety of factors, including abusive parenting, genetics, media violence, and other issues, add to aggressive </w:t>
      </w:r>
      <w:r w:rsidR="007E7587" w:rsidRPr="008B6D6C">
        <w:rPr>
          <w:sz w:val="24"/>
          <w:szCs w:val="24"/>
        </w:rPr>
        <w:t>behaviour</w:t>
      </w:r>
      <w:r w:rsidRPr="008B6D6C">
        <w:rPr>
          <w:sz w:val="24"/>
          <w:szCs w:val="24"/>
        </w:rPr>
        <w:t>. The research part of the model is where the fundamental causes</w:t>
      </w:r>
      <w:r w:rsidR="007E7587">
        <w:rPr>
          <w:sz w:val="24"/>
          <w:szCs w:val="24"/>
        </w:rPr>
        <w:t xml:space="preserve"> of issues</w:t>
      </w:r>
      <w:r w:rsidRPr="008B6D6C">
        <w:rPr>
          <w:sz w:val="24"/>
          <w:szCs w:val="24"/>
        </w:rPr>
        <w:t xml:space="preserve"> are further explored. It is the duty of police officers to constantly look for effective and dependable solutions to problems. Law enforcement organizations must, however, shift into reaction mode by using enforcement once problem-solving initiatives have started. The DASH model, which helps with risk assessment and management, is the police go-to reaction to domestic abuse and harassment, according to </w:t>
      </w:r>
      <w:r w:rsidR="0019494E" w:rsidRPr="008B6D6C">
        <w:rPr>
          <w:color w:val="222222"/>
          <w:sz w:val="24"/>
          <w:szCs w:val="24"/>
          <w:shd w:val="clear" w:color="auto" w:fill="FFFFFF"/>
        </w:rPr>
        <w:t>Mitchell and Huey (2018</w:t>
      </w:r>
      <w:r w:rsidRPr="008B6D6C">
        <w:rPr>
          <w:sz w:val="24"/>
          <w:szCs w:val="24"/>
        </w:rPr>
        <w:t xml:space="preserve">). This helps the police make an arrest and apply the most suitable laws, which eventually results in a harsher sentence. The evaluation that follows the plan's conclusion focuses on determining how successful the police department's response was. </w:t>
      </w:r>
    </w:p>
    <w:p w14:paraId="66EEDC7E" w14:textId="77777777" w:rsidR="0019494E" w:rsidRPr="008B6D6C" w:rsidRDefault="0019494E" w:rsidP="00F4234D">
      <w:pPr>
        <w:shd w:val="clear" w:color="auto" w:fill="FFFFFF"/>
        <w:spacing w:line="360" w:lineRule="auto"/>
        <w:rPr>
          <w:sz w:val="24"/>
          <w:szCs w:val="24"/>
        </w:rPr>
      </w:pPr>
    </w:p>
    <w:p w14:paraId="748DC91A" w14:textId="77777777" w:rsidR="002C3D1A" w:rsidRPr="008B6D6C" w:rsidRDefault="00F15748" w:rsidP="00F4234D">
      <w:pPr>
        <w:spacing w:line="360" w:lineRule="auto"/>
        <w:jc w:val="both"/>
        <w:rPr>
          <w:sz w:val="24"/>
          <w:szCs w:val="24"/>
        </w:rPr>
      </w:pPr>
      <w:r w:rsidRPr="008B6D6C">
        <w:rPr>
          <w:sz w:val="24"/>
          <w:szCs w:val="24"/>
        </w:rPr>
        <w:t xml:space="preserve">According to </w:t>
      </w:r>
      <w:r w:rsidR="002C3D1A" w:rsidRPr="008B6D6C">
        <w:rPr>
          <w:color w:val="222222"/>
          <w:sz w:val="24"/>
          <w:szCs w:val="24"/>
          <w:shd w:val="clear" w:color="auto" w:fill="FFFFFF"/>
        </w:rPr>
        <w:t>Sidebottom and Tilley (2019)</w:t>
      </w:r>
      <w:r w:rsidRPr="008B6D6C">
        <w:rPr>
          <w:sz w:val="24"/>
          <w:szCs w:val="24"/>
        </w:rPr>
        <w:t xml:space="preserve">, classical criminology can be used to effectively describe the SARA model and comprehend its motivations. The use of traditional criminology concepts like hedonism, human rights, punishment, and reason strengthens the SARA model's objectives of </w:t>
      </w:r>
      <w:r w:rsidR="007E7587">
        <w:rPr>
          <w:sz w:val="24"/>
          <w:szCs w:val="24"/>
        </w:rPr>
        <w:t xml:space="preserve">the </w:t>
      </w:r>
      <w:r w:rsidRPr="008B6D6C">
        <w:rPr>
          <w:sz w:val="24"/>
          <w:szCs w:val="24"/>
        </w:rPr>
        <w:t xml:space="preserve">suspect analysis, finding rational actors, and tracing crimes to their causes. As a result, the SARA evidence-based policing model offers a suitable framework for determining and examining the root causes of a wide variety of intricate mechanisms and problems, as well as for developing targeted interventions to address them. The model's weakness, according to </w:t>
      </w:r>
      <w:r w:rsidR="002C3D1A" w:rsidRPr="008B6D6C">
        <w:rPr>
          <w:color w:val="222222"/>
          <w:sz w:val="24"/>
          <w:szCs w:val="24"/>
          <w:shd w:val="clear" w:color="auto" w:fill="FFFFFF"/>
        </w:rPr>
        <w:t>McGuire et al. (2021</w:t>
      </w:r>
      <w:r w:rsidRPr="008B6D6C">
        <w:rPr>
          <w:sz w:val="24"/>
          <w:szCs w:val="24"/>
        </w:rPr>
        <w:t xml:space="preserve">), is the oversimplification of the procedure that results in the police reaction plan. </w:t>
      </w:r>
    </w:p>
    <w:p w14:paraId="7E68E9E5" w14:textId="77777777" w:rsidR="00F15748" w:rsidRPr="008B6D6C" w:rsidRDefault="00F15748" w:rsidP="00F4234D">
      <w:pPr>
        <w:spacing w:line="360" w:lineRule="auto"/>
        <w:jc w:val="both"/>
        <w:rPr>
          <w:sz w:val="24"/>
          <w:szCs w:val="24"/>
        </w:rPr>
      </w:pPr>
    </w:p>
    <w:p w14:paraId="19E1F559" w14:textId="15A3221F" w:rsidR="00F15748" w:rsidRPr="008B6D6C" w:rsidRDefault="00F15748" w:rsidP="00F4234D">
      <w:pPr>
        <w:spacing w:line="360" w:lineRule="auto"/>
        <w:jc w:val="both"/>
        <w:rPr>
          <w:sz w:val="24"/>
          <w:szCs w:val="24"/>
        </w:rPr>
      </w:pPr>
      <w:r w:rsidRPr="008B6D6C">
        <w:rPr>
          <w:sz w:val="24"/>
          <w:szCs w:val="24"/>
        </w:rPr>
        <w:t xml:space="preserve">Another subject of research is the evidence-based Hotspot method of surveillance. Hotspot enforcement is a widely used strategy for concentrating efforts and resources in areas with high rates of violent and property crimes, according to </w:t>
      </w:r>
      <w:r w:rsidR="007E7587">
        <w:rPr>
          <w:sz w:val="24"/>
          <w:szCs w:val="24"/>
        </w:rPr>
        <w:t xml:space="preserve">a </w:t>
      </w:r>
      <w:r w:rsidRPr="008B6D6C">
        <w:rPr>
          <w:sz w:val="24"/>
          <w:szCs w:val="24"/>
        </w:rPr>
        <w:t xml:space="preserve">study by </w:t>
      </w:r>
      <w:r w:rsidR="002C3D1A" w:rsidRPr="008B6D6C">
        <w:rPr>
          <w:color w:val="222222"/>
          <w:sz w:val="24"/>
          <w:szCs w:val="24"/>
          <w:shd w:val="clear" w:color="auto" w:fill="FFFFFF"/>
        </w:rPr>
        <w:t>Ariel (2018</w:t>
      </w:r>
      <w:r w:rsidRPr="008B6D6C">
        <w:rPr>
          <w:sz w:val="24"/>
          <w:szCs w:val="24"/>
        </w:rPr>
        <w:t xml:space="preserve">). The tactic highlights the fact that rather than spreading throughout the entire area, lawlessness is more likely to be localized in certain areas. One of the main objectives of Hotspot initiatives and resources, which are usually focused on preventing street crime in specific locations, is to lower overall crime rates. It has also been demonstrated that hotspot policing lowers crime and violence. According to </w:t>
      </w:r>
      <w:r w:rsidR="002C3D1A" w:rsidRPr="008B6D6C">
        <w:rPr>
          <w:color w:val="222222"/>
          <w:sz w:val="24"/>
          <w:szCs w:val="24"/>
          <w:shd w:val="clear" w:color="auto" w:fill="FFFFFF"/>
        </w:rPr>
        <w:t>Baldwin-Edwards et al., (2019</w:t>
      </w:r>
      <w:r w:rsidRPr="008B6D6C">
        <w:rPr>
          <w:sz w:val="24"/>
          <w:szCs w:val="24"/>
        </w:rPr>
        <w:t>), focusing on uniformed officers conducting high-visibility 15-minute patrols in high-crime areas has effectively reduced violent crime by 74%. The Essex police have spent the last three days concentrating on approximately 20 separate locations in Southend at various times. The Hotspot enforcement program directly contributed to a 31.9% decrease in violent and street crime</w:t>
      </w:r>
      <w:r w:rsidR="002C3D1A" w:rsidRPr="008B6D6C">
        <w:rPr>
          <w:sz w:val="24"/>
          <w:szCs w:val="24"/>
        </w:rPr>
        <w:t xml:space="preserve"> (</w:t>
      </w:r>
      <w:r w:rsidR="002C3D1A" w:rsidRPr="008B6D6C">
        <w:rPr>
          <w:color w:val="222222"/>
          <w:sz w:val="24"/>
          <w:szCs w:val="24"/>
          <w:shd w:val="clear" w:color="auto" w:fill="FFFFFF"/>
        </w:rPr>
        <w:t>Szantoi et al, 2021)</w:t>
      </w:r>
      <w:r w:rsidRPr="008B6D6C">
        <w:rPr>
          <w:sz w:val="24"/>
          <w:szCs w:val="24"/>
        </w:rPr>
        <w:t xml:space="preserve">. Once Hotspot enforcement had successfully reduced crime and violent </w:t>
      </w:r>
      <w:r w:rsidR="007E7587" w:rsidRPr="008B6D6C">
        <w:rPr>
          <w:sz w:val="24"/>
          <w:szCs w:val="24"/>
        </w:rPr>
        <w:t>behaviour</w:t>
      </w:r>
      <w:r w:rsidRPr="008B6D6C">
        <w:rPr>
          <w:sz w:val="24"/>
          <w:szCs w:val="24"/>
        </w:rPr>
        <w:t xml:space="preserve"> in one area, police planned to roll it out to additional high-crime areas. According to traditional criminology, criminal </w:t>
      </w:r>
      <w:r w:rsidR="007E7587" w:rsidRPr="008B6D6C">
        <w:rPr>
          <w:sz w:val="24"/>
          <w:szCs w:val="24"/>
        </w:rPr>
        <w:t>behaviour</w:t>
      </w:r>
      <w:r w:rsidRPr="008B6D6C">
        <w:rPr>
          <w:sz w:val="24"/>
          <w:szCs w:val="24"/>
        </w:rPr>
        <w:t xml:space="preserve"> is discouraged when the offender believes that committing the crime will result in more bad outcomes than positive ones. From a traditional standpoint, Hotspot policing makes sense because it makes punishments more unpleasant while lowering the likelihood that the perpetrator will find any enjoyment in them. The evidence points to the effectiveness of Hotspot policing in reducing criminal </w:t>
      </w:r>
      <w:r w:rsidR="007E7587" w:rsidRPr="008B6D6C">
        <w:rPr>
          <w:sz w:val="24"/>
          <w:szCs w:val="24"/>
        </w:rPr>
        <w:t>behaviour</w:t>
      </w:r>
      <w:r w:rsidRPr="008B6D6C">
        <w:rPr>
          <w:sz w:val="24"/>
          <w:szCs w:val="24"/>
        </w:rPr>
        <w:t xml:space="preserve">. One advantage of Hotspot enforcement, according to </w:t>
      </w:r>
      <w:r w:rsidR="002C3D1A" w:rsidRPr="008B6D6C">
        <w:rPr>
          <w:color w:val="222222"/>
          <w:sz w:val="24"/>
          <w:szCs w:val="24"/>
          <w:shd w:val="clear" w:color="auto" w:fill="FFFFFF"/>
        </w:rPr>
        <w:t>Caplan and Kennedy (2019</w:t>
      </w:r>
      <w:r w:rsidRPr="008B6D6C">
        <w:rPr>
          <w:sz w:val="24"/>
          <w:szCs w:val="24"/>
        </w:rPr>
        <w:t xml:space="preserve">), is that police are more visible, which deters criminal activity. The shortcomings of this evidence-based strategy cause harm and expose the targeted group to a particular territorial stigma. It may also weaken locals' sense of social control and instil dread in them. </w:t>
      </w:r>
    </w:p>
    <w:p w14:paraId="0C8E1441" w14:textId="77777777" w:rsidR="002C3D1A" w:rsidRPr="008B6D6C" w:rsidRDefault="002C3D1A" w:rsidP="00F4234D">
      <w:pPr>
        <w:spacing w:line="360" w:lineRule="auto"/>
        <w:jc w:val="both"/>
        <w:rPr>
          <w:sz w:val="24"/>
          <w:szCs w:val="24"/>
        </w:rPr>
      </w:pPr>
    </w:p>
    <w:p w14:paraId="41ABA894" w14:textId="007A495D" w:rsidR="00082492" w:rsidRDefault="2457028A" w:rsidP="00F4234D">
      <w:pPr>
        <w:spacing w:line="360" w:lineRule="auto"/>
        <w:jc w:val="both"/>
        <w:rPr>
          <w:sz w:val="24"/>
          <w:szCs w:val="24"/>
        </w:rPr>
      </w:pPr>
      <w:r w:rsidRPr="2457028A">
        <w:rPr>
          <w:sz w:val="24"/>
          <w:szCs w:val="24"/>
        </w:rPr>
        <w:t>Moyo (2020) also asserted that the fast growth of policing contributed to a greater awareness of police practices, which in turn facilitated the development of the Triple T model of policing. The first part of the model focuses on evidence-based targeting, which makes it easier to compare and rank the degree of harm usually connected to people, places, times, and situations that the police can effectively address. The emphasis on targeting is since research is used to identify crime and disorder. The police pick high-priority targets for testing, putting them through a series of experiments to see which strategies work best in lowering crime and other forms of harm. Testing is the next stage of the strategy. The third and last step of the triple T model, tracking, allows decision-makers to monitor the success of their initiatives and the public's perception of the police by keeping an eye on the tried-and-true methods that have been shown to yield reliable internal results (Paudel, 2020). According to the rational choice theory in criminology, individuals commit crimes because they use cognitive processes that let them weigh the benefits and drawbacks of doing so.</w:t>
      </w:r>
    </w:p>
    <w:p w14:paraId="716EFA9F" w14:textId="77777777" w:rsidR="00082492" w:rsidRDefault="00082492" w:rsidP="00F4234D">
      <w:pPr>
        <w:spacing w:line="360" w:lineRule="auto"/>
        <w:jc w:val="both"/>
        <w:rPr>
          <w:sz w:val="24"/>
          <w:szCs w:val="24"/>
        </w:rPr>
      </w:pPr>
    </w:p>
    <w:p w14:paraId="4991A331" w14:textId="66250FFA" w:rsidR="000D1DEC" w:rsidRPr="008B6D6C" w:rsidRDefault="2457028A" w:rsidP="00F4234D">
      <w:pPr>
        <w:spacing w:line="360" w:lineRule="auto"/>
        <w:jc w:val="both"/>
        <w:rPr>
          <w:sz w:val="24"/>
          <w:szCs w:val="24"/>
        </w:rPr>
      </w:pPr>
      <w:r w:rsidRPr="2457028A">
        <w:rPr>
          <w:sz w:val="24"/>
          <w:szCs w:val="24"/>
        </w:rPr>
        <w:t xml:space="preserve"> According to the theory, which is consistent with individual preferences, crime has more detrimental impacts than positive ones on society. The Triple T approach, however, has been applied to policing with success and is helpful in addressing gun violence. Police have turned to tried-and-true techniques like frisking and stopping people with handguns to improve visibility and patrol time in high-crime areas and to respect the locals (Sherman, 2022). GPS and other monitoring technologies can be used to keep an eye on police and criminal behaviour. The model's thorough examination of crime and associated bad behaviours is another one of its strong points. To understand criminal behaviour, the model considers not only the individual but also the society and broader social context. The model's weakness, however, is that it concentrates too intently on the issue's surface symptoms rather than its fundamental causes. </w:t>
      </w:r>
    </w:p>
    <w:p w14:paraId="732E6B56" w14:textId="77777777" w:rsidR="00082492" w:rsidRDefault="00082492" w:rsidP="00F4234D">
      <w:pPr>
        <w:spacing w:line="360" w:lineRule="auto"/>
        <w:jc w:val="both"/>
        <w:rPr>
          <w:sz w:val="24"/>
          <w:szCs w:val="24"/>
        </w:rPr>
      </w:pPr>
    </w:p>
    <w:p w14:paraId="56D8A898" w14:textId="77777777" w:rsidR="00F15748" w:rsidRPr="008B6D6C" w:rsidRDefault="00F15748" w:rsidP="00F4234D">
      <w:pPr>
        <w:spacing w:line="360" w:lineRule="auto"/>
        <w:jc w:val="both"/>
        <w:rPr>
          <w:sz w:val="24"/>
          <w:szCs w:val="24"/>
        </w:rPr>
      </w:pPr>
      <w:r w:rsidRPr="008B6D6C">
        <w:rPr>
          <w:sz w:val="24"/>
          <w:szCs w:val="24"/>
        </w:rPr>
        <w:t xml:space="preserve">One of the major problems with classical criminology is that it overstates the influence of punishments on people's </w:t>
      </w:r>
      <w:r w:rsidR="007E7587" w:rsidRPr="008B6D6C">
        <w:rPr>
          <w:sz w:val="24"/>
          <w:szCs w:val="24"/>
        </w:rPr>
        <w:t>behaviour</w:t>
      </w:r>
      <w:r w:rsidRPr="008B6D6C">
        <w:rPr>
          <w:sz w:val="24"/>
          <w:szCs w:val="24"/>
        </w:rPr>
        <w:t>. Deterrence in criminal justice is ineffective because there is little chance of being captured. However, despite having much less biological evidence to support it, classical education has been shown to be successful in reducing crime rates, acting as a deterrent, and effectively containing those who rebel against the status quo. By showing offenders that they cannot act in a way that maximizes pleasure and minimizes pain if doing so would mean breaking the law, the classical model successfully illustrates to offenders that the pleasure they would experience is outweighed by the punishment they would face</w:t>
      </w:r>
      <w:r w:rsidR="008B6D6C" w:rsidRPr="008B6D6C">
        <w:rPr>
          <w:sz w:val="24"/>
          <w:szCs w:val="24"/>
        </w:rPr>
        <w:t xml:space="preserve"> (Moyo, 2020)</w:t>
      </w:r>
      <w:r w:rsidRPr="008B6D6C">
        <w:rPr>
          <w:sz w:val="24"/>
          <w:szCs w:val="24"/>
        </w:rPr>
        <w:t xml:space="preserve">. Any sane individual would not act on their thoughts of criminal </w:t>
      </w:r>
      <w:r w:rsidR="007E7587" w:rsidRPr="008B6D6C">
        <w:rPr>
          <w:sz w:val="24"/>
          <w:szCs w:val="24"/>
        </w:rPr>
        <w:t>behaviour</w:t>
      </w:r>
      <w:r w:rsidRPr="008B6D6C">
        <w:rPr>
          <w:sz w:val="24"/>
          <w:szCs w:val="24"/>
        </w:rPr>
        <w:t xml:space="preserve"> because the goal of laws is to deter criminal activity. Therefore, the evidence-based models offer sufficient information and support understanding of enforcement and the related decision-making domains. </w:t>
      </w:r>
    </w:p>
    <w:p w14:paraId="50C8ADDA" w14:textId="77777777" w:rsidR="00F15748" w:rsidRPr="00F4234D" w:rsidRDefault="00F15748" w:rsidP="00F4234D">
      <w:pPr>
        <w:pStyle w:val="Heading3"/>
        <w:spacing w:line="360" w:lineRule="auto"/>
        <w:rPr>
          <w:szCs w:val="24"/>
          <w:lang w:val="en-GB"/>
        </w:rPr>
      </w:pPr>
      <w:bookmarkStart w:id="3" w:name="_Toc129354993"/>
      <w:r w:rsidRPr="008B6D6C">
        <w:rPr>
          <w:szCs w:val="24"/>
          <w:lang w:val="en-GB"/>
        </w:rPr>
        <w:t>Conclusion</w:t>
      </w:r>
      <w:bookmarkEnd w:id="3"/>
    </w:p>
    <w:p w14:paraId="3DC26DD8" w14:textId="77777777" w:rsidR="000D1DEC" w:rsidRPr="008B6D6C" w:rsidRDefault="00F15748" w:rsidP="00F4234D">
      <w:pPr>
        <w:spacing w:line="360" w:lineRule="auto"/>
        <w:jc w:val="both"/>
        <w:rPr>
          <w:sz w:val="24"/>
          <w:szCs w:val="24"/>
        </w:rPr>
      </w:pPr>
      <w:r w:rsidRPr="008B6D6C">
        <w:rPr>
          <w:sz w:val="24"/>
          <w:szCs w:val="24"/>
        </w:rPr>
        <w:t xml:space="preserve">As a result of this investigation, a more thorough grasp of traditional criminology and evidence-based enforcement were both revealed. To decrease crime in the country, it is evident that criminals must feel less pleasure from their criminal activity and more fear of the police. The Triple T model, SARA, and other evidence-based strategies have produced enough data to successfully lower violent crime across the country. </w:t>
      </w:r>
    </w:p>
    <w:p w14:paraId="66FCD5A7" w14:textId="77777777" w:rsidR="000D1DEC" w:rsidRPr="008B6D6C" w:rsidRDefault="000D1DEC" w:rsidP="00F4234D">
      <w:pPr>
        <w:spacing w:after="160" w:line="360" w:lineRule="auto"/>
        <w:rPr>
          <w:sz w:val="24"/>
          <w:szCs w:val="24"/>
        </w:rPr>
      </w:pPr>
      <w:r w:rsidRPr="008B6D6C">
        <w:rPr>
          <w:sz w:val="24"/>
          <w:szCs w:val="24"/>
        </w:rPr>
        <w:br w:type="page"/>
      </w:r>
    </w:p>
    <w:p w14:paraId="0C9D4DE0" w14:textId="77777777" w:rsidR="00F15748" w:rsidRPr="008B6D6C" w:rsidRDefault="000D1DEC" w:rsidP="00F4234D">
      <w:pPr>
        <w:pStyle w:val="Heading3"/>
        <w:spacing w:line="360" w:lineRule="auto"/>
        <w:rPr>
          <w:szCs w:val="24"/>
          <w:lang w:val="en-GB"/>
        </w:rPr>
      </w:pPr>
      <w:bookmarkStart w:id="4" w:name="_Toc129354994"/>
      <w:r w:rsidRPr="008B6D6C">
        <w:rPr>
          <w:szCs w:val="24"/>
          <w:lang w:val="en-GB"/>
        </w:rPr>
        <w:t>References</w:t>
      </w:r>
      <w:bookmarkEnd w:id="4"/>
      <w:r w:rsidRPr="008B6D6C">
        <w:rPr>
          <w:szCs w:val="24"/>
          <w:lang w:val="en-GB"/>
        </w:rPr>
        <w:t xml:space="preserve"> </w:t>
      </w:r>
    </w:p>
    <w:p w14:paraId="09C13490" w14:textId="42E7C172" w:rsidR="00082492" w:rsidRPr="00F4234D" w:rsidRDefault="00082492" w:rsidP="2457028A">
      <w:pPr>
        <w:spacing w:line="360" w:lineRule="auto"/>
        <w:ind w:left="720" w:hanging="720"/>
        <w:jc w:val="both"/>
        <w:rPr>
          <w:sz w:val="24"/>
          <w:szCs w:val="24"/>
        </w:rPr>
      </w:pPr>
      <w:r w:rsidRPr="2457028A">
        <w:rPr>
          <w:color w:val="222222"/>
          <w:sz w:val="24"/>
          <w:szCs w:val="24"/>
          <w:shd w:val="clear" w:color="auto" w:fill="FFFFFF"/>
        </w:rPr>
        <w:t>Ariel, B., 2018. Not all evidence is created equal”: on the importance of matching research questions with research methods in evidence-based policing. </w:t>
      </w:r>
      <w:r w:rsidRPr="2457028A">
        <w:rPr>
          <w:i/>
          <w:iCs/>
          <w:color w:val="222222"/>
          <w:sz w:val="24"/>
          <w:szCs w:val="24"/>
          <w:shd w:val="clear" w:color="auto" w:fill="FFFFFF"/>
        </w:rPr>
        <w:t>Evidence based policing: An introduction</w:t>
      </w:r>
      <w:r w:rsidRPr="2457028A">
        <w:rPr>
          <w:color w:val="222222"/>
          <w:sz w:val="24"/>
          <w:szCs w:val="24"/>
          <w:shd w:val="clear" w:color="auto" w:fill="FFFFFF"/>
        </w:rPr>
        <w:t>, </w:t>
      </w:r>
      <w:r w:rsidRPr="2457028A">
        <w:rPr>
          <w:i/>
          <w:iCs/>
          <w:color w:val="222222"/>
          <w:sz w:val="24"/>
          <w:szCs w:val="24"/>
          <w:shd w:val="clear" w:color="auto" w:fill="FFFFFF"/>
        </w:rPr>
        <w:t>63</w:t>
      </w:r>
      <w:r w:rsidRPr="2457028A">
        <w:rPr>
          <w:color w:val="222222"/>
          <w:sz w:val="24"/>
          <w:szCs w:val="24"/>
          <w:shd w:val="clear" w:color="auto" w:fill="FFFFFF"/>
        </w:rPr>
        <w:t>.</w:t>
      </w:r>
    </w:p>
    <w:p w14:paraId="540A35E7" w14:textId="7B57CC91" w:rsidR="00082492" w:rsidRPr="00F4234D" w:rsidRDefault="00082492" w:rsidP="2457028A">
      <w:pPr>
        <w:spacing w:line="360" w:lineRule="auto"/>
        <w:ind w:left="720" w:hanging="720"/>
        <w:jc w:val="both"/>
        <w:rPr>
          <w:color w:val="222222"/>
          <w:sz w:val="24"/>
          <w:szCs w:val="24"/>
          <w:shd w:val="clear" w:color="auto" w:fill="FFFFFF"/>
        </w:rPr>
      </w:pPr>
      <w:r w:rsidRPr="2457028A">
        <w:rPr>
          <w:color w:val="222222"/>
          <w:sz w:val="24"/>
          <w:szCs w:val="24"/>
          <w:shd w:val="clear" w:color="auto" w:fill="FFFFFF"/>
        </w:rPr>
        <w:t>Baldwin-Edwards, M., Blitz, B.K. and Crawley, H., 2019. The politics of evidence-based policy in Europe’s ‘migration crises. </w:t>
      </w:r>
      <w:r w:rsidRPr="2457028A">
        <w:rPr>
          <w:i/>
          <w:iCs/>
          <w:color w:val="222222"/>
          <w:sz w:val="24"/>
          <w:szCs w:val="24"/>
          <w:shd w:val="clear" w:color="auto" w:fill="FFFFFF"/>
        </w:rPr>
        <w:t>Journal of Ethnic and Migration Studies</w:t>
      </w:r>
      <w:r w:rsidRPr="2457028A">
        <w:rPr>
          <w:color w:val="222222"/>
          <w:sz w:val="24"/>
          <w:szCs w:val="24"/>
          <w:shd w:val="clear" w:color="auto" w:fill="FFFFFF"/>
        </w:rPr>
        <w:t>, </w:t>
      </w:r>
      <w:r w:rsidRPr="2457028A">
        <w:rPr>
          <w:i/>
          <w:iCs/>
          <w:color w:val="222222"/>
          <w:sz w:val="24"/>
          <w:szCs w:val="24"/>
          <w:shd w:val="clear" w:color="auto" w:fill="FFFFFF"/>
        </w:rPr>
        <w:t>45</w:t>
      </w:r>
      <w:r w:rsidRPr="2457028A">
        <w:rPr>
          <w:color w:val="222222"/>
          <w:sz w:val="24"/>
          <w:szCs w:val="24"/>
          <w:shd w:val="clear" w:color="auto" w:fill="FFFFFF"/>
        </w:rPr>
        <w:t>(12), pp.2139-2155.</w:t>
      </w:r>
    </w:p>
    <w:p w14:paraId="26C2C499" w14:textId="02ED128E" w:rsidR="00082492" w:rsidRPr="00F4234D" w:rsidRDefault="00082492" w:rsidP="2457028A">
      <w:pPr>
        <w:shd w:val="clear" w:color="auto" w:fill="FFFFFF" w:themeFill="background1"/>
        <w:spacing w:line="360" w:lineRule="auto"/>
        <w:ind w:left="720" w:hanging="720"/>
        <w:jc w:val="both"/>
        <w:rPr>
          <w:color w:val="222222"/>
          <w:sz w:val="24"/>
          <w:szCs w:val="24"/>
          <w:shd w:val="clear" w:color="auto" w:fill="FFFFFF"/>
        </w:rPr>
      </w:pPr>
      <w:r w:rsidRPr="2457028A">
        <w:rPr>
          <w:color w:val="222222"/>
          <w:sz w:val="24"/>
          <w:szCs w:val="24"/>
          <w:shd w:val="clear" w:color="auto" w:fill="FFFFFF"/>
        </w:rPr>
        <w:t>Blattman, C., Green, D., Ortega, D. and Tobon, S., 2018. Hotspot interventions at scale.</w:t>
      </w:r>
    </w:p>
    <w:p w14:paraId="18FCE7B8" w14:textId="77777777" w:rsidR="00082492" w:rsidRPr="00F4234D" w:rsidRDefault="00082492" w:rsidP="71B15B2C">
      <w:pPr>
        <w:spacing w:line="360" w:lineRule="auto"/>
        <w:ind w:left="720" w:hanging="720"/>
        <w:jc w:val="both"/>
        <w:rPr>
          <w:sz w:val="24"/>
          <w:szCs w:val="24"/>
        </w:rPr>
      </w:pPr>
      <w:r w:rsidRPr="71B15B2C">
        <w:rPr>
          <w:color w:val="222222"/>
          <w:sz w:val="24"/>
          <w:szCs w:val="24"/>
          <w:shd w:val="clear" w:color="auto" w:fill="FFFFFF"/>
        </w:rPr>
        <w:t xml:space="preserve">Bruinsma, G.J., 2018. </w:t>
      </w:r>
      <w:bookmarkStart w:id="5" w:name="_Int_IsAxq5Vv"/>
      <w:r w:rsidRPr="71B15B2C">
        <w:rPr>
          <w:color w:val="222222"/>
          <w:sz w:val="24"/>
          <w:szCs w:val="24"/>
          <w:shd w:val="clear" w:color="auto" w:fill="FFFFFF"/>
        </w:rPr>
        <w:t>Classical theory: The emergence of deterrence theory in the age of enlightenment.</w:t>
      </w:r>
      <w:bookmarkEnd w:id="5"/>
      <w:r w:rsidRPr="71B15B2C">
        <w:rPr>
          <w:color w:val="222222"/>
          <w:sz w:val="24"/>
          <w:szCs w:val="24"/>
          <w:shd w:val="clear" w:color="auto" w:fill="FFFFFF"/>
        </w:rPr>
        <w:t xml:space="preserve"> In </w:t>
      </w:r>
      <w:r w:rsidRPr="71B15B2C">
        <w:rPr>
          <w:i/>
          <w:iCs/>
          <w:color w:val="222222"/>
          <w:sz w:val="24"/>
          <w:szCs w:val="24"/>
          <w:shd w:val="clear" w:color="auto" w:fill="FFFFFF"/>
        </w:rPr>
        <w:t>Deterrence, choice, and crime</w:t>
      </w:r>
      <w:r w:rsidRPr="71B15B2C">
        <w:rPr>
          <w:color w:val="222222"/>
          <w:sz w:val="24"/>
          <w:szCs w:val="24"/>
          <w:shd w:val="clear" w:color="auto" w:fill="FFFFFF"/>
        </w:rPr>
        <w:t> (pp. 3-28). Routledge.</w:t>
      </w:r>
    </w:p>
    <w:p w14:paraId="395231EB" w14:textId="77777777" w:rsidR="00082492" w:rsidRPr="00F4234D" w:rsidRDefault="00082492" w:rsidP="00F4234D">
      <w:pPr>
        <w:spacing w:line="360" w:lineRule="auto"/>
        <w:ind w:left="720" w:hanging="720"/>
        <w:jc w:val="both"/>
        <w:rPr>
          <w:color w:val="222222"/>
          <w:sz w:val="24"/>
          <w:shd w:val="clear" w:color="auto" w:fill="FFFFFF"/>
        </w:rPr>
      </w:pPr>
      <w:r w:rsidRPr="00F4234D">
        <w:rPr>
          <w:color w:val="222222"/>
          <w:sz w:val="24"/>
          <w:shd w:val="clear" w:color="auto" w:fill="FFFFFF"/>
        </w:rPr>
        <w:t>Caplan, J.M. and Kennedy, L.W., 2019. The Evidence-Based Violence Prevention Strategy. </w:t>
      </w:r>
      <w:r w:rsidRPr="00F4234D">
        <w:rPr>
          <w:i/>
          <w:iCs/>
          <w:color w:val="222222"/>
          <w:sz w:val="24"/>
          <w:shd w:val="clear" w:color="auto" w:fill="FFFFFF"/>
        </w:rPr>
        <w:t>Ojp. Gov</w:t>
      </w:r>
      <w:r w:rsidRPr="00F4234D">
        <w:rPr>
          <w:color w:val="222222"/>
          <w:sz w:val="24"/>
          <w:shd w:val="clear" w:color="auto" w:fill="FFFFFF"/>
        </w:rPr>
        <w:t>.</w:t>
      </w:r>
    </w:p>
    <w:p w14:paraId="2151E76E" w14:textId="28B71C57" w:rsidR="00082492" w:rsidRPr="00F4234D" w:rsidRDefault="00082492" w:rsidP="2457028A">
      <w:pPr>
        <w:spacing w:line="360" w:lineRule="auto"/>
        <w:ind w:left="720" w:hanging="720"/>
        <w:jc w:val="both"/>
        <w:rPr>
          <w:color w:val="222222"/>
          <w:sz w:val="24"/>
          <w:szCs w:val="24"/>
          <w:shd w:val="clear" w:color="auto" w:fill="FFFFFF"/>
        </w:rPr>
      </w:pPr>
      <w:r w:rsidRPr="2457028A">
        <w:rPr>
          <w:color w:val="222222"/>
          <w:sz w:val="24"/>
          <w:szCs w:val="24"/>
          <w:shd w:val="clear" w:color="auto" w:fill="FFFFFF"/>
        </w:rPr>
        <w:t xml:space="preserve">Draca, M., Koutmeridis, T. and Machin, S., 2019. </w:t>
      </w:r>
      <w:bookmarkStart w:id="6" w:name="_Int_x4IiXORu"/>
      <w:r w:rsidRPr="2457028A">
        <w:rPr>
          <w:color w:val="222222"/>
          <w:sz w:val="24"/>
          <w:szCs w:val="24"/>
          <w:shd w:val="clear" w:color="auto" w:fill="FFFFFF"/>
        </w:rPr>
        <w:t>The changing returns to crime: do criminals respond to prices?</w:t>
      </w:r>
      <w:bookmarkEnd w:id="6"/>
      <w:r w:rsidRPr="2457028A">
        <w:rPr>
          <w:color w:val="222222"/>
          <w:sz w:val="24"/>
          <w:szCs w:val="24"/>
          <w:shd w:val="clear" w:color="auto" w:fill="FFFFFF"/>
        </w:rPr>
        <w:t> </w:t>
      </w:r>
      <w:r w:rsidRPr="71B15B2C">
        <w:rPr>
          <w:i/>
          <w:iCs/>
          <w:color w:val="222222"/>
          <w:sz w:val="24"/>
          <w:szCs w:val="24"/>
          <w:shd w:val="clear" w:color="auto" w:fill="FFFFFF"/>
        </w:rPr>
        <w:t>The Review of Economic Studies</w:t>
      </w:r>
      <w:r w:rsidRPr="2457028A">
        <w:rPr>
          <w:color w:val="222222"/>
          <w:sz w:val="24"/>
          <w:szCs w:val="24"/>
          <w:shd w:val="clear" w:color="auto" w:fill="FFFFFF"/>
        </w:rPr>
        <w:t>, </w:t>
      </w:r>
      <w:r w:rsidRPr="71B15B2C">
        <w:rPr>
          <w:i/>
          <w:iCs/>
          <w:color w:val="222222"/>
          <w:sz w:val="24"/>
          <w:szCs w:val="24"/>
          <w:shd w:val="clear" w:color="auto" w:fill="FFFFFF"/>
        </w:rPr>
        <w:t>86</w:t>
      </w:r>
      <w:r w:rsidRPr="2457028A">
        <w:rPr>
          <w:color w:val="222222"/>
          <w:sz w:val="24"/>
          <w:szCs w:val="24"/>
          <w:shd w:val="clear" w:color="auto" w:fill="FFFFFF"/>
        </w:rPr>
        <w:t>(3), pp.1228-1257.</w:t>
      </w:r>
    </w:p>
    <w:p w14:paraId="5E281F61" w14:textId="77777777" w:rsidR="00082492" w:rsidRPr="00F4234D" w:rsidRDefault="00082492" w:rsidP="71B15B2C">
      <w:pPr>
        <w:shd w:val="clear" w:color="auto" w:fill="FFFFFF" w:themeFill="background1"/>
        <w:spacing w:line="360" w:lineRule="auto"/>
        <w:ind w:left="720" w:hanging="720"/>
        <w:jc w:val="both"/>
        <w:rPr>
          <w:color w:val="222222"/>
          <w:sz w:val="24"/>
          <w:szCs w:val="24"/>
          <w:shd w:val="clear" w:color="auto" w:fill="FFFFFF"/>
        </w:rPr>
      </w:pPr>
      <w:r w:rsidRPr="71B15B2C">
        <w:rPr>
          <w:color w:val="222222"/>
          <w:sz w:val="24"/>
          <w:szCs w:val="24"/>
          <w:shd w:val="clear" w:color="auto" w:fill="FFFFFF"/>
        </w:rPr>
        <w:t xml:space="preserve">Krupar, S., 2020. </w:t>
      </w:r>
      <w:bookmarkStart w:id="7" w:name="_Int_3dJUk7pb"/>
      <w:r w:rsidRPr="71B15B2C">
        <w:rPr>
          <w:color w:val="222222"/>
          <w:sz w:val="24"/>
          <w:szCs w:val="24"/>
          <w:shd w:val="clear" w:color="auto" w:fill="FFFFFF"/>
        </w:rPr>
        <w:t>Folklore of Operational Banality: Medical Administration and Everyday Violence of Health.</w:t>
      </w:r>
      <w:bookmarkEnd w:id="7"/>
      <w:r w:rsidRPr="71B15B2C">
        <w:rPr>
          <w:color w:val="222222"/>
          <w:sz w:val="24"/>
          <w:szCs w:val="24"/>
          <w:shd w:val="clear" w:color="auto" w:fill="FFFFFF"/>
        </w:rPr>
        <w:t> </w:t>
      </w:r>
      <w:r w:rsidRPr="71B15B2C">
        <w:rPr>
          <w:i/>
          <w:iCs/>
          <w:color w:val="222222"/>
          <w:sz w:val="24"/>
          <w:szCs w:val="24"/>
          <w:shd w:val="clear" w:color="auto" w:fill="FFFFFF"/>
        </w:rPr>
        <w:t>Environmental Humanities</w:t>
      </w:r>
      <w:r w:rsidRPr="71B15B2C">
        <w:rPr>
          <w:color w:val="222222"/>
          <w:sz w:val="24"/>
          <w:szCs w:val="24"/>
          <w:shd w:val="clear" w:color="auto" w:fill="FFFFFF"/>
        </w:rPr>
        <w:t>, </w:t>
      </w:r>
      <w:r w:rsidRPr="71B15B2C">
        <w:rPr>
          <w:i/>
          <w:iCs/>
          <w:color w:val="222222"/>
          <w:sz w:val="24"/>
          <w:szCs w:val="24"/>
          <w:shd w:val="clear" w:color="auto" w:fill="FFFFFF"/>
        </w:rPr>
        <w:t>12</w:t>
      </w:r>
      <w:r w:rsidRPr="71B15B2C">
        <w:rPr>
          <w:color w:val="222222"/>
          <w:sz w:val="24"/>
          <w:szCs w:val="24"/>
          <w:shd w:val="clear" w:color="auto" w:fill="FFFFFF"/>
        </w:rPr>
        <w:t>(2), pp.431-453.</w:t>
      </w:r>
    </w:p>
    <w:p w14:paraId="4448C3D3" w14:textId="77777777" w:rsidR="00082492" w:rsidRPr="00F4234D" w:rsidRDefault="00082492" w:rsidP="00F4234D">
      <w:pPr>
        <w:spacing w:line="360" w:lineRule="auto"/>
        <w:ind w:left="720" w:hanging="720"/>
        <w:jc w:val="both"/>
        <w:rPr>
          <w:sz w:val="24"/>
        </w:rPr>
      </w:pPr>
      <w:r w:rsidRPr="00F4234D">
        <w:rPr>
          <w:color w:val="222222"/>
          <w:sz w:val="24"/>
          <w:shd w:val="clear" w:color="auto" w:fill="FFFFFF"/>
        </w:rPr>
        <w:t>McGuire, J., Evans, E. and Kane, E., 2021. </w:t>
      </w:r>
      <w:r w:rsidRPr="00F4234D">
        <w:rPr>
          <w:i/>
          <w:iCs/>
          <w:color w:val="222222"/>
          <w:sz w:val="24"/>
          <w:shd w:val="clear" w:color="auto" w:fill="FFFFFF"/>
        </w:rPr>
        <w:t>Evidence-based policing and community crime prevention</w:t>
      </w:r>
      <w:r w:rsidRPr="00F4234D">
        <w:rPr>
          <w:color w:val="222222"/>
          <w:sz w:val="24"/>
          <w:shd w:val="clear" w:color="auto" w:fill="FFFFFF"/>
        </w:rPr>
        <w:t>. New York, NY: Springer.</w:t>
      </w:r>
    </w:p>
    <w:p w14:paraId="368D4B99" w14:textId="77777777" w:rsidR="00082492" w:rsidRPr="00F4234D" w:rsidRDefault="00082492" w:rsidP="00F4234D">
      <w:pPr>
        <w:shd w:val="clear" w:color="auto" w:fill="FFFFFF"/>
        <w:spacing w:line="360" w:lineRule="auto"/>
        <w:ind w:left="720" w:hanging="720"/>
        <w:jc w:val="both"/>
        <w:rPr>
          <w:color w:val="202124"/>
          <w:sz w:val="32"/>
          <w:szCs w:val="27"/>
        </w:rPr>
      </w:pPr>
      <w:r w:rsidRPr="00F4234D">
        <w:rPr>
          <w:color w:val="222222"/>
          <w:sz w:val="24"/>
          <w:shd w:val="clear" w:color="auto" w:fill="FFFFFF"/>
        </w:rPr>
        <w:t>Mitchell, R. and Huey, L. eds., 2018. </w:t>
      </w:r>
      <w:r w:rsidRPr="00F4234D">
        <w:rPr>
          <w:i/>
          <w:iCs/>
          <w:color w:val="222222"/>
          <w:sz w:val="24"/>
          <w:shd w:val="clear" w:color="auto" w:fill="FFFFFF"/>
        </w:rPr>
        <w:t>Evidence based policing: An introduction</w:t>
      </w:r>
      <w:r w:rsidRPr="00F4234D">
        <w:rPr>
          <w:color w:val="222222"/>
          <w:sz w:val="24"/>
          <w:shd w:val="clear" w:color="auto" w:fill="FFFFFF"/>
        </w:rPr>
        <w:t>. Policy Press.</w:t>
      </w:r>
    </w:p>
    <w:p w14:paraId="6599ED2B" w14:textId="77777777" w:rsidR="00082492" w:rsidRPr="00F4234D" w:rsidRDefault="71B15B2C" w:rsidP="71B15B2C">
      <w:pPr>
        <w:spacing w:line="360" w:lineRule="auto"/>
        <w:ind w:left="720" w:hanging="720"/>
        <w:jc w:val="both"/>
        <w:rPr>
          <w:sz w:val="24"/>
          <w:szCs w:val="24"/>
        </w:rPr>
      </w:pPr>
      <w:r w:rsidRPr="71B15B2C">
        <w:rPr>
          <w:sz w:val="24"/>
          <w:szCs w:val="24"/>
        </w:rPr>
        <w:t xml:space="preserve">Moyo, G.P.K., 2020. </w:t>
      </w:r>
      <w:bookmarkStart w:id="8" w:name="_Int_IUTA792V"/>
      <w:r w:rsidRPr="71B15B2C">
        <w:rPr>
          <w:sz w:val="24"/>
          <w:szCs w:val="24"/>
        </w:rPr>
        <w:t>Children and Adolescents’ Violence: The Pattern and Determinants Beyond Psychological Theories.</w:t>
      </w:r>
      <w:bookmarkEnd w:id="8"/>
      <w:r w:rsidRPr="71B15B2C">
        <w:rPr>
          <w:sz w:val="24"/>
          <w:szCs w:val="24"/>
        </w:rPr>
        <w:t> </w:t>
      </w:r>
      <w:r w:rsidRPr="71B15B2C">
        <w:rPr>
          <w:i/>
          <w:iCs/>
          <w:sz w:val="24"/>
          <w:szCs w:val="24"/>
        </w:rPr>
        <w:t>Am J Pediatr</w:t>
      </w:r>
      <w:r w:rsidRPr="71B15B2C">
        <w:rPr>
          <w:sz w:val="24"/>
          <w:szCs w:val="24"/>
        </w:rPr>
        <w:t>, </w:t>
      </w:r>
      <w:r w:rsidRPr="71B15B2C">
        <w:rPr>
          <w:i/>
          <w:iCs/>
          <w:sz w:val="24"/>
          <w:szCs w:val="24"/>
        </w:rPr>
        <w:t>6</w:t>
      </w:r>
      <w:r w:rsidRPr="71B15B2C">
        <w:rPr>
          <w:sz w:val="24"/>
          <w:szCs w:val="24"/>
        </w:rPr>
        <w:t>(2), pp.138-145.</w:t>
      </w:r>
    </w:p>
    <w:p w14:paraId="5D2C7A7D" w14:textId="77777777" w:rsidR="00082492" w:rsidRPr="00F4234D" w:rsidRDefault="00082492" w:rsidP="00F4234D">
      <w:pPr>
        <w:spacing w:line="360" w:lineRule="auto"/>
        <w:ind w:left="720" w:hanging="720"/>
        <w:jc w:val="both"/>
        <w:rPr>
          <w:sz w:val="24"/>
        </w:rPr>
      </w:pPr>
      <w:r w:rsidRPr="00F4234D">
        <w:rPr>
          <w:sz w:val="24"/>
        </w:rPr>
        <w:t>Paudel, K., 2020. Classical School of Criminology and Its Application in Nepali Criminal Justice System. </w:t>
      </w:r>
      <w:r w:rsidRPr="00F4234D">
        <w:rPr>
          <w:i/>
          <w:iCs/>
          <w:sz w:val="24"/>
        </w:rPr>
        <w:t>NJA LJ</w:t>
      </w:r>
      <w:r w:rsidRPr="00F4234D">
        <w:rPr>
          <w:sz w:val="24"/>
        </w:rPr>
        <w:t>, </w:t>
      </w:r>
      <w:r w:rsidRPr="00F4234D">
        <w:rPr>
          <w:i/>
          <w:iCs/>
          <w:sz w:val="24"/>
        </w:rPr>
        <w:t>14</w:t>
      </w:r>
      <w:r w:rsidRPr="00F4234D">
        <w:rPr>
          <w:sz w:val="24"/>
        </w:rPr>
        <w:t>, p.143.</w:t>
      </w:r>
    </w:p>
    <w:p w14:paraId="0E63EE85" w14:textId="77777777" w:rsidR="00082492" w:rsidRPr="00F4234D" w:rsidRDefault="00082492" w:rsidP="00F4234D">
      <w:pPr>
        <w:spacing w:line="360" w:lineRule="auto"/>
        <w:ind w:left="720" w:hanging="720"/>
        <w:jc w:val="both"/>
        <w:rPr>
          <w:color w:val="222222"/>
          <w:sz w:val="24"/>
          <w:shd w:val="clear" w:color="auto" w:fill="FFFFFF"/>
        </w:rPr>
      </w:pPr>
      <w:r w:rsidRPr="00F4234D">
        <w:rPr>
          <w:color w:val="222222"/>
          <w:sz w:val="24"/>
          <w:shd w:val="clear" w:color="auto" w:fill="FFFFFF"/>
        </w:rPr>
        <w:t>Popa, N.D., 2022. Theories of Classical and Neoclassical Criminology. </w:t>
      </w:r>
      <w:r w:rsidRPr="00F4234D">
        <w:rPr>
          <w:i/>
          <w:iCs/>
          <w:color w:val="222222"/>
          <w:sz w:val="24"/>
          <w:shd w:val="clear" w:color="auto" w:fill="FFFFFF"/>
        </w:rPr>
        <w:t>Rev. Universul Juridic</w:t>
      </w:r>
      <w:r w:rsidRPr="00F4234D">
        <w:rPr>
          <w:color w:val="222222"/>
          <w:sz w:val="24"/>
          <w:shd w:val="clear" w:color="auto" w:fill="FFFFFF"/>
        </w:rPr>
        <w:t>, p.135.</w:t>
      </w:r>
    </w:p>
    <w:p w14:paraId="2AC22761" w14:textId="77777777" w:rsidR="00082492" w:rsidRPr="00F4234D" w:rsidRDefault="00082492" w:rsidP="00F4234D">
      <w:pPr>
        <w:spacing w:line="360" w:lineRule="auto"/>
        <w:ind w:left="720" w:hanging="720"/>
        <w:jc w:val="both"/>
        <w:rPr>
          <w:color w:val="222222"/>
          <w:sz w:val="24"/>
          <w:shd w:val="clear" w:color="auto" w:fill="FFFFFF"/>
        </w:rPr>
      </w:pPr>
      <w:r w:rsidRPr="00F4234D">
        <w:rPr>
          <w:color w:val="222222"/>
          <w:sz w:val="24"/>
          <w:shd w:val="clear" w:color="auto" w:fill="FFFFFF"/>
        </w:rPr>
        <w:t>Ranasinghe, P., 2022. Friedrich Nietzsche, On the genealogy of morals and criminology. </w:t>
      </w:r>
      <w:r w:rsidRPr="00F4234D">
        <w:rPr>
          <w:i/>
          <w:iCs/>
          <w:color w:val="222222"/>
          <w:sz w:val="24"/>
          <w:shd w:val="clear" w:color="auto" w:fill="FFFFFF"/>
        </w:rPr>
        <w:t>Theoretical Criminology</w:t>
      </w:r>
      <w:r w:rsidRPr="00F4234D">
        <w:rPr>
          <w:color w:val="222222"/>
          <w:sz w:val="24"/>
          <w:shd w:val="clear" w:color="auto" w:fill="FFFFFF"/>
        </w:rPr>
        <w:t>, </w:t>
      </w:r>
      <w:r w:rsidRPr="00F4234D">
        <w:rPr>
          <w:i/>
          <w:iCs/>
          <w:color w:val="222222"/>
          <w:sz w:val="24"/>
          <w:shd w:val="clear" w:color="auto" w:fill="FFFFFF"/>
        </w:rPr>
        <w:t>26</w:t>
      </w:r>
      <w:r w:rsidRPr="00F4234D">
        <w:rPr>
          <w:color w:val="222222"/>
          <w:sz w:val="24"/>
          <w:shd w:val="clear" w:color="auto" w:fill="FFFFFF"/>
        </w:rPr>
        <w:t>(1), pp.75-90.</w:t>
      </w:r>
    </w:p>
    <w:p w14:paraId="756D7D84" w14:textId="77777777" w:rsidR="00082492" w:rsidRPr="00F4234D" w:rsidRDefault="00082492" w:rsidP="00F4234D">
      <w:pPr>
        <w:spacing w:line="360" w:lineRule="auto"/>
        <w:ind w:left="720" w:hanging="720"/>
        <w:jc w:val="both"/>
        <w:rPr>
          <w:sz w:val="24"/>
        </w:rPr>
      </w:pPr>
      <w:r w:rsidRPr="00F4234D">
        <w:rPr>
          <w:sz w:val="24"/>
        </w:rPr>
        <w:t>Sherman, L.W., 2022. Goldilocks and the three “Ts”: Targeting, testing, and tracking for “just right” democratic policing. </w:t>
      </w:r>
      <w:r w:rsidRPr="00F4234D">
        <w:rPr>
          <w:i/>
          <w:iCs/>
          <w:sz w:val="24"/>
        </w:rPr>
        <w:t>Criminology &amp; Public Policy</w:t>
      </w:r>
      <w:r w:rsidRPr="00F4234D">
        <w:rPr>
          <w:sz w:val="24"/>
        </w:rPr>
        <w:t>, </w:t>
      </w:r>
      <w:r w:rsidRPr="00F4234D">
        <w:rPr>
          <w:i/>
          <w:iCs/>
          <w:sz w:val="24"/>
        </w:rPr>
        <w:t>21</w:t>
      </w:r>
      <w:r w:rsidRPr="00F4234D">
        <w:rPr>
          <w:sz w:val="24"/>
        </w:rPr>
        <w:t>(1), pp.175-196.</w:t>
      </w:r>
    </w:p>
    <w:p w14:paraId="04752386" w14:textId="77777777" w:rsidR="00082492" w:rsidRPr="00F4234D" w:rsidRDefault="00082492" w:rsidP="00F4234D">
      <w:pPr>
        <w:spacing w:line="360" w:lineRule="auto"/>
        <w:ind w:left="720" w:hanging="720"/>
        <w:jc w:val="both"/>
        <w:rPr>
          <w:color w:val="222222"/>
          <w:sz w:val="24"/>
          <w:shd w:val="clear" w:color="auto" w:fill="FFFFFF"/>
        </w:rPr>
      </w:pPr>
      <w:r w:rsidRPr="00F4234D">
        <w:rPr>
          <w:color w:val="222222"/>
          <w:sz w:val="24"/>
          <w:shd w:val="clear" w:color="auto" w:fill="FFFFFF"/>
        </w:rPr>
        <w:t>Sidebottom, A. and Tilley, N., 2019. Evaluation evidence for evidence-based policing: randomistas and realists. In </w:t>
      </w:r>
      <w:r w:rsidRPr="00F4234D">
        <w:rPr>
          <w:i/>
          <w:iCs/>
          <w:color w:val="222222"/>
          <w:sz w:val="24"/>
          <w:shd w:val="clear" w:color="auto" w:fill="FFFFFF"/>
        </w:rPr>
        <w:t>Critical reflections on evidence-based policing</w:t>
      </w:r>
      <w:r w:rsidRPr="00F4234D">
        <w:rPr>
          <w:color w:val="222222"/>
          <w:sz w:val="24"/>
          <w:shd w:val="clear" w:color="auto" w:fill="FFFFFF"/>
        </w:rPr>
        <w:t> (pp. 72-92). Routledge.</w:t>
      </w:r>
    </w:p>
    <w:p w14:paraId="1CE074D1" w14:textId="77777777" w:rsidR="00082492" w:rsidRPr="00F4234D" w:rsidRDefault="00082492" w:rsidP="71B15B2C">
      <w:pPr>
        <w:spacing w:line="360" w:lineRule="auto"/>
        <w:ind w:left="720" w:hanging="720"/>
        <w:jc w:val="both"/>
        <w:rPr>
          <w:color w:val="222222"/>
          <w:sz w:val="24"/>
          <w:szCs w:val="24"/>
          <w:shd w:val="clear" w:color="auto" w:fill="FFFFFF"/>
        </w:rPr>
      </w:pPr>
      <w:r w:rsidRPr="71B15B2C">
        <w:rPr>
          <w:color w:val="222222"/>
          <w:sz w:val="24"/>
          <w:szCs w:val="24"/>
          <w:shd w:val="clear" w:color="auto" w:fill="FFFFFF"/>
        </w:rPr>
        <w:t xml:space="preserve">Szantoi, Z., Jaffrain, G., Gallaun, H., Bielski, C., Ruf, K., Lupi, A., Miletich, P., Giroux, A.C., Carlan, I., Croi, W. and Augu, H., 2021. </w:t>
      </w:r>
      <w:bookmarkStart w:id="9" w:name="_Int_6uLp9pse"/>
      <w:r w:rsidRPr="71B15B2C">
        <w:rPr>
          <w:color w:val="222222"/>
          <w:sz w:val="24"/>
          <w:szCs w:val="24"/>
          <w:shd w:val="clear" w:color="auto" w:fill="FFFFFF"/>
        </w:rPr>
        <w:t>Quality assurance and assessment framework for large area land cover maps validation in the Copernicus high-resolution hot spot monitoring activity.</w:t>
      </w:r>
      <w:bookmarkEnd w:id="9"/>
      <w:r w:rsidRPr="71B15B2C">
        <w:rPr>
          <w:color w:val="222222"/>
          <w:sz w:val="24"/>
          <w:szCs w:val="24"/>
          <w:shd w:val="clear" w:color="auto" w:fill="FFFFFF"/>
        </w:rPr>
        <w:t> </w:t>
      </w:r>
      <w:r w:rsidRPr="71B15B2C">
        <w:rPr>
          <w:i/>
          <w:iCs/>
          <w:color w:val="222222"/>
          <w:sz w:val="24"/>
          <w:szCs w:val="24"/>
          <w:shd w:val="clear" w:color="auto" w:fill="FFFFFF"/>
        </w:rPr>
        <w:t>European Journal of Remote Sensing</w:t>
      </w:r>
      <w:r w:rsidRPr="71B15B2C">
        <w:rPr>
          <w:color w:val="222222"/>
          <w:sz w:val="24"/>
          <w:szCs w:val="24"/>
          <w:shd w:val="clear" w:color="auto" w:fill="FFFFFF"/>
        </w:rPr>
        <w:t>.</w:t>
      </w:r>
    </w:p>
    <w:p w14:paraId="69EE450C" w14:textId="2491A9E1" w:rsidR="00082492" w:rsidRPr="00F4234D" w:rsidRDefault="00082492" w:rsidP="00F4234D">
      <w:pPr>
        <w:spacing w:line="360" w:lineRule="auto"/>
        <w:ind w:left="720" w:hanging="720"/>
        <w:jc w:val="both"/>
        <w:rPr>
          <w:sz w:val="32"/>
          <w:szCs w:val="32"/>
        </w:rPr>
      </w:pPr>
      <w:r w:rsidRPr="2457028A">
        <w:rPr>
          <w:color w:val="222222"/>
          <w:sz w:val="24"/>
          <w:szCs w:val="24"/>
          <w:shd w:val="clear" w:color="auto" w:fill="FFFFFF"/>
        </w:rPr>
        <w:t>White, R., Perrone, S. and Howes, L.M., 2019. Crime, criminality, and criminal justice.</w:t>
      </w:r>
    </w:p>
    <w:p w14:paraId="74DBD65E" w14:textId="77777777" w:rsidR="006E0703" w:rsidRPr="008B6D6C" w:rsidRDefault="006E0703" w:rsidP="00F4234D">
      <w:pPr>
        <w:spacing w:line="360" w:lineRule="auto"/>
        <w:jc w:val="both"/>
        <w:rPr>
          <w:sz w:val="24"/>
          <w:szCs w:val="24"/>
        </w:rPr>
      </w:pPr>
    </w:p>
    <w:sectPr w:rsidR="006E0703" w:rsidRPr="008B6D6C" w:rsidSect="00A935F1">
      <w:pgSz w:w="12240" w:h="15840"/>
      <w:pgMar w:top="81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IUTA792V" int2:invalidationBookmarkName="" int2:hashCode="1dnrvXVP49wyF6" int2:id="2vGFlHYj">
      <int2:extLst>
        <oel:ext uri="426473B9-03D8-482F-96C9-C2C85392BACA">
          <int2:similarityCritique int2:version="1" int2:context="Children and Adolescents’ Violence: The Pattern and Determinants Beyond Psychological Theories.">
            <int2:source int2:sourceType="Online" int2:sourceTitle="(PDF) Children and Adolescents' Violence: The Pattern and Determinants ..." int2:sourceUrl="https://www.researchgate.net/publication/342819656_Children_and_Adolescents'_Violence_The_Pattern_and_Determinants_Beyond_Psychological_Theories" int2:sourceSnippet="PDF | On Feb 6, 2020, Kamsu Moyo Georges Pius published Children and Adolescents' Violence: The Pattern and Determinants Beyond Psychological Theories | Find, read and cite all the research you ...">
              <int2:suggestions int2:citationType="Inline">
                <int2:suggestion int2:citationStyle="Mla" int2:isIdentical="0">
                  <int2:citationText>(“(PDF) Children and Adolescents' Violence: The Pattern and Determinants ...”)</int2:citationText>
                </int2:suggestion>
                <int2:suggestion int2:citationStyle="Apa" int2:isIdentical="0">
                  <int2:citationText>(“(PDF) Children and Adolescents' Violence: The Pattern and Determinants ...”)</int2:citationText>
                </int2:suggestion>
                <int2:suggestion int2:citationStyle="Chicago" int2:isIdentical="0">
                  <int2:citationText>(“(PDF) Children and Adolescents' Violence: The Pattern and Determinants ...”)</int2:citationText>
                </int2:suggestion>
              </int2:suggestions>
              <int2:suggestions int2:citationType="Full">
                <int2:suggestion int2:citationStyle="Mla" int2:isIdentical="0">
                  <int2:citationText>&lt;i&gt;(PDF) Children and Adolescents' Violence: The Pattern and Determinants ...&lt;/i&gt;, https://www.researchgate.net/publication/342819656_Children_and_Adolescents'_Violence_The_Pattern_and_Determinants_Beyond_Psychological_Theories.</int2:citationText>
                </int2:suggestion>
                <int2:suggestion int2:citationStyle="Apa" int2:isIdentical="0">
                  <int2:citationText>&lt;i&gt;(PDF) Children and Adolescents' Violence: The Pattern and Determinants ...&lt;/i&gt;. (n.d.). Retrieved from https://www.researchgate.net/publication/342819656_Children_and_Adolescents'_Violence_The_Pattern_and_Determinants_Beyond_Psychological_Theories</int2:citationText>
                </int2:suggestion>
                <int2:suggestion int2:citationStyle="Chicago" int2:isIdentical="0">
                  <int2:citationText>“(PDF) Children and Adolescents' Violence: The Pattern and Determinants ...” n.d., https://www.researchgate.net/publication/342819656_Children_and_Adolescents'_Violence_The_Pattern_and_Determinants_Beyond_Psychological_Theories.</int2:citationText>
                </int2:suggestion>
              </int2:suggestions>
            </int2:source>
            <int2:source int2:sourceType="Online" int2:sourceTitle="Children and Adolescents’ Violence: The Pattern and Determinants Beyond ..." int2:sourceUrl="https://article.sciencepublishinggroup.com/pdf/10.11648.j.ajp.20200602.24.pdf" int2:sourceSnippet="139 Georges Pius Kamsu Moyo: Children and Adolescents’ Violence: The Pattern and Determinants Beyond Psychological Theories socio-environmental malaise that yields to aggressive verbal or physical exteriorization [2, 4]. It may be expressed at home, in the street, at school or anywhere else. The various">
              <int2:suggestions int2:citationType="Inline">
                <int2:suggestion int2:citationStyle="Mla" int2:isIdentical="0">
                  <int2:citationText>(“Children and Adolescents’ Violence: The Pattern and Determinants Beyond ...”)</int2:citationText>
                </int2:suggestion>
                <int2:suggestion int2:citationStyle="Apa" int2:isIdentical="0">
                  <int2:citationText>(“Children and Adolescents’ Violence: The Pattern and Determinants Beyond ...”)</int2:citationText>
                </int2:suggestion>
                <int2:suggestion int2:citationStyle="Chicago" int2:isIdentical="0">
                  <int2:citationText>(“Children and Adolescents’ Violence: The Pattern and Determinants Beyond ...”)</int2:citationText>
                </int2:suggestion>
              </int2:suggestions>
              <int2:suggestions int2:citationType="Full">
                <int2:suggestion int2:citationStyle="Mla" int2:isIdentical="0">
                  <int2:citationText>&lt;i&gt;Children and Adolescents’ Violence: The Pattern and Determinants Beyond ...&lt;/i&gt;, https://article.sciencepublishinggroup.com/pdf/10.11648.j.ajp.20200602.24.pdf.</int2:citationText>
                </int2:suggestion>
                <int2:suggestion int2:citationStyle="Apa" int2:isIdentical="0">
                  <int2:citationText>&lt;i&gt;Children and Adolescents’ Violence: The Pattern and Determinants Beyond ...&lt;/i&gt;. (n.d.). Retrieved from https://article.sciencepublishinggroup.com/pdf/10.11648.j.ajp.20200602.24.pdf</int2:citationText>
                </int2:suggestion>
                <int2:suggestion int2:citationStyle="Chicago" int2:isIdentical="0">
                  <int2:citationText>“Children and Adolescents’ Violence: The Pattern and Determinants Beyond ...” n.d., https://article.sciencepublishinggroup.com/pdf/10.11648.j.ajp.20200602.24.pdf.</int2:citationText>
                </int2:suggestion>
              </int2:suggestions>
            </int2:source>
            <int2:source int2:sourceType="Online" int2:sourceTitle="Children and Adolescents’ Violence: The Pattern and Determinants Beyond ..." int2:sourceUrl="https://www.sciencepublishinggroup.com/journal/paperinfo?journalid=380&amp;doi=10.11648/j.ajp.20200602.24" int2:sourceSnippet="Georges Pius Kamsu Moyo, Children and Adolescents’ Violence: The Pattern and Determinants Beyond Psychological Theories, American Journal of Pediatrics. Volume 6, Issue 2, June 2020 , pp. 138-145. doi: 10.11648/j.ajp.20200602.24">
              <int2:suggestions int2:citationType="Inline">
                <int2:suggestion int2:citationStyle="Mla" int2:isIdentical="0">
                  <int2:citationText>(“Children and Adolescents’ Violence: The Pattern and Determinants Beyond ...”)</int2:citationText>
                </int2:suggestion>
                <int2:suggestion int2:citationStyle="Apa" int2:isIdentical="0">
                  <int2:citationText>(“Children and Adolescents’ Violence: The Pattern and Determinants Beyond ...”)</int2:citationText>
                </int2:suggestion>
                <int2:suggestion int2:citationStyle="Chicago" int2:isIdentical="0">
                  <int2:citationText>(“Children and Adolescents’ Violence: The Pattern and Determinants Beyond ...”)</int2:citationText>
                </int2:suggestion>
              </int2:suggestions>
              <int2:suggestions int2:citationType="Full">
                <int2:suggestion int2:citationStyle="Mla" int2:isIdentical="0">
                  <int2:citationText>&lt;i&gt;Children and Adolescents’ Violence: The Pattern and Determinants Beyond ...&lt;/i&gt;, https://www.sciencepublishinggroup.com/journal/paperinfo?journalid=380&amp;doi=10.11648/j.ajp.20200602.24.</int2:citationText>
                </int2:suggestion>
                <int2:suggestion int2:citationStyle="Apa" int2:isIdentical="0">
                  <int2:citationText>&lt;i&gt;Children and Adolescents’ Violence: The Pattern and Determinants Beyond ...&lt;/i&gt;. (n.d.). Retrieved from https://www.sciencepublishinggroup.com/journal/paperinfo?journalid=380&amp;doi=10.11648/j.ajp.20200602.24</int2:citationText>
                </int2:suggestion>
                <int2:suggestion int2:citationStyle="Chicago" int2:isIdentical="0">
                  <int2:citationText>“Children and Adolescents’ Violence: The Pattern and Determinants Beyond ...” n.d., https://www.sciencepublishinggroup.com/journal/paperinfo?journalid=380&amp;doi=10.11648/j.ajp.20200602.24.</int2:citationText>
                </int2:suggestion>
              </int2:suggestions>
            </int2:source>
          </int2:similarityCritique>
        </oel:ext>
      </int2:extLst>
    </int2:bookmark>
    <int2:bookmark int2:bookmarkName="_Int_x4IiXORu" int2:invalidationBookmarkName="" int2:hashCode="rFK2KHSyA8/fTK" int2:id="37ylivxe">
      <int2:extLst>
        <oel:ext uri="426473B9-03D8-482F-96C9-C2C85392BACA">
          <int2:similarityCritique int2:version="1" int2:context="The changing returns to crime: do criminals respond to prices?">
            <int2:source int2:sourceType="Online" int2:sourceTitle="The Changing Returns to Crime: Do Criminals Respond to Prices?" int2:sourceUrl="https://www.jstor.org/stable/26755514" int2:sourceSnippet="The Changing Returns to Crime: Do Criminals Respond to Prices? MIRKO DRACA University of Warwick and Centre for Economic Performance THEODORE KOUTMERIDIS University of Glasgow and STEPHEN MACHIN London School of Economics and Centre for Economic Performance First version received September 2016; Editorial decision June 2017; Accepted January ...">
              <int2:suggestions int2:citationType="Inline">
                <int2:suggestion int2:citationStyle="Mla" int2:isIdentical="1">
                  <int2:citationText>(“The Changing Returns to Crime: Do Criminals Respond to Prices?”)</int2:citationText>
                </int2:suggestion>
                <int2:suggestion int2:citationStyle="Apa" int2:isIdentical="1">
                  <int2:citationText>(“The Changing Returns to Crime: Do Criminals Respond to Prices?”)</int2:citationText>
                </int2:suggestion>
                <int2:suggestion int2:citationStyle="Chicago" int2:isIdentical="1">
                  <int2:citationText>(“The Changing Returns to Crime: Do Criminals Respond to Prices?”)</int2:citationText>
                </int2:suggestion>
              </int2:suggestions>
              <int2:suggestions int2:citationType="Full">
                <int2:suggestion int2:citationStyle="Mla" int2:isIdentical="1">
                  <int2:citationText>&lt;i&gt;The Changing Returns to Crime: Do Criminals Respond to Prices?&lt;/i&gt;, https://www.jstor.org/stable/26755514.</int2:citationText>
                </int2:suggestion>
                <int2:suggestion int2:citationStyle="Apa" int2:isIdentical="1">
                  <int2:citationText>&lt;i&gt;The Changing Returns to Crime: Do Criminals Respond to Prices?&lt;/i&gt;. (n.d.). Retrieved from https://www.jstor.org/stable/26755514</int2:citationText>
                </int2:suggestion>
                <int2:suggestion int2:citationStyle="Chicago" int2:isIdentical="1">
                  <int2:citationText>“The Changing Returns to Crime: Do Criminals Respond to Prices?” n.d., https://www.jstor.org/stable/26755514.</int2:citationText>
                </int2:suggestion>
              </int2:suggestions>
            </int2:source>
            <int2:source int2:sourceType="Online" int2:sourceTitle="The Changing Returns to Crime: Do Criminals Respond to Prices?" int2:sourceUrl="https://econpapers.repec.org/RePEc:oup:restud:v:86:y:2019:i:3:p:1228-1257." int2:sourceSnippet="The Changing Returns to Crime: Do Criminals Respond to Prices? Mirko Draca, Theodore Koutmeridis and Stephen Machin () . Review of Economic Studies, 2019, vol. 86, issue 3, 1228-1257 . Abstract: To what extent does crime follow the pattern of potential gains to illegal activity? This article presents evidence on how criminals respond to this key incentive by reporting crime–price ...">
              <int2:suggestions int2:citationType="Inline">
                <int2:suggestion int2:citationStyle="Mla" int2:isIdentical="1">
                  <int2:citationText>(“The Changing Returns to Crime: Do Criminals Respond to Prices?”)</int2:citationText>
                </int2:suggestion>
                <int2:suggestion int2:citationStyle="Apa" int2:isIdentical="1">
                  <int2:citationText>(“The Changing Returns to Crime: Do Criminals Respond to Prices?”)</int2:citationText>
                </int2:suggestion>
                <int2:suggestion int2:citationStyle="Chicago" int2:isIdentical="1">
                  <int2:citationText>(“The Changing Returns to Crime: Do Criminals Respond to Prices?”)</int2:citationText>
                </int2:suggestion>
              </int2:suggestions>
              <int2:suggestions int2:citationType="Full">
                <int2:suggestion int2:citationStyle="Mla" int2:isIdentical="1">
                  <int2:citationText>&lt;i&gt;The Changing Returns to Crime: Do Criminals Respond to Prices?&lt;/i&gt;, https://econpapers.repec.org/RePEc:oup:restud:v:86:y:2019:i:3:p:1228-1257..</int2:citationText>
                </int2:suggestion>
                <int2:suggestion int2:citationStyle="Apa" int2:isIdentical="1">
                  <int2:citationText>&lt;i&gt;The Changing Returns to Crime: Do Criminals Respond to Prices?&lt;/i&gt;. (n.d.). Retrieved from https://econpapers.repec.org/RePEc:oup:restud:v:86:y:2019:i:3:p:1228-1257.</int2:citationText>
                </int2:suggestion>
                <int2:suggestion int2:citationStyle="Chicago" int2:isIdentical="1">
                  <int2:citationText>“The Changing Returns to Crime: Do Criminals Respond to Prices?” n.d., https://econpapers.repec.org/RePEc:oup:restud:v:86:y:2019:i:3:p:1228-1257..</int2:citationText>
                </int2:suggestion>
              </int2:suggestions>
            </int2:source>
            <int2:source int2:sourceType="Online" int2:sourceTitle="The Changing Returns to Crime: Do Criminals Respond to Prices? - Warwick" int2:sourceUrl="https://warwick.ac.uk/fac/soc/economics/staff/mdraca/ms23034_main_paper_2017_11_19.pdf" int2:sourceSnippet="0 The Changing Returns to Crime: Do Criminals Respond to Prices? Mirko Draca*, Theodore Koutmeridis** and Stephen Machin*** November 2017 - Revised * Department of Economics and Centre for Competitive Advantage in the Global Economy, University of Warwick and Centre for Economic Performance, London School of">
              <int2:suggestions int2:citationType="Inline">
                <int2:suggestion int2:citationStyle="Mla" int2:isIdentical="1">
                  <int2:citationText>(“The Changing Returns to Crime: Do Criminals Respond to Prices? - Warwick”)</int2:citationText>
                </int2:suggestion>
                <int2:suggestion int2:citationStyle="Apa" int2:isIdentical="1">
                  <int2:citationText>(“The Changing Returns to Crime: Do Criminals Respond to Prices? - Warwick”)</int2:citationText>
                </int2:suggestion>
                <int2:suggestion int2:citationStyle="Chicago" int2:isIdentical="1">
                  <int2:citationText>(“The Changing Returns to Crime: Do Criminals Respond to Prices? - Warwick”)</int2:citationText>
                </int2:suggestion>
              </int2:suggestions>
              <int2:suggestions int2:citationType="Full">
                <int2:suggestion int2:citationStyle="Mla" int2:isIdentical="1">
                  <int2:citationText>&lt;i&gt;The Changing Returns to Crime: Do Criminals Respond to Prices? - Warwick&lt;/i&gt;, https://warwick.ac.uk/fac/soc/economics/staff/mdraca/ms23034_main_paper_2017_11_19.pdf.</int2:citationText>
                </int2:suggestion>
                <int2:suggestion int2:citationStyle="Apa" int2:isIdentical="1">
                  <int2:citationText>&lt;i&gt;The Changing Returns to Crime: Do Criminals Respond to Prices? - Warwick&lt;/i&gt;. (n.d.). Retrieved from https://warwick.ac.uk/fac/soc/economics/staff/mdraca/ms23034_main_paper_2017_11_19.pdf</int2:citationText>
                </int2:suggestion>
                <int2:suggestion int2:citationStyle="Chicago" int2:isIdentical="1">
                  <int2:citationText>“The Changing Returns to Crime: Do Criminals Respond to Prices? - Warwick” n.d., https://warwick.ac.uk/fac/soc/economics/staff/mdraca/ms23034_main_paper_2017_11_19.pdf.</int2:citationText>
                </int2:suggestion>
              </int2:suggestions>
            </int2:source>
          </int2:similarityCritique>
        </oel:ext>
      </int2:extLst>
    </int2:bookmark>
    <int2:bookmark int2:bookmarkName="_Int_3dJUk7pb" int2:invalidationBookmarkName="" int2:hashCode="968ho0uUBflTFA" int2:id="IN2HlFJB">
      <int2:extLst>
        <oel:ext uri="426473B9-03D8-482F-96C9-C2C85392BACA">
          <int2:similarityCritique int2:version="1" int2:context="Folklore of Operational Banality: Medical Administration and Everyday Violence of Health.">
            <int2:source int2:sourceType="Online" int2:sourceTitle="Folklore of Operational Banality: - Duke University Press" int2:sourceUrl="https://read.dukeupress.edu/environmental-humanities/article/12/2/431/167002/Folklore-of-Operational-BanalityMedical" int2:sourceSnippet="Shiloh Krupar; Folklore of Operational Banality: Medical Administration and Everyday Violence of Health. Environmental Humanities 1 November 2020; 12 (2): ... The folklore of operational banality concentrates on the broader, less human-centered category of administration. FOOB proposes to think orthogonally and relationally about bureaucracy in ...">
              <int2:suggestions int2:citationType="Inline">
                <int2:suggestion int2:citationStyle="Mla" int2:isIdentical="1">
                  <int2:citationText>(“Folklore of Operational Banality: - Duke University Press”)</int2:citationText>
                </int2:suggestion>
                <int2:suggestion int2:citationStyle="Apa" int2:isIdentical="1">
                  <int2:citationText>(“Folklore of Operational Banality: - Duke University Press”)</int2:citationText>
                </int2:suggestion>
                <int2:suggestion int2:citationStyle="Chicago" int2:isIdentical="1">
                  <int2:citationText>(“Folklore of Operational Banality: - Duke University Press”)</int2:citationText>
                </int2:suggestion>
              </int2:suggestions>
              <int2:suggestions int2:citationType="Full">
                <int2:suggestion int2:citationStyle="Mla" int2:isIdentical="1">
                  <int2:citationText>&lt;i&gt;Folklore of Operational Banality: - Duke University Press&lt;/i&gt;, https://read.dukeupress.edu/environmental-humanities/article/12/2/431/167002/Folklore-of-Operational-BanalityMedical.</int2:citationText>
                </int2:suggestion>
                <int2:suggestion int2:citationStyle="Apa" int2:isIdentical="1">
                  <int2:citationText>&lt;i&gt;Folklore of Operational Banality: - Duke University Press&lt;/i&gt;. (n.d.). Retrieved from https://read.dukeupress.edu/environmental-humanities/article/12/2/431/167002/Folklore-of-Operational-BanalityMedical</int2:citationText>
                </int2:suggestion>
                <int2:suggestion int2:citationStyle="Chicago" int2:isIdentical="1">
                  <int2:citationText>“Folklore of Operational Banality: - Duke University Press” n.d., https://read.dukeupress.edu/environmental-humanities/article/12/2/431/167002/Folklore-of-Operational-BanalityMedical.</int2:citationText>
                </int2:suggestion>
              </int2:suggestions>
            </int2:source>
            <int2:source int2:sourceType="Online" int2:sourceTitle="Banality of Power and the Aesthetics of Vulgarity in the Postcolony" int2:sourceUrl="https://read.dukeupress.edu/public-culture/article-abstract/4/2/1/32054/The-Banality-of-Power-and-the-Aesthetics-of" int2:sourceSnippet="Folklore of Operational Banality: Medical Administration and Everyday Violence of Health. Forging a Caribbean Literary Style: “Vulgar Eloquence” And the Language of Césaire's Cahier D'un Retour Au Pays Natal. The Banalities of Interpretation. Related Topics. power. also. people. one. pari.">
              <int2:suggestions int2:citationType="Inline">
                <int2:suggestion int2:citationStyle="Mla" int2:isIdentical="1">
                  <int2:citationText>(“Banality of Power and the Aesthetics of Vulgarity in the Postcolony”)</int2:citationText>
                </int2:suggestion>
                <int2:suggestion int2:citationStyle="Apa" int2:isIdentical="1">
                  <int2:citationText>(“Banality of Power and the Aesthetics of Vulgarity in the Postcolony”)</int2:citationText>
                </int2:suggestion>
                <int2:suggestion int2:citationStyle="Chicago" int2:isIdentical="1">
                  <int2:citationText>(“Banality of Power and the Aesthetics of Vulgarity in the Postcolony”)</int2:citationText>
                </int2:suggestion>
              </int2:suggestions>
              <int2:suggestions int2:citationType="Full">
                <int2:suggestion int2:citationStyle="Mla" int2:isIdentical="1">
                  <int2:citationText>&lt;i&gt;Banality of Power and the Aesthetics of Vulgarity in the Postcolony&lt;/i&gt;, https://read.dukeupress.edu/public-culture/article-abstract/4/2/1/32054/The-Banality-of-Power-and-the-Aesthetics-of.</int2:citationText>
                </int2:suggestion>
                <int2:suggestion int2:citationStyle="Apa" int2:isIdentical="1">
                  <int2:citationText>&lt;i&gt;Banality of Power and the Aesthetics of Vulgarity in the Postcolony&lt;/i&gt;. (n.d.). Retrieved from https://read.dukeupress.edu/public-culture/article-abstract/4/2/1/32054/The-Banality-of-Power-and-the-Aesthetics-of</int2:citationText>
                </int2:suggestion>
                <int2:suggestion int2:citationStyle="Chicago" int2:isIdentical="1">
                  <int2:citationText>“Banality of Power and the Aesthetics of Vulgarity in the Postcolony” n.d., https://read.dukeupress.edu/public-culture/article-abstract/4/2/1/32054/The-Banality-of-Power-and-the-Aesthetics-of.</int2:citationText>
                </int2:suggestion>
              </int2:suggestions>
            </int2:source>
          </int2:similarityCritique>
        </oel:ext>
      </int2:extLst>
    </int2:bookmark>
    <int2:bookmark int2:bookmarkName="_Int_IsAxq5Vv" int2:invalidationBookmarkName="" int2:hashCode="CddmDeJMjkRprY" int2:id="oA6UtBHH">
      <int2:extLst>
        <oel:ext uri="426473B9-03D8-482F-96C9-C2C85392BACA">
          <int2:similarityCritique int2:version="1" int2:context="Classical theory: The emergence of deterrence theory in the age of enlightenment.">
            <int2:source int2:sourceType="Online" int2:sourceTitle="Deterrence, choice, and crime : contemporary perspectives - Missouri ..." int2:sourceUrl="http://link.library.mst.edu/portal/Deterrence-choice-and-crime--contemporary/70VQ4kgKrjg/" int2:sourceSnippet="Classical Theory: The Emergence of Deterrence Theory in the Age of Enlightenment; Gerben J. N. Bruinsma; 2. Economics of Deterrence: A Review of the Theory and Evidence; Control code MSTDDA5351902 Dimensions unknown Extent 1 online resource (x, 421 pages.): Form of item online Isbn 9781351112703 Isbn Type (electronic bk.) Media category ...">
              <int2:suggestions int2:citationType="Inline">
                <int2:suggestion int2:citationStyle="Mla" int2:isIdentical="0">
                  <int2:citationText>(“Deterrence, choice, and crime : contemporary perspectives - Missouri ...”)</int2:citationText>
                </int2:suggestion>
                <int2:suggestion int2:citationStyle="Apa" int2:isIdentical="0">
                  <int2:citationText>(“Deterrence, choice, and crime : contemporary perspectives - Missouri ...”)</int2:citationText>
                </int2:suggestion>
                <int2:suggestion int2:citationStyle="Chicago" int2:isIdentical="0">
                  <int2:citationText>(“Deterrence, choice, and crime : contemporary perspectives - Missouri ...”)</int2:citationText>
                </int2:suggestion>
              </int2:suggestions>
              <int2:suggestions int2:citationType="Full">
                <int2:suggestion int2:citationStyle="Mla" int2:isIdentical="0">
                  <int2:citationText>&lt;i&gt;Deterrence, choice, and crime : contemporary perspectives - Missouri ...&lt;/i&gt;, http://link.library.mst.edu/portal/Deterrence-choice-and-crime--contemporary/70VQ4kgKrjg/.</int2:citationText>
                </int2:suggestion>
                <int2:suggestion int2:citationStyle="Apa" int2:isIdentical="0">
                  <int2:citationText>&lt;i&gt;Deterrence, choice, and crime : contemporary perspectives - Missouri ...&lt;/i&gt;. (n.d.). Retrieved from http://link.library.mst.edu/portal/Deterrence-choice-and-crime--contemporary/70VQ4kgKrjg/</int2:citationText>
                </int2:suggestion>
                <int2:suggestion int2:citationStyle="Chicago" int2:isIdentical="0">
                  <int2:citationText>“Deterrence, choice, and crime : contemporary perspectives - Missouri ...” n.d., http://link.library.mst.edu/portal/Deterrence-choice-and-crime--contemporary/70VQ4kgKrjg/.</int2:citationText>
                </int2:suggestion>
              </int2:suggestions>
            </int2:source>
          </int2:similarityCritique>
        </oel:ext>
      </int2:extLst>
    </int2:bookmark>
    <int2:bookmark int2:bookmarkName="_Int_6uLp9pse" int2:invalidationBookmarkName="" int2:hashCode="vkn37cpexC7zW8" int2:id="pSCIEkLb">
      <int2:extLst>
        <oel:ext uri="426473B9-03D8-482F-96C9-C2C85392BACA">
          <int2:similarityCritique int2:version="1" int2:context="Quality assurance and assessment framework for large area land cover maps validation in the Copernicus high-resolution hot spot monitoring activity.">
            <int2:source int2:sourceType="Online" int2:sourceTitle="(PDF) Quality assurance and assessment framework for large area land ..." int2:sourceUrl="https://www.academia.edu/56038348/Quality_assurance_and_assessment_framework_for_large_area_land_cover_maps_validation_in_the_Copernicus_high_resolution_hot_spot_monitoring_activity" int2:sourceSnippet="Quality assurance and assessment framework for large area land cover maps validation in the Copernicus high-resolution hot spot monitoring activity">
              <int2:suggestions int2:citationType="Inline">
                <int2:suggestion int2:citationStyle="Mla" int2:isIdentical="0">
                  <int2:citationText>(“(PDF) Quality assurance and assessment framework for large area land ...”)</int2:citationText>
                </int2:suggestion>
                <int2:suggestion int2:citationStyle="Apa" int2:isIdentical="0">
                  <int2:citationText>(“(PDF) Quality assurance and assessment framework for large area land ...”)</int2:citationText>
                </int2:suggestion>
                <int2:suggestion int2:citationStyle="Chicago" int2:isIdentical="0">
                  <int2:citationText>(“(PDF) Quality assurance and assessment framework for large area land ...”)</int2:citationText>
                </int2:suggestion>
              </int2:suggestions>
              <int2:suggestions int2:citationType="Full">
                <int2:suggestion int2:citationStyle="Mla" int2:isIdentical="0">
                  <int2:citationText>&lt;i&gt;(PDF) Quality assurance and assessment framework for large area land ...&lt;/i&gt;, https://www.academia.edu/56038348/Quality_assurance_and_assessment_framework_for_large_area_land_cover_maps_validation_in_the_Copernicus_high_resolution_hot_spot_monitoring_activity.</int2:citationText>
                </int2:suggestion>
                <int2:suggestion int2:citationStyle="Apa" int2:isIdentical="0">
                  <int2:citationText>&lt;i&gt;(PDF) Quality assurance and assessment framework for large area land ...&lt;/i&gt;. (n.d.). Retrieved from https://www.academia.edu/56038348/Quality_assurance_and_assessment_framework_for_large_area_land_cover_maps_validation_in_the_Copernicus_high_resolution_hot_spot_monitoring_activity</int2:citationText>
                </int2:suggestion>
                <int2:suggestion int2:citationStyle="Chicago" int2:isIdentical="0">
                  <int2:citationText>“(PDF) Quality assurance and assessment framework for large area land ...” n.d., https://www.academia.edu/56038348/Quality_assurance_and_assessment_framework_for_large_area_land_cover_maps_validation_in_the_Copernicus_high_resolution_hot_spot_monitoring_activity.</int2:citationText>
                </int2:suggestion>
              </int2:suggestions>
            </int2:source>
          </int2:similarityCritique>
        </oel:ext>
      </int2:extLst>
    </int2:bookmark>
    <int2:entireDocument int2:id="cSBAHf02">
      <int2:extLst>
        <oel:ext uri="E302BA01-7950-474C-9AD3-286E660C40A8">
          <int2:similaritySummary int2:version="1" int2:runId="1678467012076" int2:tilesCheckedInThisRun="42" int2:totalNumOfTiles="42" int2:similarityAnnotationCount="5" int2:numWords="2323" int2:numFlaggedWords="64"/>
        </oel:ext>
      </int2:extLst>
    </int2:entireDocument>
  </int2:observations>
  <int2:intelligenceSettings/>
  <int2:onDemandWorkflows>
    <int2:onDemandWorkflow int2:type="SimilarityCheck" int2:paragraphVersions="5807E8E7-0F538BF3 37D06FFB-20ACD9AE 0D29B883-19D58E49 427EDB1B-77777777 17A877F2-7F44E980 350E504A-77777777 012AE467-77777777 6588FBC3-77777777 532F5875-77777777 5A616608-77777777 65941F77-77777777 7E87FAE8-77777777 41B19EF3-77777777 562BB61B-77777777 65F5FDE0-77777777 291972F0-77777777 505B1EA1-77777777 52B2DE3A-77777777 33044BCF-77777777 46DD1DE3-44CC7D05 2BD07791-77777777 7787B0F1-5EF8F859 2B9C0164-77777777 1AEE2C47-56899AEF 3E255631-77777777 39686AB2-77777777 75D200C8-77777777 1474FBDC-15AFADD0 66EEDC7E-77777777 748DC91A-77777777 7E68E9E5-77777777 19E1F559-16325966 0C8E1441-77777777 41ABA894-007A495D 716EFA9F-77777777 4991A331-66250FFA 732E6B56-77777777 56D8A898-77777777 50C8ADDA-77777777 3DC26DD8-77777777 66FCD5A7-77777777 0C9D4DE0-77777777 09C13490-42E7C172 540A35E7-7B57CC91 26C2C499-02ED128E 18FCE7B8-77777777 395231EB-77777777 2151E76E-28B71C57 5E281F61-77777777 4448C3D3-77777777 368D4B99-77777777 6599ED2B-77777777 5D2C7A7D-77777777 0E63EE85-77777777 2AC22761-77777777 756D7D84-77777777 04752386-77777777 1CE074D1-77777777 69EE450C-2491A9E1 74DBD65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0A86739B"/>
    <w:multiLevelType w:val="multilevel"/>
    <w:tmpl w:val="BDAABB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EC21633"/>
    <w:multiLevelType w:val="multilevel"/>
    <w:tmpl w:val="A8DED5DA"/>
    <w:lvl w:ilvl="0">
      <w:start w:val="1"/>
      <w:numFmt w:val="decimal"/>
      <w:lvlText w:val="%1"/>
      <w:lvlJc w:val="left"/>
      <w:pPr>
        <w:ind w:left="716"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51395207">
    <w:abstractNumId w:val="2"/>
  </w:num>
  <w:num w:numId="2" w16cid:durableId="861936910">
    <w:abstractNumId w:val="1"/>
  </w:num>
  <w:num w:numId="3" w16cid:durableId="1116172957">
    <w:abstractNumId w:val="0"/>
  </w:num>
  <w:num w:numId="4" w16cid:durableId="12397509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I0tDAxNTC3sLA0NjRR0lEKTi0uzszPAykwrAUA9x1hCCwAAAA="/>
  </w:docVars>
  <w:rsids>
    <w:rsidRoot w:val="00935F99"/>
    <w:rsid w:val="00027C53"/>
    <w:rsid w:val="000515C8"/>
    <w:rsid w:val="00074502"/>
    <w:rsid w:val="00082492"/>
    <w:rsid w:val="00090D1E"/>
    <w:rsid w:val="000C789E"/>
    <w:rsid w:val="000D1DEC"/>
    <w:rsid w:val="000E3E7F"/>
    <w:rsid w:val="0014353C"/>
    <w:rsid w:val="0019494E"/>
    <w:rsid w:val="002C3142"/>
    <w:rsid w:val="002C3D1A"/>
    <w:rsid w:val="002E2D2A"/>
    <w:rsid w:val="003D17A3"/>
    <w:rsid w:val="00454849"/>
    <w:rsid w:val="004F0A29"/>
    <w:rsid w:val="005E75D5"/>
    <w:rsid w:val="00605087"/>
    <w:rsid w:val="00654F1A"/>
    <w:rsid w:val="006E0703"/>
    <w:rsid w:val="007E7587"/>
    <w:rsid w:val="008B51A5"/>
    <w:rsid w:val="008B6D6C"/>
    <w:rsid w:val="008C2E63"/>
    <w:rsid w:val="00935F99"/>
    <w:rsid w:val="00937E28"/>
    <w:rsid w:val="00A63571"/>
    <w:rsid w:val="00A935F1"/>
    <w:rsid w:val="00AC6635"/>
    <w:rsid w:val="00AF4A17"/>
    <w:rsid w:val="00B727CE"/>
    <w:rsid w:val="00BD3709"/>
    <w:rsid w:val="00BF7DD1"/>
    <w:rsid w:val="00C67AEF"/>
    <w:rsid w:val="00CC1B3C"/>
    <w:rsid w:val="00D15CD6"/>
    <w:rsid w:val="00D6157B"/>
    <w:rsid w:val="00E9219D"/>
    <w:rsid w:val="00F15748"/>
    <w:rsid w:val="00F4234D"/>
    <w:rsid w:val="00FA0619"/>
    <w:rsid w:val="2457028A"/>
    <w:rsid w:val="5252FB4B"/>
    <w:rsid w:val="6A7C1E80"/>
    <w:rsid w:val="71B15B2C"/>
    <w:rsid w:val="78CC0EB5"/>
    <w:rsid w:val="7DF9E4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8BBB1"/>
  <w15:chartTrackingRefBased/>
  <w15:docId w15:val="{9F495F4F-12FC-4558-943B-208D36CA1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F9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824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autoRedefine/>
    <w:qFormat/>
    <w:rsid w:val="00AC6635"/>
    <w:pPr>
      <w:keepNext/>
      <w:numPr>
        <w:ilvl w:val="2"/>
        <w:numId w:val="2"/>
      </w:numPr>
      <w:spacing w:before="600"/>
      <w:ind w:left="720"/>
      <w:outlineLvl w:val="2"/>
    </w:pPr>
    <w:rPr>
      <w:b/>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AC6635"/>
    <w:rPr>
      <w:rFonts w:ascii="Times New Roman" w:eastAsia="Times New Roman" w:hAnsi="Times New Roman" w:cs="Times New Roman"/>
      <w:b/>
      <w:sz w:val="24"/>
      <w:szCs w:val="20"/>
      <w:lang w:val="en-US"/>
    </w:rPr>
  </w:style>
  <w:style w:type="paragraph" w:styleId="ListParagraph">
    <w:name w:val="List Paragraph"/>
    <w:basedOn w:val="Normal"/>
    <w:uiPriority w:val="34"/>
    <w:qFormat/>
    <w:rsid w:val="00935F99"/>
    <w:pPr>
      <w:ind w:left="720"/>
      <w:contextualSpacing/>
    </w:pPr>
  </w:style>
  <w:style w:type="character" w:customStyle="1" w:styleId="hgkelc">
    <w:name w:val="hgkelc"/>
    <w:basedOn w:val="DefaultParagraphFont"/>
    <w:rsid w:val="00D6157B"/>
  </w:style>
  <w:style w:type="paragraph" w:styleId="NormalWeb">
    <w:name w:val="Normal (Web)"/>
    <w:basedOn w:val="Normal"/>
    <w:uiPriority w:val="99"/>
    <w:unhideWhenUsed/>
    <w:rsid w:val="00E9219D"/>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082492"/>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82492"/>
    <w:pPr>
      <w:spacing w:line="259" w:lineRule="auto"/>
      <w:outlineLvl w:val="9"/>
    </w:pPr>
    <w:rPr>
      <w:lang w:val="en-US" w:eastAsia="en-US"/>
    </w:rPr>
  </w:style>
  <w:style w:type="paragraph" w:styleId="TOC3">
    <w:name w:val="toc 3"/>
    <w:basedOn w:val="Normal"/>
    <w:next w:val="Normal"/>
    <w:autoRedefine/>
    <w:uiPriority w:val="39"/>
    <w:unhideWhenUsed/>
    <w:rsid w:val="00082492"/>
    <w:pPr>
      <w:spacing w:after="100"/>
      <w:ind w:left="400"/>
    </w:pPr>
  </w:style>
  <w:style w:type="character" w:styleId="Hyperlink">
    <w:name w:val="Hyperlink"/>
    <w:basedOn w:val="DefaultParagraphFont"/>
    <w:uiPriority w:val="99"/>
    <w:unhideWhenUsed/>
    <w:rsid w:val="000824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35576">
      <w:bodyDiv w:val="1"/>
      <w:marLeft w:val="0"/>
      <w:marRight w:val="0"/>
      <w:marTop w:val="0"/>
      <w:marBottom w:val="0"/>
      <w:divBdr>
        <w:top w:val="none" w:sz="0" w:space="0" w:color="auto"/>
        <w:left w:val="none" w:sz="0" w:space="0" w:color="auto"/>
        <w:bottom w:val="none" w:sz="0" w:space="0" w:color="auto"/>
        <w:right w:val="none" w:sz="0" w:space="0" w:color="auto"/>
      </w:divBdr>
      <w:divsChild>
        <w:div w:id="223611200">
          <w:marLeft w:val="0"/>
          <w:marRight w:val="0"/>
          <w:marTop w:val="0"/>
          <w:marBottom w:val="0"/>
          <w:divBdr>
            <w:top w:val="none" w:sz="0" w:space="0" w:color="auto"/>
            <w:left w:val="none" w:sz="0" w:space="0" w:color="auto"/>
            <w:bottom w:val="none" w:sz="0" w:space="0" w:color="auto"/>
            <w:right w:val="none" w:sz="0" w:space="0" w:color="auto"/>
          </w:divBdr>
        </w:div>
      </w:divsChild>
    </w:div>
    <w:div w:id="761535342">
      <w:bodyDiv w:val="1"/>
      <w:marLeft w:val="0"/>
      <w:marRight w:val="0"/>
      <w:marTop w:val="0"/>
      <w:marBottom w:val="0"/>
      <w:divBdr>
        <w:top w:val="none" w:sz="0" w:space="0" w:color="auto"/>
        <w:left w:val="none" w:sz="0" w:space="0" w:color="auto"/>
        <w:bottom w:val="none" w:sz="0" w:space="0" w:color="auto"/>
        <w:right w:val="none" w:sz="0" w:space="0" w:color="auto"/>
      </w:divBdr>
      <w:divsChild>
        <w:div w:id="1161189544">
          <w:marLeft w:val="0"/>
          <w:marRight w:val="0"/>
          <w:marTop w:val="0"/>
          <w:marBottom w:val="0"/>
          <w:divBdr>
            <w:top w:val="none" w:sz="0" w:space="0" w:color="auto"/>
            <w:left w:val="none" w:sz="0" w:space="0" w:color="auto"/>
            <w:bottom w:val="none" w:sz="0" w:space="0" w:color="auto"/>
            <w:right w:val="none" w:sz="0" w:space="0" w:color="auto"/>
          </w:divBdr>
          <w:divsChild>
            <w:div w:id="906762874">
              <w:marLeft w:val="0"/>
              <w:marRight w:val="0"/>
              <w:marTop w:val="0"/>
              <w:marBottom w:val="0"/>
              <w:divBdr>
                <w:top w:val="none" w:sz="0" w:space="0" w:color="auto"/>
                <w:left w:val="none" w:sz="0" w:space="0" w:color="auto"/>
                <w:bottom w:val="none" w:sz="0" w:space="0" w:color="auto"/>
                <w:right w:val="none" w:sz="0" w:space="0" w:color="auto"/>
              </w:divBdr>
              <w:divsChild>
                <w:div w:id="118347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197381">
      <w:bodyDiv w:val="1"/>
      <w:marLeft w:val="0"/>
      <w:marRight w:val="0"/>
      <w:marTop w:val="0"/>
      <w:marBottom w:val="0"/>
      <w:divBdr>
        <w:top w:val="none" w:sz="0" w:space="0" w:color="auto"/>
        <w:left w:val="none" w:sz="0" w:space="0" w:color="auto"/>
        <w:bottom w:val="none" w:sz="0" w:space="0" w:color="auto"/>
        <w:right w:val="none" w:sz="0" w:space="0" w:color="auto"/>
      </w:divBdr>
      <w:divsChild>
        <w:div w:id="965501410">
          <w:marLeft w:val="0"/>
          <w:marRight w:val="0"/>
          <w:marTop w:val="0"/>
          <w:marBottom w:val="0"/>
          <w:divBdr>
            <w:top w:val="none" w:sz="0" w:space="0" w:color="auto"/>
            <w:left w:val="none" w:sz="0" w:space="0" w:color="auto"/>
            <w:bottom w:val="none" w:sz="0" w:space="0" w:color="auto"/>
            <w:right w:val="none" w:sz="0" w:space="0" w:color="auto"/>
          </w:divBdr>
          <w:divsChild>
            <w:div w:id="713195377">
              <w:marLeft w:val="0"/>
              <w:marRight w:val="0"/>
              <w:marTop w:val="0"/>
              <w:marBottom w:val="0"/>
              <w:divBdr>
                <w:top w:val="none" w:sz="0" w:space="0" w:color="auto"/>
                <w:left w:val="none" w:sz="0" w:space="0" w:color="auto"/>
                <w:bottom w:val="none" w:sz="0" w:space="0" w:color="auto"/>
                <w:right w:val="none" w:sz="0" w:space="0" w:color="auto"/>
              </w:divBdr>
              <w:divsChild>
                <w:div w:id="179459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31112">
      <w:bodyDiv w:val="1"/>
      <w:marLeft w:val="0"/>
      <w:marRight w:val="0"/>
      <w:marTop w:val="0"/>
      <w:marBottom w:val="0"/>
      <w:divBdr>
        <w:top w:val="none" w:sz="0" w:space="0" w:color="auto"/>
        <w:left w:val="none" w:sz="0" w:space="0" w:color="auto"/>
        <w:bottom w:val="none" w:sz="0" w:space="0" w:color="auto"/>
        <w:right w:val="none" w:sz="0" w:space="0" w:color="auto"/>
      </w:divBdr>
    </w:div>
    <w:div w:id="1276206975">
      <w:bodyDiv w:val="1"/>
      <w:marLeft w:val="0"/>
      <w:marRight w:val="0"/>
      <w:marTop w:val="0"/>
      <w:marBottom w:val="0"/>
      <w:divBdr>
        <w:top w:val="none" w:sz="0" w:space="0" w:color="auto"/>
        <w:left w:val="none" w:sz="0" w:space="0" w:color="auto"/>
        <w:bottom w:val="none" w:sz="0" w:space="0" w:color="auto"/>
        <w:right w:val="none" w:sz="0" w:space="0" w:color="auto"/>
      </w:divBdr>
      <w:divsChild>
        <w:div w:id="709645242">
          <w:marLeft w:val="0"/>
          <w:marRight w:val="0"/>
          <w:marTop w:val="0"/>
          <w:marBottom w:val="0"/>
          <w:divBdr>
            <w:top w:val="none" w:sz="0" w:space="0" w:color="auto"/>
            <w:left w:val="none" w:sz="0" w:space="0" w:color="auto"/>
            <w:bottom w:val="none" w:sz="0" w:space="0" w:color="auto"/>
            <w:right w:val="none" w:sz="0" w:space="0" w:color="auto"/>
          </w:divBdr>
          <w:divsChild>
            <w:div w:id="98720989">
              <w:marLeft w:val="0"/>
              <w:marRight w:val="0"/>
              <w:marTop w:val="0"/>
              <w:marBottom w:val="0"/>
              <w:divBdr>
                <w:top w:val="none" w:sz="0" w:space="0" w:color="auto"/>
                <w:left w:val="none" w:sz="0" w:space="0" w:color="auto"/>
                <w:bottom w:val="none" w:sz="0" w:space="0" w:color="auto"/>
                <w:right w:val="none" w:sz="0" w:space="0" w:color="auto"/>
              </w:divBdr>
              <w:divsChild>
                <w:div w:id="199583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66C74-C338-4224-AA3E-A0B68691CB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2356</Words>
  <Characters>13435</Characters>
  <Application>Microsoft Office Word</Application>
  <DocSecurity>4</DocSecurity>
  <Lines>111</Lines>
  <Paragraphs>31</Paragraphs>
  <ScaleCrop>false</ScaleCrop>
  <Company/>
  <LinksUpToDate>false</LinksUpToDate>
  <CharactersWithSpaces>15760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Maria Madalina Feier</cp:lastModifiedBy>
  <cp:revision>7</cp:revision>
  <dcterms:created xsi:type="dcterms:W3CDTF">2023-03-10T16:36:00Z</dcterms:created>
  <dcterms:modified xsi:type="dcterms:W3CDTF">2023-03-10T16:53:00Z</dcterms:modified>
</cp:coreProperties>
</file>