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40AAD3CD" w:rsidP="3937C69C" w:rsidRDefault="40AAD3CD" w14:paraId="55EC4172" w14:textId="46DFE967">
      <w:pPr>
        <w:pStyle w:val="Normal"/>
        <w:spacing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7EC155A9">
        <w:drawing>
          <wp:inline wp14:editId="6C2B115B" wp14:anchorId="41A84D44">
            <wp:extent cx="5041900" cy="4160520"/>
            <wp:effectExtent l="0" t="0" r="6350" b="0"/>
            <wp:docPr id="5854614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8045316" name=""/>
                    <pic:cNvPicPr/>
                  </pic:nvPicPr>
                  <pic:blipFill>
                    <a:blip xmlns:r="http://schemas.openxmlformats.org/officeDocument/2006/relationships" r:embed="rId7">
                      <a:extLst>
                        <a:ext uri="{28A0092B-C50C-407E-A947-70E740481C1C}">
                          <a14:useLocalDpi xmlns:a14="http://schemas.microsoft.com/office/drawing/2010/main"/>
                        </a:ext>
                      </a:extLst>
                    </a:blip>
                    <a:stretch>
                      <a:fillRect/>
                    </a:stretch>
                  </pic:blipFill>
                  <pic:spPr>
                    <a:xfrm>
                      <a:off x="0" y="0"/>
                      <a:ext cx="5048005" cy="4165558"/>
                    </a:xfrm>
                    <a:prstGeom prst="rect">
                      <a:avLst/>
                    </a:prstGeom>
                  </pic:spPr>
                </pic:pic>
              </a:graphicData>
            </a:graphic>
          </wp:inline>
        </w:drawing>
      </w:r>
    </w:p>
    <w:p w:rsidR="40AAD3CD" w:rsidP="3937C69C" w:rsidRDefault="40AAD3CD" w14:paraId="0B41F74B" w14:textId="3EB51835">
      <w:pPr>
        <w:pStyle w:val="Normal"/>
        <w:spacing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p>
    <w:p w:rsidR="40AAD3CD" w:rsidP="3937C69C" w:rsidRDefault="40AAD3CD" w14:paraId="0B3DBCBB" w14:textId="3063B5FA">
      <w:pPr>
        <w:spacing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37C69C" w:rsidR="7EC155A9">
        <w:rPr>
          <w:rFonts w:ascii="Arial" w:hAnsi="Arial" w:eastAsia="Arial" w:cs="Arial"/>
          <w:b w:val="0"/>
          <w:bCs w:val="0"/>
          <w:i w:val="0"/>
          <w:iCs w:val="0"/>
          <w:caps w:val="0"/>
          <w:smallCaps w:val="0"/>
          <w:noProof w:val="0"/>
          <w:color w:val="000000" w:themeColor="text1" w:themeTint="FF" w:themeShade="FF"/>
          <w:sz w:val="22"/>
          <w:szCs w:val="22"/>
          <w:lang w:val="en-GB"/>
        </w:rPr>
        <w:t>Rebecca Travers - 2128316</w:t>
      </w:r>
    </w:p>
    <w:p w:rsidR="40AAD3CD" w:rsidP="3937C69C" w:rsidRDefault="40AAD3CD" w14:paraId="66150619" w14:textId="47118A1C">
      <w:pPr>
        <w:spacing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37C69C" w:rsidR="71664213">
        <w:rPr>
          <w:rFonts w:ascii="Arial" w:hAnsi="Arial" w:eastAsia="Arial" w:cs="Arial"/>
          <w:b w:val="0"/>
          <w:bCs w:val="0"/>
          <w:i w:val="0"/>
          <w:iCs w:val="0"/>
          <w:caps w:val="0"/>
          <w:smallCaps w:val="0"/>
          <w:noProof w:val="0"/>
          <w:color w:val="000000" w:themeColor="text1" w:themeTint="FF" w:themeShade="FF"/>
          <w:sz w:val="22"/>
          <w:szCs w:val="22"/>
          <w:lang w:val="en-GB"/>
        </w:rPr>
        <w:t>International business concepts</w:t>
      </w:r>
    </w:p>
    <w:p w:rsidR="40AAD3CD" w:rsidP="3937C69C" w:rsidRDefault="40AAD3CD" w14:paraId="412EFD77" w14:textId="7BF46334">
      <w:pPr>
        <w:pStyle w:val="ListParagraph"/>
        <w:spacing w:line="259" w:lineRule="auto"/>
        <w:ind w:left="72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937C69C" w:rsidR="604451D8">
        <w:rPr>
          <w:rFonts w:ascii="Arial" w:hAnsi="Arial" w:eastAsia="Arial" w:cs="Arial"/>
          <w:b w:val="0"/>
          <w:bCs w:val="0"/>
          <w:i w:val="0"/>
          <w:iCs w:val="0"/>
          <w:caps w:val="0"/>
          <w:smallCaps w:val="0"/>
          <w:noProof w:val="0"/>
          <w:color w:val="000000" w:themeColor="text1" w:themeTint="FF" w:themeShade="FF"/>
          <w:sz w:val="22"/>
          <w:szCs w:val="22"/>
          <w:lang w:val="en-GB"/>
        </w:rPr>
        <w:t>Module code - LCMB7034</w:t>
      </w:r>
    </w:p>
    <w:p w:rsidR="40AAD3CD" w:rsidP="3937C69C" w:rsidRDefault="40AAD3CD" w14:paraId="592BA7A8" w14:textId="79BDB332">
      <w:pPr>
        <w:spacing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37C69C" w:rsidR="7EC155A9">
        <w:rPr>
          <w:rFonts w:ascii="Arial" w:hAnsi="Arial" w:eastAsia="Arial" w:cs="Arial"/>
          <w:b w:val="0"/>
          <w:bCs w:val="0"/>
          <w:i w:val="0"/>
          <w:iCs w:val="0"/>
          <w:caps w:val="0"/>
          <w:smallCaps w:val="0"/>
          <w:noProof w:val="0"/>
          <w:color w:val="000000" w:themeColor="text1" w:themeTint="FF" w:themeShade="FF"/>
          <w:sz w:val="22"/>
          <w:szCs w:val="22"/>
          <w:lang w:val="en-GB"/>
        </w:rPr>
        <w:t xml:space="preserve">Lecturer – </w:t>
      </w:r>
      <w:r w:rsidRPr="3937C69C" w:rsidR="626D88EA">
        <w:rPr>
          <w:rFonts w:ascii="Arial" w:hAnsi="Arial" w:eastAsia="Arial" w:cs="Arial"/>
          <w:b w:val="0"/>
          <w:bCs w:val="0"/>
          <w:i w:val="0"/>
          <w:iCs w:val="0"/>
          <w:caps w:val="0"/>
          <w:smallCaps w:val="0"/>
          <w:noProof w:val="0"/>
          <w:color w:val="000000" w:themeColor="text1" w:themeTint="FF" w:themeShade="FF"/>
          <w:sz w:val="22"/>
          <w:szCs w:val="22"/>
          <w:lang w:val="en-GB"/>
        </w:rPr>
        <w:t>Johnny Wan</w:t>
      </w:r>
    </w:p>
    <w:p w:rsidR="40AAD3CD" w:rsidP="3937C69C" w:rsidRDefault="40AAD3CD" w14:paraId="7BE6312C" w14:textId="618DCBB6">
      <w:pPr>
        <w:spacing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937C69C" w:rsidR="090D2B2D">
        <w:rPr>
          <w:rFonts w:ascii="Arial" w:hAnsi="Arial" w:eastAsia="Arial" w:cs="Arial"/>
          <w:b w:val="0"/>
          <w:bCs w:val="0"/>
          <w:i w:val="0"/>
          <w:iCs w:val="0"/>
          <w:caps w:val="0"/>
          <w:smallCaps w:val="0"/>
          <w:noProof w:val="0"/>
          <w:color w:val="000000" w:themeColor="text1" w:themeTint="FF" w:themeShade="FF"/>
          <w:sz w:val="22"/>
          <w:szCs w:val="22"/>
          <w:lang w:val="en-GB"/>
        </w:rPr>
        <w:t>5,000 Word</w:t>
      </w:r>
    </w:p>
    <w:p w:rsidR="40AAD3CD" w:rsidP="2F2A0CEB" w:rsidRDefault="40AAD3CD" w14:paraId="7DD44F85" w14:textId="412D6F14">
      <w:pPr>
        <w:spacing w:line="360" w:lineRule="auto"/>
        <w:jc w:val="center"/>
      </w:pPr>
    </w:p>
    <w:p w:rsidR="54ADEF73" w:rsidRDefault="54ADEF73" w14:paraId="116CA3D7" w14:textId="6BBF6670">
      <w:r>
        <w:br w:type="page"/>
      </w:r>
    </w:p>
    <w:p w:rsidR="6F182D17" w:rsidP="54ADEF73" w:rsidRDefault="6F182D17" w14:paraId="0EFDAC6E" w14:textId="445D4ABF">
      <w:pPr>
        <w:spacing w:line="360" w:lineRule="auto"/>
        <w:jc w:val="both"/>
        <w:rPr>
          <w:rFonts w:ascii="Arial" w:hAnsi="Arial" w:eastAsia="Arial" w:cs="Arial"/>
        </w:rPr>
      </w:pPr>
      <w:r w:rsidRPr="54ADEF73">
        <w:rPr>
          <w:rFonts w:ascii="Arial" w:hAnsi="Arial" w:eastAsia="Arial" w:cs="Arial"/>
        </w:rPr>
        <w:t>Table of contents</w:t>
      </w:r>
    </w:p>
    <w:p w:rsidR="54ADEF73" w:rsidP="54ADEF73" w:rsidRDefault="54ADEF73" w14:paraId="74949793" w14:textId="23D3FD34">
      <w:pPr>
        <w:spacing w:line="360" w:lineRule="auto"/>
        <w:jc w:val="both"/>
        <w:rPr>
          <w:rFonts w:ascii="Arial" w:hAnsi="Arial" w:eastAsia="Arial" w:cs="Arial"/>
        </w:rPr>
      </w:pPr>
    </w:p>
    <w:sdt>
      <w:sdtPr>
        <w:id w:val="1021512365"/>
        <w:docPartObj>
          <w:docPartGallery w:val="Table of Contents"/>
          <w:docPartUnique/>
        </w:docPartObj>
      </w:sdtPr>
      <w:sdtContent>
        <w:p w:rsidR="54ADEF73" w:rsidP="54ADEF73" w:rsidRDefault="26B31213" w14:paraId="54745907" w14:textId="38E6A2C3">
          <w:pPr>
            <w:pStyle w:val="TOC1"/>
            <w:tabs>
              <w:tab w:val="right" w:leader="dot" w:pos="9015"/>
            </w:tabs>
            <w:rPr>
              <w:rStyle w:val="Hyperlink"/>
            </w:rPr>
          </w:pPr>
          <w:r>
            <w:fldChar w:fldCharType="begin"/>
          </w:r>
          <w:r>
            <w:instrText xml:space="preserve">TOC \o "1-9" \z \u \h</w:instrText>
          </w:r>
          <w:r>
            <w:fldChar w:fldCharType="separate"/>
          </w:r>
          <w:hyperlink w:anchor="_Toc1181860351">
            <w:r w:rsidRPr="0052A477" w:rsidR="0052A477">
              <w:rPr>
                <w:rStyle w:val="Hyperlink"/>
              </w:rPr>
              <w:t>Introduction</w:t>
            </w:r>
            <w:r>
              <w:tab/>
            </w:r>
            <w:r>
              <w:fldChar w:fldCharType="begin"/>
            </w:r>
            <w:r>
              <w:instrText xml:space="preserve">PAGEREF _Toc1181860351 \h</w:instrText>
            </w:r>
            <w:r>
              <w:fldChar w:fldCharType="separate"/>
            </w:r>
            <w:r w:rsidRPr="0052A477" w:rsidR="0052A477">
              <w:rPr>
                <w:rStyle w:val="Hyperlink"/>
              </w:rPr>
              <w:t>3</w:t>
            </w:r>
            <w:r>
              <w:fldChar w:fldCharType="end"/>
            </w:r>
          </w:hyperlink>
        </w:p>
        <w:p w:rsidR="54ADEF73" w:rsidP="54ADEF73" w:rsidRDefault="5DDDE088" w14:paraId="7C6C12F6" w14:textId="6047571A">
          <w:pPr>
            <w:pStyle w:val="TOC1"/>
            <w:tabs>
              <w:tab w:val="right" w:leader="dot" w:pos="9015"/>
            </w:tabs>
            <w:rPr>
              <w:rStyle w:val="Hyperlink"/>
            </w:rPr>
          </w:pPr>
          <w:hyperlink w:anchor="_Toc1256150592">
            <w:r w:rsidRPr="0052A477" w:rsidR="0052A477">
              <w:rPr>
                <w:rStyle w:val="Hyperlink"/>
              </w:rPr>
              <w:t>Multinational corporations vs. Transnational corporations</w:t>
            </w:r>
            <w:r>
              <w:tab/>
            </w:r>
            <w:r>
              <w:fldChar w:fldCharType="begin"/>
            </w:r>
            <w:r>
              <w:instrText xml:space="preserve">PAGEREF _Toc1256150592 \h</w:instrText>
            </w:r>
            <w:r>
              <w:fldChar w:fldCharType="separate"/>
            </w:r>
            <w:r w:rsidRPr="0052A477" w:rsidR="0052A477">
              <w:rPr>
                <w:rStyle w:val="Hyperlink"/>
              </w:rPr>
              <w:t>4</w:t>
            </w:r>
            <w:r>
              <w:fldChar w:fldCharType="end"/>
            </w:r>
          </w:hyperlink>
        </w:p>
        <w:p w:rsidR="54ADEF73" w:rsidP="26B31213" w:rsidRDefault="5DDDE088" w14:paraId="453DDB1C" w14:textId="3DE1D7B5">
          <w:pPr>
            <w:pStyle w:val="TOC2"/>
            <w:tabs>
              <w:tab w:val="right" w:leader="dot" w:pos="9015"/>
            </w:tabs>
            <w:rPr>
              <w:rStyle w:val="Hyperlink"/>
            </w:rPr>
          </w:pPr>
          <w:hyperlink w:anchor="_Toc242617917">
            <w:r w:rsidRPr="0052A477" w:rsidR="0052A477">
              <w:rPr>
                <w:rStyle w:val="Hyperlink"/>
              </w:rPr>
              <w:t>ZARA</w:t>
            </w:r>
            <w:r>
              <w:tab/>
            </w:r>
            <w:r>
              <w:fldChar w:fldCharType="begin"/>
            </w:r>
            <w:r>
              <w:instrText xml:space="preserve">PAGEREF _Toc242617917 \h</w:instrText>
            </w:r>
            <w:r>
              <w:fldChar w:fldCharType="separate"/>
            </w:r>
            <w:r w:rsidRPr="0052A477" w:rsidR="0052A477">
              <w:rPr>
                <w:rStyle w:val="Hyperlink"/>
              </w:rPr>
              <w:t>5</w:t>
            </w:r>
            <w:r>
              <w:fldChar w:fldCharType="end"/>
            </w:r>
          </w:hyperlink>
        </w:p>
        <w:p w:rsidR="26B31213" w:rsidP="3937C69C" w:rsidRDefault="5DDDE088" w14:paraId="0E00303D" w14:textId="02600B42">
          <w:pPr>
            <w:pStyle w:val="TOC2"/>
            <w:tabs>
              <w:tab w:val="right" w:leader="dot" w:pos="9015"/>
            </w:tabs>
            <w:rPr>
              <w:rStyle w:val="Hyperlink"/>
            </w:rPr>
          </w:pPr>
          <w:hyperlink w:anchor="_Toc1884000378">
            <w:r w:rsidRPr="0052A477" w:rsidR="0052A477">
              <w:rPr>
                <w:rStyle w:val="Hyperlink"/>
              </w:rPr>
              <w:t>Value chain analysis</w:t>
            </w:r>
            <w:r>
              <w:tab/>
            </w:r>
            <w:r>
              <w:fldChar w:fldCharType="begin"/>
            </w:r>
            <w:r>
              <w:instrText xml:space="preserve">PAGEREF _Toc1884000378 \h</w:instrText>
            </w:r>
            <w:r>
              <w:fldChar w:fldCharType="separate"/>
            </w:r>
            <w:r w:rsidRPr="0052A477" w:rsidR="0052A477">
              <w:rPr>
                <w:rStyle w:val="Hyperlink"/>
              </w:rPr>
              <w:t>6</w:t>
            </w:r>
            <w:r>
              <w:fldChar w:fldCharType="end"/>
            </w:r>
          </w:hyperlink>
        </w:p>
        <w:p w:rsidR="3937C69C" w:rsidP="3937C69C" w:rsidRDefault="3937C69C" w14:paraId="413818EE" w14:textId="223BF5CE">
          <w:pPr>
            <w:pStyle w:val="TOC2"/>
            <w:tabs>
              <w:tab w:val="right" w:leader="dot" w:pos="9015"/>
            </w:tabs>
            <w:rPr>
              <w:rStyle w:val="Hyperlink"/>
            </w:rPr>
          </w:pPr>
          <w:hyperlink w:anchor="_Toc1506493153">
            <w:r w:rsidRPr="0052A477" w:rsidR="0052A477">
              <w:rPr>
                <w:rStyle w:val="Hyperlink"/>
              </w:rPr>
              <w:t>Zaras Value Chain Analysis</w:t>
            </w:r>
            <w:r>
              <w:tab/>
            </w:r>
            <w:r>
              <w:fldChar w:fldCharType="begin"/>
            </w:r>
            <w:r>
              <w:instrText xml:space="preserve">PAGEREF _Toc1506493153 \h</w:instrText>
            </w:r>
            <w:r>
              <w:fldChar w:fldCharType="separate"/>
            </w:r>
            <w:r w:rsidRPr="0052A477" w:rsidR="0052A477">
              <w:rPr>
                <w:rStyle w:val="Hyperlink"/>
              </w:rPr>
              <w:t>7</w:t>
            </w:r>
            <w:r>
              <w:fldChar w:fldCharType="end"/>
            </w:r>
          </w:hyperlink>
        </w:p>
        <w:p w:rsidR="3937C69C" w:rsidP="3937C69C" w:rsidRDefault="3937C69C" w14:paraId="2AFE5264" w14:textId="3B3A5BC3">
          <w:pPr>
            <w:pStyle w:val="TOC3"/>
            <w:tabs>
              <w:tab w:val="right" w:leader="dot" w:pos="9015"/>
            </w:tabs>
            <w:rPr>
              <w:rStyle w:val="Hyperlink"/>
            </w:rPr>
          </w:pPr>
          <w:hyperlink w:anchor="_Toc1552313776">
            <w:r w:rsidRPr="0052A477" w:rsidR="0052A477">
              <w:rPr>
                <w:rStyle w:val="Hyperlink"/>
              </w:rPr>
              <w:t>Entry modes into new markets</w:t>
            </w:r>
            <w:r>
              <w:tab/>
            </w:r>
            <w:r>
              <w:fldChar w:fldCharType="begin"/>
            </w:r>
            <w:r>
              <w:instrText xml:space="preserve">PAGEREF _Toc1552313776 \h</w:instrText>
            </w:r>
            <w:r>
              <w:fldChar w:fldCharType="separate"/>
            </w:r>
            <w:r w:rsidRPr="0052A477" w:rsidR="0052A477">
              <w:rPr>
                <w:rStyle w:val="Hyperlink"/>
              </w:rPr>
              <w:t>9</w:t>
            </w:r>
            <w:r>
              <w:fldChar w:fldCharType="end"/>
            </w:r>
          </w:hyperlink>
        </w:p>
        <w:p w:rsidR="3937C69C" w:rsidP="3937C69C" w:rsidRDefault="3937C69C" w14:paraId="4B07ADF4" w14:textId="780E8295">
          <w:pPr>
            <w:pStyle w:val="TOC1"/>
            <w:tabs>
              <w:tab w:val="right" w:leader="dot" w:pos="9015"/>
            </w:tabs>
            <w:rPr>
              <w:rStyle w:val="Hyperlink"/>
            </w:rPr>
          </w:pPr>
          <w:hyperlink w:anchor="_Toc577150979">
            <w:r w:rsidRPr="0052A477" w:rsidR="0052A477">
              <w:rPr>
                <w:rStyle w:val="Hyperlink"/>
              </w:rPr>
              <w:t>Critical Analysis of the OLI Framework of Zara in Spain and China</w:t>
            </w:r>
            <w:r>
              <w:tab/>
            </w:r>
            <w:r>
              <w:fldChar w:fldCharType="begin"/>
            </w:r>
            <w:r>
              <w:instrText xml:space="preserve">PAGEREF _Toc577150979 \h</w:instrText>
            </w:r>
            <w:r>
              <w:fldChar w:fldCharType="separate"/>
            </w:r>
            <w:r w:rsidRPr="0052A477" w:rsidR="0052A477">
              <w:rPr>
                <w:rStyle w:val="Hyperlink"/>
              </w:rPr>
              <w:t>10</w:t>
            </w:r>
            <w:r>
              <w:fldChar w:fldCharType="end"/>
            </w:r>
          </w:hyperlink>
        </w:p>
        <w:p w:rsidR="0052A477" w:rsidP="0052A477" w:rsidRDefault="0052A477" w14:paraId="7B6DD976" w14:textId="35C3D298">
          <w:pPr>
            <w:pStyle w:val="TOC2"/>
            <w:tabs>
              <w:tab w:val="right" w:leader="dot" w:pos="9015"/>
            </w:tabs>
            <w:rPr>
              <w:rStyle w:val="Hyperlink"/>
            </w:rPr>
          </w:pPr>
          <w:hyperlink w:anchor="_Toc1182525143">
            <w:r w:rsidRPr="0052A477" w:rsidR="0052A477">
              <w:rPr>
                <w:rStyle w:val="Hyperlink"/>
              </w:rPr>
              <w:t>Ownership Advantage: Control, Efficiency and Adaptability</w:t>
            </w:r>
            <w:r>
              <w:tab/>
            </w:r>
            <w:r>
              <w:fldChar w:fldCharType="begin"/>
            </w:r>
            <w:r>
              <w:instrText xml:space="preserve">PAGEREF _Toc1182525143 \h</w:instrText>
            </w:r>
            <w:r>
              <w:fldChar w:fldCharType="separate"/>
            </w:r>
            <w:r w:rsidRPr="0052A477" w:rsidR="0052A477">
              <w:rPr>
                <w:rStyle w:val="Hyperlink"/>
              </w:rPr>
              <w:t>11</w:t>
            </w:r>
            <w:r>
              <w:fldChar w:fldCharType="end"/>
            </w:r>
          </w:hyperlink>
        </w:p>
        <w:p w:rsidR="0052A477" w:rsidP="0052A477" w:rsidRDefault="0052A477" w14:paraId="280DAE90" w14:textId="66591FAF">
          <w:pPr>
            <w:pStyle w:val="TOC3"/>
            <w:tabs>
              <w:tab w:val="right" w:leader="dot" w:pos="9015"/>
            </w:tabs>
            <w:rPr>
              <w:rStyle w:val="Hyperlink"/>
            </w:rPr>
          </w:pPr>
          <w:hyperlink w:anchor="_Toc1749608643">
            <w:r w:rsidRPr="0052A477" w:rsidR="0052A477">
              <w:rPr>
                <w:rStyle w:val="Hyperlink"/>
              </w:rPr>
              <w:t>Location Advantage: Strategic store placement and market accessibility</w:t>
            </w:r>
            <w:r>
              <w:tab/>
            </w:r>
            <w:r>
              <w:fldChar w:fldCharType="begin"/>
            </w:r>
            <w:r>
              <w:instrText xml:space="preserve">PAGEREF _Toc1749608643 \h</w:instrText>
            </w:r>
            <w:r>
              <w:fldChar w:fldCharType="separate"/>
            </w:r>
            <w:r w:rsidRPr="0052A477" w:rsidR="0052A477">
              <w:rPr>
                <w:rStyle w:val="Hyperlink"/>
              </w:rPr>
              <w:t>12</w:t>
            </w:r>
            <w:r>
              <w:fldChar w:fldCharType="end"/>
            </w:r>
          </w:hyperlink>
        </w:p>
        <w:p w:rsidR="0052A477" w:rsidP="0052A477" w:rsidRDefault="0052A477" w14:paraId="2F4D0065" w14:textId="050EB1E3">
          <w:pPr>
            <w:pStyle w:val="TOC3"/>
            <w:tabs>
              <w:tab w:val="right" w:leader="dot" w:pos="9015"/>
            </w:tabs>
            <w:rPr>
              <w:rStyle w:val="Hyperlink"/>
            </w:rPr>
          </w:pPr>
          <w:hyperlink w:anchor="_Toc1619246045">
            <w:r w:rsidRPr="0052A477" w:rsidR="0052A477">
              <w:rPr>
                <w:rStyle w:val="Hyperlink"/>
              </w:rPr>
              <w:t>Internalisation Advantage: Managing the Value Chain Internally</w:t>
            </w:r>
            <w:r>
              <w:tab/>
            </w:r>
            <w:r>
              <w:fldChar w:fldCharType="begin"/>
            </w:r>
            <w:r>
              <w:instrText xml:space="preserve">PAGEREF _Toc1619246045 \h</w:instrText>
            </w:r>
            <w:r>
              <w:fldChar w:fldCharType="separate"/>
            </w:r>
            <w:r w:rsidRPr="0052A477" w:rsidR="0052A477">
              <w:rPr>
                <w:rStyle w:val="Hyperlink"/>
              </w:rPr>
              <w:t>13</w:t>
            </w:r>
            <w:r>
              <w:fldChar w:fldCharType="end"/>
            </w:r>
          </w:hyperlink>
        </w:p>
        <w:p w:rsidR="0052A477" w:rsidP="0052A477" w:rsidRDefault="0052A477" w14:paraId="1975D9CA" w14:textId="2A6992E8">
          <w:pPr>
            <w:pStyle w:val="TOC1"/>
            <w:tabs>
              <w:tab w:val="right" w:leader="dot" w:pos="9015"/>
            </w:tabs>
            <w:rPr>
              <w:rStyle w:val="Hyperlink"/>
            </w:rPr>
          </w:pPr>
          <w:hyperlink w:anchor="_Toc2056794680">
            <w:r w:rsidRPr="0052A477" w:rsidR="0052A477">
              <w:rPr>
                <w:rStyle w:val="Hyperlink"/>
              </w:rPr>
              <w:t>Cultural contrasts that matter for Zara</w:t>
            </w:r>
            <w:r>
              <w:tab/>
            </w:r>
            <w:r>
              <w:fldChar w:fldCharType="begin"/>
            </w:r>
            <w:r>
              <w:instrText xml:space="preserve">PAGEREF _Toc2056794680 \h</w:instrText>
            </w:r>
            <w:r>
              <w:fldChar w:fldCharType="separate"/>
            </w:r>
            <w:r w:rsidRPr="0052A477" w:rsidR="0052A477">
              <w:rPr>
                <w:rStyle w:val="Hyperlink"/>
              </w:rPr>
              <w:t>14</w:t>
            </w:r>
            <w:r>
              <w:fldChar w:fldCharType="end"/>
            </w:r>
          </w:hyperlink>
        </w:p>
        <w:p w:rsidR="0052A477" w:rsidP="0052A477" w:rsidRDefault="0052A477" w14:paraId="77B3CF24" w14:textId="7B1A12AC">
          <w:pPr>
            <w:pStyle w:val="TOC2"/>
            <w:tabs>
              <w:tab w:val="right" w:leader="dot" w:pos="9015"/>
            </w:tabs>
            <w:rPr>
              <w:rStyle w:val="Hyperlink"/>
            </w:rPr>
          </w:pPr>
          <w:hyperlink w:anchor="_Toc1169135769">
            <w:r w:rsidRPr="0052A477" w:rsidR="0052A477">
              <w:rPr>
                <w:rStyle w:val="Hyperlink"/>
              </w:rPr>
              <w:t>Power Distance</w:t>
            </w:r>
            <w:r>
              <w:tab/>
            </w:r>
            <w:r>
              <w:fldChar w:fldCharType="begin"/>
            </w:r>
            <w:r>
              <w:instrText xml:space="preserve">PAGEREF _Toc1169135769 \h</w:instrText>
            </w:r>
            <w:r>
              <w:fldChar w:fldCharType="separate"/>
            </w:r>
            <w:r w:rsidRPr="0052A477" w:rsidR="0052A477">
              <w:rPr>
                <w:rStyle w:val="Hyperlink"/>
              </w:rPr>
              <w:t>15</w:t>
            </w:r>
            <w:r>
              <w:fldChar w:fldCharType="end"/>
            </w:r>
          </w:hyperlink>
        </w:p>
        <w:p w:rsidR="0052A477" w:rsidP="0052A477" w:rsidRDefault="0052A477" w14:paraId="03DBC004" w14:textId="3F61B176">
          <w:pPr>
            <w:pStyle w:val="TOC2"/>
            <w:tabs>
              <w:tab w:val="right" w:leader="dot" w:pos="9015"/>
            </w:tabs>
            <w:rPr>
              <w:rStyle w:val="Hyperlink"/>
            </w:rPr>
          </w:pPr>
          <w:hyperlink w:anchor="_Toc267684772">
            <w:r w:rsidRPr="0052A477" w:rsidR="0052A477">
              <w:rPr>
                <w:rStyle w:val="Hyperlink"/>
              </w:rPr>
              <w:t>Individualism vs. Collectivism</w:t>
            </w:r>
            <w:r>
              <w:tab/>
            </w:r>
            <w:r>
              <w:fldChar w:fldCharType="begin"/>
            </w:r>
            <w:r>
              <w:instrText xml:space="preserve">PAGEREF _Toc267684772 \h</w:instrText>
            </w:r>
            <w:r>
              <w:fldChar w:fldCharType="separate"/>
            </w:r>
            <w:r w:rsidRPr="0052A477" w:rsidR="0052A477">
              <w:rPr>
                <w:rStyle w:val="Hyperlink"/>
              </w:rPr>
              <w:t>16</w:t>
            </w:r>
            <w:r>
              <w:fldChar w:fldCharType="end"/>
            </w:r>
          </w:hyperlink>
        </w:p>
        <w:p w:rsidR="0052A477" w:rsidP="0052A477" w:rsidRDefault="0052A477" w14:paraId="4AD14915" w14:textId="7A6FD91B">
          <w:pPr>
            <w:pStyle w:val="TOC2"/>
            <w:tabs>
              <w:tab w:val="right" w:leader="dot" w:pos="9015"/>
            </w:tabs>
            <w:rPr>
              <w:rStyle w:val="Hyperlink"/>
            </w:rPr>
          </w:pPr>
          <w:hyperlink w:anchor="_Toc630783933">
            <w:r w:rsidRPr="0052A477" w:rsidR="0052A477">
              <w:rPr>
                <w:rStyle w:val="Hyperlink"/>
              </w:rPr>
              <w:t>Masculinity</w:t>
            </w:r>
            <w:r>
              <w:tab/>
            </w:r>
            <w:r>
              <w:fldChar w:fldCharType="begin"/>
            </w:r>
            <w:r>
              <w:instrText xml:space="preserve">PAGEREF _Toc630783933 \h</w:instrText>
            </w:r>
            <w:r>
              <w:fldChar w:fldCharType="separate"/>
            </w:r>
            <w:r w:rsidRPr="0052A477" w:rsidR="0052A477">
              <w:rPr>
                <w:rStyle w:val="Hyperlink"/>
              </w:rPr>
              <w:t>16</w:t>
            </w:r>
            <w:r>
              <w:fldChar w:fldCharType="end"/>
            </w:r>
          </w:hyperlink>
        </w:p>
        <w:p w:rsidR="0052A477" w:rsidP="0052A477" w:rsidRDefault="0052A477" w14:paraId="69138388" w14:textId="60681DD5">
          <w:pPr>
            <w:pStyle w:val="TOC2"/>
            <w:tabs>
              <w:tab w:val="right" w:leader="dot" w:pos="9015"/>
            </w:tabs>
            <w:rPr>
              <w:rStyle w:val="Hyperlink"/>
            </w:rPr>
          </w:pPr>
          <w:hyperlink w:anchor="_Toc537928867">
            <w:r w:rsidRPr="0052A477" w:rsidR="0052A477">
              <w:rPr>
                <w:rStyle w:val="Hyperlink"/>
              </w:rPr>
              <w:t>Uncertainty avoidance</w:t>
            </w:r>
            <w:r>
              <w:tab/>
            </w:r>
            <w:r>
              <w:fldChar w:fldCharType="begin"/>
            </w:r>
            <w:r>
              <w:instrText xml:space="preserve">PAGEREF _Toc537928867 \h</w:instrText>
            </w:r>
            <w:r>
              <w:fldChar w:fldCharType="separate"/>
            </w:r>
            <w:r w:rsidRPr="0052A477" w:rsidR="0052A477">
              <w:rPr>
                <w:rStyle w:val="Hyperlink"/>
              </w:rPr>
              <w:t>17</w:t>
            </w:r>
            <w:r>
              <w:fldChar w:fldCharType="end"/>
            </w:r>
          </w:hyperlink>
        </w:p>
        <w:p w:rsidR="0052A477" w:rsidP="0052A477" w:rsidRDefault="0052A477" w14:paraId="59CE3F26" w14:textId="6CF2F67D">
          <w:pPr>
            <w:pStyle w:val="TOC3"/>
            <w:tabs>
              <w:tab w:val="right" w:leader="dot" w:pos="9015"/>
            </w:tabs>
            <w:rPr>
              <w:rStyle w:val="Hyperlink"/>
            </w:rPr>
          </w:pPr>
          <w:hyperlink w:anchor="_Toc866500895">
            <w:r w:rsidRPr="0052A477" w:rsidR="0052A477">
              <w:rPr>
                <w:rStyle w:val="Hyperlink"/>
              </w:rPr>
              <w:t>Long-term Orientation and Indulgence</w:t>
            </w:r>
            <w:r>
              <w:tab/>
            </w:r>
            <w:r>
              <w:fldChar w:fldCharType="begin"/>
            </w:r>
            <w:r>
              <w:instrText xml:space="preserve">PAGEREF _Toc866500895 \h</w:instrText>
            </w:r>
            <w:r>
              <w:fldChar w:fldCharType="separate"/>
            </w:r>
            <w:r w:rsidRPr="0052A477" w:rsidR="0052A477">
              <w:rPr>
                <w:rStyle w:val="Hyperlink"/>
              </w:rPr>
              <w:t>17</w:t>
            </w:r>
            <w:r>
              <w:fldChar w:fldCharType="end"/>
            </w:r>
          </w:hyperlink>
        </w:p>
        <w:p w:rsidR="0052A477" w:rsidP="0052A477" w:rsidRDefault="0052A477" w14:paraId="6A65EAAE" w14:textId="479499AD">
          <w:pPr>
            <w:pStyle w:val="TOC1"/>
            <w:tabs>
              <w:tab w:val="right" w:leader="dot" w:pos="9015"/>
            </w:tabs>
            <w:rPr>
              <w:rStyle w:val="Hyperlink"/>
            </w:rPr>
          </w:pPr>
          <w:hyperlink w:anchor="_Toc77925490">
            <w:r w:rsidRPr="0052A477" w:rsidR="0052A477">
              <w:rPr>
                <w:rStyle w:val="Hyperlink"/>
              </w:rPr>
              <w:t>Critical Discussion and Recommendations SOP Adjustments for Zara in China</w:t>
            </w:r>
            <w:r>
              <w:tab/>
            </w:r>
            <w:r>
              <w:fldChar w:fldCharType="begin"/>
            </w:r>
            <w:r>
              <w:instrText xml:space="preserve">PAGEREF _Toc77925490 \h</w:instrText>
            </w:r>
            <w:r>
              <w:fldChar w:fldCharType="separate"/>
            </w:r>
            <w:r w:rsidRPr="0052A477" w:rsidR="0052A477">
              <w:rPr>
                <w:rStyle w:val="Hyperlink"/>
              </w:rPr>
              <w:t>18</w:t>
            </w:r>
            <w:r>
              <w:fldChar w:fldCharType="end"/>
            </w:r>
          </w:hyperlink>
        </w:p>
        <w:p w:rsidR="0052A477" w:rsidP="0052A477" w:rsidRDefault="0052A477" w14:paraId="1BD9F3DE" w14:textId="67F81D5C">
          <w:pPr>
            <w:pStyle w:val="TOC2"/>
            <w:tabs>
              <w:tab w:val="right" w:leader="dot" w:pos="9015"/>
            </w:tabs>
            <w:rPr>
              <w:rStyle w:val="Hyperlink"/>
            </w:rPr>
          </w:pPr>
          <w:hyperlink w:anchor="_Toc1799179465">
            <w:r w:rsidRPr="0052A477" w:rsidR="0052A477">
              <w:rPr>
                <w:rStyle w:val="Hyperlink"/>
              </w:rPr>
              <w:t>Localisation of Product, Supply, and Merchandising</w:t>
            </w:r>
            <w:r>
              <w:tab/>
            </w:r>
            <w:r>
              <w:fldChar w:fldCharType="begin"/>
            </w:r>
            <w:r>
              <w:instrText xml:space="preserve">PAGEREF _Toc1799179465 \h</w:instrText>
            </w:r>
            <w:r>
              <w:fldChar w:fldCharType="separate"/>
            </w:r>
            <w:r w:rsidRPr="0052A477" w:rsidR="0052A477">
              <w:rPr>
                <w:rStyle w:val="Hyperlink"/>
              </w:rPr>
              <w:t>19</w:t>
            </w:r>
            <w:r>
              <w:fldChar w:fldCharType="end"/>
            </w:r>
          </w:hyperlink>
        </w:p>
        <w:p w:rsidR="0052A477" w:rsidP="0052A477" w:rsidRDefault="0052A477" w14:paraId="0D5DAD82" w14:textId="75D408FE">
          <w:pPr>
            <w:pStyle w:val="TOC2"/>
            <w:tabs>
              <w:tab w:val="right" w:leader="dot" w:pos="9015"/>
            </w:tabs>
            <w:rPr>
              <w:rStyle w:val="Hyperlink"/>
            </w:rPr>
          </w:pPr>
          <w:hyperlink w:anchor="_Toc1798102641">
            <w:r w:rsidRPr="0052A477" w:rsidR="0052A477">
              <w:rPr>
                <w:rStyle w:val="Hyperlink"/>
              </w:rPr>
              <w:t>2.Culturally Adapted Human Resource and Leadership SOPs</w:t>
            </w:r>
            <w:r>
              <w:tab/>
            </w:r>
            <w:r>
              <w:fldChar w:fldCharType="begin"/>
            </w:r>
            <w:r>
              <w:instrText xml:space="preserve">PAGEREF _Toc1798102641 \h</w:instrText>
            </w:r>
            <w:r>
              <w:fldChar w:fldCharType="separate"/>
            </w:r>
            <w:r w:rsidRPr="0052A477" w:rsidR="0052A477">
              <w:rPr>
                <w:rStyle w:val="Hyperlink"/>
              </w:rPr>
              <w:t>20</w:t>
            </w:r>
            <w:r>
              <w:fldChar w:fldCharType="end"/>
            </w:r>
          </w:hyperlink>
        </w:p>
        <w:p w:rsidR="0052A477" w:rsidP="0052A477" w:rsidRDefault="0052A477" w14:paraId="2B8F0D5F" w14:textId="7FA77E3F">
          <w:pPr>
            <w:pStyle w:val="TOC2"/>
            <w:tabs>
              <w:tab w:val="right" w:leader="dot" w:pos="9015"/>
            </w:tabs>
            <w:rPr>
              <w:rStyle w:val="Hyperlink"/>
            </w:rPr>
          </w:pPr>
          <w:hyperlink w:anchor="_Toc926049325">
            <w:r w:rsidRPr="0052A477" w:rsidR="0052A477">
              <w:rPr>
                <w:rStyle w:val="Hyperlink"/>
              </w:rPr>
              <w:t>3. China Focused Digital Integration and Customer Engagement SOPs</w:t>
            </w:r>
            <w:r>
              <w:tab/>
            </w:r>
            <w:r>
              <w:fldChar w:fldCharType="begin"/>
            </w:r>
            <w:r>
              <w:instrText xml:space="preserve">PAGEREF _Toc926049325 \h</w:instrText>
            </w:r>
            <w:r>
              <w:fldChar w:fldCharType="separate"/>
            </w:r>
            <w:r w:rsidRPr="0052A477" w:rsidR="0052A477">
              <w:rPr>
                <w:rStyle w:val="Hyperlink"/>
              </w:rPr>
              <w:t>21</w:t>
            </w:r>
            <w:r>
              <w:fldChar w:fldCharType="end"/>
            </w:r>
          </w:hyperlink>
        </w:p>
        <w:p w:rsidR="0052A477" w:rsidP="0052A477" w:rsidRDefault="0052A477" w14:paraId="12E8D902" w14:textId="3D45B561">
          <w:pPr>
            <w:pStyle w:val="TOC1"/>
            <w:tabs>
              <w:tab w:val="right" w:leader="dot" w:pos="9015"/>
            </w:tabs>
            <w:rPr>
              <w:rStyle w:val="Hyperlink"/>
            </w:rPr>
          </w:pPr>
          <w:hyperlink w:anchor="_Toc1158125858">
            <w:r w:rsidRPr="0052A477" w:rsidR="0052A477">
              <w:rPr>
                <w:rStyle w:val="Hyperlink"/>
              </w:rPr>
              <w:t>Conclusion</w:t>
            </w:r>
            <w:r>
              <w:tab/>
            </w:r>
            <w:r>
              <w:fldChar w:fldCharType="begin"/>
            </w:r>
            <w:r>
              <w:instrText xml:space="preserve">PAGEREF _Toc1158125858 \h</w:instrText>
            </w:r>
            <w:r>
              <w:fldChar w:fldCharType="separate"/>
            </w:r>
            <w:r w:rsidRPr="0052A477" w:rsidR="0052A477">
              <w:rPr>
                <w:rStyle w:val="Hyperlink"/>
              </w:rPr>
              <w:t>22</w:t>
            </w:r>
            <w:r>
              <w:fldChar w:fldCharType="end"/>
            </w:r>
          </w:hyperlink>
        </w:p>
        <w:p w:rsidR="0052A477" w:rsidP="0052A477" w:rsidRDefault="0052A477" w14:paraId="31037F62" w14:textId="130DAC18">
          <w:pPr>
            <w:pStyle w:val="TOC1"/>
            <w:tabs>
              <w:tab w:val="right" w:leader="dot" w:pos="9015"/>
            </w:tabs>
            <w:rPr>
              <w:rStyle w:val="Hyperlink"/>
            </w:rPr>
          </w:pPr>
          <w:hyperlink w:anchor="_Toc2041580770">
            <w:r w:rsidRPr="0052A477" w:rsidR="0052A477">
              <w:rPr>
                <w:rStyle w:val="Hyperlink"/>
              </w:rPr>
              <w:t>References</w:t>
            </w:r>
            <w:r>
              <w:tab/>
            </w:r>
            <w:r>
              <w:fldChar w:fldCharType="begin"/>
            </w:r>
            <w:r>
              <w:instrText xml:space="preserve">PAGEREF _Toc2041580770 \h</w:instrText>
            </w:r>
            <w:r>
              <w:fldChar w:fldCharType="separate"/>
            </w:r>
            <w:r w:rsidRPr="0052A477" w:rsidR="0052A477">
              <w:rPr>
                <w:rStyle w:val="Hyperlink"/>
              </w:rPr>
              <w:t>25</w:t>
            </w:r>
            <w:r>
              <w:fldChar w:fldCharType="end"/>
            </w:r>
          </w:hyperlink>
          <w:r>
            <w:fldChar w:fldCharType="end"/>
          </w:r>
        </w:p>
      </w:sdtContent>
    </w:sdt>
    <w:p w:rsidR="54ADEF73" w:rsidP="54ADEF73" w:rsidRDefault="54ADEF73" w14:paraId="3F9AD8DF" w14:textId="32DB4C76">
      <w:pPr>
        <w:spacing w:line="360" w:lineRule="auto"/>
        <w:jc w:val="both"/>
        <w:rPr>
          <w:rFonts w:ascii="Arial" w:hAnsi="Arial" w:eastAsia="Arial" w:cs="Arial"/>
        </w:rPr>
      </w:pPr>
    </w:p>
    <w:p w:rsidR="54ADEF73" w:rsidP="54ADEF73" w:rsidRDefault="54ADEF73" w14:paraId="68C435BD" w14:textId="4450D188"/>
    <w:p w:rsidR="54ADEF73" w:rsidRDefault="54ADEF73" w14:paraId="7C41176B" w14:textId="4446E7DC">
      <w:r>
        <w:br w:type="page"/>
      </w:r>
    </w:p>
    <w:p w:rsidR="54ADEF73" w:rsidP="54ADEF73" w:rsidRDefault="54ADEF73" w14:paraId="0F45A3DD" w14:textId="46D18A79"/>
    <w:p w:rsidR="4B2EEFC1" w:rsidP="2F2A0CEB" w:rsidRDefault="2BE331ED" w14:paraId="2E3F1F75" w14:textId="16AFBCC2" w14:noSpellErr="1">
      <w:pPr>
        <w:pStyle w:val="Heading1"/>
        <w:spacing w:line="360" w:lineRule="auto"/>
        <w:jc w:val="both"/>
        <w:rPr>
          <w:rFonts w:ascii="Arial" w:hAnsi="Arial" w:eastAsia="Arial" w:cs="Arial"/>
          <w:sz w:val="24"/>
          <w:szCs w:val="24"/>
        </w:rPr>
      </w:pPr>
      <w:bookmarkStart w:name="_Toc686703520" w:id="0"/>
      <w:bookmarkStart w:name="_Toc1181860351" w:id="326851123"/>
      <w:r w:rsidRPr="0052A477" w:rsidR="2BE331ED">
        <w:rPr>
          <w:rFonts w:ascii="Arial" w:hAnsi="Arial" w:eastAsia="Arial" w:cs="Arial"/>
          <w:sz w:val="24"/>
          <w:szCs w:val="24"/>
        </w:rPr>
        <w:t>Introduction</w:t>
      </w:r>
      <w:bookmarkEnd w:id="0"/>
      <w:bookmarkEnd w:id="326851123"/>
    </w:p>
    <w:p w:rsidR="553642AA" w:rsidP="0052A477" w:rsidRDefault="553642AA" w14:paraId="6C681EE4" w14:textId="21D9C57E">
      <w:pPr>
        <w:spacing w:before="120" w:beforeAutospacing="off" w:after="120" w:afterAutospacing="off" w:line="360" w:lineRule="auto"/>
        <w:jc w:val="both"/>
        <w:rPr>
          <w:rFonts w:ascii="Arial" w:hAnsi="Arial" w:eastAsia="Arial" w:cs="Arial"/>
          <w:noProof w:val="0"/>
          <w:sz w:val="24"/>
          <w:szCs w:val="24"/>
          <w:lang w:val="en-GB"/>
        </w:rPr>
      </w:pPr>
      <w:r w:rsidRPr="0052A477" w:rsidR="553642AA">
        <w:rPr>
          <w:rFonts w:ascii="Arial" w:hAnsi="Arial" w:eastAsia="Arial" w:cs="Arial"/>
          <w:noProof w:val="0"/>
          <w:sz w:val="24"/>
          <w:szCs w:val="24"/>
          <w:lang w:val="en-GB"/>
        </w:rPr>
        <w:t xml:space="preserve">Zara, the flagship brand of the Inditex Group, is widely recognised as a leading force in the fast-fashion industry. Established in 1975, the company has built a substantial global presence, </w:t>
      </w:r>
      <w:r w:rsidRPr="0052A477" w:rsidR="553642AA">
        <w:rPr>
          <w:rFonts w:ascii="Arial" w:hAnsi="Arial" w:eastAsia="Arial" w:cs="Arial"/>
          <w:noProof w:val="0"/>
          <w:sz w:val="24"/>
          <w:szCs w:val="24"/>
          <w:lang w:val="en-GB"/>
        </w:rPr>
        <w:t>operating</w:t>
      </w:r>
      <w:r w:rsidRPr="0052A477" w:rsidR="553642AA">
        <w:rPr>
          <w:rFonts w:ascii="Arial" w:hAnsi="Arial" w:eastAsia="Arial" w:cs="Arial"/>
          <w:noProof w:val="0"/>
          <w:sz w:val="24"/>
          <w:szCs w:val="24"/>
          <w:lang w:val="en-GB"/>
        </w:rPr>
        <w:t xml:space="preserve"> more than 3,000 retail outlets in over 90 countries and </w:t>
      </w:r>
      <w:r w:rsidRPr="0052A477" w:rsidR="553642AA">
        <w:rPr>
          <w:rFonts w:ascii="Arial" w:hAnsi="Arial" w:eastAsia="Arial" w:cs="Arial"/>
          <w:noProof w:val="0"/>
          <w:sz w:val="24"/>
          <w:szCs w:val="24"/>
          <w:lang w:val="en-GB"/>
        </w:rPr>
        <w:t>maintaining</w:t>
      </w:r>
      <w:r w:rsidRPr="0052A477" w:rsidR="553642AA">
        <w:rPr>
          <w:rFonts w:ascii="Arial" w:hAnsi="Arial" w:eastAsia="Arial" w:cs="Arial"/>
          <w:noProof w:val="0"/>
          <w:sz w:val="24"/>
          <w:szCs w:val="24"/>
          <w:lang w:val="en-GB"/>
        </w:rPr>
        <w:t xml:space="preserve"> a significant online platform (Baena, 2024). Zara’s sustained competitive advantage is primarily due to its ability to </w:t>
      </w:r>
      <w:r w:rsidRPr="0052A477" w:rsidR="553642AA">
        <w:rPr>
          <w:rFonts w:ascii="Arial" w:hAnsi="Arial" w:eastAsia="Arial" w:cs="Arial"/>
          <w:noProof w:val="0"/>
          <w:sz w:val="24"/>
          <w:szCs w:val="24"/>
          <w:lang w:val="en-GB"/>
        </w:rPr>
        <w:t>identify</w:t>
      </w:r>
      <w:r w:rsidRPr="0052A477" w:rsidR="553642AA">
        <w:rPr>
          <w:rFonts w:ascii="Arial" w:hAnsi="Arial" w:eastAsia="Arial" w:cs="Arial"/>
          <w:noProof w:val="0"/>
          <w:sz w:val="24"/>
          <w:szCs w:val="24"/>
          <w:lang w:val="en-GB"/>
        </w:rPr>
        <w:t xml:space="preserve"> and respond to emerging fashion trends at remarkable speed, keeping the brand closely aligned with evolving consumer preferences. For example, Zara has </w:t>
      </w:r>
      <w:r w:rsidRPr="0052A477" w:rsidR="553642AA">
        <w:rPr>
          <w:rFonts w:ascii="Arial" w:hAnsi="Arial" w:eastAsia="Arial" w:cs="Arial"/>
          <w:noProof w:val="0"/>
          <w:sz w:val="24"/>
          <w:szCs w:val="24"/>
          <w:lang w:val="en-GB"/>
        </w:rPr>
        <w:t>demonstrated</w:t>
      </w:r>
      <w:r w:rsidRPr="0052A477" w:rsidR="553642AA">
        <w:rPr>
          <w:rFonts w:ascii="Arial" w:hAnsi="Arial" w:eastAsia="Arial" w:cs="Arial"/>
          <w:noProof w:val="0"/>
          <w:sz w:val="24"/>
          <w:szCs w:val="24"/>
          <w:lang w:val="en-GB"/>
        </w:rPr>
        <w:t xml:space="preserve"> this responsiveness by swiftly introducing new styles to address the growing demand for eco-friendly fashion. In 2023, the company launched a line of sustainable clothing made from recycled materials, which quickly gained popularity across markets, particularly in Europe and North America.</w:t>
      </w:r>
    </w:p>
    <w:p w:rsidR="553642AA" w:rsidP="0052A477" w:rsidRDefault="553642AA" w14:paraId="1C998440" w14:textId="31E946BA">
      <w:pPr>
        <w:spacing w:before="120" w:beforeAutospacing="off" w:after="120" w:afterAutospacing="off" w:line="360" w:lineRule="auto"/>
        <w:jc w:val="both"/>
        <w:rPr>
          <w:rFonts w:ascii="Arial" w:hAnsi="Arial" w:eastAsia="Arial" w:cs="Arial"/>
          <w:noProof w:val="0"/>
          <w:sz w:val="24"/>
          <w:szCs w:val="24"/>
          <w:lang w:val="en-GB"/>
        </w:rPr>
      </w:pPr>
      <w:r w:rsidRPr="0052A477" w:rsidR="553642AA">
        <w:rPr>
          <w:rFonts w:ascii="Arial" w:hAnsi="Arial" w:eastAsia="Arial" w:cs="Arial"/>
          <w:noProof w:val="0"/>
          <w:sz w:val="24"/>
          <w:szCs w:val="24"/>
          <w:lang w:val="en-GB"/>
        </w:rPr>
        <w:t xml:space="preserve">This report presents a critical analysis of Zara as a multinational enterprise, focusing on the strategic advantages and operational challenges associated with its internationalisation. At the core of this analysis lies the question: How can Zara </w:t>
      </w:r>
      <w:r w:rsidRPr="0052A477" w:rsidR="553642AA">
        <w:rPr>
          <w:rFonts w:ascii="Arial" w:hAnsi="Arial" w:eastAsia="Arial" w:cs="Arial"/>
          <w:noProof w:val="0"/>
          <w:sz w:val="24"/>
          <w:szCs w:val="24"/>
          <w:lang w:val="en-GB"/>
        </w:rPr>
        <w:t>maintain</w:t>
      </w:r>
      <w:r w:rsidRPr="0052A477" w:rsidR="553642AA">
        <w:rPr>
          <w:rFonts w:ascii="Arial" w:hAnsi="Arial" w:eastAsia="Arial" w:cs="Arial"/>
          <w:noProof w:val="0"/>
          <w:sz w:val="24"/>
          <w:szCs w:val="24"/>
          <w:lang w:val="en-GB"/>
        </w:rPr>
        <w:t xml:space="preserve"> its rapid-fire model in a global market that increasingly demands sustainability? To ensure a comprehensive and objective evaluation, the analysis is structured to sequentially assess Zara's international context using various analytical frameworks. The process begins with PESTLE analysis to examine the macro-environmental factors </w:t>
      </w:r>
      <w:r w:rsidRPr="0052A477" w:rsidR="553642AA">
        <w:rPr>
          <w:rFonts w:ascii="Arial" w:hAnsi="Arial" w:eastAsia="Arial" w:cs="Arial"/>
          <w:noProof w:val="0"/>
          <w:sz w:val="24"/>
          <w:szCs w:val="24"/>
          <w:lang w:val="en-GB"/>
        </w:rPr>
        <w:t>impacting</w:t>
      </w:r>
      <w:r w:rsidRPr="0052A477" w:rsidR="553642AA">
        <w:rPr>
          <w:rFonts w:ascii="Arial" w:hAnsi="Arial" w:eastAsia="Arial" w:cs="Arial"/>
          <w:noProof w:val="0"/>
          <w:sz w:val="24"/>
          <w:szCs w:val="24"/>
          <w:lang w:val="en-GB"/>
        </w:rPr>
        <w:t xml:space="preserve"> Zara's operations.</w:t>
      </w:r>
      <w:r w:rsidRPr="0052A477" w:rsidR="553642AA">
        <w:rPr>
          <w:rFonts w:ascii="Arial" w:hAnsi="Arial" w:eastAsia="Arial" w:cs="Arial"/>
          <w:noProof w:val="0"/>
          <w:sz w:val="24"/>
          <w:szCs w:val="24"/>
          <w:lang w:val="en-GB"/>
        </w:rPr>
        <w:t xml:space="preserve"> As noted by </w:t>
      </w:r>
      <w:r w:rsidRPr="0052A477" w:rsidR="553642AA">
        <w:rPr>
          <w:rFonts w:ascii="Arial" w:hAnsi="Arial" w:eastAsia="Arial" w:cs="Arial"/>
          <w:noProof w:val="0"/>
          <w:sz w:val="24"/>
          <w:szCs w:val="24"/>
          <w:lang w:val="en-GB"/>
        </w:rPr>
        <w:t>Hutagalung</w:t>
      </w:r>
      <w:r w:rsidRPr="0052A477" w:rsidR="553642AA">
        <w:rPr>
          <w:rFonts w:ascii="Arial" w:hAnsi="Arial" w:eastAsia="Arial" w:cs="Arial"/>
          <w:noProof w:val="0"/>
          <w:sz w:val="24"/>
          <w:szCs w:val="24"/>
          <w:lang w:val="en-GB"/>
        </w:rPr>
        <w:t xml:space="preserve"> et al. (2025), Zara serves as a significant subject for scholarly investigation due to the considerable academic and industry attention it has attracted, primarily because of its agile business model, rapid market responsiveness, and integrated supply chain efficiency.</w:t>
      </w:r>
    </w:p>
    <w:p w:rsidR="553642AA" w:rsidP="0052A477" w:rsidRDefault="553642AA" w14:paraId="1AF590A1" w14:textId="79B6827F">
      <w:pPr>
        <w:spacing w:before="120" w:beforeAutospacing="off" w:after="120" w:afterAutospacing="off" w:line="360" w:lineRule="auto"/>
        <w:jc w:val="both"/>
        <w:rPr>
          <w:rFonts w:ascii="Arial" w:hAnsi="Arial" w:eastAsia="Arial" w:cs="Arial"/>
          <w:noProof w:val="0"/>
          <w:sz w:val="24"/>
          <w:szCs w:val="24"/>
          <w:lang w:val="en-GB"/>
        </w:rPr>
      </w:pPr>
      <w:r w:rsidRPr="0052A477" w:rsidR="553642AA">
        <w:rPr>
          <w:rFonts w:ascii="Arial" w:hAnsi="Arial" w:eastAsia="Arial" w:cs="Arial"/>
          <w:noProof w:val="0"/>
          <w:sz w:val="24"/>
          <w:szCs w:val="24"/>
          <w:lang w:val="en-GB"/>
        </w:rPr>
        <w:t>The report further delves into critical aspects of Zara’s international strategy, including its global value chain configuration, market entry strategies, and the application of the Ownership, Location, and Internalisation (OLI) paradigm.</w:t>
      </w:r>
      <w:r w:rsidRPr="0052A477" w:rsidR="55B56BE8">
        <w:rPr>
          <w:rFonts w:ascii="Arial" w:hAnsi="Arial" w:eastAsia="Arial" w:cs="Arial"/>
          <w:noProof w:val="0"/>
          <w:sz w:val="24"/>
          <w:szCs w:val="24"/>
          <w:lang w:val="en-GB"/>
        </w:rPr>
        <w:t xml:space="preserve"> </w:t>
      </w:r>
      <w:r w:rsidRPr="0052A477" w:rsidR="553642AA">
        <w:rPr>
          <w:rFonts w:ascii="Arial" w:hAnsi="Arial" w:eastAsia="Arial" w:cs="Arial"/>
          <w:noProof w:val="0"/>
          <w:sz w:val="24"/>
          <w:szCs w:val="24"/>
          <w:lang w:val="en-GB"/>
        </w:rPr>
        <w:t>The report examines the impact of cultural heterogeneity in emerging markets on Zara’s operational effectiveness and concludes with strategic recommendations to enhance the company’s long-term international sustainability. These recommendations are informed by the Resource-Based View (RBV) theory to ensure alignment with Zara's core competencies.</w:t>
      </w:r>
    </w:p>
    <w:p w:rsidR="6B73D89F" w:rsidP="2F2A0CEB" w:rsidRDefault="248A9A39" w14:paraId="4770F2F5" w14:textId="567B4906" w14:noSpellErr="1">
      <w:pPr>
        <w:pStyle w:val="Heading1"/>
        <w:spacing w:line="360" w:lineRule="auto"/>
        <w:jc w:val="both"/>
        <w:rPr>
          <w:rFonts w:ascii="Arial" w:hAnsi="Arial" w:eastAsia="Arial" w:cs="Arial"/>
          <w:sz w:val="24"/>
          <w:szCs w:val="24"/>
        </w:rPr>
      </w:pPr>
      <w:bookmarkStart w:name="_Toc1158528694" w:id="2"/>
      <w:bookmarkStart w:name="_Toc1256150592" w:id="1526710791"/>
      <w:r w:rsidRPr="0052A477" w:rsidR="248A9A39">
        <w:rPr>
          <w:rFonts w:ascii="Arial" w:hAnsi="Arial" w:eastAsia="Arial" w:cs="Arial"/>
          <w:sz w:val="24"/>
          <w:szCs w:val="24"/>
        </w:rPr>
        <w:t>M</w:t>
      </w:r>
      <w:r w:rsidRPr="0052A477" w:rsidR="28C946F1">
        <w:rPr>
          <w:rFonts w:ascii="Arial" w:hAnsi="Arial" w:eastAsia="Arial" w:cs="Arial"/>
          <w:sz w:val="24"/>
          <w:szCs w:val="24"/>
        </w:rPr>
        <w:t>ultinational corporations vs. Transnational corporations</w:t>
      </w:r>
      <w:bookmarkEnd w:id="2"/>
      <w:bookmarkEnd w:id="1526710791"/>
    </w:p>
    <w:p w:rsidR="557B2CC7" w:rsidP="0052A477" w:rsidRDefault="557B2CC7" w14:paraId="27682BDE" w14:textId="7F70D74E">
      <w:pPr>
        <w:spacing w:before="120" w:beforeAutospacing="off" w:after="120" w:afterAutospacing="off" w:line="360" w:lineRule="auto"/>
        <w:jc w:val="both"/>
      </w:pPr>
      <w:r w:rsidRPr="0052A477" w:rsidR="557B2CC7">
        <w:rPr>
          <w:rFonts w:ascii="Arial" w:hAnsi="Arial" w:eastAsia="Arial" w:cs="Arial"/>
          <w:noProof w:val="0"/>
          <w:sz w:val="24"/>
          <w:szCs w:val="24"/>
          <w:lang w:val="en-GB"/>
        </w:rPr>
        <w:t xml:space="preserve">Although the terms multinational corporations (MNCs) and transnational corporations (TNCs) are often used interchangeably, they differ in significant ways. As shown in Table 1, MNCs are typically headquartered in a single home country and expand internationally through subsidiaries, </w:t>
      </w:r>
      <w:r w:rsidRPr="0052A477" w:rsidR="557B2CC7">
        <w:rPr>
          <w:rFonts w:ascii="Arial" w:hAnsi="Arial" w:eastAsia="Arial" w:cs="Arial"/>
          <w:noProof w:val="0"/>
          <w:sz w:val="24"/>
          <w:szCs w:val="24"/>
          <w:lang w:val="en-GB"/>
        </w:rPr>
        <w:t>maintaining</w:t>
      </w:r>
      <w:r w:rsidRPr="0052A477" w:rsidR="557B2CC7">
        <w:rPr>
          <w:rFonts w:ascii="Arial" w:hAnsi="Arial" w:eastAsia="Arial" w:cs="Arial"/>
          <w:noProof w:val="0"/>
          <w:sz w:val="24"/>
          <w:szCs w:val="24"/>
          <w:lang w:val="en-GB"/>
        </w:rPr>
        <w:t xml:space="preserve"> centralised control over operations and strategy (Gratton, 2025; Nanda, 2022). In contrast, TNCs do not have a singular global headquarters and distribute decision-making authority and business functions across multiple countries. This decentralised structure enables TNCs to adapt rapidly to local conditions (Nanda, 2022). While MNCs prioritise unified coordination from their home base, TNCs seek a balance between global integration and local responsiveness. Recognising this distinction is essential for analysing how these </w:t>
      </w:r>
      <w:r w:rsidRPr="0052A477" w:rsidR="557B2CC7">
        <w:rPr>
          <w:rFonts w:ascii="Arial" w:hAnsi="Arial" w:eastAsia="Arial" w:cs="Arial"/>
          <w:noProof w:val="0"/>
          <w:sz w:val="24"/>
          <w:szCs w:val="24"/>
          <w:lang w:val="en-GB"/>
        </w:rPr>
        <w:t>organisations'</w:t>
      </w:r>
      <w:r w:rsidRPr="0052A477" w:rsidR="557B2CC7">
        <w:rPr>
          <w:rFonts w:ascii="Arial" w:hAnsi="Arial" w:eastAsia="Arial" w:cs="Arial"/>
          <w:noProof w:val="0"/>
          <w:sz w:val="24"/>
          <w:szCs w:val="24"/>
          <w:lang w:val="en-GB"/>
        </w:rPr>
        <w:t xml:space="preserve"> structure, </w:t>
      </w:r>
      <w:r w:rsidRPr="0052A477" w:rsidR="557B2CC7">
        <w:rPr>
          <w:rFonts w:ascii="Arial" w:hAnsi="Arial" w:eastAsia="Arial" w:cs="Arial"/>
          <w:noProof w:val="0"/>
          <w:sz w:val="24"/>
          <w:szCs w:val="24"/>
          <w:lang w:val="en-GB"/>
        </w:rPr>
        <w:t>operate</w:t>
      </w:r>
      <w:r w:rsidRPr="0052A477" w:rsidR="557B2CC7">
        <w:rPr>
          <w:rFonts w:ascii="Arial" w:hAnsi="Arial" w:eastAsia="Arial" w:cs="Arial"/>
          <w:noProof w:val="0"/>
          <w:sz w:val="24"/>
          <w:szCs w:val="24"/>
          <w:lang w:val="en-GB"/>
        </w:rPr>
        <w:t xml:space="preserve">, and influence the global economy. Zara, as part of the Inditex Group, primarily </w:t>
      </w:r>
      <w:r w:rsidRPr="0052A477" w:rsidR="557B2CC7">
        <w:rPr>
          <w:rFonts w:ascii="Arial" w:hAnsi="Arial" w:eastAsia="Arial" w:cs="Arial"/>
          <w:noProof w:val="0"/>
          <w:sz w:val="24"/>
          <w:szCs w:val="24"/>
          <w:lang w:val="en-GB"/>
        </w:rPr>
        <w:t>operates</w:t>
      </w:r>
      <w:r w:rsidRPr="0052A477" w:rsidR="557B2CC7">
        <w:rPr>
          <w:rFonts w:ascii="Arial" w:hAnsi="Arial" w:eastAsia="Arial" w:cs="Arial"/>
          <w:noProof w:val="0"/>
          <w:sz w:val="24"/>
          <w:szCs w:val="24"/>
          <w:lang w:val="en-GB"/>
        </w:rPr>
        <w:t xml:space="preserve"> as a multinational corporation. It </w:t>
      </w:r>
      <w:r w:rsidRPr="0052A477" w:rsidR="557B2CC7">
        <w:rPr>
          <w:rFonts w:ascii="Arial" w:hAnsi="Arial" w:eastAsia="Arial" w:cs="Arial"/>
          <w:noProof w:val="0"/>
          <w:sz w:val="24"/>
          <w:szCs w:val="24"/>
          <w:lang w:val="en-GB"/>
        </w:rPr>
        <w:t>retains</w:t>
      </w:r>
      <w:r w:rsidRPr="0052A477" w:rsidR="557B2CC7">
        <w:rPr>
          <w:rFonts w:ascii="Arial" w:hAnsi="Arial" w:eastAsia="Arial" w:cs="Arial"/>
          <w:noProof w:val="0"/>
          <w:sz w:val="24"/>
          <w:szCs w:val="24"/>
          <w:lang w:val="en-GB"/>
        </w:rPr>
        <w:t xml:space="preserve"> centralised strategic control while adapting to local markets through its extensive network of subsidiaries. This MNC structure allows Zara to </w:t>
      </w:r>
      <w:r w:rsidRPr="0052A477" w:rsidR="557B2CC7">
        <w:rPr>
          <w:rFonts w:ascii="Arial" w:hAnsi="Arial" w:eastAsia="Arial" w:cs="Arial"/>
          <w:noProof w:val="0"/>
          <w:sz w:val="24"/>
          <w:szCs w:val="24"/>
          <w:lang w:val="en-GB"/>
        </w:rPr>
        <w:t>maintain</w:t>
      </w:r>
      <w:r w:rsidRPr="0052A477" w:rsidR="557B2CC7">
        <w:rPr>
          <w:rFonts w:ascii="Arial" w:hAnsi="Arial" w:eastAsia="Arial" w:cs="Arial"/>
          <w:noProof w:val="0"/>
          <w:sz w:val="24"/>
          <w:szCs w:val="24"/>
          <w:lang w:val="en-GB"/>
        </w:rPr>
        <w:t xml:space="preserve"> brand consistency worldwide while </w:t>
      </w:r>
      <w:r w:rsidRPr="0052A477" w:rsidR="557B2CC7">
        <w:rPr>
          <w:rFonts w:ascii="Arial" w:hAnsi="Arial" w:eastAsia="Arial" w:cs="Arial"/>
          <w:noProof w:val="0"/>
          <w:sz w:val="24"/>
          <w:szCs w:val="24"/>
          <w:lang w:val="en-GB"/>
        </w:rPr>
        <w:t>leveraging</w:t>
      </w:r>
      <w:r w:rsidRPr="0052A477" w:rsidR="557B2CC7">
        <w:rPr>
          <w:rFonts w:ascii="Arial" w:hAnsi="Arial" w:eastAsia="Arial" w:cs="Arial"/>
          <w:noProof w:val="0"/>
          <w:sz w:val="24"/>
          <w:szCs w:val="24"/>
          <w:lang w:val="en-GB"/>
        </w:rPr>
        <w:t xml:space="preserve"> local market insights to inform its strategic initiatives.</w:t>
      </w:r>
    </w:p>
    <w:p w:rsidR="0052A477" w:rsidP="0052A477" w:rsidRDefault="0052A477" w14:paraId="507DEDC2" w14:textId="371E4E1C">
      <w:pPr>
        <w:spacing w:before="120" w:after="120" w:line="360" w:lineRule="auto"/>
        <w:jc w:val="both"/>
        <w:rPr>
          <w:rFonts w:ascii="Arial" w:hAnsi="Arial" w:eastAsia="Arial" w:cs="Arial"/>
        </w:rPr>
      </w:pPr>
    </w:p>
    <w:p w:rsidR="73D118AF" w:rsidP="2F2A0CEB" w:rsidRDefault="73D118AF" w14:paraId="31F023E4" w14:noSpellErr="1" w14:textId="45C1BB10">
      <w:pPr>
        <w:spacing w:line="360" w:lineRule="auto"/>
        <w:jc w:val="both"/>
        <w:rPr>
          <w:rFonts w:ascii="Arial" w:hAnsi="Arial" w:eastAsia="Arial" w:cs="Arial"/>
          <w:color w:val="111111"/>
        </w:rPr>
      </w:pPr>
      <w:r w:rsidR="73D118AF">
        <w:drawing>
          <wp:inline wp14:editId="19802C4B" wp14:anchorId="36AD6C68">
            <wp:extent cx="5724525" cy="5210175"/>
            <wp:effectExtent l="0" t="0" r="0" b="0"/>
            <wp:docPr id="121137536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11375360" name=""/>
                    <pic:cNvPicPr/>
                  </pic:nvPicPr>
                  <pic:blipFill>
                    <a:blip xmlns:r="http://schemas.openxmlformats.org/officeDocument/2006/relationships" r:embed="rId8">
                      <a:extLst>
                        <a:ext uri="{28A0092B-C50C-407E-A947-70E740481C1C}">
                          <a14:useLocalDpi xmlns:a14="http://schemas.microsoft.com/office/drawing/2010/main" val="0"/>
                        </a:ext>
                      </a:extLst>
                    </a:blip>
                    <a:stretch>
                      <a:fillRect/>
                    </a:stretch>
                  </pic:blipFill>
                  <pic:spPr>
                    <a:xfrm>
                      <a:off x="0" y="0"/>
                      <a:ext cx="5724525" cy="5210175"/>
                    </a:xfrm>
                    <a:prstGeom prst="rect">
                      <a:avLst/>
                    </a:prstGeom>
                  </pic:spPr>
                </pic:pic>
              </a:graphicData>
            </a:graphic>
          </wp:inline>
        </w:drawing>
      </w:r>
      <w:r w:rsidRPr="3937C69C" w:rsidR="73D118AF">
        <w:rPr>
          <w:rFonts w:ascii="Arial" w:hAnsi="Arial" w:eastAsia="Arial" w:cs="Arial"/>
          <w:color w:val="111111"/>
        </w:rPr>
        <w:t>Table 1-</w:t>
      </w:r>
      <w:r w:rsidRPr="3937C69C" w:rsidR="27C2E98C">
        <w:rPr>
          <w:rFonts w:ascii="Arial" w:hAnsi="Arial" w:eastAsia="Arial" w:cs="Arial"/>
          <w:color w:val="111111"/>
        </w:rPr>
        <w:t xml:space="preserve"> Differences between MNC and TNC-</w:t>
      </w:r>
      <w:r w:rsidRPr="3937C69C" w:rsidR="73D118AF">
        <w:rPr>
          <w:rFonts w:ascii="Arial" w:hAnsi="Arial" w:eastAsia="Arial" w:cs="Arial"/>
          <w:color w:val="111111"/>
        </w:rPr>
        <w:t xml:space="preserve"> Source – Nanda, 2022</w:t>
      </w:r>
      <w:r w:rsidRPr="3937C69C" w:rsidR="3E90510D">
        <w:rPr>
          <w:rFonts w:ascii="Arial" w:hAnsi="Arial" w:eastAsia="Arial" w:cs="Arial"/>
          <w:color w:val="111111"/>
        </w:rPr>
        <w:t>.</w:t>
      </w:r>
    </w:p>
    <w:p w:rsidR="204761E7" w:rsidP="3937C69C" w:rsidRDefault="204761E7" w14:paraId="27390539" w14:textId="0F32B16C" w14:noSpellErr="1">
      <w:pPr>
        <w:pStyle w:val="Heading2"/>
      </w:pPr>
      <w:bookmarkStart w:name="_Toc242617917" w:id="1130121264"/>
      <w:r w:rsidR="1AD2E6AC">
        <w:rPr/>
        <w:t>ZARA</w:t>
      </w:r>
      <w:bookmarkEnd w:id="1130121264"/>
    </w:p>
    <w:p w:rsidR="5BA9FB8A" w:rsidP="0052A477" w:rsidRDefault="5BA9FB8A" w14:paraId="420FBB06" w14:textId="7B942AAE">
      <w:pPr>
        <w:spacing w:before="120" w:beforeAutospacing="off" w:after="120" w:afterAutospacing="off" w:line="360" w:lineRule="auto"/>
        <w:jc w:val="both"/>
      </w:pPr>
      <w:r w:rsidRPr="0052A477" w:rsidR="5BA9FB8A">
        <w:rPr>
          <w:rFonts w:ascii="Arial" w:hAnsi="Arial" w:eastAsia="Arial" w:cs="Arial"/>
          <w:noProof w:val="0"/>
          <w:sz w:val="24"/>
          <w:szCs w:val="24"/>
          <w:lang w:val="en-GB"/>
        </w:rPr>
        <w:t xml:space="preserve">Zara’s headquarters in </w:t>
      </w:r>
      <w:r w:rsidRPr="0052A477" w:rsidR="5BA9FB8A">
        <w:rPr>
          <w:rFonts w:ascii="Arial" w:hAnsi="Arial" w:eastAsia="Arial" w:cs="Arial"/>
          <w:noProof w:val="0"/>
          <w:sz w:val="24"/>
          <w:szCs w:val="24"/>
          <w:lang w:val="en-GB"/>
        </w:rPr>
        <w:t>Arteixo</w:t>
      </w:r>
      <w:r w:rsidRPr="0052A477" w:rsidR="5BA9FB8A">
        <w:rPr>
          <w:rFonts w:ascii="Arial" w:hAnsi="Arial" w:eastAsia="Arial" w:cs="Arial"/>
          <w:noProof w:val="0"/>
          <w:sz w:val="24"/>
          <w:szCs w:val="24"/>
          <w:lang w:val="en-GB"/>
        </w:rPr>
        <w:t xml:space="preserve">, Spain, serves as the centre of a highly centralised and hierarchical organisational structure, characteristic of multinational corporations. Baena (2024) </w:t>
      </w:r>
      <w:r w:rsidRPr="0052A477" w:rsidR="5BA9FB8A">
        <w:rPr>
          <w:rFonts w:ascii="Arial" w:hAnsi="Arial" w:eastAsia="Arial" w:cs="Arial"/>
          <w:noProof w:val="0"/>
          <w:sz w:val="24"/>
          <w:szCs w:val="24"/>
          <w:lang w:val="en-GB"/>
        </w:rPr>
        <w:t>observes</w:t>
      </w:r>
      <w:r w:rsidRPr="0052A477" w:rsidR="5BA9FB8A">
        <w:rPr>
          <w:rFonts w:ascii="Arial" w:hAnsi="Arial" w:eastAsia="Arial" w:cs="Arial"/>
          <w:noProof w:val="0"/>
          <w:sz w:val="24"/>
          <w:szCs w:val="24"/>
          <w:lang w:val="en-GB"/>
        </w:rPr>
        <w:t xml:space="preserve"> that Zara’s rapid production cycle has secured its leadership in the fast fashion sector. Core functions, including strategic decision-making, product design, and </w:t>
      </w:r>
      <w:r w:rsidRPr="0052A477" w:rsidR="5BA9FB8A">
        <w:rPr>
          <w:rFonts w:ascii="Arial" w:hAnsi="Arial" w:eastAsia="Arial" w:cs="Arial"/>
          <w:noProof w:val="0"/>
          <w:sz w:val="24"/>
          <w:szCs w:val="24"/>
          <w:lang w:val="en-GB"/>
        </w:rPr>
        <w:t>a significant portion</w:t>
      </w:r>
      <w:r w:rsidRPr="0052A477" w:rsidR="5BA9FB8A">
        <w:rPr>
          <w:rFonts w:ascii="Arial" w:hAnsi="Arial" w:eastAsia="Arial" w:cs="Arial"/>
          <w:noProof w:val="0"/>
          <w:sz w:val="24"/>
          <w:szCs w:val="24"/>
          <w:lang w:val="en-GB"/>
        </w:rPr>
        <w:t xml:space="preserve"> of production, are concentrated in Spain, underscoring the company’s emphasis on control, coordination, and operational efficiency. For instance, Zara’s centralised structure </w:t>
      </w:r>
      <w:r w:rsidRPr="0052A477" w:rsidR="5BA9FB8A">
        <w:rPr>
          <w:rFonts w:ascii="Arial" w:hAnsi="Arial" w:eastAsia="Arial" w:cs="Arial"/>
          <w:noProof w:val="0"/>
          <w:sz w:val="24"/>
          <w:szCs w:val="24"/>
          <w:lang w:val="en-GB"/>
        </w:rPr>
        <w:t>facilitated</w:t>
      </w:r>
      <w:r w:rsidRPr="0052A477" w:rsidR="5BA9FB8A">
        <w:rPr>
          <w:rFonts w:ascii="Arial" w:hAnsi="Arial" w:eastAsia="Arial" w:cs="Arial"/>
          <w:noProof w:val="0"/>
          <w:sz w:val="24"/>
          <w:szCs w:val="24"/>
          <w:lang w:val="en-GB"/>
        </w:rPr>
        <w:t xml:space="preserve"> a swift response to the rising demand for sustainable fashion; the </w:t>
      </w:r>
      <w:r w:rsidRPr="0052A477" w:rsidR="5BA9FB8A">
        <w:rPr>
          <w:rFonts w:ascii="Arial" w:hAnsi="Arial" w:eastAsia="Arial" w:cs="Arial"/>
          <w:noProof w:val="0"/>
          <w:sz w:val="24"/>
          <w:szCs w:val="24"/>
          <w:lang w:val="en-GB"/>
        </w:rPr>
        <w:t>Arteixo</w:t>
      </w:r>
      <w:r w:rsidRPr="0052A477" w:rsidR="5BA9FB8A">
        <w:rPr>
          <w:rFonts w:ascii="Arial" w:hAnsi="Arial" w:eastAsia="Arial" w:cs="Arial"/>
          <w:noProof w:val="0"/>
          <w:sz w:val="24"/>
          <w:szCs w:val="24"/>
          <w:lang w:val="en-GB"/>
        </w:rPr>
        <w:t xml:space="preserve"> team </w:t>
      </w:r>
      <w:r w:rsidRPr="0052A477" w:rsidR="5BA9FB8A">
        <w:rPr>
          <w:rFonts w:ascii="Arial" w:hAnsi="Arial" w:eastAsia="Arial" w:cs="Arial"/>
          <w:noProof w:val="0"/>
          <w:sz w:val="24"/>
          <w:szCs w:val="24"/>
          <w:lang w:val="en-GB"/>
        </w:rPr>
        <w:t>quickly designed</w:t>
      </w:r>
      <w:r w:rsidRPr="0052A477" w:rsidR="5BA9FB8A">
        <w:rPr>
          <w:rFonts w:ascii="Arial" w:hAnsi="Arial" w:eastAsia="Arial" w:cs="Arial"/>
          <w:noProof w:val="0"/>
          <w:sz w:val="24"/>
          <w:szCs w:val="24"/>
          <w:lang w:val="en-GB"/>
        </w:rPr>
        <w:t xml:space="preserve"> and produced a collection with environmentally friendly materials, delivering it to stores within weeks. According to López et al. (2022), Zara introduces approximately 24 collections annually, a practice that </w:t>
      </w:r>
      <w:r w:rsidRPr="0052A477" w:rsidR="5BA9FB8A">
        <w:rPr>
          <w:rFonts w:ascii="Arial" w:hAnsi="Arial" w:eastAsia="Arial" w:cs="Arial"/>
          <w:noProof w:val="0"/>
          <w:sz w:val="24"/>
          <w:szCs w:val="24"/>
          <w:lang w:val="en-GB"/>
        </w:rPr>
        <w:t>necessitates</w:t>
      </w:r>
      <w:r w:rsidRPr="0052A477" w:rsidR="5BA9FB8A">
        <w:rPr>
          <w:rFonts w:ascii="Arial" w:hAnsi="Arial" w:eastAsia="Arial" w:cs="Arial"/>
          <w:noProof w:val="0"/>
          <w:sz w:val="24"/>
          <w:szCs w:val="24"/>
          <w:lang w:val="en-GB"/>
        </w:rPr>
        <w:t xml:space="preserve"> accelerated product development and efficient distribution. Many of these collections are designed and manufactured near the headquarters, enabling rapid movement from concept to retail. Although production and strategic oversight are centralised, distribution is managed at the national level, allowing adaptation to local consumer preferences while </w:t>
      </w:r>
      <w:r w:rsidRPr="0052A477" w:rsidR="5BA9FB8A">
        <w:rPr>
          <w:rFonts w:ascii="Arial" w:hAnsi="Arial" w:eastAsia="Arial" w:cs="Arial"/>
          <w:noProof w:val="0"/>
          <w:sz w:val="24"/>
          <w:szCs w:val="24"/>
          <w:lang w:val="en-GB"/>
        </w:rPr>
        <w:t>maintaining</w:t>
      </w:r>
      <w:r w:rsidRPr="0052A477" w:rsidR="5BA9FB8A">
        <w:rPr>
          <w:rFonts w:ascii="Arial" w:hAnsi="Arial" w:eastAsia="Arial" w:cs="Arial"/>
          <w:noProof w:val="0"/>
          <w:sz w:val="24"/>
          <w:szCs w:val="24"/>
          <w:lang w:val="en-GB"/>
        </w:rPr>
        <w:t xml:space="preserve"> alignment with Zara’s global strategy.</w:t>
      </w:r>
    </w:p>
    <w:p w:rsidR="204761E7" w:rsidP="2F2A0CEB" w:rsidRDefault="7F7E484B" w14:paraId="013B3884" w14:textId="617B8E77" w14:noSpellErr="1">
      <w:pPr>
        <w:pStyle w:val="Heading2"/>
        <w:spacing w:line="360" w:lineRule="auto"/>
        <w:jc w:val="both"/>
        <w:rPr>
          <w:rFonts w:ascii="Arial" w:hAnsi="Arial" w:eastAsia="Arial" w:cs="Arial"/>
          <w:sz w:val="24"/>
          <w:szCs w:val="24"/>
        </w:rPr>
      </w:pPr>
      <w:bookmarkStart w:name="_Toc1884000378" w:id="1507810773"/>
      <w:r w:rsidRPr="0052A477" w:rsidR="7F7E484B">
        <w:rPr>
          <w:rFonts w:ascii="Arial" w:hAnsi="Arial" w:eastAsia="Arial" w:cs="Arial"/>
          <w:sz w:val="24"/>
          <w:szCs w:val="24"/>
        </w:rPr>
        <w:t>Value chain analysis</w:t>
      </w:r>
      <w:bookmarkEnd w:id="1507810773"/>
      <w:r w:rsidRPr="0052A477" w:rsidR="7F7E484B">
        <w:rPr>
          <w:rFonts w:ascii="Arial" w:hAnsi="Arial" w:eastAsia="Arial" w:cs="Arial"/>
          <w:sz w:val="24"/>
          <w:szCs w:val="24"/>
        </w:rPr>
        <w:t xml:space="preserve"> </w:t>
      </w:r>
    </w:p>
    <w:p w:rsidR="2C4B7C76" w:rsidP="0052A477" w:rsidRDefault="2C4B7C76" w14:paraId="5BBFB97F" w14:textId="40643547">
      <w:pPr>
        <w:spacing w:before="120" w:beforeAutospacing="off" w:after="120" w:afterAutospacing="off" w:line="360" w:lineRule="auto"/>
        <w:jc w:val="both"/>
      </w:pPr>
      <w:r w:rsidRPr="0052A477" w:rsidR="2C4B7C76">
        <w:rPr>
          <w:rFonts w:ascii="Arial" w:hAnsi="Arial" w:eastAsia="Arial" w:cs="Arial"/>
          <w:noProof w:val="0"/>
          <w:sz w:val="24"/>
          <w:szCs w:val="24"/>
          <w:lang w:val="en-GB"/>
        </w:rPr>
        <w:t xml:space="preserve">A value chain encompasses the measurement and management of all activities that add value to a product from its </w:t>
      </w:r>
      <w:r w:rsidRPr="0052A477" w:rsidR="2C4B7C76">
        <w:rPr>
          <w:rFonts w:ascii="Arial" w:hAnsi="Arial" w:eastAsia="Arial" w:cs="Arial"/>
          <w:noProof w:val="0"/>
          <w:sz w:val="24"/>
          <w:szCs w:val="24"/>
          <w:lang w:val="en-GB"/>
        </w:rPr>
        <w:t>inception</w:t>
      </w:r>
      <w:r w:rsidRPr="0052A477" w:rsidR="2C4B7C76">
        <w:rPr>
          <w:rFonts w:ascii="Arial" w:hAnsi="Arial" w:eastAsia="Arial" w:cs="Arial"/>
          <w:noProof w:val="0"/>
          <w:sz w:val="24"/>
          <w:szCs w:val="24"/>
          <w:lang w:val="en-GB"/>
        </w:rPr>
        <w:t xml:space="preserve"> to final consumption (Azalie &amp; Kamarulzaman, 2022, p.260). Value chain analysis has been instrumental in the success of many businesses over several decades. Michael Porter popularised this analytical approach in 1985, highlighting its utility in strategic management, particularly for evaluating a firm's flexibility, marketing dynamics, management strategies, and quality assurance processes (Azalie &amp; Kamarulzaman, 2022; Pratiwi </w:t>
      </w:r>
      <w:r w:rsidRPr="0052A477" w:rsidR="2C4B7C76">
        <w:rPr>
          <w:rFonts w:ascii="Arial" w:hAnsi="Arial" w:eastAsia="Arial" w:cs="Arial"/>
          <w:i w:val="1"/>
          <w:iCs w:val="1"/>
          <w:noProof w:val="0"/>
          <w:sz w:val="24"/>
          <w:szCs w:val="24"/>
          <w:lang w:val="en-GB"/>
        </w:rPr>
        <w:t xml:space="preserve">et al., </w:t>
      </w:r>
      <w:r w:rsidRPr="0052A477" w:rsidR="2C4B7C76">
        <w:rPr>
          <w:rFonts w:ascii="Arial" w:hAnsi="Arial" w:eastAsia="Arial" w:cs="Arial"/>
          <w:noProof w:val="0"/>
          <w:sz w:val="24"/>
          <w:szCs w:val="24"/>
          <w:lang w:val="en-GB"/>
        </w:rPr>
        <w:t>2024; Ruan, 2020).</w:t>
      </w:r>
    </w:p>
    <w:p w:rsidR="204761E7" w:rsidP="2F2A0CEB" w:rsidRDefault="204761E7" w14:paraId="7447EAA5" w14:textId="59312DBA">
      <w:pPr>
        <w:spacing w:before="120" w:after="120" w:line="360" w:lineRule="auto"/>
        <w:jc w:val="both"/>
        <w:rPr>
          <w:rFonts w:ascii="Arial" w:hAnsi="Arial" w:eastAsia="Arial" w:cs="Arial"/>
        </w:rPr>
      </w:pPr>
    </w:p>
    <w:p w:rsidR="204761E7" w:rsidP="2F2A0CEB" w:rsidRDefault="7F62745D" w14:paraId="24B3082F" w14:textId="5132C464">
      <w:pPr>
        <w:spacing w:line="360" w:lineRule="auto"/>
        <w:jc w:val="both"/>
        <w:rPr>
          <w:rFonts w:ascii="Arial" w:hAnsi="Arial" w:eastAsia="Arial" w:cs="Arial"/>
        </w:rPr>
      </w:pPr>
      <w:r>
        <w:rPr>
          <w:noProof/>
        </w:rPr>
        <w:drawing>
          <wp:inline distT="0" distB="0" distL="0" distR="0" wp14:anchorId="4715C3D6" wp14:editId="28C34664">
            <wp:extent cx="5724525" cy="2562225"/>
            <wp:effectExtent l="0" t="0" r="0" b="0"/>
            <wp:docPr id="4906739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673971" name=""/>
                    <pic:cNvPicPr/>
                  </pic:nvPicPr>
                  <pic:blipFill>
                    <a:blip r:embed="rId9">
                      <a:extLst>
                        <a:ext uri="{28A0092B-C50C-407E-A947-70E740481C1C}">
                          <a14:useLocalDpi xmlns:a14="http://schemas.microsoft.com/office/drawing/2010/main" val="0"/>
                        </a:ext>
                      </a:extLst>
                    </a:blip>
                    <a:stretch>
                      <a:fillRect/>
                    </a:stretch>
                  </pic:blipFill>
                  <pic:spPr>
                    <a:xfrm>
                      <a:off x="0" y="0"/>
                      <a:ext cx="5724525" cy="2562225"/>
                    </a:xfrm>
                    <a:prstGeom prst="rect">
                      <a:avLst/>
                    </a:prstGeom>
                  </pic:spPr>
                </pic:pic>
              </a:graphicData>
            </a:graphic>
          </wp:inline>
        </w:drawing>
      </w:r>
    </w:p>
    <w:p w:rsidR="4BEA7248" w:rsidP="2F2A0CEB" w:rsidRDefault="4BEA7248" w14:paraId="2F3D204D" w14:textId="5AC27150">
      <w:pPr>
        <w:spacing w:line="360" w:lineRule="auto"/>
        <w:ind w:left="720" w:firstLine="720"/>
        <w:jc w:val="both"/>
        <w:rPr>
          <w:rFonts w:ascii="Arial" w:hAnsi="Arial" w:eastAsia="Arial" w:cs="Arial"/>
        </w:rPr>
      </w:pPr>
      <w:r w:rsidRPr="2F2A0CEB">
        <w:rPr>
          <w:rFonts w:ascii="Arial" w:hAnsi="Arial" w:eastAsia="Arial" w:cs="Arial"/>
        </w:rPr>
        <w:t>Figure 1 – Porter’s Value Chain Analysis</w:t>
      </w:r>
      <w:r w:rsidRPr="2F2A0CEB" w:rsidR="411E9C97">
        <w:rPr>
          <w:rFonts w:ascii="Arial" w:hAnsi="Arial" w:eastAsia="Arial" w:cs="Arial"/>
        </w:rPr>
        <w:t xml:space="preserve"> – Source: Ruan, 2020</w:t>
      </w:r>
    </w:p>
    <w:p w:rsidR="4CCB1407" w:rsidP="0052A477" w:rsidRDefault="4CCB1407" w14:paraId="13F296EC" w14:textId="3596869E">
      <w:pPr>
        <w:pStyle w:val="Heading2"/>
        <w:spacing w:line="360" w:lineRule="auto"/>
      </w:pPr>
      <w:bookmarkStart w:name="_Toc1506493153" w:id="1386330789"/>
      <w:r w:rsidR="52F61396">
        <w:rPr/>
        <w:t>Zaras Value Chain Analysis</w:t>
      </w:r>
      <w:bookmarkEnd w:id="1386330789"/>
    </w:p>
    <w:p w:rsidR="380462D7" w:rsidP="0052A477" w:rsidRDefault="380462D7" w14:paraId="1AB50BFF" w14:textId="00D70964">
      <w:pPr>
        <w:spacing w:before="120" w:beforeAutospacing="off" w:after="120" w:afterAutospacing="off" w:line="360" w:lineRule="auto"/>
        <w:jc w:val="both"/>
      </w:pPr>
      <w:r w:rsidRPr="0052A477" w:rsidR="380462D7">
        <w:rPr>
          <w:rFonts w:ascii="Arial" w:hAnsi="Arial" w:eastAsia="Arial" w:cs="Arial"/>
          <w:noProof w:val="0"/>
          <w:sz w:val="24"/>
          <w:szCs w:val="24"/>
          <w:lang w:val="en-GB"/>
        </w:rPr>
        <w:t xml:space="preserve">The following table presents a detailed value chain analysis of Zara, based on Porter’s framework. It highlights how each primary and support activity contributes to the company’s competitive advantage. This analysis reveals that Zara's main sources of advantage include its agile supply chain, which supports rapid production and delivery; its vertical integration, which enables tight control over design and production processes; and its digital innovation, which enhances responsiveness to market trends. These factors collectively enable Zara to swiftly turn emerging fashion trends into commercially </w:t>
      </w:r>
      <w:r w:rsidRPr="0052A477" w:rsidR="380462D7">
        <w:rPr>
          <w:rFonts w:ascii="Arial" w:hAnsi="Arial" w:eastAsia="Arial" w:cs="Arial"/>
          <w:noProof w:val="0"/>
          <w:sz w:val="24"/>
          <w:szCs w:val="24"/>
          <w:lang w:val="en-GB"/>
        </w:rPr>
        <w:t>viable</w:t>
      </w:r>
      <w:r w:rsidRPr="0052A477" w:rsidR="380462D7">
        <w:rPr>
          <w:rFonts w:ascii="Arial" w:hAnsi="Arial" w:eastAsia="Arial" w:cs="Arial"/>
          <w:noProof w:val="0"/>
          <w:sz w:val="24"/>
          <w:szCs w:val="24"/>
          <w:lang w:val="en-GB"/>
        </w:rPr>
        <w:t xml:space="preserve"> products, thereby </w:t>
      </w:r>
      <w:r w:rsidRPr="0052A477" w:rsidR="380462D7">
        <w:rPr>
          <w:rFonts w:ascii="Arial" w:hAnsi="Arial" w:eastAsia="Arial" w:cs="Arial"/>
          <w:noProof w:val="0"/>
          <w:sz w:val="24"/>
          <w:szCs w:val="24"/>
          <w:lang w:val="en-GB"/>
        </w:rPr>
        <w:t>maintaining</w:t>
      </w:r>
      <w:r w:rsidRPr="0052A477" w:rsidR="380462D7">
        <w:rPr>
          <w:rFonts w:ascii="Arial" w:hAnsi="Arial" w:eastAsia="Arial" w:cs="Arial"/>
          <w:noProof w:val="0"/>
          <w:sz w:val="24"/>
          <w:szCs w:val="24"/>
          <w:lang w:val="en-GB"/>
        </w:rPr>
        <w:t xml:space="preserve"> its lead in the fast-fashion sector.</w:t>
      </w:r>
    </w:p>
    <w:p w:rsidR="0052A477" w:rsidP="0052A477" w:rsidRDefault="0052A477" w14:paraId="244F2EAA" w14:textId="03BB853F">
      <w:pPr>
        <w:spacing w:line="360" w:lineRule="auto"/>
        <w:jc w:val="both"/>
        <w:rPr>
          <w:rFonts w:ascii="Arial" w:hAnsi="Arial" w:eastAsia="Arial" w:cs="Arial"/>
        </w:rPr>
      </w:pPr>
    </w:p>
    <w:p w:rsidR="5DDDE088" w:rsidP="2F2A0CEB" w:rsidRDefault="5DDDE088" w14:paraId="343D3110" w14:textId="537F86C6">
      <w:pPr>
        <w:spacing w:line="360" w:lineRule="auto"/>
        <w:jc w:val="both"/>
        <w:rPr>
          <w:rFonts w:ascii="Arial" w:hAnsi="Arial" w:eastAsia="Arial" w:cs="Arial"/>
        </w:rPr>
      </w:pPr>
    </w:p>
    <w:p w:rsidR="6095A553" w:rsidP="0052A477" w:rsidRDefault="6095A553" w14:paraId="7A76EE91" w14:textId="3B3B11FD">
      <w:pPr>
        <w:spacing w:line="360" w:lineRule="auto"/>
        <w:jc w:val="both"/>
        <w:rPr>
          <w:rFonts w:ascii="Arial" w:hAnsi="Arial" w:eastAsia="Arial" w:cs="Arial"/>
          <w:color w:val="auto"/>
          <w:sz w:val="24"/>
          <w:szCs w:val="24"/>
        </w:rPr>
      </w:pPr>
      <w:r w:rsidR="6095A553">
        <w:drawing>
          <wp:inline wp14:editId="4DB29926" wp14:anchorId="5BA0B9F7">
            <wp:extent cx="5296584" cy="6068272"/>
            <wp:effectExtent l="0" t="0" r="0" b="0"/>
            <wp:docPr id="80417314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4173142" name=""/>
                    <pic:cNvPicPr/>
                  </pic:nvPicPr>
                  <pic:blipFill>
                    <a:blip xmlns:r="http://schemas.openxmlformats.org/officeDocument/2006/relationships" r:embed="rId10">
                      <a:extLst>
                        <a:ext uri="{28A0092B-C50C-407E-A947-70E740481C1C}">
                          <a14:useLocalDpi xmlns:a14="http://schemas.microsoft.com/office/drawing/2010/main"/>
                        </a:ext>
                      </a:extLst>
                    </a:blip>
                    <a:stretch>
                      <a:fillRect/>
                    </a:stretch>
                  </pic:blipFill>
                  <pic:spPr>
                    <a:xfrm rot="0">
                      <a:off x="0" y="0"/>
                      <a:ext cx="5296584" cy="6068272"/>
                    </a:xfrm>
                    <a:prstGeom prst="rect">
                      <a:avLst/>
                    </a:prstGeom>
                  </pic:spPr>
                </pic:pic>
              </a:graphicData>
            </a:graphic>
          </wp:inline>
        </w:drawing>
      </w:r>
      <w:r w:rsidRPr="0052A477" w:rsidR="0ECF1FDA">
        <w:rPr>
          <w:rFonts w:ascii="Arial" w:hAnsi="Arial" w:eastAsia="Arial" w:cs="Arial"/>
          <w:color w:val="auto"/>
          <w:sz w:val="24"/>
          <w:szCs w:val="24"/>
        </w:rPr>
        <w:t xml:space="preserve">Figure 2 - </w:t>
      </w:r>
      <w:r w:rsidRPr="0052A477" w:rsidR="50739D6B">
        <w:rPr>
          <w:rFonts w:ascii="Arial" w:hAnsi="Arial" w:eastAsia="Arial" w:cs="Arial"/>
          <w:color w:val="auto"/>
          <w:sz w:val="24"/>
          <w:szCs w:val="24"/>
        </w:rPr>
        <w:t>SOURCE AUTHOR – ZARAS value chain analysis</w:t>
      </w:r>
    </w:p>
    <w:p w:rsidR="4E4D0484" w:rsidP="0052A477" w:rsidRDefault="4E4D0484" w14:paraId="058C0E82" w14:textId="3A342A10">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4E4D0484">
        <w:rPr>
          <w:rFonts w:ascii="Arial" w:hAnsi="Arial" w:eastAsia="Arial" w:cs="Arial"/>
          <w:noProof w:val="0"/>
          <w:color w:val="auto"/>
          <w:sz w:val="24"/>
          <w:szCs w:val="24"/>
          <w:lang w:val="en-GB"/>
        </w:rPr>
        <w:t xml:space="preserve">Zara exemplifies modern value chain optimisation through its distinctive supply chain management, which features vertical integration, rapid production cycles, and limited inventory. This approach has </w:t>
      </w:r>
      <w:r w:rsidRPr="0052A477" w:rsidR="4E4D0484">
        <w:rPr>
          <w:rFonts w:ascii="Arial" w:hAnsi="Arial" w:eastAsia="Arial" w:cs="Arial"/>
          <w:noProof w:val="0"/>
          <w:color w:val="auto"/>
          <w:sz w:val="24"/>
          <w:szCs w:val="24"/>
          <w:lang w:val="en-GB"/>
        </w:rPr>
        <w:t>established</w:t>
      </w:r>
      <w:r w:rsidRPr="0052A477" w:rsidR="4E4D0484">
        <w:rPr>
          <w:rFonts w:ascii="Arial" w:hAnsi="Arial" w:eastAsia="Arial" w:cs="Arial"/>
          <w:noProof w:val="0"/>
          <w:color w:val="auto"/>
          <w:sz w:val="24"/>
          <w:szCs w:val="24"/>
          <w:lang w:val="en-GB"/>
        </w:rPr>
        <w:t xml:space="preserve"> Zara as a global leader in fast fashion. Li, Liu, and Zhou (2024) assert that Zara’s success is closely tied to its highly efficient and responsive supply chain, enabling the company to transition designs from concept to retail shelves within weeks. Furthermore, Zara’s adoption of digital transformation initiatives has enhanced its agility in a dynamic retail environment. Notable digital strategies include the use of RFID technology to improve inventory management and advanced data analytics to forecast fashion trends and optimise stock levels. These technologies </w:t>
      </w:r>
      <w:r w:rsidRPr="0052A477" w:rsidR="4E4D0484">
        <w:rPr>
          <w:rFonts w:ascii="Arial" w:hAnsi="Arial" w:eastAsia="Arial" w:cs="Arial"/>
          <w:noProof w:val="0"/>
          <w:color w:val="auto"/>
          <w:sz w:val="24"/>
          <w:szCs w:val="24"/>
          <w:lang w:val="en-GB"/>
        </w:rPr>
        <w:t>facilitate</w:t>
      </w:r>
      <w:r w:rsidRPr="0052A477" w:rsidR="4E4D0484">
        <w:rPr>
          <w:rFonts w:ascii="Arial" w:hAnsi="Arial" w:eastAsia="Arial" w:cs="Arial"/>
          <w:noProof w:val="0"/>
          <w:color w:val="auto"/>
          <w:sz w:val="24"/>
          <w:szCs w:val="24"/>
          <w:lang w:val="en-GB"/>
        </w:rPr>
        <w:t xml:space="preserve"> Zara’s rapid response to market trends and support the efficient alignment of supply with consumer demand.</w:t>
      </w:r>
    </w:p>
    <w:p w:rsidR="4E4D0484" w:rsidP="0052A477" w:rsidRDefault="4E4D0484" w14:paraId="27E0E66D" w14:textId="0E239DD1">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4E4D0484">
        <w:rPr>
          <w:rFonts w:ascii="Arial" w:hAnsi="Arial" w:eastAsia="Arial" w:cs="Arial"/>
          <w:noProof w:val="0"/>
          <w:color w:val="auto"/>
          <w:sz w:val="24"/>
          <w:szCs w:val="24"/>
          <w:lang w:val="en-GB"/>
        </w:rPr>
        <w:t xml:space="preserve">Inditex's digital innovation began in 2012, Inditex initiated its digital innovation strategy in 2012 by integrating physical stores with its online platform. This strategic shift toward customer-centric operations enables the brand to better understand and address consumer demands across various channels. By aligning technological infrastructure with retail </w:t>
      </w:r>
      <w:r w:rsidRPr="0052A477" w:rsidR="4E4D0484">
        <w:rPr>
          <w:rFonts w:ascii="Arial" w:hAnsi="Arial" w:eastAsia="Arial" w:cs="Arial"/>
          <w:noProof w:val="0"/>
          <w:color w:val="auto"/>
          <w:sz w:val="24"/>
          <w:szCs w:val="24"/>
          <w:lang w:val="en-GB"/>
        </w:rPr>
        <w:t>objectives</w:t>
      </w:r>
      <w:r w:rsidRPr="0052A477" w:rsidR="4E4D0484">
        <w:rPr>
          <w:rFonts w:ascii="Arial" w:hAnsi="Arial" w:eastAsia="Arial" w:cs="Arial"/>
          <w:noProof w:val="0"/>
          <w:color w:val="auto"/>
          <w:sz w:val="24"/>
          <w:szCs w:val="24"/>
          <w:lang w:val="en-GB"/>
        </w:rPr>
        <w:t xml:space="preserve">, Inditex enhances agility in product delivery and reinforces its presence in both digital and physical markets, thereby improving the overall shopping experience (Than, 2023). efficiency, these practices have significant strategic implications, particularly in rapidly developing markets such as China. As López et al. (2022) observe, "under digital capitalism, established lead firms experience pressure to restructure their value chain resulting from the competition of new ‘digital lead firms’, which rely on the internet and/or new digital technologies to set up digitally integrated, highly demand-driven, and cost-efficient supply chains." Zara’s ability to </w:t>
      </w:r>
      <w:r w:rsidRPr="0052A477" w:rsidR="4E4D0484">
        <w:rPr>
          <w:rFonts w:ascii="Arial" w:hAnsi="Arial" w:eastAsia="Arial" w:cs="Arial"/>
          <w:noProof w:val="0"/>
          <w:color w:val="auto"/>
          <w:sz w:val="24"/>
          <w:szCs w:val="24"/>
          <w:lang w:val="en-GB"/>
        </w:rPr>
        <w:t>leverage</w:t>
      </w:r>
      <w:r w:rsidRPr="0052A477" w:rsidR="4E4D0484">
        <w:rPr>
          <w:rFonts w:ascii="Arial" w:hAnsi="Arial" w:eastAsia="Arial" w:cs="Arial"/>
          <w:noProof w:val="0"/>
          <w:color w:val="auto"/>
          <w:sz w:val="24"/>
          <w:szCs w:val="24"/>
          <w:lang w:val="en-GB"/>
        </w:rPr>
        <w:t xml:space="preserve"> digital tools while </w:t>
      </w:r>
      <w:r w:rsidRPr="0052A477" w:rsidR="4E4D0484">
        <w:rPr>
          <w:rFonts w:ascii="Arial" w:hAnsi="Arial" w:eastAsia="Arial" w:cs="Arial"/>
          <w:noProof w:val="0"/>
          <w:color w:val="auto"/>
          <w:sz w:val="24"/>
          <w:szCs w:val="24"/>
          <w:lang w:val="en-GB"/>
        </w:rPr>
        <w:t>maintaining</w:t>
      </w:r>
      <w:r w:rsidRPr="0052A477" w:rsidR="4E4D0484">
        <w:rPr>
          <w:rFonts w:ascii="Arial" w:hAnsi="Arial" w:eastAsia="Arial" w:cs="Arial"/>
          <w:noProof w:val="0"/>
          <w:color w:val="auto"/>
          <w:sz w:val="24"/>
          <w:szCs w:val="24"/>
          <w:lang w:val="en-GB"/>
        </w:rPr>
        <w:t xml:space="preserve"> tight control over its operations serves as a benchmark for firms navigating this transformation. These strategies not only enhance Zara's competitive position but also improve profitability by minimising production costs and maximising responsiveness to consumer trends. For example, in China, Zara's digital integration and agile operations enable it to quickly adapt to local demand shifts, giving it an edge over competitors that </w:t>
      </w:r>
      <w:r w:rsidRPr="0052A477" w:rsidR="4E4D0484">
        <w:rPr>
          <w:rFonts w:ascii="Arial" w:hAnsi="Arial" w:eastAsia="Arial" w:cs="Arial"/>
          <w:noProof w:val="0"/>
          <w:color w:val="auto"/>
          <w:sz w:val="24"/>
          <w:szCs w:val="24"/>
          <w:lang w:val="en-GB"/>
        </w:rPr>
        <w:t>can't</w:t>
      </w:r>
      <w:r w:rsidRPr="0052A477" w:rsidR="4E4D0484">
        <w:rPr>
          <w:rFonts w:ascii="Arial" w:hAnsi="Arial" w:eastAsia="Arial" w:cs="Arial"/>
          <w:noProof w:val="0"/>
          <w:color w:val="auto"/>
          <w:sz w:val="24"/>
          <w:szCs w:val="24"/>
          <w:lang w:val="en-GB"/>
        </w:rPr>
        <w:t xml:space="preserve"> respond as swiftly. This adaptability is crucial in </w:t>
      </w:r>
      <w:r w:rsidRPr="0052A477" w:rsidR="4E4D0484">
        <w:rPr>
          <w:rFonts w:ascii="Arial" w:hAnsi="Arial" w:eastAsia="Arial" w:cs="Arial"/>
          <w:noProof w:val="0"/>
          <w:color w:val="auto"/>
          <w:sz w:val="24"/>
          <w:szCs w:val="24"/>
          <w:lang w:val="en-GB"/>
        </w:rPr>
        <w:t>maintaining</w:t>
      </w:r>
      <w:r w:rsidRPr="0052A477" w:rsidR="4E4D0484">
        <w:rPr>
          <w:rFonts w:ascii="Arial" w:hAnsi="Arial" w:eastAsia="Arial" w:cs="Arial"/>
          <w:noProof w:val="0"/>
          <w:color w:val="auto"/>
          <w:sz w:val="24"/>
          <w:szCs w:val="24"/>
          <w:lang w:val="en-GB"/>
        </w:rPr>
        <w:t xml:space="preserve"> market share and driving growth in such dynamic environments.</w:t>
      </w:r>
    </w:p>
    <w:p w:rsidR="159977B3" w:rsidP="0052A477" w:rsidRDefault="159977B3" w14:paraId="165FF5F5" w14:textId="402DC272" w14:noSpellErr="1">
      <w:pPr>
        <w:pStyle w:val="Heading3"/>
        <w:spacing w:line="360" w:lineRule="auto"/>
        <w:jc w:val="both"/>
        <w:rPr>
          <w:rFonts w:ascii="Arial" w:hAnsi="Arial" w:eastAsia="Arial" w:cs="Arial"/>
          <w:b w:val="0"/>
          <w:bCs w:val="0"/>
          <w:color w:val="auto"/>
          <w:sz w:val="24"/>
          <w:szCs w:val="24"/>
          <w:u w:val="single"/>
        </w:rPr>
      </w:pPr>
      <w:bookmarkStart w:name="_Toc1552313776" w:id="2137566178"/>
      <w:r w:rsidRPr="0052A477" w:rsidR="159977B3">
        <w:rPr>
          <w:rFonts w:ascii="Arial" w:hAnsi="Arial" w:eastAsia="Arial" w:cs="Arial"/>
          <w:b w:val="0"/>
          <w:bCs w:val="0"/>
          <w:color w:val="auto"/>
          <w:sz w:val="24"/>
          <w:szCs w:val="24"/>
          <w:u w:val="single"/>
        </w:rPr>
        <w:t>Entry modes into new markets</w:t>
      </w:r>
      <w:bookmarkEnd w:id="2137566178"/>
    </w:p>
    <w:p w:rsidR="6AC66DDB" w:rsidP="0052A477" w:rsidRDefault="6AC66DDB" w14:paraId="73410FA7" w14:textId="11624E69">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6AC66DDB">
        <w:rPr>
          <w:rFonts w:ascii="Arial" w:hAnsi="Arial" w:eastAsia="Arial" w:cs="Arial"/>
          <w:noProof w:val="0"/>
          <w:color w:val="auto"/>
          <w:sz w:val="24"/>
          <w:szCs w:val="24"/>
          <w:lang w:val="en-GB"/>
        </w:rPr>
        <w:t xml:space="preserve">Zara’s robust research and development capabilities are central to its competitive advantage in the fast-paced fashion industry. </w:t>
      </w:r>
      <w:r w:rsidRPr="0052A477" w:rsidR="6AC66DDB">
        <w:rPr>
          <w:rFonts w:ascii="Arial" w:hAnsi="Arial" w:eastAsia="Arial" w:cs="Arial"/>
          <w:noProof w:val="0"/>
          <w:color w:val="auto"/>
          <w:sz w:val="24"/>
          <w:szCs w:val="24"/>
          <w:lang w:val="en-GB"/>
        </w:rPr>
        <w:t>Hutagalung</w:t>
      </w:r>
      <w:r w:rsidRPr="0052A477" w:rsidR="6AC66DDB">
        <w:rPr>
          <w:rFonts w:ascii="Arial" w:hAnsi="Arial" w:eastAsia="Arial" w:cs="Arial"/>
          <w:noProof w:val="0"/>
          <w:color w:val="auto"/>
          <w:sz w:val="24"/>
          <w:szCs w:val="24"/>
          <w:lang w:val="en-GB"/>
        </w:rPr>
        <w:t xml:space="preserve"> (2025) </w:t>
      </w:r>
      <w:r w:rsidRPr="0052A477" w:rsidR="6AC66DDB">
        <w:rPr>
          <w:rFonts w:ascii="Arial" w:hAnsi="Arial" w:eastAsia="Arial" w:cs="Arial"/>
          <w:noProof w:val="0"/>
          <w:color w:val="auto"/>
          <w:sz w:val="24"/>
          <w:szCs w:val="24"/>
          <w:lang w:val="en-GB"/>
        </w:rPr>
        <w:t>identifies</w:t>
      </w:r>
      <w:r w:rsidRPr="0052A477" w:rsidR="6AC66DDB">
        <w:rPr>
          <w:rFonts w:ascii="Arial" w:hAnsi="Arial" w:eastAsia="Arial" w:cs="Arial"/>
          <w:noProof w:val="0"/>
          <w:color w:val="auto"/>
          <w:sz w:val="24"/>
          <w:szCs w:val="24"/>
          <w:lang w:val="en-GB"/>
        </w:rPr>
        <w:t xml:space="preserve"> two primary stages in Zara’s product development process. First, trend forecasters collect insights by </w:t>
      </w:r>
      <w:r w:rsidRPr="0052A477" w:rsidR="6AC66DDB">
        <w:rPr>
          <w:rFonts w:ascii="Arial" w:hAnsi="Arial" w:eastAsia="Arial" w:cs="Arial"/>
          <w:noProof w:val="0"/>
          <w:color w:val="auto"/>
          <w:sz w:val="24"/>
          <w:szCs w:val="24"/>
          <w:lang w:val="en-GB"/>
        </w:rPr>
        <w:t>observing</w:t>
      </w:r>
      <w:r w:rsidRPr="0052A477" w:rsidR="6AC66DDB">
        <w:rPr>
          <w:rFonts w:ascii="Arial" w:hAnsi="Arial" w:eastAsia="Arial" w:cs="Arial"/>
          <w:noProof w:val="0"/>
          <w:color w:val="auto"/>
          <w:sz w:val="24"/>
          <w:szCs w:val="24"/>
          <w:lang w:val="en-GB"/>
        </w:rPr>
        <w:t xml:space="preserve"> fashion shows, visiting shopping districts and universities, and exploring global fashion hubs. These insights are then quickly transformed into designs through close collaboration with product developers. This empirically driven approach is especially important for successful entry into international markets.</w:t>
      </w:r>
    </w:p>
    <w:p w:rsidR="6AC66DDB" w:rsidP="0052A477" w:rsidRDefault="6AC66DDB" w14:paraId="7CD1472B" w14:textId="1FA0F085">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6AC66DDB">
        <w:rPr>
          <w:rFonts w:ascii="Arial" w:hAnsi="Arial" w:eastAsia="Arial" w:cs="Arial"/>
          <w:noProof w:val="0"/>
          <w:color w:val="auto"/>
          <w:sz w:val="24"/>
          <w:szCs w:val="24"/>
          <w:lang w:val="en-GB"/>
        </w:rPr>
        <w:t xml:space="preserve">Zara typically enters new markets through wholly owned subsidiaries, supporting its centralised supply chain and enabling direct control over pricing, merchandise, store layout, and stock rotation. In key markets such as Spain and Italy, this approach </w:t>
      </w:r>
      <w:r w:rsidRPr="0052A477" w:rsidR="6AC66DDB">
        <w:rPr>
          <w:rFonts w:ascii="Arial" w:hAnsi="Arial" w:eastAsia="Arial" w:cs="Arial"/>
          <w:noProof w:val="0"/>
          <w:color w:val="auto"/>
          <w:sz w:val="24"/>
          <w:szCs w:val="24"/>
          <w:lang w:val="en-GB"/>
        </w:rPr>
        <w:t>facilitates</w:t>
      </w:r>
      <w:r w:rsidRPr="0052A477" w:rsidR="6AC66DDB">
        <w:rPr>
          <w:rFonts w:ascii="Arial" w:hAnsi="Arial" w:eastAsia="Arial" w:cs="Arial"/>
          <w:noProof w:val="0"/>
          <w:color w:val="auto"/>
          <w:sz w:val="24"/>
          <w:szCs w:val="24"/>
          <w:lang w:val="en-GB"/>
        </w:rPr>
        <w:t xml:space="preserve"> seamless strategic execution. However, Zara also utilises franchising and joint ventures to expand its market presence. In India and China, joint ventures have proven effective for navigating unfamiliar business environments. For example, Zara’s partnership with Tata Group’s retail arm in India has </w:t>
      </w:r>
      <w:r w:rsidRPr="0052A477" w:rsidR="6AC66DDB">
        <w:rPr>
          <w:rFonts w:ascii="Arial" w:hAnsi="Arial" w:eastAsia="Arial" w:cs="Arial"/>
          <w:noProof w:val="0"/>
          <w:color w:val="auto"/>
          <w:sz w:val="24"/>
          <w:szCs w:val="24"/>
          <w:lang w:val="en-GB"/>
        </w:rPr>
        <w:t>facilitated</w:t>
      </w:r>
      <w:r w:rsidRPr="0052A477" w:rsidR="6AC66DDB">
        <w:rPr>
          <w:rFonts w:ascii="Arial" w:hAnsi="Arial" w:eastAsia="Arial" w:cs="Arial"/>
          <w:noProof w:val="0"/>
          <w:color w:val="auto"/>
          <w:sz w:val="24"/>
          <w:szCs w:val="24"/>
          <w:lang w:val="en-GB"/>
        </w:rPr>
        <w:t xml:space="preserve"> expansion by </w:t>
      </w:r>
      <w:r w:rsidRPr="0052A477" w:rsidR="6AC66DDB">
        <w:rPr>
          <w:rFonts w:ascii="Arial" w:hAnsi="Arial" w:eastAsia="Arial" w:cs="Arial"/>
          <w:noProof w:val="0"/>
          <w:color w:val="auto"/>
          <w:sz w:val="24"/>
          <w:szCs w:val="24"/>
          <w:lang w:val="en-GB"/>
        </w:rPr>
        <w:t>leveraging</w:t>
      </w:r>
      <w:r w:rsidRPr="0052A477" w:rsidR="6AC66DDB">
        <w:rPr>
          <w:rFonts w:ascii="Arial" w:hAnsi="Arial" w:eastAsia="Arial" w:cs="Arial"/>
          <w:noProof w:val="0"/>
          <w:color w:val="auto"/>
          <w:sz w:val="24"/>
          <w:szCs w:val="24"/>
          <w:lang w:val="en-GB"/>
        </w:rPr>
        <w:t xml:space="preserve"> local </w:t>
      </w:r>
      <w:r w:rsidRPr="0052A477" w:rsidR="6AC66DDB">
        <w:rPr>
          <w:rFonts w:ascii="Arial" w:hAnsi="Arial" w:eastAsia="Arial" w:cs="Arial"/>
          <w:noProof w:val="0"/>
          <w:color w:val="auto"/>
          <w:sz w:val="24"/>
          <w:szCs w:val="24"/>
          <w:lang w:val="en-GB"/>
        </w:rPr>
        <w:t>expertise</w:t>
      </w:r>
      <w:r w:rsidRPr="0052A477" w:rsidR="6AC66DDB">
        <w:rPr>
          <w:rFonts w:ascii="Arial" w:hAnsi="Arial" w:eastAsia="Arial" w:cs="Arial"/>
          <w:noProof w:val="0"/>
          <w:color w:val="auto"/>
          <w:sz w:val="24"/>
          <w:szCs w:val="24"/>
          <w:lang w:val="en-GB"/>
        </w:rPr>
        <w:t xml:space="preserve">. In regions with complex cultural dynamics or restrictions on foreign ownership, such as the Middle East, Zara adopts franchising, as </w:t>
      </w:r>
      <w:r w:rsidRPr="0052A477" w:rsidR="6AC66DDB">
        <w:rPr>
          <w:rFonts w:ascii="Arial" w:hAnsi="Arial" w:eastAsia="Arial" w:cs="Arial"/>
          <w:noProof w:val="0"/>
          <w:color w:val="auto"/>
          <w:sz w:val="24"/>
          <w:szCs w:val="24"/>
          <w:lang w:val="en-GB"/>
        </w:rPr>
        <w:t>demonstrated</w:t>
      </w:r>
      <w:r w:rsidRPr="0052A477" w:rsidR="6AC66DDB">
        <w:rPr>
          <w:rFonts w:ascii="Arial" w:hAnsi="Arial" w:eastAsia="Arial" w:cs="Arial"/>
          <w:noProof w:val="0"/>
          <w:color w:val="auto"/>
          <w:sz w:val="24"/>
          <w:szCs w:val="24"/>
          <w:lang w:val="en-GB"/>
        </w:rPr>
        <w:t xml:space="preserve"> by its successful franchise operations in Saudi Arabia, which ensure regulatory compliance while preserving brand integrity.</w:t>
      </w:r>
    </w:p>
    <w:p w:rsidR="6AC66DDB" w:rsidP="0052A477" w:rsidRDefault="6AC66DDB" w14:paraId="76650F55" w14:textId="1657B18B">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6AC66DDB">
        <w:rPr>
          <w:rFonts w:ascii="Arial" w:hAnsi="Arial" w:eastAsia="Arial" w:cs="Arial"/>
          <w:noProof w:val="0"/>
          <w:color w:val="auto"/>
          <w:sz w:val="24"/>
          <w:szCs w:val="24"/>
          <w:lang w:val="en-GB"/>
        </w:rPr>
        <w:t xml:space="preserve">Multiple factors shape Zara’s decisions </w:t>
      </w:r>
      <w:r w:rsidRPr="0052A477" w:rsidR="6AC66DDB">
        <w:rPr>
          <w:rFonts w:ascii="Arial" w:hAnsi="Arial" w:eastAsia="Arial" w:cs="Arial"/>
          <w:noProof w:val="0"/>
          <w:color w:val="auto"/>
          <w:sz w:val="24"/>
          <w:szCs w:val="24"/>
          <w:lang w:val="en-GB"/>
        </w:rPr>
        <w:t>regarding</w:t>
      </w:r>
      <w:r w:rsidRPr="0052A477" w:rsidR="6AC66DDB">
        <w:rPr>
          <w:rFonts w:ascii="Arial" w:hAnsi="Arial" w:eastAsia="Arial" w:cs="Arial"/>
          <w:noProof w:val="0"/>
          <w:color w:val="auto"/>
          <w:sz w:val="24"/>
          <w:szCs w:val="24"/>
          <w:lang w:val="en-GB"/>
        </w:rPr>
        <w:t xml:space="preserve"> entry modes. Regulatory requirements are crucial, as local laws may </w:t>
      </w:r>
      <w:r w:rsidRPr="0052A477" w:rsidR="6AC66DDB">
        <w:rPr>
          <w:rFonts w:ascii="Arial" w:hAnsi="Arial" w:eastAsia="Arial" w:cs="Arial"/>
          <w:noProof w:val="0"/>
          <w:color w:val="auto"/>
          <w:sz w:val="24"/>
          <w:szCs w:val="24"/>
          <w:lang w:val="en-GB"/>
        </w:rPr>
        <w:t>necessitate</w:t>
      </w:r>
      <w:r w:rsidRPr="0052A477" w:rsidR="6AC66DDB">
        <w:rPr>
          <w:rFonts w:ascii="Arial" w:hAnsi="Arial" w:eastAsia="Arial" w:cs="Arial"/>
          <w:noProof w:val="0"/>
          <w:color w:val="auto"/>
          <w:sz w:val="24"/>
          <w:szCs w:val="24"/>
          <w:lang w:val="en-GB"/>
        </w:rPr>
        <w:t xml:space="preserve"> franchising or joint ventures, particularly in markets with foreign ownership restrictions. Market familiarity also plays a significant role; entering unfamiliar markets often requires partnerships with local firms to gain insights and </w:t>
      </w:r>
      <w:r w:rsidRPr="0052A477" w:rsidR="6AC66DDB">
        <w:rPr>
          <w:rFonts w:ascii="Arial" w:hAnsi="Arial" w:eastAsia="Arial" w:cs="Arial"/>
          <w:noProof w:val="0"/>
          <w:color w:val="auto"/>
          <w:sz w:val="24"/>
          <w:szCs w:val="24"/>
          <w:lang w:val="en-GB"/>
        </w:rPr>
        <w:t>establish</w:t>
      </w:r>
      <w:r w:rsidRPr="0052A477" w:rsidR="6AC66DDB">
        <w:rPr>
          <w:rFonts w:ascii="Arial" w:hAnsi="Arial" w:eastAsia="Arial" w:cs="Arial"/>
          <w:noProof w:val="0"/>
          <w:color w:val="auto"/>
          <w:sz w:val="24"/>
          <w:szCs w:val="24"/>
          <w:lang w:val="en-GB"/>
        </w:rPr>
        <w:t xml:space="preserve"> a presence. Additionally, Zara’s emphasis on control—especially over supply chain efficiency and brand identity—drives its preference for wholly owned subsidiaries in familiar and strategically important markets.</w:t>
      </w:r>
    </w:p>
    <w:p w:rsidR="7AA0C942" w:rsidP="0052A477" w:rsidRDefault="7AA0C942" w14:paraId="14DB2E10" w14:textId="3C4C5BBD">
      <w:pPr>
        <w:pStyle w:val="Heading1"/>
        <w:spacing w:before="240" w:beforeAutospacing="off" w:after="240" w:afterAutospacing="off" w:line="360" w:lineRule="auto"/>
        <w:jc w:val="both"/>
        <w:rPr>
          <w:rFonts w:ascii="Arial" w:hAnsi="Arial" w:eastAsia="Arial" w:cs="Arial"/>
          <w:b w:val="1"/>
          <w:bCs w:val="1"/>
          <w:noProof w:val="0"/>
          <w:color w:val="auto"/>
          <w:sz w:val="24"/>
          <w:szCs w:val="24"/>
          <w:lang w:val="en-GB"/>
        </w:rPr>
      </w:pPr>
      <w:bookmarkStart w:name="_Toc577150979" w:id="261924518"/>
      <w:r w:rsidRPr="0052A477" w:rsidR="7AA0C942">
        <w:rPr>
          <w:rFonts w:ascii="Arial" w:hAnsi="Arial" w:eastAsia="Arial" w:cs="Arial"/>
          <w:b w:val="1"/>
          <w:bCs w:val="1"/>
          <w:noProof w:val="0"/>
          <w:color w:val="auto"/>
          <w:sz w:val="24"/>
          <w:szCs w:val="24"/>
          <w:lang w:val="en-GB"/>
        </w:rPr>
        <w:t xml:space="preserve">Critical Analysis of the OLI Framework </w:t>
      </w:r>
      <w:r w:rsidRPr="0052A477" w:rsidR="5CD7A6FC">
        <w:rPr>
          <w:rFonts w:ascii="Arial" w:hAnsi="Arial" w:eastAsia="Arial" w:cs="Arial"/>
          <w:b w:val="1"/>
          <w:bCs w:val="1"/>
          <w:noProof w:val="0"/>
          <w:color w:val="auto"/>
          <w:sz w:val="24"/>
          <w:szCs w:val="24"/>
          <w:lang w:val="en-GB"/>
        </w:rPr>
        <w:t>of Zara in Spain and China</w:t>
      </w:r>
      <w:bookmarkEnd w:id="261924518"/>
    </w:p>
    <w:p w:rsidR="5CD7A6FC" w:rsidP="0052A477" w:rsidRDefault="5CD7A6FC" w14:paraId="4A958CD4" w14:textId="232B622F">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5CD7A6FC">
        <w:rPr>
          <w:rFonts w:ascii="Arial" w:hAnsi="Arial" w:eastAsia="Arial" w:cs="Arial"/>
          <w:noProof w:val="0"/>
          <w:color w:val="auto"/>
          <w:sz w:val="24"/>
          <w:szCs w:val="24"/>
          <w:lang w:val="en-GB"/>
        </w:rPr>
        <w:t xml:space="preserve">Zara, a global leader in fast fashion, has effectively </w:t>
      </w:r>
      <w:r w:rsidRPr="0052A477" w:rsidR="5CD7A6FC">
        <w:rPr>
          <w:rFonts w:ascii="Arial" w:hAnsi="Arial" w:eastAsia="Arial" w:cs="Arial"/>
          <w:noProof w:val="0"/>
          <w:color w:val="auto"/>
          <w:sz w:val="24"/>
          <w:szCs w:val="24"/>
          <w:lang w:val="en-GB"/>
        </w:rPr>
        <w:t>leveraged</w:t>
      </w:r>
      <w:r w:rsidRPr="0052A477" w:rsidR="5CD7A6FC">
        <w:rPr>
          <w:rFonts w:ascii="Arial" w:hAnsi="Arial" w:eastAsia="Arial" w:cs="Arial"/>
          <w:noProof w:val="0"/>
          <w:color w:val="auto"/>
          <w:sz w:val="24"/>
          <w:szCs w:val="24"/>
          <w:lang w:val="en-GB"/>
        </w:rPr>
        <w:t xml:space="preserve"> its Ownership, Location, and Internalisation (OLI) advantages to expand into international markets, including its home country, Spain, and China. This analysis argues that Zara’s strategic application of the OLI framework not only underscores its market dominance but also </w:t>
      </w:r>
      <w:r w:rsidRPr="0052A477" w:rsidR="5CD7A6FC">
        <w:rPr>
          <w:rFonts w:ascii="Arial" w:hAnsi="Arial" w:eastAsia="Arial" w:cs="Arial"/>
          <w:noProof w:val="0"/>
          <w:color w:val="auto"/>
          <w:sz w:val="24"/>
          <w:szCs w:val="24"/>
          <w:lang w:val="en-GB"/>
        </w:rPr>
        <w:t>demonstrates</w:t>
      </w:r>
      <w:r w:rsidRPr="0052A477" w:rsidR="5CD7A6FC">
        <w:rPr>
          <w:rFonts w:ascii="Arial" w:hAnsi="Arial" w:eastAsia="Arial" w:cs="Arial"/>
          <w:noProof w:val="0"/>
          <w:color w:val="auto"/>
          <w:sz w:val="24"/>
          <w:szCs w:val="24"/>
          <w:lang w:val="en-GB"/>
        </w:rPr>
        <w:t xml:space="preserve"> the company's capacity to adapt to diverse market environments. The study examines how Zara’s business model and strategic decisions are shaped by these OLI advantages in these two distinct markets.</w:t>
      </w:r>
    </w:p>
    <w:p w:rsidR="37749C9A" w:rsidP="0052A477" w:rsidRDefault="37749C9A" w14:paraId="6A0F9345" w14:textId="2D8A9122">
      <w:pPr>
        <w:pStyle w:val="Heading2"/>
        <w:spacing w:line="360" w:lineRule="auto"/>
        <w:jc w:val="both"/>
        <w:rPr>
          <w:rFonts w:ascii="Arial" w:hAnsi="Arial" w:eastAsia="Arial" w:cs="Arial"/>
          <w:noProof w:val="0"/>
          <w:color w:val="auto"/>
          <w:sz w:val="24"/>
          <w:szCs w:val="24"/>
          <w:lang w:val="en-GB"/>
        </w:rPr>
      </w:pPr>
      <w:bookmarkStart w:name="_Toc1182525143" w:id="1336248588"/>
      <w:r w:rsidRPr="0052A477" w:rsidR="37749C9A">
        <w:rPr>
          <w:rFonts w:ascii="Arial" w:hAnsi="Arial" w:eastAsia="Arial" w:cs="Arial"/>
          <w:noProof w:val="0"/>
          <w:color w:val="auto"/>
          <w:sz w:val="24"/>
          <w:szCs w:val="24"/>
          <w:lang w:val="en-GB"/>
        </w:rPr>
        <w:t>Ownership Advantage: Control, Efficiency and Adaptability</w:t>
      </w:r>
      <w:bookmarkEnd w:id="1336248588"/>
    </w:p>
    <w:p w:rsidR="58A2CDCA" w:rsidP="0052A477" w:rsidRDefault="58A2CDCA" w14:paraId="05E4C67A" w14:textId="67D365FA">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58A2CDCA">
        <w:rPr>
          <w:rFonts w:ascii="Arial" w:hAnsi="Arial" w:eastAsia="Arial" w:cs="Arial"/>
          <w:noProof w:val="0"/>
          <w:color w:val="auto"/>
          <w:sz w:val="24"/>
          <w:szCs w:val="24"/>
          <w:lang w:val="en-GB"/>
        </w:rPr>
        <w:t xml:space="preserve">Zara’s ownership advantage is rooted in its unique business model, which prioritises fast fashion, supply chain agility, and rapid response to market trends (Ly, 2021). In Spain, Zara’s home country, its centralised </w:t>
      </w:r>
      <w:r w:rsidRPr="0052A477" w:rsidR="58A2CDCA">
        <w:rPr>
          <w:rFonts w:ascii="Arial" w:hAnsi="Arial" w:eastAsia="Arial" w:cs="Arial"/>
          <w:noProof w:val="0"/>
          <w:color w:val="auto"/>
          <w:sz w:val="24"/>
          <w:szCs w:val="24"/>
          <w:lang w:val="en-GB"/>
        </w:rPr>
        <w:t>logistics</w:t>
      </w:r>
      <w:r w:rsidRPr="0052A477" w:rsidR="58A2CDCA">
        <w:rPr>
          <w:rFonts w:ascii="Arial" w:hAnsi="Arial" w:eastAsia="Arial" w:cs="Arial"/>
          <w:noProof w:val="0"/>
          <w:color w:val="auto"/>
          <w:sz w:val="24"/>
          <w:szCs w:val="24"/>
          <w:lang w:val="en-GB"/>
        </w:rPr>
        <w:t>, sophisticated inventory system, and vertical integration provide a significant competitive edge. The company's ability to design, produce, and distribute new collections within two weeks allows it to respond quickly to consumer preferences, giving Zara an advantage over competitors (Li, Liu, and Zhou, 2024). This ownership advantage is key to Zara's success in both developed and emerging markets.</w:t>
      </w:r>
    </w:p>
    <w:p w:rsidR="58A2CDCA" w:rsidP="0052A477" w:rsidRDefault="58A2CDCA" w14:paraId="7A5B65C3" w14:textId="55B30B0B">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58A2CDCA">
        <w:rPr>
          <w:rFonts w:ascii="Arial" w:hAnsi="Arial" w:eastAsia="Arial" w:cs="Arial"/>
          <w:noProof w:val="0"/>
          <w:color w:val="auto"/>
          <w:sz w:val="24"/>
          <w:szCs w:val="24"/>
          <w:lang w:val="en-GB"/>
        </w:rPr>
        <w:t xml:space="preserve">In China, Zara has faced challenges distinct from those in its home market. While its supply chain advantages </w:t>
      </w:r>
      <w:r w:rsidRPr="0052A477" w:rsidR="58A2CDCA">
        <w:rPr>
          <w:rFonts w:ascii="Arial" w:hAnsi="Arial" w:eastAsia="Arial" w:cs="Arial"/>
          <w:noProof w:val="0"/>
          <w:color w:val="auto"/>
          <w:sz w:val="24"/>
          <w:szCs w:val="24"/>
          <w:lang w:val="en-GB"/>
        </w:rPr>
        <w:t>remain</w:t>
      </w:r>
      <w:r w:rsidRPr="0052A477" w:rsidR="58A2CDCA">
        <w:rPr>
          <w:rFonts w:ascii="Arial" w:hAnsi="Arial" w:eastAsia="Arial" w:cs="Arial"/>
          <w:noProof w:val="0"/>
          <w:color w:val="auto"/>
          <w:sz w:val="24"/>
          <w:szCs w:val="24"/>
          <w:lang w:val="en-GB"/>
        </w:rPr>
        <w:t xml:space="preserve"> important, the Chinese market presents unique consumer behaviours and competitive dynamics. To address these challenges, Zara has employed joint ventures with local partners (Lopez and Fan, 2009). This approach allows Zara to </w:t>
      </w:r>
      <w:r w:rsidRPr="0052A477" w:rsidR="58A2CDCA">
        <w:rPr>
          <w:rFonts w:ascii="Arial" w:hAnsi="Arial" w:eastAsia="Arial" w:cs="Arial"/>
          <w:noProof w:val="0"/>
          <w:color w:val="auto"/>
          <w:sz w:val="24"/>
          <w:szCs w:val="24"/>
          <w:lang w:val="en-GB"/>
        </w:rPr>
        <w:t>leverage</w:t>
      </w:r>
      <w:r w:rsidRPr="0052A477" w:rsidR="58A2CDCA">
        <w:rPr>
          <w:rFonts w:ascii="Arial" w:hAnsi="Arial" w:eastAsia="Arial" w:cs="Arial"/>
          <w:noProof w:val="0"/>
          <w:color w:val="auto"/>
          <w:sz w:val="24"/>
          <w:szCs w:val="24"/>
          <w:lang w:val="en-GB"/>
        </w:rPr>
        <w:t xml:space="preserve"> local </w:t>
      </w:r>
      <w:r w:rsidRPr="0052A477" w:rsidR="58A2CDCA">
        <w:rPr>
          <w:rFonts w:ascii="Arial" w:hAnsi="Arial" w:eastAsia="Arial" w:cs="Arial"/>
          <w:noProof w:val="0"/>
          <w:color w:val="auto"/>
          <w:sz w:val="24"/>
          <w:szCs w:val="24"/>
          <w:lang w:val="en-GB"/>
        </w:rPr>
        <w:t>expertise</w:t>
      </w:r>
      <w:r w:rsidRPr="0052A477" w:rsidR="58A2CDCA">
        <w:rPr>
          <w:rFonts w:ascii="Arial" w:hAnsi="Arial" w:eastAsia="Arial" w:cs="Arial"/>
          <w:noProof w:val="0"/>
          <w:color w:val="auto"/>
          <w:sz w:val="24"/>
          <w:szCs w:val="24"/>
          <w:lang w:val="en-GB"/>
        </w:rPr>
        <w:t xml:space="preserve">, which is crucial in a market with intense competition from both domestic brands like Uniqlo and international competitors. Joint ventures enable Zara to mitigate the risks of cultural misalignment and market-entry barriers while </w:t>
      </w:r>
      <w:r w:rsidRPr="0052A477" w:rsidR="58A2CDCA">
        <w:rPr>
          <w:rFonts w:ascii="Arial" w:hAnsi="Arial" w:eastAsia="Arial" w:cs="Arial"/>
          <w:noProof w:val="0"/>
          <w:color w:val="auto"/>
          <w:sz w:val="24"/>
          <w:szCs w:val="24"/>
          <w:lang w:val="en-GB"/>
        </w:rPr>
        <w:t>maintaining</w:t>
      </w:r>
      <w:r w:rsidRPr="0052A477" w:rsidR="58A2CDCA">
        <w:rPr>
          <w:rFonts w:ascii="Arial" w:hAnsi="Arial" w:eastAsia="Arial" w:cs="Arial"/>
          <w:noProof w:val="0"/>
          <w:color w:val="auto"/>
          <w:sz w:val="24"/>
          <w:szCs w:val="24"/>
          <w:lang w:val="en-GB"/>
        </w:rPr>
        <w:t xml:space="preserve"> some control. However, joint ventures also present certain drawbacks, such as potential loss of control over operations and difficulties in integrating corporate cultures. These limitations can </w:t>
      </w:r>
      <w:r w:rsidRPr="0052A477" w:rsidR="58A2CDCA">
        <w:rPr>
          <w:rFonts w:ascii="Arial" w:hAnsi="Arial" w:eastAsia="Arial" w:cs="Arial"/>
          <w:noProof w:val="0"/>
          <w:color w:val="auto"/>
          <w:sz w:val="24"/>
          <w:szCs w:val="24"/>
          <w:lang w:val="en-GB"/>
        </w:rPr>
        <w:t>impact</w:t>
      </w:r>
      <w:r w:rsidRPr="0052A477" w:rsidR="58A2CDCA">
        <w:rPr>
          <w:rFonts w:ascii="Arial" w:hAnsi="Arial" w:eastAsia="Arial" w:cs="Arial"/>
          <w:noProof w:val="0"/>
          <w:color w:val="auto"/>
          <w:sz w:val="24"/>
          <w:szCs w:val="24"/>
          <w:lang w:val="en-GB"/>
        </w:rPr>
        <w:t xml:space="preserve"> decision-making efficiency and dilute Zara’s brand consistency. Despite these challenges, in both Spain and China, Zara’s ownership of production and </w:t>
      </w:r>
      <w:r w:rsidRPr="0052A477" w:rsidR="58A2CDCA">
        <w:rPr>
          <w:rFonts w:ascii="Arial" w:hAnsi="Arial" w:eastAsia="Arial" w:cs="Arial"/>
          <w:noProof w:val="0"/>
          <w:color w:val="auto"/>
          <w:sz w:val="24"/>
          <w:szCs w:val="24"/>
          <w:lang w:val="en-GB"/>
        </w:rPr>
        <w:t>logistics</w:t>
      </w:r>
      <w:r w:rsidRPr="0052A477" w:rsidR="58A2CDCA">
        <w:rPr>
          <w:rFonts w:ascii="Arial" w:hAnsi="Arial" w:eastAsia="Arial" w:cs="Arial"/>
          <w:noProof w:val="0"/>
          <w:color w:val="auto"/>
          <w:sz w:val="24"/>
          <w:szCs w:val="24"/>
          <w:lang w:val="en-GB"/>
        </w:rPr>
        <w:t xml:space="preserve"> enables it to adapt quickly to fashion trends, setting it apart from competitors like H&amp;M, which relies more heavily on outsourced production (Ly, 2021).</w:t>
      </w:r>
    </w:p>
    <w:p w:rsidR="58A2CDCA" w:rsidP="0052A477" w:rsidRDefault="58A2CDCA" w14:paraId="25671DEA" w14:textId="2A16D935">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58A2CDCA">
        <w:rPr>
          <w:rFonts w:ascii="Arial" w:hAnsi="Arial" w:eastAsia="Arial" w:cs="Arial"/>
          <w:noProof w:val="0"/>
          <w:color w:val="auto"/>
          <w:sz w:val="24"/>
          <w:szCs w:val="24"/>
          <w:lang w:val="en-GB"/>
        </w:rPr>
        <w:t>Zara's ownership advantage also plays a significant role in emerging markets like China, where rapid production cycles and tight control over supply chains help it navigate challenges such as infrastructure limitations and intense competition (</w:t>
      </w:r>
      <w:r w:rsidRPr="0052A477" w:rsidR="58A2CDCA">
        <w:rPr>
          <w:rFonts w:ascii="Arial" w:hAnsi="Arial" w:eastAsia="Arial" w:cs="Arial"/>
          <w:noProof w:val="0"/>
          <w:color w:val="auto"/>
          <w:sz w:val="24"/>
          <w:szCs w:val="24"/>
          <w:lang w:val="en-GB"/>
        </w:rPr>
        <w:t>Gresi</w:t>
      </w:r>
      <w:r w:rsidRPr="0052A477" w:rsidR="58A2CDCA">
        <w:rPr>
          <w:rFonts w:ascii="Arial" w:hAnsi="Arial" w:eastAsia="Arial" w:cs="Arial"/>
          <w:noProof w:val="0"/>
          <w:color w:val="auto"/>
          <w:sz w:val="24"/>
          <w:szCs w:val="24"/>
          <w:lang w:val="en-GB"/>
        </w:rPr>
        <w:t xml:space="preserve"> Sanje Dahan and Filiz Balta </w:t>
      </w:r>
      <w:r w:rsidRPr="0052A477" w:rsidR="58A2CDCA">
        <w:rPr>
          <w:rFonts w:ascii="Arial" w:hAnsi="Arial" w:eastAsia="Arial" w:cs="Arial"/>
          <w:noProof w:val="0"/>
          <w:color w:val="auto"/>
          <w:sz w:val="24"/>
          <w:szCs w:val="24"/>
          <w:lang w:val="en-GB"/>
        </w:rPr>
        <w:t>Peltekoglu</w:t>
      </w:r>
      <w:r w:rsidRPr="0052A477" w:rsidR="58A2CDCA">
        <w:rPr>
          <w:rFonts w:ascii="Arial" w:hAnsi="Arial" w:eastAsia="Arial" w:cs="Arial"/>
          <w:noProof w:val="0"/>
          <w:color w:val="auto"/>
          <w:sz w:val="24"/>
          <w:szCs w:val="24"/>
          <w:lang w:val="en-GB"/>
        </w:rPr>
        <w:t xml:space="preserve">, 2011). Zara’s ability to quickly adjust its product offerings to local demand and fashion trends gives it a competitive edge over rivals that are slower to respond to market </w:t>
      </w:r>
      <w:r w:rsidRPr="0052A477" w:rsidR="58A2CDCA">
        <w:rPr>
          <w:rFonts w:ascii="Arial" w:hAnsi="Arial" w:eastAsia="Arial" w:cs="Arial"/>
          <w:noProof w:val="0"/>
          <w:color w:val="auto"/>
          <w:sz w:val="24"/>
          <w:szCs w:val="24"/>
          <w:lang w:val="en-GB"/>
        </w:rPr>
        <w:t>fluctuation</w:t>
      </w:r>
      <w:r w:rsidRPr="0052A477" w:rsidR="58A2CDCA">
        <w:rPr>
          <w:rFonts w:ascii="Arial" w:hAnsi="Arial" w:eastAsia="Arial" w:cs="Arial"/>
          <w:noProof w:val="0"/>
          <w:color w:val="auto"/>
          <w:sz w:val="24"/>
          <w:szCs w:val="24"/>
          <w:lang w:val="en-GB"/>
        </w:rPr>
        <w:t>.</w:t>
      </w:r>
    </w:p>
    <w:p w:rsidR="0052A477" w:rsidP="0052A477" w:rsidRDefault="0052A477" w14:paraId="43AFDA74" w14:textId="5541B7DB">
      <w:pPr>
        <w:pStyle w:val="Normal"/>
        <w:spacing w:line="360" w:lineRule="auto"/>
        <w:jc w:val="both"/>
        <w:rPr>
          <w:rFonts w:ascii="Arial" w:hAnsi="Arial" w:eastAsia="Arial" w:cs="Arial"/>
          <w:noProof w:val="0"/>
          <w:color w:val="auto"/>
          <w:sz w:val="24"/>
          <w:szCs w:val="24"/>
          <w:lang w:val="en-GB"/>
        </w:rPr>
      </w:pPr>
    </w:p>
    <w:p w:rsidR="37749C9A" w:rsidP="0052A477" w:rsidRDefault="37749C9A" w14:paraId="64BE0E99" w14:textId="49860E57">
      <w:pPr>
        <w:pStyle w:val="Heading3"/>
        <w:spacing w:line="360" w:lineRule="auto"/>
        <w:jc w:val="both"/>
        <w:rPr>
          <w:rFonts w:ascii="Arial" w:hAnsi="Arial" w:eastAsia="Arial" w:cs="Arial"/>
          <w:noProof w:val="0"/>
          <w:color w:val="auto"/>
          <w:sz w:val="24"/>
          <w:szCs w:val="24"/>
          <w:lang w:val="en-GB"/>
        </w:rPr>
      </w:pPr>
      <w:bookmarkStart w:name="_Toc1749608643" w:id="1717340547"/>
      <w:r w:rsidRPr="0052A477" w:rsidR="37749C9A">
        <w:rPr>
          <w:rFonts w:ascii="Arial" w:hAnsi="Arial" w:eastAsia="Arial" w:cs="Arial"/>
          <w:noProof w:val="0"/>
          <w:color w:val="auto"/>
          <w:sz w:val="24"/>
          <w:szCs w:val="24"/>
          <w:lang w:val="en-GB"/>
        </w:rPr>
        <w:t>Location Advantage: Strategic store placement and market accessibility</w:t>
      </w:r>
      <w:bookmarkEnd w:id="1717340547"/>
      <w:r w:rsidRPr="0052A477" w:rsidR="37749C9A">
        <w:rPr>
          <w:rFonts w:ascii="Arial" w:hAnsi="Arial" w:eastAsia="Arial" w:cs="Arial"/>
          <w:noProof w:val="0"/>
          <w:color w:val="auto"/>
          <w:sz w:val="24"/>
          <w:szCs w:val="24"/>
          <w:lang w:val="en-GB"/>
        </w:rPr>
        <w:t xml:space="preserve"> </w:t>
      </w:r>
    </w:p>
    <w:p w:rsidR="79E7071A" w:rsidP="0052A477" w:rsidRDefault="79E7071A" w14:paraId="61A58472" w14:textId="38B87D01">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79E7071A">
        <w:rPr>
          <w:rFonts w:ascii="Arial" w:hAnsi="Arial" w:eastAsia="Arial" w:cs="Arial"/>
          <w:noProof w:val="0"/>
          <w:color w:val="auto"/>
          <w:sz w:val="24"/>
          <w:szCs w:val="24"/>
          <w:lang w:val="en-GB"/>
        </w:rPr>
        <w:t xml:space="preserve">Zara’s location advantages are a crucial </w:t>
      </w:r>
      <w:r w:rsidRPr="0052A477" w:rsidR="79E7071A">
        <w:rPr>
          <w:rFonts w:ascii="Arial" w:hAnsi="Arial" w:eastAsia="Arial" w:cs="Arial"/>
          <w:noProof w:val="0"/>
          <w:color w:val="auto"/>
          <w:sz w:val="24"/>
          <w:szCs w:val="24"/>
          <w:lang w:val="en-GB"/>
        </w:rPr>
        <w:t>component</w:t>
      </w:r>
      <w:r w:rsidRPr="0052A477" w:rsidR="79E7071A">
        <w:rPr>
          <w:rFonts w:ascii="Arial" w:hAnsi="Arial" w:eastAsia="Arial" w:cs="Arial"/>
          <w:noProof w:val="0"/>
          <w:color w:val="auto"/>
          <w:sz w:val="24"/>
          <w:szCs w:val="24"/>
          <w:lang w:val="en-GB"/>
        </w:rPr>
        <w:t xml:space="preserve"> of its global expansion strategy. The company carefully selects locations that maximise visibility and foot traffic, which directly contribute to its brand image and consumer reach. In Spain, Zara’s strategic presence in prime retail locations is a hallmark of its brand identity. Its stores are not just retail spaces but are designed to create an engaging shopping experience, tailored to local consumer tastes and cultural preferences (Lopez and Fan, 2009). Zara’s flagship stores in high-traffic areas like Madrid and Barcelona feature visually appealing window displays that attract consumers and reinforce the brand's image as a leader in fast fashion.</w:t>
      </w:r>
    </w:p>
    <w:p w:rsidR="79E7071A" w:rsidP="0052A477" w:rsidRDefault="79E7071A" w14:paraId="46A5E56C" w14:textId="32292FCF">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79E7071A">
        <w:rPr>
          <w:rFonts w:ascii="Arial" w:hAnsi="Arial" w:eastAsia="Arial" w:cs="Arial"/>
          <w:noProof w:val="0"/>
          <w:color w:val="auto"/>
          <w:sz w:val="24"/>
          <w:szCs w:val="24"/>
          <w:lang w:val="en-GB"/>
        </w:rPr>
        <w:t xml:space="preserve">In China, Zara’s location strategy is equally crucial but requires more adaptation to local market conditions. The retail environment in China is highly competitive, with a growing number of both domestic and international brands vying for market share. Zara’s decision to enter the Chinese market through joint ventures rather than wholly owned subsidiaries reflects its strategy to </w:t>
      </w:r>
      <w:r w:rsidRPr="0052A477" w:rsidR="79E7071A">
        <w:rPr>
          <w:rFonts w:ascii="Arial" w:hAnsi="Arial" w:eastAsia="Arial" w:cs="Arial"/>
          <w:noProof w:val="0"/>
          <w:color w:val="auto"/>
          <w:sz w:val="24"/>
          <w:szCs w:val="24"/>
          <w:lang w:val="en-GB"/>
        </w:rPr>
        <w:t>leverage</w:t>
      </w:r>
      <w:r w:rsidRPr="0052A477" w:rsidR="79E7071A">
        <w:rPr>
          <w:rFonts w:ascii="Arial" w:hAnsi="Arial" w:eastAsia="Arial" w:cs="Arial"/>
          <w:noProof w:val="0"/>
          <w:color w:val="auto"/>
          <w:sz w:val="24"/>
          <w:szCs w:val="24"/>
          <w:lang w:val="en-GB"/>
        </w:rPr>
        <w:t xml:space="preserve"> local market knowledge and networks (Lopez and Fan, 2009). This approach enables Zara to navigate the complexities of the Chinese market more effectively while mitigating the risks posed by cultural differences and market entry barriers.</w:t>
      </w:r>
    </w:p>
    <w:p w:rsidR="79E7071A" w:rsidP="0052A477" w:rsidRDefault="79E7071A" w14:paraId="398CF118" w14:textId="06696AF5">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79E7071A">
        <w:rPr>
          <w:rFonts w:ascii="Arial" w:hAnsi="Arial" w:eastAsia="Arial" w:cs="Arial"/>
          <w:noProof w:val="0"/>
          <w:color w:val="auto"/>
          <w:sz w:val="24"/>
          <w:szCs w:val="24"/>
          <w:lang w:val="en-GB"/>
        </w:rPr>
        <w:t>Despite these adjustments, Zara’s location-specific strategy in China still focuses on securing prime retail spaces in major urban centres such as Beijing, Shanghai, and Guangzhou, where consumer demand is high, and brand visibility is greatest. However, this approach requires Zara to address local regulatory challenges and consumer preferences, which often favour local products over foreign ones. In Spain, Zara enjoys significant success due to its prime location choices in major cities like Madrid and Barcelona, which have translated into substantial market share and impressive sales figures. In contrast, Zara's approach in China, while strategically sound, faces the challenges of intense local competition and complex regulations, which are affecting its overall sales growth. In high-risk countries, such as Saudi Arabia, Zara has used franchising to reduce exposure while testing new markets (Liu, Huang, and Pan, 2024).</w:t>
      </w:r>
    </w:p>
    <w:p w:rsidR="37749C9A" w:rsidP="0052A477" w:rsidRDefault="37749C9A" w14:paraId="6A3498B4" w14:textId="3C6A3C6B">
      <w:pPr>
        <w:pStyle w:val="Heading3"/>
        <w:spacing w:line="360" w:lineRule="auto"/>
        <w:jc w:val="both"/>
        <w:rPr>
          <w:rFonts w:ascii="Arial" w:hAnsi="Arial" w:eastAsia="Arial" w:cs="Arial"/>
          <w:noProof w:val="0"/>
          <w:color w:val="auto"/>
          <w:sz w:val="24"/>
          <w:szCs w:val="24"/>
          <w:lang w:val="en-GB"/>
        </w:rPr>
      </w:pPr>
      <w:bookmarkStart w:name="_Toc1619246045" w:id="103000578"/>
      <w:r w:rsidRPr="0052A477" w:rsidR="37749C9A">
        <w:rPr>
          <w:rFonts w:ascii="Arial" w:hAnsi="Arial" w:eastAsia="Arial" w:cs="Arial"/>
          <w:noProof w:val="0"/>
          <w:color w:val="auto"/>
          <w:sz w:val="24"/>
          <w:szCs w:val="24"/>
          <w:lang w:val="en-GB"/>
        </w:rPr>
        <w:t>Internalisation Advantage: Managing the Value Chain Internally</w:t>
      </w:r>
      <w:bookmarkEnd w:id="103000578"/>
    </w:p>
    <w:p w:rsidR="7987FD45" w:rsidP="0052A477" w:rsidRDefault="7987FD45" w14:paraId="5B462AE1" w14:textId="3D01A166">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7987FD45">
        <w:rPr>
          <w:rFonts w:ascii="Arial" w:hAnsi="Arial" w:eastAsia="Arial" w:cs="Arial"/>
          <w:noProof w:val="0"/>
          <w:color w:val="auto"/>
          <w:sz w:val="24"/>
          <w:szCs w:val="24"/>
          <w:lang w:val="en-GB"/>
        </w:rPr>
        <w:t xml:space="preserve">Zara’s internalisation advantages stem from its highly integrated value chain, which enables the company to </w:t>
      </w:r>
      <w:r w:rsidRPr="0052A477" w:rsidR="7987FD45">
        <w:rPr>
          <w:rFonts w:ascii="Arial" w:hAnsi="Arial" w:eastAsia="Arial" w:cs="Arial"/>
          <w:noProof w:val="0"/>
          <w:color w:val="auto"/>
          <w:sz w:val="24"/>
          <w:szCs w:val="24"/>
          <w:lang w:val="en-GB"/>
        </w:rPr>
        <w:t>maintain</w:t>
      </w:r>
      <w:r w:rsidRPr="0052A477" w:rsidR="7987FD45">
        <w:rPr>
          <w:rFonts w:ascii="Arial" w:hAnsi="Arial" w:eastAsia="Arial" w:cs="Arial"/>
          <w:noProof w:val="0"/>
          <w:color w:val="auto"/>
          <w:sz w:val="24"/>
          <w:szCs w:val="24"/>
          <w:lang w:val="en-GB"/>
        </w:rPr>
        <w:t xml:space="preserve"> control over key aspects of production, distribution, and design. This model ensures rapid response to fashion trends and allows Zara to remain flexible across its operations. Instead of relying on licensing or outsourcing, Zara manages most of its value chain in-house, which enables it to </w:t>
      </w:r>
      <w:r w:rsidRPr="0052A477" w:rsidR="7987FD45">
        <w:rPr>
          <w:rFonts w:ascii="Arial" w:hAnsi="Arial" w:eastAsia="Arial" w:cs="Arial"/>
          <w:noProof w:val="0"/>
          <w:color w:val="auto"/>
          <w:sz w:val="24"/>
          <w:szCs w:val="24"/>
          <w:lang w:val="en-GB"/>
        </w:rPr>
        <w:t>retain</w:t>
      </w:r>
      <w:r w:rsidRPr="0052A477" w:rsidR="7987FD45">
        <w:rPr>
          <w:rFonts w:ascii="Arial" w:hAnsi="Arial" w:eastAsia="Arial" w:cs="Arial"/>
          <w:noProof w:val="0"/>
          <w:color w:val="auto"/>
          <w:sz w:val="24"/>
          <w:szCs w:val="24"/>
          <w:lang w:val="en-GB"/>
        </w:rPr>
        <w:t xml:space="preserve"> control over critical decisions and keep costs low (Ly, 2021).</w:t>
      </w:r>
    </w:p>
    <w:p w:rsidR="7987FD45" w:rsidP="0052A477" w:rsidRDefault="7987FD45" w14:paraId="0CE29F67" w14:textId="4399C12B">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7987FD45">
        <w:rPr>
          <w:rFonts w:ascii="Arial" w:hAnsi="Arial" w:eastAsia="Arial" w:cs="Arial"/>
          <w:noProof w:val="0"/>
          <w:color w:val="auto"/>
          <w:sz w:val="24"/>
          <w:szCs w:val="24"/>
          <w:lang w:val="en-GB"/>
        </w:rPr>
        <w:t xml:space="preserve">In Spain, Zara’s centralised control over design and production allows the company to remain highly responsive to market demands. Local managers </w:t>
      </w:r>
      <w:r w:rsidRPr="0052A477" w:rsidR="7987FD45">
        <w:rPr>
          <w:rFonts w:ascii="Arial" w:hAnsi="Arial" w:eastAsia="Arial" w:cs="Arial"/>
          <w:noProof w:val="0"/>
          <w:color w:val="auto"/>
          <w:sz w:val="24"/>
          <w:szCs w:val="24"/>
          <w:lang w:val="en-GB"/>
        </w:rPr>
        <w:t>provide</w:t>
      </w:r>
      <w:r w:rsidRPr="0052A477" w:rsidR="7987FD45">
        <w:rPr>
          <w:rFonts w:ascii="Arial" w:hAnsi="Arial" w:eastAsia="Arial" w:cs="Arial"/>
          <w:noProof w:val="0"/>
          <w:color w:val="auto"/>
          <w:sz w:val="24"/>
          <w:szCs w:val="24"/>
          <w:lang w:val="en-GB"/>
        </w:rPr>
        <w:t xml:space="preserve"> valuable insights into consumer preferences, which they directly communicate to design teams, ensuring that launched products are tailored to the target market's needs (Bhardwaj, Eickman, and Runyan, 2011). In China, Zara faces complexities due to differences in consumer tastes and fashion cycles. The company’s use of joint ventures in China helps it balance control with adaptability, </w:t>
      </w:r>
      <w:r w:rsidRPr="0052A477" w:rsidR="7987FD45">
        <w:rPr>
          <w:rFonts w:ascii="Arial" w:hAnsi="Arial" w:eastAsia="Arial" w:cs="Arial"/>
          <w:noProof w:val="0"/>
          <w:color w:val="auto"/>
          <w:sz w:val="24"/>
          <w:szCs w:val="24"/>
          <w:lang w:val="en-GB"/>
        </w:rPr>
        <w:t>leveraging</w:t>
      </w:r>
      <w:r w:rsidRPr="0052A477" w:rsidR="7987FD45">
        <w:rPr>
          <w:rFonts w:ascii="Arial" w:hAnsi="Arial" w:eastAsia="Arial" w:cs="Arial"/>
          <w:noProof w:val="0"/>
          <w:color w:val="auto"/>
          <w:sz w:val="24"/>
          <w:szCs w:val="24"/>
          <w:lang w:val="en-GB"/>
        </w:rPr>
        <w:t xml:space="preserve"> local partners’ market knowledge while </w:t>
      </w:r>
      <w:r w:rsidRPr="0052A477" w:rsidR="7987FD45">
        <w:rPr>
          <w:rFonts w:ascii="Arial" w:hAnsi="Arial" w:eastAsia="Arial" w:cs="Arial"/>
          <w:noProof w:val="0"/>
          <w:color w:val="auto"/>
          <w:sz w:val="24"/>
          <w:szCs w:val="24"/>
          <w:lang w:val="en-GB"/>
        </w:rPr>
        <w:t>maintaining</w:t>
      </w:r>
      <w:r w:rsidRPr="0052A477" w:rsidR="7987FD45">
        <w:rPr>
          <w:rFonts w:ascii="Arial" w:hAnsi="Arial" w:eastAsia="Arial" w:cs="Arial"/>
          <w:noProof w:val="0"/>
          <w:color w:val="auto"/>
          <w:sz w:val="24"/>
          <w:szCs w:val="24"/>
          <w:lang w:val="en-GB"/>
        </w:rPr>
        <w:t xml:space="preserve"> Zara’s core, internally managed value chain (Liu, Huang, and Pan, 2024).</w:t>
      </w:r>
    </w:p>
    <w:p w:rsidR="7987FD45" w:rsidP="0052A477" w:rsidRDefault="7987FD45" w14:paraId="6A5891AE" w14:textId="5A2AF177">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7987FD45">
        <w:rPr>
          <w:rFonts w:ascii="Arial" w:hAnsi="Arial" w:eastAsia="Arial" w:cs="Arial"/>
          <w:noProof w:val="0"/>
          <w:color w:val="auto"/>
          <w:sz w:val="24"/>
          <w:szCs w:val="24"/>
          <w:lang w:val="en-GB"/>
        </w:rPr>
        <w:t xml:space="preserve">Zara’s strategy of minimising franchising and focusing on wholly owned subsidiaries in key markets is a testament to the company’s internalisation advantages. By keeping operations in-house, Zara </w:t>
      </w:r>
      <w:r w:rsidRPr="0052A477" w:rsidR="7987FD45">
        <w:rPr>
          <w:rFonts w:ascii="Arial" w:hAnsi="Arial" w:eastAsia="Arial" w:cs="Arial"/>
          <w:noProof w:val="0"/>
          <w:color w:val="auto"/>
          <w:sz w:val="24"/>
          <w:szCs w:val="24"/>
          <w:lang w:val="en-GB"/>
        </w:rPr>
        <w:t>maintains</w:t>
      </w:r>
      <w:r w:rsidRPr="0052A477" w:rsidR="7987FD45">
        <w:rPr>
          <w:rFonts w:ascii="Arial" w:hAnsi="Arial" w:eastAsia="Arial" w:cs="Arial"/>
          <w:noProof w:val="0"/>
          <w:color w:val="auto"/>
          <w:sz w:val="24"/>
          <w:szCs w:val="24"/>
          <w:lang w:val="en-GB"/>
        </w:rPr>
        <w:t xml:space="preserve"> consistency in its product offerings and customer experience, thereby strengthening its position as a leader in the fast-fashion industry (Anwar, 2017). While the OLI framework is particularly effective in explaining Zara's strategic decisions, it is important to acknowledge alternative internationalisation theories such as the Uppsala model and network theory. The Uppsala model emphasises gradual international expansion and the acquisition of market knowledge over time, which contrasts with Zara’s rapid entry strategy. Network theory highlights the role of relationships and networks in international expansion, as seen in Zara's joint ventures in markets such as China. However, OLI is particularly well-suited to understanding Zara’s approach, as it emphasises leveraging ownership, location, and internalisation advantages to achieve a competitive edge.</w:t>
      </w:r>
    </w:p>
    <w:p w:rsidR="23CEBC04" w:rsidP="0052A477" w:rsidRDefault="23CEBC04" w14:paraId="584C5F5D" w14:textId="1BD95321">
      <w:pPr>
        <w:pStyle w:val="Heading1"/>
        <w:spacing w:line="360" w:lineRule="auto"/>
        <w:jc w:val="both"/>
        <w:rPr>
          <w:rFonts w:ascii="Arial" w:hAnsi="Arial" w:eastAsia="Arial" w:cs="Arial"/>
          <w:noProof w:val="0"/>
          <w:color w:val="auto"/>
          <w:sz w:val="24"/>
          <w:szCs w:val="24"/>
          <w:lang w:val="en-GB"/>
        </w:rPr>
      </w:pPr>
      <w:bookmarkStart w:name="_Toc2056794680" w:id="1935635743"/>
      <w:r w:rsidRPr="0052A477" w:rsidR="23CEBC04">
        <w:rPr>
          <w:rFonts w:ascii="Arial" w:hAnsi="Arial" w:eastAsia="Arial" w:cs="Arial"/>
          <w:noProof w:val="0"/>
          <w:color w:val="auto"/>
          <w:sz w:val="24"/>
          <w:szCs w:val="24"/>
          <w:lang w:val="en-GB"/>
        </w:rPr>
        <w:t>Cultural contrasts that matter for Zara</w:t>
      </w:r>
      <w:bookmarkEnd w:id="1935635743"/>
    </w:p>
    <w:p w:rsidR="08EC6EF0" w:rsidP="0052A477" w:rsidRDefault="08EC6EF0" w14:paraId="238F8464" w14:textId="2C747A04">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08EC6EF0">
        <w:rPr>
          <w:rFonts w:ascii="Arial" w:hAnsi="Arial" w:eastAsia="Arial" w:cs="Arial"/>
          <w:noProof w:val="0"/>
          <w:color w:val="auto"/>
          <w:sz w:val="24"/>
          <w:szCs w:val="24"/>
          <w:lang w:val="en-GB"/>
        </w:rPr>
        <w:t xml:space="preserve">"Culture is reflected in the social behaviours and norms found in specific societies" Huang, </w:t>
      </w:r>
      <w:r w:rsidRPr="0052A477" w:rsidR="08EC6EF0">
        <w:rPr>
          <w:rFonts w:ascii="Arial" w:hAnsi="Arial" w:eastAsia="Arial" w:cs="Arial"/>
          <w:i w:val="1"/>
          <w:iCs w:val="1"/>
          <w:noProof w:val="0"/>
          <w:color w:val="auto"/>
          <w:sz w:val="24"/>
          <w:szCs w:val="24"/>
          <w:lang w:val="en-GB"/>
        </w:rPr>
        <w:t>et al.</w:t>
      </w:r>
      <w:r w:rsidRPr="0052A477" w:rsidR="08EC6EF0">
        <w:rPr>
          <w:rFonts w:ascii="Arial" w:hAnsi="Arial" w:eastAsia="Arial" w:cs="Arial"/>
          <w:noProof w:val="0"/>
          <w:color w:val="auto"/>
          <w:sz w:val="24"/>
          <w:szCs w:val="24"/>
          <w:lang w:val="en-GB"/>
        </w:rPr>
        <w:t xml:space="preserve"> (2019, p.72). The main argument of this analysis is that the cultural differences between Spain and China significantly </w:t>
      </w:r>
      <w:r w:rsidRPr="0052A477" w:rsidR="08EC6EF0">
        <w:rPr>
          <w:rFonts w:ascii="Arial" w:hAnsi="Arial" w:eastAsia="Arial" w:cs="Arial"/>
          <w:noProof w:val="0"/>
          <w:color w:val="auto"/>
          <w:sz w:val="24"/>
          <w:szCs w:val="24"/>
          <w:lang w:val="en-GB"/>
        </w:rPr>
        <w:t>impact</w:t>
      </w:r>
      <w:r w:rsidRPr="0052A477" w:rsidR="08EC6EF0">
        <w:rPr>
          <w:rFonts w:ascii="Arial" w:hAnsi="Arial" w:eastAsia="Arial" w:cs="Arial"/>
          <w:noProof w:val="0"/>
          <w:color w:val="auto"/>
          <w:sz w:val="24"/>
          <w:szCs w:val="24"/>
          <w:lang w:val="en-GB"/>
        </w:rPr>
        <w:t xml:space="preserve"> how Zara, a Spanish multinational enterprise, adapts its strategies for market entry and operational success in China. Cultural differences play a fundamental role in shaping the strategies multinational enterprises adopt when entering foreign markets. Hofstede’s cultural dimensions provide a structured framework for analysing how national culture differences may influence an organisation's strategic decision-making (Gallego-Álvarez, and Pucheta-Martínez, 2021). For Zara, whose home is based in Spain, a culturally expressive, moderately individualistic, and </w:t>
      </w:r>
      <w:r w:rsidRPr="0052A477" w:rsidR="08EC6EF0">
        <w:rPr>
          <w:rFonts w:ascii="Arial" w:hAnsi="Arial" w:eastAsia="Arial" w:cs="Arial"/>
          <w:noProof w:val="0"/>
          <w:color w:val="auto"/>
          <w:sz w:val="24"/>
          <w:szCs w:val="24"/>
          <w:lang w:val="en-GB"/>
        </w:rPr>
        <w:t>relatively flexible</w:t>
      </w:r>
      <w:r w:rsidRPr="0052A477" w:rsidR="08EC6EF0">
        <w:rPr>
          <w:rFonts w:ascii="Arial" w:hAnsi="Arial" w:eastAsia="Arial" w:cs="Arial"/>
          <w:noProof w:val="0"/>
          <w:color w:val="auto"/>
          <w:sz w:val="24"/>
          <w:szCs w:val="24"/>
          <w:lang w:val="en-GB"/>
        </w:rPr>
        <w:t xml:space="preserve"> society entering China requires careful adaptation to a cultural environment characterised by collectivism, hierarchy, indirect communication, and long-term orientation. These differences influence consumer behaviour, managerial </w:t>
      </w:r>
      <w:r w:rsidRPr="0052A477" w:rsidR="08EC6EF0">
        <w:rPr>
          <w:rFonts w:ascii="Arial" w:hAnsi="Arial" w:eastAsia="Arial" w:cs="Arial"/>
          <w:noProof w:val="0"/>
          <w:color w:val="auto"/>
          <w:sz w:val="24"/>
          <w:szCs w:val="24"/>
          <w:lang w:val="en-GB"/>
        </w:rPr>
        <w:t>expectations</w:t>
      </w:r>
      <w:r w:rsidRPr="0052A477" w:rsidR="08EC6EF0">
        <w:rPr>
          <w:rFonts w:ascii="Arial" w:hAnsi="Arial" w:eastAsia="Arial" w:cs="Arial"/>
          <w:noProof w:val="0"/>
          <w:color w:val="auto"/>
          <w:sz w:val="24"/>
          <w:szCs w:val="24"/>
          <w:lang w:val="en-GB"/>
        </w:rPr>
        <w:t xml:space="preserve"> and Zara’s overall strategic approach within the Chinese market.</w:t>
      </w:r>
    </w:p>
    <w:p w:rsidR="0052A477" w:rsidP="0052A477" w:rsidRDefault="0052A477" w14:paraId="5B2AB691" w14:textId="4A709E47">
      <w:pPr>
        <w:pStyle w:val="Normal"/>
        <w:spacing w:line="360" w:lineRule="auto"/>
        <w:jc w:val="both"/>
        <w:rPr>
          <w:rFonts w:ascii="Arial" w:hAnsi="Arial" w:eastAsia="Arial" w:cs="Arial"/>
          <w:noProof w:val="0"/>
          <w:color w:val="auto"/>
          <w:sz w:val="24"/>
          <w:szCs w:val="24"/>
          <w:lang w:val="en-GB"/>
        </w:rPr>
      </w:pPr>
    </w:p>
    <w:p w:rsidR="028565A9" w:rsidP="0052A477" w:rsidRDefault="028565A9" w14:paraId="58E09196" w14:textId="47CD24D1">
      <w:pPr>
        <w:pStyle w:val="Normal"/>
        <w:spacing w:line="360" w:lineRule="auto"/>
        <w:jc w:val="both"/>
        <w:rPr>
          <w:rFonts w:ascii="Arial" w:hAnsi="Arial" w:eastAsia="Arial" w:cs="Arial"/>
          <w:noProof w:val="0"/>
          <w:color w:val="auto"/>
          <w:sz w:val="24"/>
          <w:szCs w:val="24"/>
          <w:lang w:val="en-GB"/>
        </w:rPr>
      </w:pPr>
      <w:r w:rsidR="028565A9">
        <w:drawing>
          <wp:inline wp14:editId="710C2973" wp14:anchorId="28A92763">
            <wp:extent cx="5724525" cy="2076450"/>
            <wp:effectExtent l="0" t="0" r="0" b="0"/>
            <wp:docPr id="6418581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1858144" name="Picture 641858144"/>
                    <pic:cNvPicPr/>
                  </pic:nvPicPr>
                  <pic:blipFill>
                    <a:blip xmlns:r="http://schemas.openxmlformats.org/officeDocument/2006/relationships" r:embed="rId1488301244">
                      <a:extLst>
                        <a:ext uri="{28A0092B-C50C-407E-A947-70E740481C1C}">
                          <a14:useLocalDpi xmlns:a14="http://schemas.microsoft.com/office/drawing/2010/main"/>
                        </a:ext>
                      </a:extLst>
                    </a:blip>
                    <a:stretch>
                      <a:fillRect/>
                    </a:stretch>
                  </pic:blipFill>
                  <pic:spPr>
                    <a:xfrm>
                      <a:off x="0" y="0"/>
                      <a:ext cx="5724525" cy="2076450"/>
                    </a:xfrm>
                    <a:prstGeom prst="rect">
                      <a:avLst/>
                    </a:prstGeom>
                  </pic:spPr>
                </pic:pic>
              </a:graphicData>
            </a:graphic>
          </wp:inline>
        </w:drawing>
      </w:r>
      <w:r>
        <w:tab/>
      </w:r>
      <w:r>
        <w:tab/>
      </w:r>
      <w:r w:rsidRPr="0052A477" w:rsidR="172E4B71">
        <w:rPr>
          <w:rFonts w:ascii="Arial" w:hAnsi="Arial" w:eastAsia="Arial" w:cs="Arial"/>
          <w:noProof w:val="0"/>
          <w:color w:val="auto"/>
          <w:sz w:val="24"/>
          <w:szCs w:val="24"/>
          <w:lang w:val="en-GB"/>
        </w:rPr>
        <w:t xml:space="preserve">Figure 3 - </w:t>
      </w:r>
      <w:r w:rsidRPr="0052A477" w:rsidR="0C4733D3">
        <w:rPr>
          <w:rFonts w:ascii="Arial" w:hAnsi="Arial" w:eastAsia="Arial" w:cs="Arial"/>
          <w:noProof w:val="0"/>
          <w:color w:val="auto"/>
          <w:sz w:val="24"/>
          <w:szCs w:val="24"/>
          <w:lang w:val="en-GB"/>
        </w:rPr>
        <w:t>H</w:t>
      </w:r>
      <w:r w:rsidRPr="0052A477" w:rsidR="45ABCB87">
        <w:rPr>
          <w:rFonts w:ascii="Arial" w:hAnsi="Arial" w:eastAsia="Arial" w:cs="Arial"/>
          <w:noProof w:val="0"/>
          <w:color w:val="auto"/>
          <w:sz w:val="24"/>
          <w:szCs w:val="24"/>
          <w:lang w:val="en-GB"/>
        </w:rPr>
        <w:t>ofstede (2025) China and Spain Comparison.</w:t>
      </w:r>
    </w:p>
    <w:p w:rsidR="0052A477" w:rsidP="0052A477" w:rsidRDefault="0052A477" w14:paraId="0423F7B8" w14:textId="04B97FD5">
      <w:pPr>
        <w:spacing w:before="120" w:beforeAutospacing="off" w:after="120" w:afterAutospacing="off" w:line="360" w:lineRule="auto"/>
        <w:jc w:val="both"/>
        <w:rPr>
          <w:rFonts w:ascii="Arial" w:hAnsi="Arial" w:eastAsia="Arial" w:cs="Arial"/>
          <w:noProof w:val="0"/>
          <w:color w:val="auto"/>
          <w:sz w:val="24"/>
          <w:szCs w:val="24"/>
          <w:lang w:val="en-GB"/>
        </w:rPr>
      </w:pPr>
    </w:p>
    <w:p w:rsidR="0052A477" w:rsidP="0052A477" w:rsidRDefault="0052A477" w14:paraId="6C2B4B10" w14:textId="44471690">
      <w:pPr>
        <w:spacing w:before="120" w:beforeAutospacing="off" w:after="120" w:afterAutospacing="off" w:line="360" w:lineRule="auto"/>
        <w:jc w:val="both"/>
        <w:rPr>
          <w:rFonts w:ascii="Arial" w:hAnsi="Arial" w:eastAsia="Arial" w:cs="Arial"/>
          <w:noProof w:val="0"/>
          <w:color w:val="auto"/>
          <w:sz w:val="24"/>
          <w:szCs w:val="24"/>
          <w:lang w:val="en-GB"/>
        </w:rPr>
      </w:pPr>
    </w:p>
    <w:p w:rsidR="0052A477" w:rsidP="0052A477" w:rsidRDefault="0052A477" w14:paraId="1A71D70A" w14:textId="6DE72714">
      <w:pPr>
        <w:pStyle w:val="Normal"/>
        <w:spacing w:line="360" w:lineRule="auto"/>
        <w:jc w:val="both"/>
        <w:rPr>
          <w:rFonts w:ascii="Arial" w:hAnsi="Arial" w:eastAsia="Arial" w:cs="Arial"/>
          <w:noProof w:val="0"/>
          <w:color w:val="auto"/>
          <w:sz w:val="24"/>
          <w:szCs w:val="24"/>
          <w:lang w:val="en-GB"/>
        </w:rPr>
      </w:pPr>
    </w:p>
    <w:p w:rsidR="0052A477" w:rsidP="0052A477" w:rsidRDefault="0052A477" w14:paraId="1C0C303B" w14:textId="415DAC39">
      <w:pPr>
        <w:pStyle w:val="Normal"/>
        <w:spacing w:line="360" w:lineRule="auto"/>
        <w:jc w:val="both"/>
        <w:rPr>
          <w:rFonts w:ascii="Arial" w:hAnsi="Arial" w:eastAsia="Arial" w:cs="Arial"/>
          <w:noProof w:val="0"/>
          <w:color w:val="auto"/>
          <w:sz w:val="24"/>
          <w:szCs w:val="24"/>
          <w:lang w:val="en-GB"/>
        </w:rPr>
      </w:pPr>
    </w:p>
    <w:p w:rsidR="57F3B39A" w:rsidP="0052A477" w:rsidRDefault="57F3B39A" w14:paraId="705E1543" w14:textId="027301A5">
      <w:pPr>
        <w:pStyle w:val="Heading2"/>
        <w:rPr>
          <w:rFonts w:ascii="Arial" w:hAnsi="Arial" w:eastAsia="Arial" w:cs="Arial"/>
          <w:noProof w:val="0"/>
          <w:color w:val="auto"/>
          <w:sz w:val="22"/>
          <w:szCs w:val="22"/>
          <w:lang w:val="en-GB"/>
        </w:rPr>
      </w:pPr>
      <w:bookmarkStart w:name="_Toc1169135769" w:id="469522010"/>
      <w:r w:rsidRPr="0052A477" w:rsidR="57F3B39A">
        <w:rPr>
          <w:noProof w:val="0"/>
          <w:color w:val="auto"/>
          <w:sz w:val="28"/>
          <w:szCs w:val="28"/>
          <w:lang w:val="en-GB"/>
        </w:rPr>
        <w:t>Power Distance</w:t>
      </w:r>
      <w:bookmarkEnd w:id="469522010"/>
    </w:p>
    <w:p w:rsidR="57F3B39A" w:rsidP="0052A477" w:rsidRDefault="57F3B39A" w14:paraId="1479961B" w14:textId="53509987">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57F3B39A">
        <w:rPr>
          <w:rFonts w:ascii="Arial" w:hAnsi="Arial" w:eastAsia="Arial" w:cs="Arial"/>
          <w:noProof w:val="0"/>
          <w:color w:val="auto"/>
          <w:sz w:val="24"/>
          <w:szCs w:val="24"/>
          <w:lang w:val="en-GB"/>
        </w:rPr>
        <w:t xml:space="preserve">Hofstede’s power distance dimension refers to the extent to which a society accepts and expects power inequalities (Ogden and Cheng, 2011). Cultures with high power distance view hierarchy as nature, believing that superiors deserve greater status and influence, and people tend to accept authority with little question (Daniels, and </w:t>
      </w:r>
      <w:r w:rsidRPr="0052A477" w:rsidR="57F3B39A">
        <w:rPr>
          <w:rFonts w:ascii="Arial" w:hAnsi="Arial" w:eastAsia="Arial" w:cs="Arial"/>
          <w:noProof w:val="0"/>
          <w:color w:val="auto"/>
          <w:sz w:val="24"/>
          <w:szCs w:val="24"/>
          <w:lang w:val="en-GB"/>
        </w:rPr>
        <w:t>Greguras</w:t>
      </w:r>
      <w:r w:rsidRPr="0052A477" w:rsidR="57F3B39A">
        <w:rPr>
          <w:rFonts w:ascii="Arial" w:hAnsi="Arial" w:eastAsia="Arial" w:cs="Arial"/>
          <w:noProof w:val="0"/>
          <w:color w:val="auto"/>
          <w:sz w:val="24"/>
          <w:szCs w:val="24"/>
          <w:lang w:val="en-GB"/>
        </w:rPr>
        <w:t>, 2014). In contrast, low power distance cultures have expectations of shared decision-making and more informal communication with superiors. For instance, in high power distance environments, meetings may be dominated by senior leaders who dictate decisions, and subordinates may be less likely to offer feedback through formal channels. This cultural dimension shapes how organizations interpret status, authority, and workplace relationships across different societies, making it crucial for leaders to adapt their management strategies accordingly.</w:t>
      </w:r>
    </w:p>
    <w:p w:rsidR="57F3B39A" w:rsidP="0052A477" w:rsidRDefault="57F3B39A" w14:paraId="2DEEE109" w14:textId="6933580E">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57F3B39A">
        <w:rPr>
          <w:rFonts w:ascii="Arial" w:hAnsi="Arial" w:eastAsia="Arial" w:cs="Arial"/>
          <w:noProof w:val="0"/>
          <w:color w:val="auto"/>
          <w:sz w:val="24"/>
          <w:szCs w:val="24"/>
          <w:lang w:val="en-GB"/>
        </w:rPr>
        <w:t xml:space="preserve">China </w:t>
      </w:r>
      <w:r w:rsidRPr="0052A477" w:rsidR="57F3B39A">
        <w:rPr>
          <w:rFonts w:ascii="Arial" w:hAnsi="Arial" w:eastAsia="Arial" w:cs="Arial"/>
          <w:noProof w:val="0"/>
          <w:color w:val="auto"/>
          <w:sz w:val="24"/>
          <w:szCs w:val="24"/>
          <w:lang w:val="en-GB"/>
        </w:rPr>
        <w:t>demonstrates</w:t>
      </w:r>
      <w:r w:rsidRPr="0052A477" w:rsidR="57F3B39A">
        <w:rPr>
          <w:rFonts w:ascii="Arial" w:hAnsi="Arial" w:eastAsia="Arial" w:cs="Arial"/>
          <w:noProof w:val="0"/>
          <w:color w:val="auto"/>
          <w:sz w:val="24"/>
          <w:szCs w:val="24"/>
          <w:lang w:val="en-GB"/>
        </w:rPr>
        <w:t xml:space="preserve"> a significantly higher power distance than Spain, </w:t>
      </w:r>
      <w:r w:rsidRPr="0052A477" w:rsidR="57F3B39A">
        <w:rPr>
          <w:rFonts w:ascii="Arial" w:hAnsi="Arial" w:eastAsia="Arial" w:cs="Arial"/>
          <w:noProof w:val="0"/>
          <w:color w:val="auto"/>
          <w:sz w:val="24"/>
          <w:szCs w:val="24"/>
          <w:lang w:val="en-GB"/>
        </w:rPr>
        <w:t>indicating</w:t>
      </w:r>
      <w:r w:rsidRPr="0052A477" w:rsidR="57F3B39A">
        <w:rPr>
          <w:rFonts w:ascii="Arial" w:hAnsi="Arial" w:eastAsia="Arial" w:cs="Arial"/>
          <w:noProof w:val="0"/>
          <w:color w:val="auto"/>
          <w:sz w:val="24"/>
          <w:szCs w:val="24"/>
          <w:lang w:val="en-GB"/>
        </w:rPr>
        <w:t xml:space="preserve"> that hierarchical structures are widely accepted and respected there (Yang, 2019). In contrast, Spain favours a flatter organisational structure and open communication with management throughout Zara. To become a dominant player in China, Zara embraced a hybrid approach, balancing Spanish egalitarianism with Chinese respect for hierarchy. For example, Zara conducts co-design workshops that encourage collaborative input and </w:t>
      </w:r>
      <w:r w:rsidRPr="0052A477" w:rsidR="57F3B39A">
        <w:rPr>
          <w:rFonts w:ascii="Arial" w:hAnsi="Arial" w:eastAsia="Arial" w:cs="Arial"/>
          <w:noProof w:val="0"/>
          <w:color w:val="auto"/>
          <w:sz w:val="24"/>
          <w:szCs w:val="24"/>
          <w:lang w:val="en-GB"/>
        </w:rPr>
        <w:t>innovation, yet</w:t>
      </w:r>
      <w:r w:rsidRPr="0052A477" w:rsidR="57F3B39A">
        <w:rPr>
          <w:rFonts w:ascii="Arial" w:hAnsi="Arial" w:eastAsia="Arial" w:cs="Arial"/>
          <w:noProof w:val="0"/>
          <w:color w:val="auto"/>
          <w:sz w:val="24"/>
          <w:szCs w:val="24"/>
          <w:lang w:val="en-GB"/>
        </w:rPr>
        <w:t xml:space="preserve"> follows these with structured decision-making and hierarchical approvals that align with Chinese cultural expectations. This blend of practices helps Zara navigate and reconcile these dual cultural mind-sets effectively.</w:t>
      </w:r>
    </w:p>
    <w:p w:rsidR="6885BB5C" w:rsidP="0052A477" w:rsidRDefault="6885BB5C" w14:paraId="43E09ED2" w14:textId="6D927547">
      <w:pPr>
        <w:pStyle w:val="Heading2"/>
        <w:rPr>
          <w:rFonts w:ascii="Arial" w:hAnsi="Arial" w:eastAsia="Arial" w:cs="Arial"/>
          <w:noProof w:val="0"/>
          <w:color w:val="auto"/>
          <w:sz w:val="22"/>
          <w:szCs w:val="22"/>
          <w:lang w:val="en-GB"/>
        </w:rPr>
      </w:pPr>
      <w:bookmarkStart w:name="_Toc267684772" w:id="1949930432"/>
      <w:r w:rsidRPr="0052A477" w:rsidR="6885BB5C">
        <w:rPr>
          <w:noProof w:val="0"/>
          <w:color w:val="auto"/>
          <w:sz w:val="28"/>
          <w:szCs w:val="28"/>
          <w:lang w:val="en-GB"/>
        </w:rPr>
        <w:t>Individualism vs. Collectivism</w:t>
      </w:r>
      <w:bookmarkEnd w:id="1949930432"/>
    </w:p>
    <w:p w:rsidR="6885BB5C" w:rsidP="0052A477" w:rsidRDefault="6885BB5C" w14:paraId="1B5AB0F0" w14:textId="7C857845">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6885BB5C">
        <w:rPr>
          <w:rFonts w:ascii="Arial" w:hAnsi="Arial" w:eastAsia="Arial" w:cs="Arial"/>
          <w:noProof w:val="0"/>
          <w:color w:val="auto"/>
          <w:sz w:val="24"/>
          <w:szCs w:val="24"/>
          <w:lang w:val="en-GB"/>
        </w:rPr>
        <w:t xml:space="preserve">Have you ever considered how much your own cultural background influences the way you think about and interact with others? One of the most significant cultural differences, as highlighted by Hofstede (1994), is the distinction between collectivism and individualism. Collectivist societies prioritise group harmony, mutuality, and affiliation, often putting the interests of the group above those of the individual. In contrast, individualistic cultures emphasise personal autonomy, self-reliance, and the pursuit of individual goals (Daniels, and </w:t>
      </w:r>
      <w:r w:rsidRPr="0052A477" w:rsidR="6885BB5C">
        <w:rPr>
          <w:rFonts w:ascii="Arial" w:hAnsi="Arial" w:eastAsia="Arial" w:cs="Arial"/>
          <w:noProof w:val="0"/>
          <w:color w:val="auto"/>
          <w:sz w:val="24"/>
          <w:szCs w:val="24"/>
          <w:lang w:val="en-GB"/>
        </w:rPr>
        <w:t>Greguras</w:t>
      </w:r>
      <w:r w:rsidRPr="0052A477" w:rsidR="6885BB5C">
        <w:rPr>
          <w:rFonts w:ascii="Arial" w:hAnsi="Arial" w:eastAsia="Arial" w:cs="Arial"/>
          <w:noProof w:val="0"/>
          <w:color w:val="auto"/>
          <w:sz w:val="24"/>
          <w:szCs w:val="24"/>
          <w:lang w:val="en-GB"/>
        </w:rPr>
        <w:t>, 2014).</w:t>
      </w:r>
    </w:p>
    <w:p w:rsidR="6885BB5C" w:rsidP="0052A477" w:rsidRDefault="6885BB5C" w14:paraId="6FB5C8C8" w14:textId="673F8065">
      <w:pPr>
        <w:pStyle w:val="Normal"/>
        <w:spacing w:before="120" w:beforeAutospacing="off" w:after="120" w:afterAutospacing="off" w:line="360" w:lineRule="auto"/>
        <w:jc w:val="both"/>
        <w:rPr>
          <w:rFonts w:ascii="Arial" w:hAnsi="Arial" w:eastAsia="Arial" w:cs="Arial"/>
          <w:noProof w:val="0"/>
          <w:color w:val="auto"/>
          <w:sz w:val="24"/>
          <w:szCs w:val="24"/>
          <w:lang w:val="en-GB"/>
        </w:rPr>
      </w:pPr>
      <w:r w:rsidRPr="0052A477" w:rsidR="6885BB5C">
        <w:rPr>
          <w:rFonts w:ascii="Arial" w:hAnsi="Arial" w:eastAsia="Arial" w:cs="Arial"/>
          <w:noProof w:val="0"/>
          <w:color w:val="auto"/>
          <w:sz w:val="24"/>
          <w:szCs w:val="24"/>
          <w:lang w:val="en-GB"/>
        </w:rPr>
        <w:t xml:space="preserve">China is among the most cited for collectivist characteristics (Wang </w:t>
      </w:r>
      <w:r w:rsidRPr="0052A477" w:rsidR="6885BB5C">
        <w:rPr>
          <w:rFonts w:ascii="Arial" w:hAnsi="Arial" w:eastAsia="Arial" w:cs="Arial"/>
          <w:i w:val="1"/>
          <w:iCs w:val="1"/>
          <w:noProof w:val="0"/>
          <w:color w:val="auto"/>
          <w:sz w:val="24"/>
          <w:szCs w:val="24"/>
          <w:lang w:val="en-GB"/>
        </w:rPr>
        <w:t>et al.,</w:t>
      </w:r>
      <w:r w:rsidRPr="0052A477" w:rsidR="6885BB5C">
        <w:rPr>
          <w:rFonts w:ascii="Arial" w:hAnsi="Arial" w:eastAsia="Arial" w:cs="Arial"/>
          <w:noProof w:val="0"/>
          <w:color w:val="auto"/>
          <w:sz w:val="24"/>
          <w:szCs w:val="24"/>
          <w:lang w:val="en-GB"/>
        </w:rPr>
        <w:t xml:space="preserve"> 2025). China’s strong collectivist culture places high importance on group harmony, family ties, and social relationships. While Spain is socially oriented, it is </w:t>
      </w:r>
      <w:r w:rsidRPr="0052A477" w:rsidR="6885BB5C">
        <w:rPr>
          <w:rFonts w:ascii="Arial" w:hAnsi="Arial" w:eastAsia="Arial" w:cs="Arial"/>
          <w:noProof w:val="0"/>
          <w:color w:val="auto"/>
          <w:sz w:val="24"/>
          <w:szCs w:val="24"/>
          <w:lang w:val="en-GB"/>
        </w:rPr>
        <w:t>considerably more</w:t>
      </w:r>
      <w:r w:rsidRPr="0052A477" w:rsidR="6885BB5C">
        <w:rPr>
          <w:rFonts w:ascii="Arial" w:hAnsi="Arial" w:eastAsia="Arial" w:cs="Arial"/>
          <w:noProof w:val="0"/>
          <w:color w:val="auto"/>
          <w:sz w:val="24"/>
          <w:szCs w:val="24"/>
          <w:lang w:val="en-GB"/>
        </w:rPr>
        <w:t xml:space="preserve"> individualistic. At Zara, this cultural nuance is reflected in several team rituals and reward systems that celebrate collective achievements</w:t>
      </w:r>
      <w:r w:rsidRPr="0052A477" w:rsidR="4B1EE710">
        <w:rPr>
          <w:rFonts w:ascii="Arial" w:hAnsi="Arial" w:eastAsia="Arial" w:cs="Arial"/>
          <w:noProof w:val="0"/>
          <w:color w:val="auto"/>
          <w:sz w:val="24"/>
          <w:szCs w:val="24"/>
          <w:lang w:val="en-GB"/>
        </w:rPr>
        <w:t xml:space="preserve"> (</w:t>
      </w:r>
      <w:r w:rsidRPr="0052A477" w:rsidR="4B1EE710">
        <w:rPr>
          <w:rFonts w:ascii="Arial" w:hAnsi="Arial" w:eastAsia="Arial" w:cs="Arial"/>
          <w:noProof w:val="0"/>
          <w:color w:val="auto"/>
          <w:sz w:val="24"/>
          <w:szCs w:val="24"/>
          <w:lang w:val="en-GB"/>
        </w:rPr>
        <w:t>Schein, E.H. and Schein, P. 2017)</w:t>
      </w:r>
      <w:r w:rsidRPr="0052A477" w:rsidR="6885BB5C">
        <w:rPr>
          <w:rFonts w:ascii="Arial" w:hAnsi="Arial" w:eastAsia="Arial" w:cs="Arial"/>
          <w:noProof w:val="0"/>
          <w:color w:val="auto"/>
          <w:sz w:val="24"/>
          <w:szCs w:val="24"/>
          <w:lang w:val="en-GB"/>
        </w:rPr>
        <w:t xml:space="preserve">. </w:t>
      </w:r>
    </w:p>
    <w:p w:rsidR="32037160" w:rsidP="0052A477" w:rsidRDefault="32037160" w14:paraId="7CA8F79D" w14:textId="00880E2F">
      <w:pPr>
        <w:pStyle w:val="Heading2"/>
        <w:rPr>
          <w:rFonts w:ascii="Arial" w:hAnsi="Arial" w:eastAsia="Arial" w:cs="Arial"/>
          <w:noProof w:val="0"/>
          <w:color w:val="auto"/>
          <w:sz w:val="22"/>
          <w:szCs w:val="22"/>
          <w:lang w:val="en-GB"/>
        </w:rPr>
      </w:pPr>
      <w:bookmarkStart w:name="_Toc630783933" w:id="1411066891"/>
      <w:r w:rsidRPr="0052A477" w:rsidR="32037160">
        <w:rPr>
          <w:noProof w:val="0"/>
          <w:color w:val="auto"/>
          <w:sz w:val="28"/>
          <w:szCs w:val="28"/>
          <w:lang w:val="en-GB"/>
        </w:rPr>
        <w:t>Masculinity</w:t>
      </w:r>
      <w:bookmarkEnd w:id="1411066891"/>
    </w:p>
    <w:p w:rsidR="32037160" w:rsidP="0052A477" w:rsidRDefault="32037160" w14:paraId="09BF189C" w14:textId="6912CFBA">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32037160">
        <w:rPr>
          <w:rFonts w:ascii="Arial" w:hAnsi="Arial" w:eastAsia="Arial" w:cs="Arial"/>
          <w:noProof w:val="0"/>
          <w:color w:val="auto"/>
          <w:sz w:val="24"/>
          <w:szCs w:val="24"/>
          <w:lang w:val="en-GB"/>
        </w:rPr>
        <w:t xml:space="preserve">Hofstede’s masculinity dimension measures the extent to which a society values competition, achievement, and material success (Keller et al., 2015). High-masculinity cultures prioritise status and performance, </w:t>
      </w:r>
      <w:r w:rsidRPr="0052A477" w:rsidR="32037160">
        <w:rPr>
          <w:rFonts w:ascii="Arial" w:hAnsi="Arial" w:eastAsia="Arial" w:cs="Arial"/>
          <w:noProof w:val="0"/>
          <w:color w:val="auto"/>
          <w:sz w:val="24"/>
          <w:szCs w:val="24"/>
          <w:lang w:val="en-GB"/>
        </w:rPr>
        <w:t>whereas</w:t>
      </w:r>
      <w:r w:rsidRPr="0052A477" w:rsidR="32037160">
        <w:rPr>
          <w:rFonts w:ascii="Arial" w:hAnsi="Arial" w:eastAsia="Arial" w:cs="Arial"/>
          <w:noProof w:val="0"/>
          <w:color w:val="auto"/>
          <w:sz w:val="24"/>
          <w:szCs w:val="24"/>
          <w:lang w:val="en-GB"/>
        </w:rPr>
        <w:t xml:space="preserve"> low-masculinity cultures emphasise quality of life and cooperation. This dimension provides insight into variations in consumer motivations and workplace behaviours across countries.</w:t>
      </w:r>
    </w:p>
    <w:p w:rsidR="32037160" w:rsidP="0052A477" w:rsidRDefault="32037160" w14:paraId="5DCF1BB9" w14:textId="414FA1E3">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32037160">
        <w:rPr>
          <w:rFonts w:ascii="Arial" w:hAnsi="Arial" w:eastAsia="Arial" w:cs="Arial"/>
          <w:noProof w:val="0"/>
          <w:color w:val="auto"/>
          <w:sz w:val="24"/>
          <w:szCs w:val="24"/>
          <w:lang w:val="en-GB"/>
        </w:rPr>
        <w:t xml:space="preserve">In China, high masculinity </w:t>
      </w:r>
      <w:r w:rsidRPr="0052A477" w:rsidR="32037160">
        <w:rPr>
          <w:rFonts w:ascii="Arial" w:hAnsi="Arial" w:eastAsia="Arial" w:cs="Arial"/>
          <w:noProof w:val="0"/>
          <w:color w:val="auto"/>
          <w:sz w:val="24"/>
          <w:szCs w:val="24"/>
          <w:lang w:val="en-GB"/>
        </w:rPr>
        <w:t>necessitates</w:t>
      </w:r>
      <w:r w:rsidRPr="0052A477" w:rsidR="32037160">
        <w:rPr>
          <w:rFonts w:ascii="Arial" w:hAnsi="Arial" w:eastAsia="Arial" w:cs="Arial"/>
          <w:noProof w:val="0"/>
          <w:color w:val="auto"/>
          <w:sz w:val="24"/>
          <w:szCs w:val="24"/>
          <w:lang w:val="en-GB"/>
        </w:rPr>
        <w:t xml:space="preserve"> that Zara adopt competitive performance standards, emphasising efficiency, clear targets, and strong managerial authority. For instance, Zara in China employs a results-driven approach in which employee bonuses are linked to specific sales targets, and managers are authorised to make rapid decisions to surpass competitors. Conversely, Spain’s lower-masculinity environment supports collaborative practices and work-life balance. In Spain, Zara promotes teamwork and flexible working hours to foster a balanced lifestyle. These cultural differences require Zara to adapt leadership styles, employee incentives, and operational priorities to align with each country's expectations.</w:t>
      </w:r>
    </w:p>
    <w:p w:rsidR="32037160" w:rsidP="0052A477" w:rsidRDefault="32037160" w14:paraId="4F127509" w14:textId="28C0014A">
      <w:pPr>
        <w:pStyle w:val="Heading2"/>
        <w:rPr>
          <w:rFonts w:ascii="Arial" w:hAnsi="Arial" w:eastAsia="Arial" w:cs="Arial"/>
          <w:noProof w:val="0"/>
          <w:color w:val="auto"/>
          <w:sz w:val="22"/>
          <w:szCs w:val="22"/>
          <w:lang w:val="en-GB"/>
        </w:rPr>
      </w:pPr>
      <w:bookmarkStart w:name="_Toc537928867" w:id="1646655532"/>
      <w:r w:rsidRPr="0052A477" w:rsidR="32037160">
        <w:rPr>
          <w:noProof w:val="0"/>
          <w:color w:val="auto"/>
          <w:sz w:val="28"/>
          <w:szCs w:val="28"/>
          <w:lang w:val="en-GB"/>
        </w:rPr>
        <w:t>Uncertainty avoidance</w:t>
      </w:r>
      <w:bookmarkEnd w:id="1646655532"/>
    </w:p>
    <w:p w:rsidR="32037160" w:rsidP="0052A477" w:rsidRDefault="32037160" w14:paraId="4028B235" w14:textId="0BDB11E0">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32037160">
        <w:rPr>
          <w:rFonts w:ascii="Arial" w:hAnsi="Arial" w:eastAsia="Arial" w:cs="Arial"/>
          <w:noProof w:val="0"/>
          <w:color w:val="auto"/>
          <w:sz w:val="24"/>
          <w:szCs w:val="24"/>
          <w:lang w:val="en-GB"/>
        </w:rPr>
        <w:t xml:space="preserve">Hofstede’s uncertainty avoidance dimension describes how societies manage ambiguity, risk, and unpredictable situations (Keller et al., 2015). Cultures with high uncertainty avoidance rely on rules, structure, and formal processes to reduce anxiety, </w:t>
      </w:r>
      <w:r w:rsidRPr="0052A477" w:rsidR="32037160">
        <w:rPr>
          <w:rFonts w:ascii="Arial" w:hAnsi="Arial" w:eastAsia="Arial" w:cs="Arial"/>
          <w:noProof w:val="0"/>
          <w:color w:val="auto"/>
          <w:sz w:val="24"/>
          <w:szCs w:val="24"/>
          <w:lang w:val="en-GB"/>
        </w:rPr>
        <w:t>whereas</w:t>
      </w:r>
      <w:r w:rsidRPr="0052A477" w:rsidR="32037160">
        <w:rPr>
          <w:rFonts w:ascii="Arial" w:hAnsi="Arial" w:eastAsia="Arial" w:cs="Arial"/>
          <w:noProof w:val="0"/>
          <w:color w:val="auto"/>
          <w:sz w:val="24"/>
          <w:szCs w:val="24"/>
          <w:lang w:val="en-GB"/>
        </w:rPr>
        <w:t xml:space="preserve"> low-scoring cultures are more tolerant of flexibility and change (Hofstede, 1994). This dimension shapes decision-making, organisational behaviour, and consumer expectations.</w:t>
      </w:r>
    </w:p>
    <w:p w:rsidR="32037160" w:rsidP="0052A477" w:rsidRDefault="32037160" w14:paraId="5BDC9C43" w14:textId="1E287431">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32037160">
        <w:rPr>
          <w:rFonts w:ascii="Arial" w:hAnsi="Arial" w:eastAsia="Arial" w:cs="Arial"/>
          <w:noProof w:val="0"/>
          <w:color w:val="auto"/>
          <w:sz w:val="24"/>
          <w:szCs w:val="24"/>
          <w:lang w:val="en-GB"/>
        </w:rPr>
        <w:t xml:space="preserve">China’s lower uncertainty avoidance score </w:t>
      </w:r>
      <w:r w:rsidRPr="0052A477" w:rsidR="32037160">
        <w:rPr>
          <w:rFonts w:ascii="Arial" w:hAnsi="Arial" w:eastAsia="Arial" w:cs="Arial"/>
          <w:noProof w:val="0"/>
          <w:color w:val="auto"/>
          <w:sz w:val="24"/>
          <w:szCs w:val="24"/>
          <w:lang w:val="en-GB"/>
        </w:rPr>
        <w:t>indicates</w:t>
      </w:r>
      <w:r w:rsidRPr="0052A477" w:rsidR="32037160">
        <w:rPr>
          <w:rFonts w:ascii="Arial" w:hAnsi="Arial" w:eastAsia="Arial" w:cs="Arial"/>
          <w:noProof w:val="0"/>
          <w:color w:val="auto"/>
          <w:sz w:val="24"/>
          <w:szCs w:val="24"/>
          <w:lang w:val="en-GB"/>
        </w:rPr>
        <w:t xml:space="preserve"> greater flexibility and tolerance for ambiguity, especially in business contexts. This enables Zara to implement adaptive strategies, including rapid adjustments to inventory and operations based on emerging trends and consumer feedback. In contrast, Spain’s strong uncertainty avoidance reflects a preference for strict rules and predictability, leading Zara to follow established procedures and standardised practices.</w:t>
      </w:r>
    </w:p>
    <w:p w:rsidR="32037160" w:rsidP="0052A477" w:rsidRDefault="32037160" w14:paraId="231E553B" w14:textId="1010702E">
      <w:pPr>
        <w:pStyle w:val="Heading3"/>
        <w:rPr>
          <w:rFonts w:ascii="Arial" w:hAnsi="Arial" w:eastAsia="Arial" w:cs="Arial"/>
          <w:noProof w:val="0"/>
          <w:color w:val="auto"/>
          <w:sz w:val="24"/>
          <w:szCs w:val="24"/>
          <w:lang w:val="en-GB"/>
        </w:rPr>
      </w:pPr>
      <w:bookmarkStart w:name="_Toc866500895" w:id="268020251"/>
      <w:r w:rsidRPr="0052A477" w:rsidR="32037160">
        <w:rPr>
          <w:noProof w:val="0"/>
          <w:lang w:val="en-GB"/>
        </w:rPr>
        <w:t>Long-term Orientation and Indulgence</w:t>
      </w:r>
      <w:bookmarkEnd w:id="268020251"/>
    </w:p>
    <w:p w:rsidR="32037160" w:rsidP="0052A477" w:rsidRDefault="32037160" w14:paraId="6DD1D906" w14:textId="3C939D66">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32037160">
        <w:rPr>
          <w:rFonts w:ascii="Arial" w:hAnsi="Arial" w:eastAsia="Arial" w:cs="Arial"/>
          <w:noProof w:val="0"/>
          <w:color w:val="auto"/>
          <w:sz w:val="24"/>
          <w:szCs w:val="24"/>
          <w:lang w:val="en-GB"/>
        </w:rPr>
        <w:t xml:space="preserve">Hofstede’s long-term orientation dimension assesses the extent to which societies prioritise future rewards, persistence, and adaptation over immediate results (Gallego-Álvarez, and Pucheta-Martínez, 2021). The indulgence dimension measures the degree to which individuals freely express desires as opposed to exercising restraint. Together, these dimensions elucidate cultural attitudes toward planning, self-control, consumption, and the balance between immediate satisfaction and long-term </w:t>
      </w:r>
      <w:r w:rsidRPr="0052A477" w:rsidR="32037160">
        <w:rPr>
          <w:rFonts w:ascii="Arial" w:hAnsi="Arial" w:eastAsia="Arial" w:cs="Arial"/>
          <w:noProof w:val="0"/>
          <w:color w:val="auto"/>
          <w:sz w:val="24"/>
          <w:szCs w:val="24"/>
          <w:lang w:val="en-GB"/>
        </w:rPr>
        <w:t>objectives</w:t>
      </w:r>
      <w:r w:rsidRPr="0052A477" w:rsidR="32037160">
        <w:rPr>
          <w:rFonts w:ascii="Arial" w:hAnsi="Arial" w:eastAsia="Arial" w:cs="Arial"/>
          <w:noProof w:val="0"/>
          <w:color w:val="auto"/>
          <w:sz w:val="24"/>
          <w:szCs w:val="24"/>
          <w:lang w:val="en-GB"/>
        </w:rPr>
        <w:t xml:space="preserve">. </w:t>
      </w:r>
    </w:p>
    <w:p w:rsidR="32037160" w:rsidP="0052A477" w:rsidRDefault="32037160" w14:paraId="4FFA6B69" w14:textId="205B3D6A">
      <w:pPr>
        <w:spacing w:before="120" w:beforeAutospacing="off" w:after="120" w:afterAutospacing="off" w:line="360" w:lineRule="auto"/>
        <w:jc w:val="both"/>
        <w:rPr>
          <w:rFonts w:ascii="Arial" w:hAnsi="Arial" w:eastAsia="Arial" w:cs="Arial"/>
          <w:noProof w:val="0"/>
          <w:color w:val="auto"/>
          <w:sz w:val="24"/>
          <w:szCs w:val="24"/>
          <w:lang w:val="en-GB"/>
        </w:rPr>
      </w:pPr>
      <w:r w:rsidRPr="0052A477" w:rsidR="32037160">
        <w:rPr>
          <w:rFonts w:ascii="Arial" w:hAnsi="Arial" w:eastAsia="Arial" w:cs="Arial"/>
          <w:noProof w:val="0"/>
          <w:color w:val="auto"/>
          <w:sz w:val="24"/>
          <w:szCs w:val="24"/>
          <w:lang w:val="en-GB"/>
        </w:rPr>
        <w:t xml:space="preserve">In China, Zara's strategy reflects a strong long-term orientation, focusing on sustainable growth and innovation while investing heavily in technology and supply chain efficiencies to secure future stability. Meanwhile, Spain </w:t>
      </w:r>
      <w:r w:rsidRPr="0052A477" w:rsidR="32037160">
        <w:rPr>
          <w:rFonts w:ascii="Arial" w:hAnsi="Arial" w:eastAsia="Arial" w:cs="Arial"/>
          <w:noProof w:val="0"/>
          <w:color w:val="auto"/>
          <w:sz w:val="24"/>
          <w:szCs w:val="24"/>
          <w:lang w:val="en-GB"/>
        </w:rPr>
        <w:t>exhibits</w:t>
      </w:r>
      <w:r w:rsidRPr="0052A477" w:rsidR="32037160">
        <w:rPr>
          <w:rFonts w:ascii="Arial" w:hAnsi="Arial" w:eastAsia="Arial" w:cs="Arial"/>
          <w:noProof w:val="0"/>
          <w:color w:val="auto"/>
          <w:sz w:val="24"/>
          <w:szCs w:val="24"/>
          <w:lang w:val="en-GB"/>
        </w:rPr>
        <w:t xml:space="preserve"> a higher indulgence score, as </w:t>
      </w:r>
      <w:r w:rsidRPr="0052A477" w:rsidR="32037160">
        <w:rPr>
          <w:rFonts w:ascii="Arial" w:hAnsi="Arial" w:eastAsia="Arial" w:cs="Arial"/>
          <w:noProof w:val="0"/>
          <w:color w:val="auto"/>
          <w:sz w:val="24"/>
          <w:szCs w:val="24"/>
          <w:lang w:val="en-GB"/>
        </w:rPr>
        <w:t>evidenced</w:t>
      </w:r>
      <w:r w:rsidRPr="0052A477" w:rsidR="32037160">
        <w:rPr>
          <w:rFonts w:ascii="Arial" w:hAnsi="Arial" w:eastAsia="Arial" w:cs="Arial"/>
          <w:noProof w:val="0"/>
          <w:color w:val="auto"/>
          <w:sz w:val="24"/>
          <w:szCs w:val="24"/>
          <w:lang w:val="en-GB"/>
        </w:rPr>
        <w:t xml:space="preserve"> by Zara's strategy of offering a diverse range of fashion-forward products that cater to spontaneous consumer desires and immediate gratification.</w:t>
      </w:r>
    </w:p>
    <w:p w:rsidR="015F85EC" w:rsidP="0052A477" w:rsidRDefault="015F85EC" w14:paraId="2E84C5EE" w14:textId="754C9CA1">
      <w:pPr>
        <w:pStyle w:val="Heading1"/>
        <w:rPr>
          <w:noProof w:val="0"/>
          <w:color w:val="auto"/>
          <w:sz w:val="32"/>
          <w:szCs w:val="32"/>
          <w:lang w:val="en-GB"/>
        </w:rPr>
      </w:pPr>
      <w:bookmarkStart w:name="_Toc77925490" w:id="185711617"/>
      <w:r w:rsidRPr="0052A477" w:rsidR="015F85EC">
        <w:rPr>
          <w:noProof w:val="0"/>
          <w:color w:val="auto"/>
          <w:sz w:val="36"/>
          <w:szCs w:val="36"/>
          <w:lang w:val="en-GB"/>
        </w:rPr>
        <w:t>Critical Discussion and Recommendations SOP Adjustments for Zara in China</w:t>
      </w:r>
      <w:bookmarkEnd w:id="185711617"/>
    </w:p>
    <w:p w:rsidR="015F85EC" w:rsidP="0052A477" w:rsidRDefault="015F85EC" w14:paraId="3A5D7B2A" w14:textId="18271061">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Zara’s expansion into China requires adapting its operational practices to address differences in ownership advantages, location-specific conditions, internalisation, and the significant cultural distinctions previously </w:t>
      </w:r>
      <w:r w:rsidRPr="0052A477" w:rsidR="015F85EC">
        <w:rPr>
          <w:rFonts w:ascii="Arial" w:hAnsi="Arial" w:eastAsia="Arial" w:cs="Arial"/>
          <w:noProof w:val="0"/>
          <w:sz w:val="24"/>
          <w:szCs w:val="24"/>
          <w:lang w:val="en-GB"/>
        </w:rPr>
        <w:t>identified</w:t>
      </w:r>
      <w:r w:rsidRPr="0052A477" w:rsidR="015F85EC">
        <w:rPr>
          <w:rFonts w:ascii="Arial" w:hAnsi="Arial" w:eastAsia="Arial" w:cs="Arial"/>
          <w:noProof w:val="0"/>
          <w:sz w:val="24"/>
          <w:szCs w:val="24"/>
          <w:lang w:val="en-GB"/>
        </w:rPr>
        <w:t xml:space="preserve"> between Spain and China. Studies show that Chinese consumers place greater value on brand engagement and digital presence compared to Western markets (Hofstede, 2010). Additionally, research highlights that China’s fashion market demands faster adaptation to shifting consumer preferences, as </w:t>
      </w:r>
      <w:r w:rsidRPr="0052A477" w:rsidR="015F85EC">
        <w:rPr>
          <w:rFonts w:ascii="Arial" w:hAnsi="Arial" w:eastAsia="Arial" w:cs="Arial"/>
          <w:noProof w:val="0"/>
          <w:sz w:val="24"/>
          <w:szCs w:val="24"/>
          <w:lang w:val="en-GB"/>
        </w:rPr>
        <w:t>demonstrated</w:t>
      </w:r>
      <w:r w:rsidRPr="0052A477" w:rsidR="015F85EC">
        <w:rPr>
          <w:rFonts w:ascii="Arial" w:hAnsi="Arial" w:eastAsia="Arial" w:cs="Arial"/>
          <w:noProof w:val="0"/>
          <w:sz w:val="24"/>
          <w:szCs w:val="24"/>
          <w:lang w:val="en-GB"/>
        </w:rPr>
        <w:t xml:space="preserve"> by a 15% annual growth rate in online fashion sales (Wang et al., 2025). While Zara’s vertically integrated model, rapid design-to-store cycle, and centralised decision-making offer substantial global advantages, these strengths must be tailored to fit China’s competitive environment, cultural norms, digital ecosystem, and regulatory requirements.</w:t>
      </w:r>
    </w:p>
    <w:p w:rsidR="015F85EC" w:rsidP="0052A477" w:rsidRDefault="015F85EC" w14:paraId="52F7BECE" w14:textId="789EDA7B">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This discussion critically evaluates three key adjustments that Zara should make to its standard operating procedures to achieve sustained success in China: (1) enhanced localisation of product and merchandising decisions, (2) culturally aligned human resource management and leadership practices, and (3) integration of China-specific digital ecosystems and customer engagement standards. Each recommendation draws on Hofstede’s theory of cultural differences. For instance, enhancing localisation means adapting products to suit regional consumer preferences, aligning with China’s high collectivism score and preference for group and regional conformity. Culturally aligned human resource practices reflect Hofstede’s power distance dimension, </w:t>
      </w:r>
      <w:r w:rsidRPr="0052A477" w:rsidR="015F85EC">
        <w:rPr>
          <w:rFonts w:ascii="Arial" w:hAnsi="Arial" w:eastAsia="Arial" w:cs="Arial"/>
          <w:noProof w:val="0"/>
          <w:sz w:val="24"/>
          <w:szCs w:val="24"/>
          <w:lang w:val="en-GB"/>
        </w:rPr>
        <w:t>indicating</w:t>
      </w:r>
      <w:r w:rsidRPr="0052A477" w:rsidR="015F85EC">
        <w:rPr>
          <w:rFonts w:ascii="Arial" w:hAnsi="Arial" w:eastAsia="Arial" w:cs="Arial"/>
          <w:noProof w:val="0"/>
          <w:sz w:val="24"/>
          <w:szCs w:val="24"/>
          <w:lang w:val="en-GB"/>
        </w:rPr>
        <w:t xml:space="preserve"> a need for the hierarchical management structures favoured in Chinese culture. Finally, integrating China-specific digital ecosystems is supported by the country’s high long-term orientation score, highlighting the importance of building lasting relationships with Chinese consumers.</w:t>
      </w:r>
    </w:p>
    <w:p w:rsidR="015F85EC" w:rsidP="0052A477" w:rsidRDefault="015F85EC" w14:paraId="20C227A8" w14:textId="7B5FCE7A">
      <w:pPr>
        <w:pStyle w:val="Heading2"/>
        <w:rPr>
          <w:rFonts w:ascii="Arial" w:hAnsi="Arial" w:eastAsia="Arial" w:cs="Arial"/>
          <w:noProof w:val="0"/>
          <w:color w:val="auto"/>
          <w:sz w:val="22"/>
          <w:szCs w:val="22"/>
          <w:lang w:val="en-GB"/>
        </w:rPr>
      </w:pPr>
      <w:bookmarkStart w:name="_Toc1799179465" w:id="950762673"/>
      <w:r w:rsidRPr="0052A477" w:rsidR="015F85EC">
        <w:rPr>
          <w:noProof w:val="0"/>
          <w:color w:val="auto"/>
          <w:sz w:val="28"/>
          <w:szCs w:val="28"/>
          <w:lang w:val="en-GB"/>
        </w:rPr>
        <w:t>Localisation of Product, Supply, and Merchandising</w:t>
      </w:r>
      <w:bookmarkEnd w:id="950762673"/>
    </w:p>
    <w:p w:rsidR="015F85EC" w:rsidP="0052A477" w:rsidRDefault="015F85EC" w14:paraId="6BF9BDEE" w14:textId="707CEF4F">
      <w:pPr>
        <w:spacing w:before="120" w:beforeAutospacing="off" w:after="120" w:afterAutospacing="off" w:line="360" w:lineRule="auto"/>
        <w:jc w:val="both"/>
      </w:pPr>
      <w:r w:rsidRPr="0052A477" w:rsidR="015F85EC">
        <w:rPr>
          <w:rFonts w:ascii="Arial" w:hAnsi="Arial" w:eastAsia="Arial" w:cs="Arial"/>
          <w:noProof w:val="0"/>
          <w:sz w:val="24"/>
          <w:szCs w:val="24"/>
          <w:lang w:val="en-GB"/>
        </w:rPr>
        <w:t>Critical Discussion</w:t>
      </w:r>
    </w:p>
    <w:p w:rsidR="015F85EC" w:rsidP="0052A477" w:rsidRDefault="015F85EC" w14:paraId="78D754DD" w14:textId="2C22E26A">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Zara’s ownership advantages—particularly its highly centralised design, production, and distribution systems—enable rapid stock turnover and global consistency. However, China’s cultural, climatic, and competitive contexts are markedly different from those in Europe (Wang et al., 2025). Chinese consumers often require more refined fits, smaller sizes, distinct colour palettes, and garments suited to regional climates. These differences mean Zara should revise its standard operating procedures to include region-specific design adaptations and a more flexible supply chain. This could involve establishing local design teams to customise fits and colour schemes for regional preferences and </w:t>
      </w:r>
      <w:r w:rsidRPr="0052A477" w:rsidR="78053D05">
        <w:rPr>
          <w:rFonts w:ascii="Arial" w:hAnsi="Arial" w:eastAsia="Arial" w:cs="Arial"/>
          <w:noProof w:val="0"/>
          <w:sz w:val="24"/>
          <w:szCs w:val="24"/>
          <w:lang w:val="en-GB"/>
        </w:rPr>
        <w:t>climates and</w:t>
      </w:r>
      <w:r w:rsidRPr="0052A477" w:rsidR="015F85EC">
        <w:rPr>
          <w:rFonts w:ascii="Arial" w:hAnsi="Arial" w:eastAsia="Arial" w:cs="Arial"/>
          <w:noProof w:val="0"/>
          <w:sz w:val="24"/>
          <w:szCs w:val="24"/>
          <w:lang w:val="en-GB"/>
        </w:rPr>
        <w:t xml:space="preserve"> ensuring production schedules align with seasonal demands. By aligning operational processes with consumer expectations, Zara can improve responsiveness and </w:t>
      </w:r>
      <w:r w:rsidRPr="0052A477" w:rsidR="015F85EC">
        <w:rPr>
          <w:rFonts w:ascii="Arial" w:hAnsi="Arial" w:eastAsia="Arial" w:cs="Arial"/>
          <w:noProof w:val="0"/>
          <w:sz w:val="24"/>
          <w:szCs w:val="24"/>
          <w:lang w:val="en-GB"/>
        </w:rPr>
        <w:t>maintain</w:t>
      </w:r>
      <w:r w:rsidRPr="0052A477" w:rsidR="015F85EC">
        <w:rPr>
          <w:rFonts w:ascii="Arial" w:hAnsi="Arial" w:eastAsia="Arial" w:cs="Arial"/>
          <w:noProof w:val="0"/>
          <w:sz w:val="24"/>
          <w:szCs w:val="24"/>
          <w:lang w:val="en-GB"/>
        </w:rPr>
        <w:t xml:space="preserve"> its competitive advantage in China.</w:t>
      </w:r>
    </w:p>
    <w:p w:rsidR="015F85EC" w:rsidP="0052A477" w:rsidRDefault="015F85EC" w14:paraId="027ABBEF" w14:textId="2A05A364">
      <w:pPr>
        <w:spacing w:before="120" w:beforeAutospacing="off" w:after="120" w:afterAutospacing="off" w:line="360" w:lineRule="auto"/>
        <w:jc w:val="both"/>
      </w:pPr>
      <w:r w:rsidRPr="0052A477" w:rsidR="015F85EC">
        <w:rPr>
          <w:rFonts w:ascii="Arial" w:hAnsi="Arial" w:eastAsia="Arial" w:cs="Arial"/>
          <w:noProof w:val="0"/>
          <w:sz w:val="24"/>
          <w:szCs w:val="24"/>
          <w:lang w:val="en-GB"/>
        </w:rPr>
        <w:t>SOP ADJUSTMENT RECOMMENDATION</w:t>
      </w:r>
    </w:p>
    <w:p w:rsidR="015F85EC" w:rsidP="0052A477" w:rsidRDefault="015F85EC" w14:paraId="6708463A" w14:textId="60641EE3">
      <w:pPr>
        <w:spacing w:before="120" w:beforeAutospacing="off" w:after="120" w:afterAutospacing="off" w:line="360" w:lineRule="auto"/>
        <w:jc w:val="both"/>
      </w:pPr>
      <w:r w:rsidRPr="0052A477" w:rsidR="015F85EC">
        <w:rPr>
          <w:rFonts w:ascii="Arial" w:hAnsi="Arial" w:eastAsia="Arial" w:cs="Arial"/>
          <w:noProof w:val="0"/>
          <w:sz w:val="24"/>
          <w:szCs w:val="24"/>
          <w:lang w:val="en-GB"/>
        </w:rPr>
        <w:t>Flexible seasonal calendars: Adjusting product launches for northern and southern China, which experience drastically different climates.</w:t>
      </w:r>
    </w:p>
    <w:p w:rsidR="015F85EC" w:rsidP="0052A477" w:rsidRDefault="015F85EC" w14:paraId="4B96988E" w14:textId="4D3EFF0A">
      <w:pPr>
        <w:spacing w:before="120" w:beforeAutospacing="off" w:after="120" w:afterAutospacing="off" w:line="360" w:lineRule="auto"/>
        <w:jc w:val="both"/>
      </w:pPr>
      <w:r w:rsidRPr="0052A477" w:rsidR="015F85EC">
        <w:rPr>
          <w:rFonts w:ascii="Arial" w:hAnsi="Arial" w:eastAsia="Arial" w:cs="Arial"/>
          <w:noProof w:val="0"/>
          <w:sz w:val="24"/>
          <w:szCs w:val="24"/>
          <w:lang w:val="en-GB"/>
        </w:rPr>
        <w:t>Local Data-Driven merchandising: utilising regional sales data, customer feedback and AI forecasting tools tailored to Chinese e-commerce platforms</w:t>
      </w:r>
    </w:p>
    <w:p w:rsidR="015F85EC" w:rsidP="0052A477" w:rsidRDefault="015F85EC" w14:paraId="739ACCD2" w14:textId="3E7AE10A">
      <w:pPr>
        <w:spacing w:before="120" w:beforeAutospacing="off" w:after="120" w:afterAutospacing="off" w:line="360" w:lineRule="auto"/>
        <w:jc w:val="both"/>
      </w:pPr>
      <w:r w:rsidRPr="0052A477" w:rsidR="015F85EC">
        <w:rPr>
          <w:rFonts w:ascii="Arial" w:hAnsi="Arial" w:eastAsia="Arial" w:cs="Arial"/>
          <w:noProof w:val="0"/>
          <w:sz w:val="24"/>
          <w:szCs w:val="24"/>
          <w:lang w:val="en-GB"/>
        </w:rPr>
        <w:t>Enhanced Quality Assurance: Ensuring fabrics and construction standards reflect China’s competitive environment and status-oriented fashion culture.</w:t>
      </w:r>
    </w:p>
    <w:p w:rsidR="015F85EC" w:rsidP="0052A477" w:rsidRDefault="015F85EC" w14:paraId="51DC988A" w14:textId="2B6424AB">
      <w:pPr>
        <w:spacing w:before="120" w:beforeAutospacing="off" w:after="120" w:afterAutospacing="off" w:line="360" w:lineRule="auto"/>
        <w:jc w:val="both"/>
      </w:pPr>
      <w:r w:rsidRPr="0052A477" w:rsidR="015F85EC">
        <w:rPr>
          <w:rFonts w:ascii="Arial" w:hAnsi="Arial" w:eastAsia="Arial" w:cs="Arial"/>
          <w:noProof w:val="0"/>
          <w:sz w:val="24"/>
          <w:szCs w:val="24"/>
          <w:lang w:val="en-GB"/>
        </w:rPr>
        <w:t>Local Capsule Collections: Incorporating colours, fabrics, and silhouettes preferred by Chinese consumers.</w:t>
      </w:r>
    </w:p>
    <w:p w:rsidR="015F85EC" w:rsidP="0052A477" w:rsidRDefault="015F85EC" w14:paraId="16EA9DDA" w14:textId="43A45922">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This localisation SOP supports Zara’s ownership advantages by extending its design capabilities, strengthening location </w:t>
      </w:r>
      <w:r w:rsidRPr="0052A477" w:rsidR="015F85EC">
        <w:rPr>
          <w:rFonts w:ascii="Arial" w:hAnsi="Arial" w:eastAsia="Arial" w:cs="Arial"/>
          <w:noProof w:val="0"/>
          <w:sz w:val="24"/>
          <w:szCs w:val="24"/>
          <w:lang w:val="en-GB"/>
        </w:rPr>
        <w:t>responsiveness</w:t>
      </w:r>
      <w:r w:rsidRPr="0052A477" w:rsidR="015F85EC">
        <w:rPr>
          <w:rFonts w:ascii="Arial" w:hAnsi="Arial" w:eastAsia="Arial" w:cs="Arial"/>
          <w:noProof w:val="0"/>
          <w:sz w:val="24"/>
          <w:szCs w:val="24"/>
          <w:lang w:val="en-GB"/>
        </w:rPr>
        <w:t xml:space="preserve"> and internalising Zara's control over brand consistency while incorporating essential local insights.</w:t>
      </w:r>
    </w:p>
    <w:p w:rsidR="015F85EC" w:rsidP="0052A477" w:rsidRDefault="015F85EC" w14:paraId="7F658595" w14:textId="20EC4F19">
      <w:pPr>
        <w:pStyle w:val="Heading2"/>
        <w:rPr>
          <w:noProof w:val="0"/>
          <w:color w:val="auto"/>
          <w:sz w:val="24"/>
          <w:szCs w:val="24"/>
          <w:lang w:val="en-GB"/>
        </w:rPr>
      </w:pPr>
      <w:bookmarkStart w:name="_Toc1798102641" w:id="1250962738"/>
      <w:r w:rsidRPr="0052A477" w:rsidR="015F85EC">
        <w:rPr>
          <w:noProof w:val="0"/>
          <w:color w:val="auto"/>
          <w:sz w:val="28"/>
          <w:szCs w:val="28"/>
          <w:lang w:val="en-GB"/>
        </w:rPr>
        <w:t>2.Culturally Adapted Human Resource and Leadership SOPs</w:t>
      </w:r>
      <w:bookmarkEnd w:id="1250962738"/>
    </w:p>
    <w:p w:rsidR="015F85EC" w:rsidP="0052A477" w:rsidRDefault="015F85EC" w14:paraId="0354AE19" w14:textId="5BF606FA">
      <w:pPr>
        <w:spacing w:before="120" w:beforeAutospacing="off" w:after="120" w:afterAutospacing="off" w:line="360" w:lineRule="auto"/>
        <w:jc w:val="both"/>
      </w:pPr>
      <w:r w:rsidRPr="0052A477" w:rsidR="015F85EC">
        <w:rPr>
          <w:rFonts w:ascii="Arial" w:hAnsi="Arial" w:eastAsia="Arial" w:cs="Arial"/>
          <w:noProof w:val="0"/>
          <w:sz w:val="24"/>
          <w:szCs w:val="24"/>
          <w:lang w:val="en-GB"/>
        </w:rPr>
        <w:t>Critical Discussion</w:t>
      </w:r>
    </w:p>
    <w:p w:rsidR="015F85EC" w:rsidP="0052A477" w:rsidRDefault="015F85EC" w14:paraId="4E0E3AAD" w14:textId="52B12643">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Zara’s corporate culture originates in Spain, where there is </w:t>
      </w:r>
      <w:r w:rsidRPr="0052A477" w:rsidR="015F85EC">
        <w:rPr>
          <w:rFonts w:ascii="Arial" w:hAnsi="Arial" w:eastAsia="Arial" w:cs="Arial"/>
          <w:noProof w:val="0"/>
          <w:sz w:val="24"/>
          <w:szCs w:val="24"/>
          <w:lang w:val="en-GB"/>
        </w:rPr>
        <w:t>relatively low</w:t>
      </w:r>
      <w:r w:rsidRPr="0052A477" w:rsidR="015F85EC">
        <w:rPr>
          <w:rFonts w:ascii="Arial" w:hAnsi="Arial" w:eastAsia="Arial" w:cs="Arial"/>
          <w:noProof w:val="0"/>
          <w:sz w:val="24"/>
          <w:szCs w:val="24"/>
          <w:lang w:val="en-GB"/>
        </w:rPr>
        <w:t xml:space="preserve"> power distance, moderate masculinity, and an emphasis on interpersonal warmth and informal communication. In contrast, China is a high power distance, collectivist society that values hierarchy, clear authority, group cohesion, and face-saving communication. These distinctions have significant implications for Zara’s in-store operations, team management, and leadership practices.</w:t>
      </w:r>
    </w:p>
    <w:p w:rsidR="015F85EC" w:rsidP="0052A477" w:rsidRDefault="015F85EC" w14:paraId="70CB9259" w14:textId="5BFBFFA0">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In Spain, shop-floor teams are used to direct communication, improvisation, and a certain level of autonomy. In China, employees expect structured guidance, clear instructions, and formalised performance expectations. Collectivist cultures also rely on group consensus to </w:t>
      </w:r>
      <w:r w:rsidRPr="0052A477" w:rsidR="015F85EC">
        <w:rPr>
          <w:rFonts w:ascii="Arial" w:hAnsi="Arial" w:eastAsia="Arial" w:cs="Arial"/>
          <w:noProof w:val="0"/>
          <w:sz w:val="24"/>
          <w:szCs w:val="24"/>
          <w:lang w:val="en-GB"/>
        </w:rPr>
        <w:t>maintain</w:t>
      </w:r>
      <w:r w:rsidRPr="0052A477" w:rsidR="015F85EC">
        <w:rPr>
          <w:rFonts w:ascii="Arial" w:hAnsi="Arial" w:eastAsia="Arial" w:cs="Arial"/>
          <w:noProof w:val="0"/>
          <w:sz w:val="24"/>
          <w:szCs w:val="24"/>
          <w:lang w:val="en-GB"/>
        </w:rPr>
        <w:t xml:space="preserve"> harmony and foster </w:t>
      </w:r>
      <w:r w:rsidRPr="0052A477" w:rsidR="015F85EC">
        <w:rPr>
          <w:rFonts w:ascii="Arial" w:hAnsi="Arial" w:eastAsia="Arial" w:cs="Arial"/>
          <w:noProof w:val="0"/>
          <w:sz w:val="24"/>
          <w:szCs w:val="24"/>
          <w:lang w:val="en-GB"/>
        </w:rPr>
        <w:t>a strong team</w:t>
      </w:r>
      <w:r w:rsidRPr="0052A477" w:rsidR="015F85EC">
        <w:rPr>
          <w:rFonts w:ascii="Arial" w:hAnsi="Arial" w:eastAsia="Arial" w:cs="Arial"/>
          <w:noProof w:val="0"/>
          <w:sz w:val="24"/>
          <w:szCs w:val="24"/>
          <w:lang w:val="en-GB"/>
        </w:rPr>
        <w:t xml:space="preserve"> identity (Daniels and Greguras, 2014). Without culturally adapted HR practices, Zara faces the risk of high turnover, miscommunication, and diminished service quality—outcomes that directly affect brand experience and operational stability.</w:t>
      </w:r>
    </w:p>
    <w:p w:rsidR="015F85EC" w:rsidP="0052A477" w:rsidRDefault="015F85EC" w14:paraId="6B03D5B9" w14:textId="3D39438F">
      <w:pPr>
        <w:spacing w:before="120" w:beforeAutospacing="off" w:after="120" w:afterAutospacing="off" w:line="360" w:lineRule="auto"/>
        <w:jc w:val="both"/>
      </w:pPr>
      <w:r w:rsidRPr="0052A477" w:rsidR="015F85EC">
        <w:rPr>
          <w:rFonts w:ascii="Arial" w:hAnsi="Arial" w:eastAsia="Arial" w:cs="Arial"/>
          <w:noProof w:val="0"/>
          <w:sz w:val="24"/>
          <w:szCs w:val="24"/>
          <w:lang w:val="en-GB"/>
        </w:rPr>
        <w:t>From an OLI perspective, cultural differences create location-specific operational challenges that Zara must address by strengthening its own managerial capabilities, rather than outsourcing or relying on external partners. The internalisation advantage is especially important in human resource management, as the Zara brand relies heavily on global service standards in store presentation and staff behaviour (Lopez and Fan, 2009; Bhardwaj, Eickman, and Runyan, 2011).</w:t>
      </w:r>
    </w:p>
    <w:p w:rsidR="015F85EC" w:rsidP="0052A477" w:rsidRDefault="015F85EC" w14:paraId="6CE4440A" w14:textId="5D1188B5">
      <w:pPr>
        <w:spacing w:before="120" w:beforeAutospacing="off" w:after="120" w:afterAutospacing="off" w:line="360" w:lineRule="auto"/>
        <w:jc w:val="both"/>
      </w:pPr>
      <w:r w:rsidRPr="0052A477" w:rsidR="015F85EC">
        <w:rPr>
          <w:rFonts w:ascii="Arial" w:hAnsi="Arial" w:eastAsia="Arial" w:cs="Arial"/>
          <w:noProof w:val="0"/>
          <w:sz w:val="24"/>
          <w:szCs w:val="24"/>
          <w:lang w:val="en-GB"/>
        </w:rPr>
        <w:t>SOP ADJUSTMENT</w:t>
      </w:r>
    </w:p>
    <w:p w:rsidR="015F85EC" w:rsidP="0052A477" w:rsidRDefault="015F85EC" w14:paraId="6F5B9791" w14:textId="495C60E4">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Zara should develop a China-specific HR and leadership team structured around hierarchical clarity, collectivist motivation, and culturally </w:t>
      </w:r>
      <w:r w:rsidRPr="0052A477" w:rsidR="015F85EC">
        <w:rPr>
          <w:rFonts w:ascii="Arial" w:hAnsi="Arial" w:eastAsia="Arial" w:cs="Arial"/>
          <w:noProof w:val="0"/>
          <w:sz w:val="24"/>
          <w:szCs w:val="24"/>
          <w:lang w:val="en-GB"/>
        </w:rPr>
        <w:t>appropriate communication</w:t>
      </w:r>
      <w:r w:rsidRPr="0052A477" w:rsidR="015F85EC">
        <w:rPr>
          <w:rFonts w:ascii="Arial" w:hAnsi="Arial" w:eastAsia="Arial" w:cs="Arial"/>
          <w:noProof w:val="0"/>
          <w:sz w:val="24"/>
          <w:szCs w:val="24"/>
          <w:lang w:val="en-GB"/>
        </w:rPr>
        <w:t xml:space="preserve"> practices.</w:t>
      </w:r>
    </w:p>
    <w:p w:rsidR="015F85EC" w:rsidP="0052A477" w:rsidRDefault="015F85EC" w14:paraId="5CF2E980" w14:textId="1B1F6A40">
      <w:pPr>
        <w:spacing w:before="120" w:beforeAutospacing="off" w:after="120" w:afterAutospacing="off" w:line="360" w:lineRule="auto"/>
        <w:jc w:val="both"/>
      </w:pPr>
      <w:r w:rsidRPr="0052A477" w:rsidR="015F85EC">
        <w:rPr>
          <w:rFonts w:ascii="Arial" w:hAnsi="Arial" w:eastAsia="Arial" w:cs="Arial"/>
          <w:noProof w:val="0"/>
          <w:sz w:val="24"/>
          <w:szCs w:val="24"/>
          <w:lang w:val="en-GB"/>
        </w:rPr>
        <w:t>Implementing clear hierarchical structures: Explicit reporting lines, defined responsibilities, and detailed role descriptions</w:t>
      </w:r>
    </w:p>
    <w:p w:rsidR="015F85EC" w:rsidP="0052A477" w:rsidRDefault="015F85EC" w14:paraId="64E844C0" w14:textId="435FC68A">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Culturally </w:t>
      </w:r>
      <w:r w:rsidRPr="0052A477" w:rsidR="015F85EC">
        <w:rPr>
          <w:rFonts w:ascii="Arial" w:hAnsi="Arial" w:eastAsia="Arial" w:cs="Arial"/>
          <w:noProof w:val="0"/>
          <w:sz w:val="24"/>
          <w:szCs w:val="24"/>
          <w:lang w:val="en-GB"/>
        </w:rPr>
        <w:t>appropriate leadership</w:t>
      </w:r>
      <w:r w:rsidRPr="0052A477" w:rsidR="015F85EC">
        <w:rPr>
          <w:rFonts w:ascii="Arial" w:hAnsi="Arial" w:eastAsia="Arial" w:cs="Arial"/>
          <w:noProof w:val="0"/>
          <w:sz w:val="24"/>
          <w:szCs w:val="24"/>
          <w:lang w:val="en-GB"/>
        </w:rPr>
        <w:t xml:space="preserve"> training: Spanish- and international-managers in China should receive training on Chinese workplace norms, including indirect communication, respect for hierarchy, and conflict-avoidance strategies.</w:t>
      </w:r>
    </w:p>
    <w:p w:rsidR="015F85EC" w:rsidP="0052A477" w:rsidRDefault="015F85EC" w14:paraId="6269804D" w14:textId="74A1B2BC">
      <w:pPr>
        <w:spacing w:before="120" w:beforeAutospacing="off" w:after="120" w:afterAutospacing="off" w:line="360" w:lineRule="auto"/>
        <w:jc w:val="both"/>
      </w:pPr>
      <w:r w:rsidRPr="0052A477" w:rsidR="015F85EC">
        <w:rPr>
          <w:rFonts w:ascii="Arial" w:hAnsi="Arial" w:eastAsia="Arial" w:cs="Arial"/>
          <w:noProof w:val="0"/>
          <w:sz w:val="24"/>
          <w:szCs w:val="24"/>
          <w:lang w:val="en-GB"/>
        </w:rPr>
        <w:t>Structured career-development pathways: Reflecting China’s long-term orientation, employees should see clear advancement opportunities to encourage retention</w:t>
      </w:r>
    </w:p>
    <w:p w:rsidR="015F85EC" w:rsidP="0052A477" w:rsidRDefault="015F85EC" w14:paraId="27582708" w14:textId="17649EBB">
      <w:pPr>
        <w:spacing w:before="120" w:beforeAutospacing="off" w:after="120" w:afterAutospacing="off" w:line="360" w:lineRule="auto"/>
        <w:jc w:val="both"/>
      </w:pPr>
      <w:r w:rsidRPr="0052A477" w:rsidR="015F85EC">
        <w:rPr>
          <w:rFonts w:ascii="Arial" w:hAnsi="Arial" w:eastAsia="Arial" w:cs="Arial"/>
          <w:noProof w:val="0"/>
          <w:sz w:val="24"/>
          <w:szCs w:val="24"/>
          <w:lang w:val="en-GB"/>
        </w:rPr>
        <w:t>Face-saving communication protocols: SOPs should emphasise private feedback, non-confrontational problem resolution, and recognition-based motivation.</w:t>
      </w:r>
    </w:p>
    <w:p w:rsidR="015F85EC" w:rsidP="0052A477" w:rsidRDefault="015F85EC" w14:paraId="450E803F" w14:textId="2687BF51">
      <w:pPr>
        <w:spacing w:before="120" w:beforeAutospacing="off" w:after="120" w:afterAutospacing="off" w:line="360" w:lineRule="auto"/>
        <w:jc w:val="both"/>
      </w:pPr>
      <w:r w:rsidRPr="0052A477" w:rsidR="015F85EC">
        <w:rPr>
          <w:rFonts w:ascii="Arial" w:hAnsi="Arial" w:eastAsia="Arial" w:cs="Arial"/>
          <w:noProof w:val="0"/>
          <w:sz w:val="24"/>
          <w:szCs w:val="24"/>
          <w:lang w:val="en-GB"/>
        </w:rPr>
        <w:t>This adjustment strengthens internalisation advantages and ensures Zara’s organisational operations align with cultural expectations, thereby improving employee satisfaction, efficiency, and the customer experience.</w:t>
      </w:r>
    </w:p>
    <w:p w:rsidR="015F85EC" w:rsidP="0052A477" w:rsidRDefault="015F85EC" w14:paraId="26FD36BD" w14:textId="5E6384A1">
      <w:pPr>
        <w:pStyle w:val="Heading2"/>
        <w:rPr>
          <w:noProof w:val="0"/>
          <w:color w:val="auto"/>
          <w:sz w:val="24"/>
          <w:szCs w:val="24"/>
          <w:lang w:val="en-GB"/>
        </w:rPr>
      </w:pPr>
      <w:bookmarkStart w:name="_Toc926049325" w:id="1657981503"/>
      <w:r w:rsidRPr="0052A477" w:rsidR="015F85EC">
        <w:rPr>
          <w:noProof w:val="0"/>
          <w:color w:val="auto"/>
          <w:sz w:val="28"/>
          <w:szCs w:val="28"/>
          <w:lang w:val="en-GB"/>
        </w:rPr>
        <w:t>3. China Focused Digital Integration and Customer Engagement SOPs</w:t>
      </w:r>
      <w:bookmarkEnd w:id="1657981503"/>
    </w:p>
    <w:p w:rsidR="015F85EC" w:rsidP="0052A477" w:rsidRDefault="015F85EC" w14:paraId="08FE451C" w14:textId="7A3B6526">
      <w:pPr>
        <w:spacing w:before="120" w:beforeAutospacing="off" w:after="120" w:afterAutospacing="off" w:line="360" w:lineRule="auto"/>
        <w:jc w:val="both"/>
      </w:pPr>
      <w:r w:rsidRPr="0052A477" w:rsidR="015F85EC">
        <w:rPr>
          <w:rFonts w:ascii="Arial" w:hAnsi="Arial" w:eastAsia="Arial" w:cs="Arial"/>
          <w:noProof w:val="0"/>
          <w:sz w:val="24"/>
          <w:szCs w:val="24"/>
          <w:lang w:val="en-GB"/>
        </w:rPr>
        <w:t>Critical discussion</w:t>
      </w:r>
    </w:p>
    <w:p w:rsidR="015F85EC" w:rsidP="0052A477" w:rsidRDefault="015F85EC" w14:paraId="7433BFFB" w14:textId="3C8ABAC3">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China is the world’s most digitally integrated retail market, with consumers heavily relying on mobile platforms, fast </w:t>
      </w:r>
      <w:r w:rsidRPr="0052A477" w:rsidR="015F85EC">
        <w:rPr>
          <w:rFonts w:ascii="Arial" w:hAnsi="Arial" w:eastAsia="Arial" w:cs="Arial"/>
          <w:noProof w:val="0"/>
          <w:sz w:val="24"/>
          <w:szCs w:val="24"/>
          <w:lang w:val="en-GB"/>
        </w:rPr>
        <w:t>logistics</w:t>
      </w:r>
      <w:r w:rsidRPr="0052A477" w:rsidR="015F85EC">
        <w:rPr>
          <w:rFonts w:ascii="Arial" w:hAnsi="Arial" w:eastAsia="Arial" w:cs="Arial"/>
          <w:noProof w:val="0"/>
          <w:sz w:val="24"/>
          <w:szCs w:val="24"/>
          <w:lang w:val="en-GB"/>
        </w:rPr>
        <w:t xml:space="preserve">, livestreaming, and influencer marketing (López, T. </w:t>
      </w:r>
      <w:r w:rsidRPr="0052A477" w:rsidR="015F85EC">
        <w:rPr>
          <w:rFonts w:ascii="Arial" w:hAnsi="Arial" w:eastAsia="Arial" w:cs="Arial"/>
          <w:i w:val="1"/>
          <w:iCs w:val="1"/>
          <w:noProof w:val="0"/>
          <w:sz w:val="24"/>
          <w:szCs w:val="24"/>
          <w:lang w:val="en-GB"/>
        </w:rPr>
        <w:t>et al.,</w:t>
      </w:r>
      <w:r w:rsidRPr="0052A477" w:rsidR="015F85EC">
        <w:rPr>
          <w:rFonts w:ascii="Arial" w:hAnsi="Arial" w:eastAsia="Arial" w:cs="Arial"/>
          <w:noProof w:val="0"/>
          <w:sz w:val="24"/>
          <w:szCs w:val="24"/>
          <w:lang w:val="en-GB"/>
        </w:rPr>
        <w:t xml:space="preserve"> 2022). In contrast, Spain has a more balanced mix of physical and online engagement, with less extensive integration between social media, payment systems, and ecommerce infrastructure.</w:t>
      </w:r>
    </w:p>
    <w:p w:rsidR="015F85EC" w:rsidP="0052A477" w:rsidRDefault="015F85EC" w14:paraId="1EFFA043" w14:textId="7C5ACF66">
      <w:pPr>
        <w:spacing w:before="120" w:beforeAutospacing="off" w:after="120" w:afterAutospacing="off" w:line="360" w:lineRule="auto"/>
        <w:jc w:val="both"/>
      </w:pPr>
      <w:r w:rsidRPr="0052A477" w:rsidR="015F85EC">
        <w:rPr>
          <w:rFonts w:ascii="Arial" w:hAnsi="Arial" w:eastAsia="Arial" w:cs="Arial"/>
          <w:noProof w:val="0"/>
          <w:sz w:val="24"/>
          <w:szCs w:val="24"/>
          <w:lang w:val="en-GB"/>
        </w:rPr>
        <w:t>For Zara, China’s digital environment presents both opportunities and challenges. The company’s ownership advantages include its global brand identity, integrated supply chain, and strong digital presence in Western markets. However, both domestic and international competitors excel at hyper-localised digital engagement. Without adapting, Zara risks losing relevance among Chinese consumers, who expect omnichannel integration, personalised recommendations, and continuous digital innovation.</w:t>
      </w:r>
    </w:p>
    <w:p w:rsidR="015F85EC" w:rsidP="0052A477" w:rsidRDefault="015F85EC" w14:paraId="00F3170B" w14:textId="578CA52C">
      <w:pPr>
        <w:spacing w:before="120" w:beforeAutospacing="off" w:after="120" w:afterAutospacing="off" w:line="360" w:lineRule="auto"/>
        <w:jc w:val="both"/>
      </w:pPr>
      <w:r w:rsidRPr="0052A477" w:rsidR="015F85EC">
        <w:rPr>
          <w:rFonts w:ascii="Arial" w:hAnsi="Arial" w:eastAsia="Arial" w:cs="Arial"/>
          <w:noProof w:val="0"/>
          <w:sz w:val="24"/>
          <w:szCs w:val="24"/>
          <w:lang w:val="en-GB"/>
        </w:rPr>
        <w:t>Location-specific factors further reinforce the need for adaptation: China’s retail growth is driven by urban trends fuelled by algorithms, influencers, and livestream shopping rather than physical stores. To strengthen its position in China, Zara must adopt SOPs that leverage local platform expertise rather than relying exclusively on global marketing structures.</w:t>
      </w:r>
    </w:p>
    <w:p w:rsidR="015F85EC" w:rsidP="0052A477" w:rsidRDefault="015F85EC" w14:paraId="07EA5147" w14:textId="75F1B255">
      <w:pPr>
        <w:spacing w:before="120" w:beforeAutospacing="off" w:after="120" w:afterAutospacing="off" w:line="360" w:lineRule="auto"/>
        <w:jc w:val="both"/>
      </w:pPr>
      <w:r w:rsidRPr="0052A477" w:rsidR="015F85EC">
        <w:rPr>
          <w:rFonts w:ascii="Arial" w:hAnsi="Arial" w:eastAsia="Arial" w:cs="Arial"/>
          <w:noProof w:val="0"/>
          <w:sz w:val="24"/>
          <w:szCs w:val="24"/>
          <w:lang w:val="en-GB"/>
        </w:rPr>
        <w:t>SOP ADJUSTMENT</w:t>
      </w:r>
    </w:p>
    <w:p w:rsidR="015F85EC" w:rsidP="0052A477" w:rsidRDefault="015F85EC" w14:paraId="0E2F28DD" w14:textId="48BCF279">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Zara should develop a China-specific digital commerce and consumer engagement SOP that fully integrates local platforms, livestreaming, influencer collaboration and omnichannel services. </w:t>
      </w:r>
    </w:p>
    <w:p w:rsidR="015F85EC" w:rsidP="0052A477" w:rsidRDefault="015F85EC" w14:paraId="45B3A152" w14:textId="5142BD91">
      <w:pPr>
        <w:spacing w:before="120" w:beforeAutospacing="off" w:after="120" w:afterAutospacing="off" w:line="360" w:lineRule="auto"/>
        <w:jc w:val="both"/>
      </w:pPr>
      <w:r w:rsidRPr="0052A477" w:rsidR="015F85EC">
        <w:rPr>
          <w:rFonts w:ascii="Arial" w:hAnsi="Arial" w:eastAsia="Arial" w:cs="Arial"/>
          <w:noProof w:val="0"/>
          <w:sz w:val="24"/>
          <w:szCs w:val="24"/>
          <w:lang w:val="en-GB"/>
        </w:rPr>
        <w:t xml:space="preserve">The SOP should include </w:t>
      </w:r>
    </w:p>
    <w:p w:rsidR="015F85EC" w:rsidP="0052A477" w:rsidRDefault="015F85EC" w14:paraId="4E51F0A8" w14:textId="3858A316">
      <w:pPr>
        <w:spacing w:before="120" w:beforeAutospacing="off" w:after="120" w:afterAutospacing="off" w:line="360" w:lineRule="auto"/>
        <w:jc w:val="both"/>
      </w:pPr>
      <w:r w:rsidRPr="0052A477" w:rsidR="015F85EC">
        <w:rPr>
          <w:rFonts w:ascii="Arial" w:hAnsi="Arial" w:eastAsia="Arial" w:cs="Arial"/>
          <w:noProof w:val="0"/>
          <w:sz w:val="24"/>
          <w:szCs w:val="24"/>
          <w:lang w:val="en-GB"/>
        </w:rPr>
        <w:t>Livestream retail protocols: including presenter training, product curation, storytelling guidelines, and sales metrics.</w:t>
      </w:r>
    </w:p>
    <w:p w:rsidR="015F85EC" w:rsidP="0052A477" w:rsidRDefault="015F85EC" w14:paraId="757C2661" w14:textId="641AD691">
      <w:pPr>
        <w:spacing w:before="120" w:beforeAutospacing="off" w:after="120" w:afterAutospacing="off" w:line="360" w:lineRule="auto"/>
        <w:jc w:val="both"/>
      </w:pPr>
      <w:r w:rsidRPr="0052A477" w:rsidR="015F85EC">
        <w:rPr>
          <w:rFonts w:ascii="Arial" w:hAnsi="Arial" w:eastAsia="Arial" w:cs="Arial"/>
          <w:noProof w:val="0"/>
          <w:sz w:val="24"/>
          <w:szCs w:val="24"/>
          <w:lang w:val="en-GB"/>
        </w:rPr>
        <w:t>Store-Online integration: SOPs for same-day delivery, click-and-collect, QR-code product information, and seamless transitions between digital and online browsing.</w:t>
      </w:r>
    </w:p>
    <w:p w:rsidR="015F85EC" w:rsidP="0052A477" w:rsidRDefault="015F85EC" w14:paraId="41031E40" w14:textId="7755DADC">
      <w:pPr>
        <w:spacing w:before="120" w:beforeAutospacing="off" w:after="120" w:afterAutospacing="off" w:line="360" w:lineRule="auto"/>
        <w:jc w:val="both"/>
      </w:pPr>
      <w:r w:rsidRPr="0052A477" w:rsidR="015F85EC">
        <w:rPr>
          <w:rFonts w:ascii="Arial" w:hAnsi="Arial" w:eastAsia="Arial" w:cs="Arial"/>
          <w:noProof w:val="0"/>
          <w:sz w:val="24"/>
          <w:szCs w:val="24"/>
          <w:lang w:val="en-GB"/>
        </w:rPr>
        <w:t>AI-driven personalisation: Using China’s advanced digital infrastructure to offer personalised recommendations, targeted promotions, and rapid response trend mapping.</w:t>
      </w:r>
    </w:p>
    <w:p w:rsidR="0052A477" w:rsidP="0052A477" w:rsidRDefault="0052A477" w14:paraId="2C517906" w14:textId="0733DE27">
      <w:pPr>
        <w:spacing w:before="120" w:beforeAutospacing="off" w:after="120" w:afterAutospacing="off" w:line="360" w:lineRule="auto"/>
        <w:jc w:val="both"/>
        <w:rPr>
          <w:rFonts w:ascii="Arial" w:hAnsi="Arial" w:eastAsia="Arial" w:cs="Arial"/>
          <w:noProof w:val="0"/>
          <w:sz w:val="24"/>
          <w:szCs w:val="24"/>
          <w:lang w:val="en-GB"/>
        </w:rPr>
      </w:pPr>
    </w:p>
    <w:p w:rsidR="38444B5E" w:rsidP="0052A477" w:rsidRDefault="38444B5E" w14:paraId="694B23E1" w14:textId="18668806">
      <w:pPr>
        <w:pStyle w:val="Heading1"/>
        <w:rPr>
          <w:noProof w:val="0"/>
          <w:color w:val="auto"/>
          <w:sz w:val="28"/>
          <w:szCs w:val="28"/>
          <w:lang w:val="en-GB"/>
        </w:rPr>
      </w:pPr>
      <w:bookmarkStart w:name="_Toc1158125858" w:id="1300507349"/>
      <w:r w:rsidRPr="0052A477" w:rsidR="38444B5E">
        <w:rPr>
          <w:noProof w:val="0"/>
          <w:color w:val="auto"/>
          <w:sz w:val="28"/>
          <w:szCs w:val="28"/>
          <w:lang w:val="en-GB"/>
        </w:rPr>
        <w:t>Conclusion</w:t>
      </w:r>
      <w:bookmarkEnd w:id="1300507349"/>
      <w:r w:rsidRPr="0052A477" w:rsidR="38444B5E">
        <w:rPr>
          <w:noProof w:val="0"/>
          <w:color w:val="auto"/>
          <w:sz w:val="28"/>
          <w:szCs w:val="28"/>
          <w:lang w:val="en-GB"/>
        </w:rPr>
        <w:t xml:space="preserve"> </w:t>
      </w:r>
    </w:p>
    <w:p w:rsidR="38444B5E" w:rsidP="0052A477" w:rsidRDefault="38444B5E" w14:paraId="317AE30F" w14:textId="0A840C57">
      <w:pPr>
        <w:spacing w:before="120" w:beforeAutospacing="off" w:after="120" w:afterAutospacing="off" w:line="360" w:lineRule="auto"/>
        <w:jc w:val="both"/>
      </w:pPr>
      <w:r w:rsidRPr="0052A477" w:rsidR="38444B5E">
        <w:rPr>
          <w:rFonts w:ascii="Arial" w:hAnsi="Arial" w:eastAsia="Arial" w:cs="Arial"/>
          <w:noProof w:val="0"/>
          <w:sz w:val="24"/>
          <w:szCs w:val="24"/>
          <w:lang w:val="en-GB"/>
        </w:rPr>
        <w:t xml:space="preserve">This report examines Zara's international operations, with a specific focus on its activities in China compared with its home context in Spain. As a multinational enterprise, Zara's strategic advantage lies in its ownership-specific strengths, including its vertically integrated supply chain, rapid design-to-store model, and strong brand identity. However, </w:t>
      </w:r>
      <w:r w:rsidRPr="0052A477" w:rsidR="38444B5E">
        <w:rPr>
          <w:rFonts w:ascii="Arial" w:hAnsi="Arial" w:eastAsia="Arial" w:cs="Arial"/>
          <w:noProof w:val="0"/>
          <w:sz w:val="24"/>
          <w:szCs w:val="24"/>
          <w:lang w:val="en-GB"/>
        </w:rPr>
        <w:t>operating</w:t>
      </w:r>
      <w:r w:rsidRPr="0052A477" w:rsidR="38444B5E">
        <w:rPr>
          <w:rFonts w:ascii="Arial" w:hAnsi="Arial" w:eastAsia="Arial" w:cs="Arial"/>
          <w:noProof w:val="0"/>
          <w:sz w:val="24"/>
          <w:szCs w:val="24"/>
          <w:lang w:val="en-GB"/>
        </w:rPr>
        <w:t xml:space="preserve"> in China requires adapting these global strengths to a distinctly </w:t>
      </w:r>
      <w:r w:rsidRPr="0052A477" w:rsidR="38444B5E">
        <w:rPr>
          <w:rFonts w:ascii="Arial" w:hAnsi="Arial" w:eastAsia="Arial" w:cs="Arial"/>
          <w:noProof w:val="0"/>
          <w:sz w:val="24"/>
          <w:szCs w:val="24"/>
          <w:lang w:val="en-GB"/>
        </w:rPr>
        <w:t>different cultural</w:t>
      </w:r>
      <w:r w:rsidRPr="0052A477" w:rsidR="38444B5E">
        <w:rPr>
          <w:rFonts w:ascii="Arial" w:hAnsi="Arial" w:eastAsia="Arial" w:cs="Arial"/>
          <w:noProof w:val="0"/>
          <w:sz w:val="24"/>
          <w:szCs w:val="24"/>
          <w:lang w:val="en-GB"/>
        </w:rPr>
        <w:t xml:space="preserve">, economic, and competitive environment. The analysis highlights that Zara's global value chain, spanning sourcing, production, merchandising, sales, and digital integration, must remain flexible to capture opportunities in emerging markets. To strengthen its position in China, Zara could consider implementing specific strategies such as enhancing its digital engagement through localized marketing campaigns on popular Chinese social media platforms like WeChat and Douyin. Additionally, Zara could adopt agile inventory management practices that respond quickly to local fashion trends and preferences, ensuring that stock reflects the latest consumer demands. Collaborating with local designers could also help tailor collections to appeal to Chinese consumers' tastes. Furthermore, expanding workforce training programs to focus on cultural sensitivity and local customer service expectations would enhance the client experience. Future research could investigate the long-term impacts of digital integration in China's fashion industry, explore differences in consumer </w:t>
      </w:r>
      <w:r w:rsidRPr="0052A477" w:rsidR="38444B5E">
        <w:rPr>
          <w:rFonts w:ascii="Arial" w:hAnsi="Arial" w:eastAsia="Arial" w:cs="Arial"/>
          <w:noProof w:val="0"/>
          <w:sz w:val="24"/>
          <w:szCs w:val="24"/>
          <w:lang w:val="en-GB"/>
        </w:rPr>
        <w:t>behavior</w:t>
      </w:r>
      <w:r w:rsidRPr="0052A477" w:rsidR="38444B5E">
        <w:rPr>
          <w:rFonts w:ascii="Arial" w:hAnsi="Arial" w:eastAsia="Arial" w:cs="Arial"/>
          <w:noProof w:val="0"/>
          <w:sz w:val="24"/>
          <w:szCs w:val="24"/>
          <w:lang w:val="en-GB"/>
        </w:rPr>
        <w:t xml:space="preserve"> across second- and third-tier cities, and evaluate the effectiveness of localized leadership and human resource practices. Additionally, research limitations include the dynamic nature of consumer preferences and the rapidly changing digital landscape, which may affect the applicability of current strategies over time.</w:t>
      </w:r>
    </w:p>
    <w:p w:rsidR="38444B5E" w:rsidP="0052A477" w:rsidRDefault="38444B5E" w14:paraId="1E092154" w14:textId="4BCDE7AC">
      <w:pPr>
        <w:spacing w:before="120" w:beforeAutospacing="off" w:after="120" w:afterAutospacing="off" w:line="360" w:lineRule="auto"/>
        <w:jc w:val="both"/>
      </w:pPr>
      <w:r w:rsidRPr="0052A477" w:rsidR="38444B5E">
        <w:rPr>
          <w:rFonts w:ascii="Arial" w:hAnsi="Arial" w:eastAsia="Arial" w:cs="Arial"/>
          <w:noProof w:val="0"/>
          <w:sz w:val="24"/>
          <w:szCs w:val="24"/>
          <w:lang w:val="en-GB"/>
        </w:rPr>
        <w:t xml:space="preserve">Applying Dunning’s OLI framework revealed that Zara’s ownership advantage and preferences for internalising core operations support direct investment in China, providing </w:t>
      </w:r>
      <w:r w:rsidRPr="0052A477" w:rsidR="38444B5E">
        <w:rPr>
          <w:rFonts w:ascii="Arial" w:hAnsi="Arial" w:eastAsia="Arial" w:cs="Arial"/>
          <w:noProof w:val="0"/>
          <w:sz w:val="24"/>
          <w:szCs w:val="24"/>
          <w:lang w:val="en-GB"/>
        </w:rPr>
        <w:t>a strong foundation</w:t>
      </w:r>
      <w:r w:rsidRPr="0052A477" w:rsidR="38444B5E">
        <w:rPr>
          <w:rFonts w:ascii="Arial" w:hAnsi="Arial" w:eastAsia="Arial" w:cs="Arial"/>
          <w:noProof w:val="0"/>
          <w:sz w:val="24"/>
          <w:szCs w:val="24"/>
          <w:lang w:val="en-GB"/>
        </w:rPr>
        <w:t xml:space="preserve"> for its expansion in the region. Specifically, Zara's decision to </w:t>
      </w:r>
      <w:r w:rsidRPr="0052A477" w:rsidR="38444B5E">
        <w:rPr>
          <w:rFonts w:ascii="Arial" w:hAnsi="Arial" w:eastAsia="Arial" w:cs="Arial"/>
          <w:noProof w:val="0"/>
          <w:sz w:val="24"/>
          <w:szCs w:val="24"/>
          <w:lang w:val="en-GB"/>
        </w:rPr>
        <w:t>establish</w:t>
      </w:r>
      <w:r w:rsidRPr="0052A477" w:rsidR="38444B5E">
        <w:rPr>
          <w:rFonts w:ascii="Arial" w:hAnsi="Arial" w:eastAsia="Arial" w:cs="Arial"/>
          <w:noProof w:val="0"/>
          <w:sz w:val="24"/>
          <w:szCs w:val="24"/>
          <w:lang w:val="en-GB"/>
        </w:rPr>
        <w:t xml:space="preserve"> a local </w:t>
      </w:r>
      <w:r w:rsidRPr="0052A477" w:rsidR="38444B5E">
        <w:rPr>
          <w:rFonts w:ascii="Arial" w:hAnsi="Arial" w:eastAsia="Arial" w:cs="Arial"/>
          <w:noProof w:val="0"/>
          <w:sz w:val="24"/>
          <w:szCs w:val="24"/>
          <w:lang w:val="en-GB"/>
        </w:rPr>
        <w:t>logistics</w:t>
      </w:r>
      <w:r w:rsidRPr="0052A477" w:rsidR="38444B5E">
        <w:rPr>
          <w:rFonts w:ascii="Arial" w:hAnsi="Arial" w:eastAsia="Arial" w:cs="Arial"/>
          <w:noProof w:val="0"/>
          <w:sz w:val="24"/>
          <w:szCs w:val="24"/>
          <w:lang w:val="en-GB"/>
        </w:rPr>
        <w:t xml:space="preserve"> </w:t>
      </w:r>
      <w:r w:rsidRPr="0052A477" w:rsidR="38444B5E">
        <w:rPr>
          <w:rFonts w:ascii="Arial" w:hAnsi="Arial" w:eastAsia="Arial" w:cs="Arial"/>
          <w:noProof w:val="0"/>
          <w:sz w:val="24"/>
          <w:szCs w:val="24"/>
          <w:lang w:val="en-GB"/>
        </w:rPr>
        <w:t>center</w:t>
      </w:r>
      <w:r w:rsidRPr="0052A477" w:rsidR="38444B5E">
        <w:rPr>
          <w:rFonts w:ascii="Arial" w:hAnsi="Arial" w:eastAsia="Arial" w:cs="Arial"/>
          <w:noProof w:val="0"/>
          <w:sz w:val="24"/>
          <w:szCs w:val="24"/>
          <w:lang w:val="en-GB"/>
        </w:rPr>
        <w:t xml:space="preserve"> in Shanghai has improved its supply chain efficiency, allowing for more responsive inventory management tailored to Chinese consumers. The country’s large market size, urban growth, and advanced digital infrastructure further enhance these location advantages. However, Zara contends with challenges arising from China’s cultural distance from Spain, particularly in terms of collectivism, power distance, and long-term orientation. To address these cultural differences, Zara has </w:t>
      </w:r>
      <w:r w:rsidRPr="0052A477" w:rsidR="38444B5E">
        <w:rPr>
          <w:rFonts w:ascii="Arial" w:hAnsi="Arial" w:eastAsia="Arial" w:cs="Arial"/>
          <w:noProof w:val="0"/>
          <w:sz w:val="24"/>
          <w:szCs w:val="24"/>
          <w:lang w:val="en-GB"/>
        </w:rPr>
        <w:t>initiated</w:t>
      </w:r>
      <w:r w:rsidRPr="0052A477" w:rsidR="38444B5E">
        <w:rPr>
          <w:rFonts w:ascii="Arial" w:hAnsi="Arial" w:eastAsia="Arial" w:cs="Arial"/>
          <w:noProof w:val="0"/>
          <w:sz w:val="24"/>
          <w:szCs w:val="24"/>
          <w:lang w:val="en-GB"/>
        </w:rPr>
        <w:t xml:space="preserve"> collaborations with local design teams, resulting in collections that better resonate with Chinese preferences. These strategic adaptations underscore the need for tailored organisational strategies to effectively navigate China's complex cultural landscape.</w:t>
      </w:r>
    </w:p>
    <w:p w:rsidR="38444B5E" w:rsidP="0052A477" w:rsidRDefault="38444B5E" w14:paraId="30B691BA" w14:textId="5E94DC88">
      <w:pPr>
        <w:spacing w:before="120" w:beforeAutospacing="off" w:after="120" w:afterAutospacing="off" w:line="360" w:lineRule="auto"/>
        <w:jc w:val="both"/>
      </w:pPr>
      <w:r w:rsidRPr="0052A477" w:rsidR="38444B5E">
        <w:rPr>
          <w:rFonts w:ascii="Arial" w:hAnsi="Arial" w:eastAsia="Arial" w:cs="Arial"/>
          <w:noProof w:val="0"/>
          <w:sz w:val="24"/>
          <w:szCs w:val="24"/>
          <w:lang w:val="en-GB"/>
        </w:rPr>
        <w:t xml:space="preserve">The cultural analysis </w:t>
      </w:r>
      <w:r w:rsidRPr="0052A477" w:rsidR="38444B5E">
        <w:rPr>
          <w:rFonts w:ascii="Arial" w:hAnsi="Arial" w:eastAsia="Arial" w:cs="Arial"/>
          <w:noProof w:val="0"/>
          <w:sz w:val="24"/>
          <w:szCs w:val="24"/>
          <w:lang w:val="en-GB"/>
        </w:rPr>
        <w:t>demonstrates</w:t>
      </w:r>
      <w:r w:rsidRPr="0052A477" w:rsidR="38444B5E">
        <w:rPr>
          <w:rFonts w:ascii="Arial" w:hAnsi="Arial" w:eastAsia="Arial" w:cs="Arial"/>
          <w:noProof w:val="0"/>
          <w:sz w:val="24"/>
          <w:szCs w:val="24"/>
          <w:lang w:val="en-GB"/>
        </w:rPr>
        <w:t xml:space="preserve"> clear implications for leadership, consumer </w:t>
      </w:r>
      <w:r w:rsidRPr="0052A477" w:rsidR="38444B5E">
        <w:rPr>
          <w:rFonts w:ascii="Arial" w:hAnsi="Arial" w:eastAsia="Arial" w:cs="Arial"/>
          <w:noProof w:val="0"/>
          <w:sz w:val="24"/>
          <w:szCs w:val="24"/>
          <w:lang w:val="en-GB"/>
        </w:rPr>
        <w:t>behavior</w:t>
      </w:r>
      <w:r w:rsidRPr="0052A477" w:rsidR="38444B5E">
        <w:rPr>
          <w:rFonts w:ascii="Arial" w:hAnsi="Arial" w:eastAsia="Arial" w:cs="Arial"/>
          <w:noProof w:val="0"/>
          <w:sz w:val="24"/>
          <w:szCs w:val="24"/>
          <w:lang w:val="en-GB"/>
        </w:rPr>
        <w:t xml:space="preserve">, and market expectations, reinforcing the need for locally responsive operating procedures. For Zara's management, this means adopting a leadership style that values cultural insights, promoting inclusive decision-making, and offering targeted training programs to enhance cultural competency. Strategically, Zara needs to tailor its marketing strategies to address regional preferences and prioritize consumer insights that reflect the unique tastes and expectations of Chinese buyers. Additionally, cultivating partnerships with local suppliers and designers can enable a more agile response to market shifts, ensuring that Zara's offerings </w:t>
      </w:r>
      <w:r w:rsidRPr="0052A477" w:rsidR="38444B5E">
        <w:rPr>
          <w:rFonts w:ascii="Arial" w:hAnsi="Arial" w:eastAsia="Arial" w:cs="Arial"/>
          <w:noProof w:val="0"/>
          <w:sz w:val="24"/>
          <w:szCs w:val="24"/>
          <w:lang w:val="en-GB"/>
        </w:rPr>
        <w:t>remain</w:t>
      </w:r>
      <w:r w:rsidRPr="0052A477" w:rsidR="38444B5E">
        <w:rPr>
          <w:rFonts w:ascii="Arial" w:hAnsi="Arial" w:eastAsia="Arial" w:cs="Arial"/>
          <w:noProof w:val="0"/>
          <w:sz w:val="24"/>
          <w:szCs w:val="24"/>
          <w:lang w:val="en-GB"/>
        </w:rPr>
        <w:t xml:space="preserve"> relevant and competitive.</w:t>
      </w:r>
    </w:p>
    <w:p w:rsidR="0052A477" w:rsidP="0052A477" w:rsidRDefault="0052A477" w14:paraId="1B8FAD42" w14:textId="5214FFA3">
      <w:pPr>
        <w:spacing w:before="120" w:beforeAutospacing="off" w:after="120" w:afterAutospacing="off" w:line="360" w:lineRule="auto"/>
        <w:jc w:val="both"/>
        <w:rPr>
          <w:rFonts w:ascii="Arial" w:hAnsi="Arial" w:eastAsia="Arial" w:cs="Arial"/>
          <w:noProof w:val="0"/>
          <w:sz w:val="24"/>
          <w:szCs w:val="24"/>
          <w:lang w:val="en-GB"/>
        </w:rPr>
      </w:pPr>
    </w:p>
    <w:p w:rsidR="0052A477" w:rsidP="0052A477" w:rsidRDefault="0052A477" w14:paraId="110F3E26" w14:textId="7A8E3BD3">
      <w:pPr>
        <w:spacing w:before="120" w:beforeAutospacing="off" w:after="120" w:afterAutospacing="off" w:line="360" w:lineRule="auto"/>
        <w:jc w:val="both"/>
        <w:rPr>
          <w:rFonts w:ascii="Arial" w:hAnsi="Arial" w:eastAsia="Arial" w:cs="Arial"/>
          <w:noProof w:val="0"/>
          <w:sz w:val="24"/>
          <w:szCs w:val="24"/>
          <w:lang w:val="en-GB"/>
        </w:rPr>
      </w:pPr>
    </w:p>
    <w:p w:rsidR="0052A477" w:rsidP="0052A477" w:rsidRDefault="0052A477" w14:paraId="06772F15" w14:textId="1154D39E">
      <w:pPr>
        <w:pStyle w:val="Normal"/>
        <w:spacing w:before="120" w:beforeAutospacing="off" w:after="120" w:afterAutospacing="off" w:line="360" w:lineRule="auto"/>
        <w:jc w:val="both"/>
        <w:rPr>
          <w:rFonts w:ascii="Arial" w:hAnsi="Arial" w:eastAsia="Arial" w:cs="Arial"/>
          <w:noProof w:val="0"/>
          <w:sz w:val="24"/>
          <w:szCs w:val="24"/>
          <w:lang w:val="en-GB"/>
        </w:rPr>
      </w:pPr>
    </w:p>
    <w:p w:rsidR="54ADEF73" w:rsidRDefault="54ADEF73" w14:paraId="070553BE" w14:textId="5E24C437">
      <w:r>
        <w:br w:type="page"/>
      </w:r>
    </w:p>
    <w:p w:rsidR="54ADEF73" w:rsidP="54ADEF73" w:rsidRDefault="54ADEF73" w14:paraId="4C2F7DCA" w14:textId="15F26812"/>
    <w:p w:rsidR="32A5DDC2" w:rsidP="54ADEF73" w:rsidRDefault="2B3D22D8" w14:paraId="19D99E26" w14:textId="1C925AB9" w14:noSpellErr="1">
      <w:pPr>
        <w:pStyle w:val="Heading1"/>
      </w:pPr>
      <w:bookmarkStart w:name="_Toc2041580770" w:id="256909431"/>
      <w:r w:rsidR="2B3D22D8">
        <w:rPr/>
        <w:t>References</w:t>
      </w:r>
      <w:bookmarkEnd w:id="256909431"/>
    </w:p>
    <w:p w:rsidR="32A5DDC2" w:rsidP="0052A477" w:rsidRDefault="3A18A010" w14:paraId="08F91AEF" w14:textId="15B1858D">
      <w:pPr>
        <w:spacing w:before="0" w:beforeAutospacing="off" w:after="0" w:afterAutospacing="off"/>
      </w:pPr>
      <w:r w:rsidRPr="0052A477" w:rsidR="3DCB2D35">
        <w:rPr>
          <w:rFonts w:ascii="Aptos" w:hAnsi="Aptos" w:eastAsia="Aptos" w:cs="Aptos"/>
          <w:noProof w:val="0"/>
          <w:sz w:val="24"/>
          <w:szCs w:val="24"/>
          <w:lang w:val="en-GB"/>
        </w:rPr>
        <w:t xml:space="preserve">Anwar, S.T. (2017) ‘Zara vs. Uniqlo: Leadership strategies in the competitive textile and apparel industry’, </w:t>
      </w:r>
      <w:r w:rsidRPr="0052A477" w:rsidR="3DCB2D35">
        <w:rPr>
          <w:rFonts w:ascii="Aptos" w:hAnsi="Aptos" w:eastAsia="Aptos" w:cs="Aptos"/>
          <w:i w:val="1"/>
          <w:iCs w:val="1"/>
          <w:noProof w:val="0"/>
          <w:sz w:val="24"/>
          <w:szCs w:val="24"/>
          <w:lang w:val="en-GB"/>
        </w:rPr>
        <w:t>Global Business and Organizational Excellence</w:t>
      </w:r>
      <w:r w:rsidRPr="0052A477" w:rsidR="3DCB2D35">
        <w:rPr>
          <w:rFonts w:ascii="Aptos" w:hAnsi="Aptos" w:eastAsia="Aptos" w:cs="Aptos"/>
          <w:noProof w:val="0"/>
          <w:sz w:val="24"/>
          <w:szCs w:val="24"/>
          <w:lang w:val="en-GB"/>
        </w:rPr>
        <w:t xml:space="preserve">, 36(5), pp. 26–35. Available at: </w:t>
      </w:r>
      <w:hyperlink r:id="Re9fcbb2174f445a8">
        <w:r w:rsidRPr="0052A477" w:rsidR="3DCB2D35">
          <w:rPr>
            <w:rStyle w:val="Hyperlink"/>
            <w:rFonts w:ascii="Aptos" w:hAnsi="Aptos" w:eastAsia="Aptos" w:cs="Aptos"/>
            <w:noProof w:val="0"/>
            <w:sz w:val="24"/>
            <w:szCs w:val="24"/>
            <w:lang w:val="en-GB"/>
          </w:rPr>
          <w:t>https://doi.org/10.1002/joe.21805</w:t>
        </w:r>
      </w:hyperlink>
      <w:r w:rsidRPr="0052A477" w:rsidR="3DCB2D35">
        <w:rPr>
          <w:rFonts w:ascii="Aptos" w:hAnsi="Aptos" w:eastAsia="Aptos" w:cs="Aptos"/>
          <w:noProof w:val="0"/>
          <w:sz w:val="24"/>
          <w:szCs w:val="24"/>
          <w:lang w:val="en-GB"/>
        </w:rPr>
        <w:t>.</w:t>
      </w:r>
      <w:r w:rsidRPr="0052A477" w:rsidR="3DCB2D35">
        <w:rPr>
          <w:rFonts w:ascii="Aptos" w:hAnsi="Aptos" w:eastAsia="Aptos" w:cs="Aptos"/>
        </w:rPr>
        <w:t xml:space="preserve"> </w:t>
      </w:r>
    </w:p>
    <w:p w:rsidR="32A5DDC2" w:rsidP="0052A477" w:rsidRDefault="3A18A010" w14:paraId="3270D0FA" w14:textId="5DAA1D07">
      <w:pPr>
        <w:spacing w:after="0"/>
        <w:rPr>
          <w:rFonts w:ascii="Aptos" w:hAnsi="Aptos" w:eastAsia="Aptos" w:cs="Aptos"/>
        </w:rPr>
      </w:pPr>
    </w:p>
    <w:p w:rsidR="32A5DDC2" w:rsidP="204761E7" w:rsidRDefault="3A18A010" w14:paraId="27F98B53" w14:textId="414B85C9">
      <w:pPr>
        <w:spacing w:after="0"/>
      </w:pPr>
      <w:r w:rsidRPr="0052A477" w:rsidR="3A18A010">
        <w:rPr>
          <w:rFonts w:ascii="Aptos" w:hAnsi="Aptos" w:eastAsia="Aptos" w:cs="Aptos"/>
        </w:rPr>
        <w:t xml:space="preserve">AZALIE, I.A.N. and KAMARULZAMAN, N.H. (2022) ‘DEVELOPMENT LINKAGES OF BRUNEI DARUSSALAM’S COFFEE AND TEA SECTOR: GLOBAL AND REGIONAL VALUE CHAIN PERSPECTIVES’, </w:t>
      </w:r>
      <w:r w:rsidRPr="0052A477" w:rsidR="3A18A010">
        <w:rPr>
          <w:rFonts w:ascii="Aptos" w:hAnsi="Aptos" w:eastAsia="Aptos" w:cs="Aptos"/>
          <w:i w:val="1"/>
          <w:iCs w:val="1"/>
        </w:rPr>
        <w:t>Journal of Business &amp; Economic Analysis</w:t>
      </w:r>
      <w:r w:rsidRPr="0052A477" w:rsidR="3A18A010">
        <w:rPr>
          <w:rFonts w:ascii="Aptos" w:hAnsi="Aptos" w:eastAsia="Aptos" w:cs="Aptos"/>
        </w:rPr>
        <w:t xml:space="preserve">, 5(3), pp. 255–279. Available at: </w:t>
      </w:r>
      <w:hyperlink r:id="R569d4e879914413f">
        <w:r w:rsidRPr="0052A477" w:rsidR="3A18A010">
          <w:rPr>
            <w:rStyle w:val="Hyperlink"/>
            <w:rFonts w:ascii="Aptos" w:hAnsi="Aptos" w:eastAsia="Aptos" w:cs="Aptos"/>
          </w:rPr>
          <w:t>https://doi.org/10.1142/S2737566822500074</w:t>
        </w:r>
      </w:hyperlink>
      <w:r w:rsidRPr="0052A477" w:rsidR="3A18A010">
        <w:rPr>
          <w:rFonts w:ascii="Aptos" w:hAnsi="Aptos" w:eastAsia="Aptos" w:cs="Aptos"/>
        </w:rPr>
        <w:t xml:space="preserve">. </w:t>
      </w:r>
    </w:p>
    <w:p w:rsidR="32A5DDC2" w:rsidP="54ADEF73" w:rsidRDefault="32A5DDC2" w14:paraId="418F0EAE" w14:textId="33070150">
      <w:pPr>
        <w:spacing w:after="0"/>
        <w:rPr>
          <w:rFonts w:ascii="Aptos" w:hAnsi="Aptos" w:eastAsia="Aptos" w:cs="Aptos"/>
        </w:rPr>
      </w:pPr>
    </w:p>
    <w:p w:rsidR="32A5DDC2" w:rsidP="204761E7" w:rsidRDefault="32A5DDC2" w14:paraId="1919B06E" w14:textId="036B575A">
      <w:pPr>
        <w:spacing w:after="0"/>
      </w:pPr>
      <w:r w:rsidRPr="54ADEF73">
        <w:rPr>
          <w:rFonts w:ascii="Aptos" w:hAnsi="Aptos" w:eastAsia="Aptos" w:cs="Aptos"/>
        </w:rPr>
        <w:t xml:space="preserve">Baena, V. (2024) ‘The shift from fast fashion to socially and sustainable fast fashion: The pivotal role of ethical consideration of consumer intentions to purchase Zara’, </w:t>
      </w:r>
      <w:r w:rsidRPr="54ADEF73">
        <w:rPr>
          <w:rFonts w:ascii="Aptos" w:hAnsi="Aptos" w:eastAsia="Aptos" w:cs="Aptos"/>
          <w:i/>
          <w:iCs/>
        </w:rPr>
        <w:t>Corporate social-responsibility and environmental management</w:t>
      </w:r>
      <w:r w:rsidRPr="54ADEF73">
        <w:rPr>
          <w:rFonts w:ascii="Aptos" w:hAnsi="Aptos" w:eastAsia="Aptos" w:cs="Aptos"/>
        </w:rPr>
        <w:t xml:space="preserve">, 31(5), pp. 4315–4328. Available at: </w:t>
      </w:r>
      <w:hyperlink r:id="rId12">
        <w:r w:rsidRPr="54ADEF73">
          <w:rPr>
            <w:rStyle w:val="Hyperlink"/>
            <w:rFonts w:ascii="Aptos" w:hAnsi="Aptos" w:eastAsia="Aptos" w:cs="Aptos"/>
          </w:rPr>
          <w:t>https://doi.org/10.1002/csr.2803</w:t>
        </w:r>
      </w:hyperlink>
      <w:r w:rsidRPr="54ADEF73">
        <w:rPr>
          <w:rFonts w:ascii="Aptos" w:hAnsi="Aptos" w:eastAsia="Aptos" w:cs="Aptos"/>
        </w:rPr>
        <w:t>.</w:t>
      </w:r>
    </w:p>
    <w:p w:rsidR="38A494A2" w:rsidRDefault="38A494A2" w14:paraId="5645A935" w14:textId="4E9A2674">
      <w:r w:rsidR="38A494A2">
        <w:rPr/>
        <w:t xml:space="preserve"> </w:t>
      </w:r>
    </w:p>
    <w:p w:rsidR="0FF62AA3" w:rsidP="0052A477" w:rsidRDefault="0FF62AA3" w14:paraId="033CA5F8" w14:textId="21EA10F2">
      <w:pPr>
        <w:spacing w:before="0" w:beforeAutospacing="off" w:after="0" w:afterAutospacing="off"/>
      </w:pPr>
      <w:r w:rsidRPr="0052A477" w:rsidR="0FF62AA3">
        <w:rPr>
          <w:rFonts w:ascii="Aptos" w:hAnsi="Aptos" w:eastAsia="Aptos" w:cs="Aptos"/>
          <w:noProof w:val="0"/>
          <w:sz w:val="24"/>
          <w:szCs w:val="24"/>
          <w:lang w:val="en-GB"/>
        </w:rPr>
        <w:t xml:space="preserve">Bhardwaj, V., Eickman, M. and Runyan, R.C. (2011) ‘A case study on the internationalization process of a “born-global” fashion retailer’, </w:t>
      </w:r>
      <w:r w:rsidRPr="0052A477" w:rsidR="0FF62AA3">
        <w:rPr>
          <w:rFonts w:ascii="Aptos" w:hAnsi="Aptos" w:eastAsia="Aptos" w:cs="Aptos"/>
          <w:i w:val="1"/>
          <w:iCs w:val="1"/>
          <w:noProof w:val="0"/>
          <w:sz w:val="24"/>
          <w:szCs w:val="24"/>
          <w:lang w:val="en-GB"/>
        </w:rPr>
        <w:t xml:space="preserve">The International review of retail, </w:t>
      </w:r>
      <w:r w:rsidRPr="0052A477" w:rsidR="0FF62AA3">
        <w:rPr>
          <w:rFonts w:ascii="Aptos" w:hAnsi="Aptos" w:eastAsia="Aptos" w:cs="Aptos"/>
          <w:i w:val="1"/>
          <w:iCs w:val="1"/>
          <w:noProof w:val="0"/>
          <w:sz w:val="24"/>
          <w:szCs w:val="24"/>
          <w:lang w:val="en-GB"/>
        </w:rPr>
        <w:t>distribution</w:t>
      </w:r>
      <w:r w:rsidRPr="0052A477" w:rsidR="0FF62AA3">
        <w:rPr>
          <w:rFonts w:ascii="Aptos" w:hAnsi="Aptos" w:eastAsia="Aptos" w:cs="Aptos"/>
          <w:i w:val="1"/>
          <w:iCs w:val="1"/>
          <w:noProof w:val="0"/>
          <w:sz w:val="24"/>
          <w:szCs w:val="24"/>
          <w:lang w:val="en-GB"/>
        </w:rPr>
        <w:t xml:space="preserve"> and consumer research</w:t>
      </w:r>
      <w:r w:rsidRPr="0052A477" w:rsidR="0FF62AA3">
        <w:rPr>
          <w:rFonts w:ascii="Aptos" w:hAnsi="Aptos" w:eastAsia="Aptos" w:cs="Aptos"/>
          <w:noProof w:val="0"/>
          <w:sz w:val="24"/>
          <w:szCs w:val="24"/>
          <w:lang w:val="en-GB"/>
        </w:rPr>
        <w:t xml:space="preserve">, 21(3), pp. 293–307. Available at: </w:t>
      </w:r>
      <w:hyperlink r:id="R5a1e040f86114656">
        <w:r w:rsidRPr="0052A477" w:rsidR="0FF62AA3">
          <w:rPr>
            <w:rStyle w:val="Hyperlink"/>
            <w:rFonts w:ascii="Aptos" w:hAnsi="Aptos" w:eastAsia="Aptos" w:cs="Aptos"/>
            <w:noProof w:val="0"/>
            <w:sz w:val="24"/>
            <w:szCs w:val="24"/>
            <w:lang w:val="en-GB"/>
          </w:rPr>
          <w:t>https://doi.org/10.1080/09593969.2011.578804</w:t>
        </w:r>
      </w:hyperlink>
      <w:r w:rsidRPr="0052A477" w:rsidR="0FF62AA3">
        <w:rPr>
          <w:rFonts w:ascii="Aptos" w:hAnsi="Aptos" w:eastAsia="Aptos" w:cs="Aptos"/>
          <w:noProof w:val="0"/>
          <w:sz w:val="24"/>
          <w:szCs w:val="24"/>
          <w:lang w:val="en-GB"/>
        </w:rPr>
        <w:t>.</w:t>
      </w:r>
    </w:p>
    <w:p w:rsidR="0052A477" w:rsidP="0052A477" w:rsidRDefault="0052A477" w14:paraId="0FC7C9F5" w14:textId="28657657">
      <w:pPr>
        <w:spacing w:before="0" w:beforeAutospacing="off" w:after="0" w:afterAutospacing="off"/>
        <w:rPr>
          <w:rFonts w:ascii="Aptos" w:hAnsi="Aptos" w:eastAsia="Aptos" w:cs="Aptos"/>
          <w:noProof w:val="0"/>
          <w:sz w:val="24"/>
          <w:szCs w:val="24"/>
          <w:lang w:val="en-GB"/>
        </w:rPr>
      </w:pPr>
    </w:p>
    <w:p w:rsidR="33429D7E" w:rsidP="0052A477" w:rsidRDefault="33429D7E" w14:paraId="6A415A1D" w14:textId="7E0A4041">
      <w:pPr>
        <w:pStyle w:val="Normal"/>
        <w:rPr>
          <w:rFonts w:ascii="Aptos" w:hAnsi="Aptos" w:eastAsia="Aptos" w:cs="Aptos"/>
          <w:noProof w:val="0"/>
          <w:sz w:val="24"/>
          <w:szCs w:val="24"/>
          <w:lang w:val="en-GB"/>
        </w:rPr>
      </w:pPr>
      <w:r w:rsidRPr="0052A477" w:rsidR="33429D7E">
        <w:rPr>
          <w:rFonts w:ascii="Arial" w:hAnsi="Arial" w:eastAsia="Arial" w:cs="Arial"/>
          <w:b w:val="0"/>
          <w:bCs w:val="0"/>
          <w:i w:val="0"/>
          <w:iCs w:val="0"/>
          <w:caps w:val="0"/>
          <w:smallCaps w:val="0"/>
          <w:noProof w:val="0"/>
          <w:color w:val="222222"/>
          <w:sz w:val="19"/>
          <w:szCs w:val="19"/>
          <w:lang w:val="en-GB"/>
        </w:rPr>
        <w:t xml:space="preserve">Daniels, M.A. and </w:t>
      </w:r>
      <w:r w:rsidRPr="0052A477" w:rsidR="33429D7E">
        <w:rPr>
          <w:rFonts w:ascii="Arial" w:hAnsi="Arial" w:eastAsia="Arial" w:cs="Arial"/>
          <w:b w:val="0"/>
          <w:bCs w:val="0"/>
          <w:i w:val="0"/>
          <w:iCs w:val="0"/>
          <w:caps w:val="0"/>
          <w:smallCaps w:val="0"/>
          <w:noProof w:val="0"/>
          <w:color w:val="222222"/>
          <w:sz w:val="19"/>
          <w:szCs w:val="19"/>
          <w:lang w:val="en-GB"/>
        </w:rPr>
        <w:t>Greguras</w:t>
      </w:r>
      <w:r w:rsidRPr="0052A477" w:rsidR="33429D7E">
        <w:rPr>
          <w:rFonts w:ascii="Arial" w:hAnsi="Arial" w:eastAsia="Arial" w:cs="Arial"/>
          <w:b w:val="0"/>
          <w:bCs w:val="0"/>
          <w:i w:val="0"/>
          <w:iCs w:val="0"/>
          <w:caps w:val="0"/>
          <w:smallCaps w:val="0"/>
          <w:noProof w:val="0"/>
          <w:color w:val="222222"/>
          <w:sz w:val="19"/>
          <w:szCs w:val="19"/>
          <w:lang w:val="en-GB"/>
        </w:rPr>
        <w:t xml:space="preserve">, G.J., (2014) Exploring the nature of power distance: Implications for micro-and macro-level theories, processes, and outcomes. </w:t>
      </w:r>
      <w:r w:rsidRPr="0052A477" w:rsidR="33429D7E">
        <w:rPr>
          <w:rFonts w:ascii="Arial" w:hAnsi="Arial" w:eastAsia="Arial" w:cs="Arial"/>
          <w:b w:val="0"/>
          <w:bCs w:val="0"/>
          <w:i w:val="1"/>
          <w:iCs w:val="1"/>
          <w:caps w:val="0"/>
          <w:smallCaps w:val="0"/>
          <w:noProof w:val="0"/>
          <w:color w:val="222222"/>
          <w:sz w:val="19"/>
          <w:szCs w:val="19"/>
          <w:lang w:val="en-GB"/>
        </w:rPr>
        <w:t>Journal of management</w:t>
      </w:r>
      <w:r w:rsidRPr="0052A477" w:rsidR="33429D7E">
        <w:rPr>
          <w:rFonts w:ascii="Arial" w:hAnsi="Arial" w:eastAsia="Arial" w:cs="Arial"/>
          <w:b w:val="0"/>
          <w:bCs w:val="0"/>
          <w:i w:val="0"/>
          <w:iCs w:val="0"/>
          <w:caps w:val="0"/>
          <w:smallCaps w:val="0"/>
          <w:noProof w:val="0"/>
          <w:color w:val="222222"/>
          <w:sz w:val="19"/>
          <w:szCs w:val="19"/>
          <w:lang w:val="en-GB"/>
        </w:rPr>
        <w:t xml:space="preserve">, </w:t>
      </w:r>
      <w:r w:rsidRPr="0052A477" w:rsidR="33429D7E">
        <w:rPr>
          <w:rFonts w:ascii="Arial" w:hAnsi="Arial" w:eastAsia="Arial" w:cs="Arial"/>
          <w:b w:val="0"/>
          <w:bCs w:val="0"/>
          <w:i w:val="1"/>
          <w:iCs w:val="1"/>
          <w:caps w:val="0"/>
          <w:smallCaps w:val="0"/>
          <w:noProof w:val="0"/>
          <w:color w:val="222222"/>
          <w:sz w:val="19"/>
          <w:szCs w:val="19"/>
          <w:lang w:val="en-GB"/>
        </w:rPr>
        <w:t>40</w:t>
      </w:r>
      <w:r w:rsidRPr="0052A477" w:rsidR="33429D7E">
        <w:rPr>
          <w:rFonts w:ascii="Arial" w:hAnsi="Arial" w:eastAsia="Arial" w:cs="Arial"/>
          <w:b w:val="0"/>
          <w:bCs w:val="0"/>
          <w:i w:val="0"/>
          <w:iCs w:val="0"/>
          <w:caps w:val="0"/>
          <w:smallCaps w:val="0"/>
          <w:noProof w:val="0"/>
          <w:color w:val="222222"/>
          <w:sz w:val="19"/>
          <w:szCs w:val="19"/>
          <w:lang w:val="en-GB"/>
        </w:rPr>
        <w:t>(5), pp.1202-1229.</w:t>
      </w:r>
    </w:p>
    <w:p w:rsidR="1AE3DBD6" w:rsidP="0052A477" w:rsidRDefault="1AE3DBD6" w14:paraId="5186553C" w14:textId="13B92B45">
      <w:pPr>
        <w:spacing w:before="0" w:beforeAutospacing="off" w:after="0" w:afterAutospacing="off"/>
      </w:pPr>
      <w:r w:rsidRPr="0052A477" w:rsidR="1AE3DBD6">
        <w:rPr>
          <w:rFonts w:ascii="Aptos" w:hAnsi="Aptos" w:eastAsia="Aptos" w:cs="Aptos"/>
          <w:noProof w:val="0"/>
          <w:sz w:val="24"/>
          <w:szCs w:val="24"/>
          <w:lang w:val="en-GB"/>
        </w:rPr>
        <w:t xml:space="preserve">Dunning, J.H. and </w:t>
      </w:r>
      <w:r w:rsidRPr="0052A477" w:rsidR="1AE3DBD6">
        <w:rPr>
          <w:rFonts w:ascii="Aptos" w:hAnsi="Aptos" w:eastAsia="Aptos" w:cs="Aptos"/>
          <w:noProof w:val="0"/>
          <w:sz w:val="24"/>
          <w:szCs w:val="24"/>
          <w:lang w:val="en-GB"/>
        </w:rPr>
        <w:t>Lundan</w:t>
      </w:r>
      <w:r w:rsidRPr="0052A477" w:rsidR="1AE3DBD6">
        <w:rPr>
          <w:rFonts w:ascii="Aptos" w:hAnsi="Aptos" w:eastAsia="Aptos" w:cs="Aptos"/>
          <w:noProof w:val="0"/>
          <w:sz w:val="24"/>
          <w:szCs w:val="24"/>
          <w:lang w:val="en-GB"/>
        </w:rPr>
        <w:t xml:space="preserve">, S.M. (2008) ‘Institutions and the OLI paradigm of the multinational enterprise’, </w:t>
      </w:r>
      <w:r w:rsidRPr="0052A477" w:rsidR="1AE3DBD6">
        <w:rPr>
          <w:rFonts w:ascii="Aptos" w:hAnsi="Aptos" w:eastAsia="Aptos" w:cs="Aptos"/>
          <w:i w:val="1"/>
          <w:iCs w:val="1"/>
          <w:noProof w:val="0"/>
          <w:sz w:val="24"/>
          <w:szCs w:val="24"/>
          <w:lang w:val="en-GB"/>
        </w:rPr>
        <w:t>Asia Pacific journal of management</w:t>
      </w:r>
      <w:r w:rsidRPr="0052A477" w:rsidR="1AE3DBD6">
        <w:rPr>
          <w:rFonts w:ascii="Aptos" w:hAnsi="Aptos" w:eastAsia="Aptos" w:cs="Aptos"/>
          <w:noProof w:val="0"/>
          <w:sz w:val="24"/>
          <w:szCs w:val="24"/>
          <w:lang w:val="en-GB"/>
        </w:rPr>
        <w:t xml:space="preserve">, 25(4), pp. 573–593. Available at: </w:t>
      </w:r>
      <w:hyperlink r:id="Ra442853213bf4a1f">
        <w:r w:rsidRPr="0052A477" w:rsidR="1AE3DBD6">
          <w:rPr>
            <w:rStyle w:val="Hyperlink"/>
            <w:rFonts w:ascii="Aptos" w:hAnsi="Aptos" w:eastAsia="Aptos" w:cs="Aptos"/>
            <w:noProof w:val="0"/>
            <w:sz w:val="24"/>
            <w:szCs w:val="24"/>
            <w:lang w:val="en-GB"/>
          </w:rPr>
          <w:t>https://doi.org/10.1007/s10490-007-9074-z</w:t>
        </w:r>
      </w:hyperlink>
      <w:r w:rsidRPr="0052A477" w:rsidR="1AE3DBD6">
        <w:rPr>
          <w:rFonts w:ascii="Aptos" w:hAnsi="Aptos" w:eastAsia="Aptos" w:cs="Aptos"/>
          <w:noProof w:val="0"/>
          <w:sz w:val="24"/>
          <w:szCs w:val="24"/>
          <w:lang w:val="en-GB"/>
        </w:rPr>
        <w:t>.</w:t>
      </w:r>
    </w:p>
    <w:p w:rsidR="0052A477" w:rsidP="0052A477" w:rsidRDefault="0052A477" w14:paraId="61E444B1" w14:textId="565B97A0">
      <w:pPr>
        <w:spacing w:before="0" w:beforeAutospacing="off" w:after="0" w:afterAutospacing="off"/>
        <w:rPr>
          <w:rFonts w:ascii="Aptos" w:hAnsi="Aptos" w:eastAsia="Aptos" w:cs="Aptos"/>
          <w:noProof w:val="0"/>
          <w:sz w:val="24"/>
          <w:szCs w:val="24"/>
          <w:lang w:val="en-GB"/>
        </w:rPr>
      </w:pPr>
    </w:p>
    <w:p w:rsidR="0B9D5C15" w:rsidP="0052A477" w:rsidRDefault="0B9D5C15" w14:paraId="614CABD8" w14:textId="7654A978">
      <w:pPr>
        <w:spacing w:before="0" w:beforeAutospacing="off" w:after="0" w:afterAutospacing="off"/>
      </w:pPr>
      <w:r w:rsidRPr="0052A477" w:rsidR="0B9D5C15">
        <w:rPr>
          <w:rFonts w:ascii="Aptos" w:hAnsi="Aptos" w:eastAsia="Aptos" w:cs="Aptos"/>
          <w:noProof w:val="0"/>
          <w:sz w:val="24"/>
          <w:szCs w:val="24"/>
          <w:lang w:val="en-GB"/>
        </w:rPr>
        <w:t xml:space="preserve">Gallego-Álvarez, I. and Pucheta-Martínez, M.C. (2021) ‘Hofstede’s cultural dimensions and R&amp;D intensity as an innovation strategy: a view from different institutional contexts’, </w:t>
      </w:r>
      <w:r w:rsidRPr="0052A477" w:rsidR="0B9D5C15">
        <w:rPr>
          <w:rFonts w:ascii="Aptos" w:hAnsi="Aptos" w:eastAsia="Aptos" w:cs="Aptos"/>
          <w:i w:val="1"/>
          <w:iCs w:val="1"/>
          <w:noProof w:val="0"/>
          <w:sz w:val="24"/>
          <w:szCs w:val="24"/>
          <w:lang w:val="en-GB"/>
        </w:rPr>
        <w:t>Eurasian business review</w:t>
      </w:r>
      <w:r w:rsidRPr="0052A477" w:rsidR="0B9D5C15">
        <w:rPr>
          <w:rFonts w:ascii="Aptos" w:hAnsi="Aptos" w:eastAsia="Aptos" w:cs="Aptos"/>
          <w:noProof w:val="0"/>
          <w:sz w:val="24"/>
          <w:szCs w:val="24"/>
          <w:lang w:val="en-GB"/>
        </w:rPr>
        <w:t xml:space="preserve">, 11(2), pp. 191–220. Available at: </w:t>
      </w:r>
      <w:hyperlink r:id="Ra68d5009ab384153">
        <w:r w:rsidRPr="0052A477" w:rsidR="0B9D5C15">
          <w:rPr>
            <w:rStyle w:val="Hyperlink"/>
            <w:rFonts w:ascii="Aptos" w:hAnsi="Aptos" w:eastAsia="Aptos" w:cs="Aptos"/>
            <w:noProof w:val="0"/>
            <w:sz w:val="24"/>
            <w:szCs w:val="24"/>
            <w:lang w:val="en-GB"/>
          </w:rPr>
          <w:t>https://doi.org/10.1007/s40821-020-00168-4</w:t>
        </w:r>
      </w:hyperlink>
      <w:r w:rsidRPr="0052A477" w:rsidR="0B9D5C15">
        <w:rPr>
          <w:rFonts w:ascii="Aptos" w:hAnsi="Aptos" w:eastAsia="Aptos" w:cs="Aptos"/>
          <w:noProof w:val="0"/>
          <w:sz w:val="24"/>
          <w:szCs w:val="24"/>
          <w:lang w:val="en-GB"/>
        </w:rPr>
        <w:t>.</w:t>
      </w:r>
    </w:p>
    <w:p w:rsidR="0052A477" w:rsidRDefault="0052A477" w14:paraId="14F60553" w14:textId="161D4132"/>
    <w:p w:rsidR="173EFAA4" w:rsidP="0052A477" w:rsidRDefault="173EFAA4" w14:paraId="06676AD4" w14:textId="05D9D811">
      <w:pPr>
        <w:pStyle w:val="Normal"/>
        <w:rPr>
          <w:rFonts w:ascii="Aptos" w:hAnsi="Aptos" w:eastAsia="Aptos" w:cs="Aptos"/>
          <w:noProof w:val="0"/>
          <w:sz w:val="24"/>
          <w:szCs w:val="24"/>
          <w:lang w:val="en-GB"/>
        </w:rPr>
      </w:pPr>
      <w:r w:rsidRPr="0052A477" w:rsidR="173EFAA4">
        <w:rPr>
          <w:rFonts w:ascii="Arial" w:hAnsi="Arial" w:eastAsia="Arial" w:cs="Arial"/>
          <w:b w:val="0"/>
          <w:bCs w:val="0"/>
          <w:i w:val="0"/>
          <w:iCs w:val="0"/>
          <w:caps w:val="0"/>
          <w:smallCaps w:val="0"/>
          <w:noProof w:val="0"/>
          <w:color w:val="222222"/>
          <w:sz w:val="19"/>
          <w:szCs w:val="19"/>
          <w:lang w:val="en-GB"/>
        </w:rPr>
        <w:t xml:space="preserve">Ghemawat, P., </w:t>
      </w:r>
      <w:r w:rsidRPr="0052A477" w:rsidR="173EFAA4">
        <w:rPr>
          <w:rFonts w:ascii="Arial" w:hAnsi="Arial" w:eastAsia="Arial" w:cs="Arial"/>
          <w:b w:val="0"/>
          <w:bCs w:val="0"/>
          <w:i w:val="0"/>
          <w:iCs w:val="0"/>
          <w:caps w:val="0"/>
          <w:smallCaps w:val="0"/>
          <w:noProof w:val="0"/>
          <w:color w:val="222222"/>
          <w:sz w:val="19"/>
          <w:szCs w:val="19"/>
          <w:lang w:val="en-GB"/>
        </w:rPr>
        <w:t>Nueno</w:t>
      </w:r>
      <w:r w:rsidRPr="0052A477" w:rsidR="173EFAA4">
        <w:rPr>
          <w:rFonts w:ascii="Arial" w:hAnsi="Arial" w:eastAsia="Arial" w:cs="Arial"/>
          <w:b w:val="0"/>
          <w:bCs w:val="0"/>
          <w:i w:val="0"/>
          <w:iCs w:val="0"/>
          <w:caps w:val="0"/>
          <w:smallCaps w:val="0"/>
          <w:noProof w:val="0"/>
          <w:color w:val="222222"/>
          <w:sz w:val="19"/>
          <w:szCs w:val="19"/>
          <w:lang w:val="en-GB"/>
        </w:rPr>
        <w:t xml:space="preserve">, J.L. and Dailey, M., (2003). </w:t>
      </w:r>
      <w:r w:rsidRPr="0052A477" w:rsidR="173EFAA4">
        <w:rPr>
          <w:rFonts w:ascii="Arial" w:hAnsi="Arial" w:eastAsia="Arial" w:cs="Arial"/>
          <w:b w:val="0"/>
          <w:bCs w:val="0"/>
          <w:i w:val="1"/>
          <w:iCs w:val="1"/>
          <w:caps w:val="0"/>
          <w:smallCaps w:val="0"/>
          <w:noProof w:val="0"/>
          <w:color w:val="222222"/>
          <w:sz w:val="19"/>
          <w:szCs w:val="19"/>
          <w:lang w:val="en-GB"/>
        </w:rPr>
        <w:t>ZARA: Fast fashion</w:t>
      </w:r>
      <w:r w:rsidRPr="0052A477" w:rsidR="173EFAA4">
        <w:rPr>
          <w:rFonts w:ascii="Arial" w:hAnsi="Arial" w:eastAsia="Arial" w:cs="Arial"/>
          <w:b w:val="0"/>
          <w:bCs w:val="0"/>
          <w:i w:val="0"/>
          <w:iCs w:val="0"/>
          <w:caps w:val="0"/>
          <w:smallCaps w:val="0"/>
          <w:noProof w:val="0"/>
          <w:color w:val="222222"/>
          <w:sz w:val="19"/>
          <w:szCs w:val="19"/>
          <w:lang w:val="en-GB"/>
        </w:rPr>
        <w:t xml:space="preserve"> (Vol. 1). Boston, MA: Harvard Business School.</w:t>
      </w:r>
    </w:p>
    <w:p w:rsidR="718EB6E1" w:rsidP="0052A477" w:rsidRDefault="718EB6E1" w14:paraId="77509843" w14:textId="1D57FD68">
      <w:pPr>
        <w:spacing w:before="0" w:beforeAutospacing="off" w:after="0" w:afterAutospacing="off"/>
      </w:pPr>
      <w:r w:rsidRPr="0052A477" w:rsidR="718EB6E1">
        <w:rPr>
          <w:rFonts w:ascii="Aptos" w:hAnsi="Aptos" w:eastAsia="Aptos" w:cs="Aptos"/>
          <w:noProof w:val="0"/>
          <w:sz w:val="24"/>
          <w:szCs w:val="24"/>
          <w:lang w:val="en-GB"/>
        </w:rPr>
        <w:t xml:space="preserve">Gresi Sanje Dahan and Filiz Balta Peltekoglu (2011) ‘The Effects of Zara to the SMEs of an Emerging Market ZARA’, </w:t>
      </w:r>
      <w:r w:rsidRPr="0052A477" w:rsidR="718EB6E1">
        <w:rPr>
          <w:rFonts w:ascii="Aptos" w:hAnsi="Aptos" w:eastAsia="Aptos" w:cs="Aptos"/>
          <w:i w:val="1"/>
          <w:iCs w:val="1"/>
          <w:noProof w:val="0"/>
          <w:sz w:val="24"/>
          <w:szCs w:val="24"/>
          <w:lang w:val="en-GB"/>
        </w:rPr>
        <w:t>Journal of global fashion marketing</w:t>
      </w:r>
      <w:r w:rsidRPr="0052A477" w:rsidR="718EB6E1">
        <w:rPr>
          <w:rFonts w:ascii="Aptos" w:hAnsi="Aptos" w:eastAsia="Aptos" w:cs="Aptos"/>
          <w:noProof w:val="0"/>
          <w:sz w:val="24"/>
          <w:szCs w:val="24"/>
          <w:lang w:val="en-GB"/>
        </w:rPr>
        <w:t xml:space="preserve">, pp. 1–10. Available at: </w:t>
      </w:r>
      <w:hyperlink r:id="Rf70394fc74514bf1">
        <w:r w:rsidRPr="0052A477" w:rsidR="718EB6E1">
          <w:rPr>
            <w:rStyle w:val="Hyperlink"/>
            <w:rFonts w:ascii="Aptos" w:hAnsi="Aptos" w:eastAsia="Aptos" w:cs="Aptos"/>
            <w:noProof w:val="0"/>
            <w:sz w:val="24"/>
            <w:szCs w:val="24"/>
            <w:lang w:val="en-GB"/>
          </w:rPr>
          <w:t>https://doi.org/10.1080/20932685.2011.10593077</w:t>
        </w:r>
      </w:hyperlink>
      <w:r w:rsidRPr="0052A477" w:rsidR="718EB6E1">
        <w:rPr>
          <w:rFonts w:ascii="Aptos" w:hAnsi="Aptos" w:eastAsia="Aptos" w:cs="Aptos"/>
          <w:noProof w:val="0"/>
          <w:sz w:val="24"/>
          <w:szCs w:val="24"/>
          <w:lang w:val="en-GB"/>
        </w:rPr>
        <w:t>.</w:t>
      </w:r>
    </w:p>
    <w:p w:rsidR="0052A477" w:rsidRDefault="0052A477" w14:paraId="397E5939" w14:textId="7E5ECBAF"/>
    <w:p w:rsidR="54ADEF73" w:rsidRDefault="54ADEF73" w14:noSpellErr="1" w14:paraId="429AF5C4" w14:textId="467597DA">
      <w:r w:rsidR="0773BD54">
        <w:rPr/>
        <w:t>Gratton, P. (2025) ‘Multinational corporation: History</w:t>
      </w:r>
      <w:r w:rsidR="2B517699">
        <w:rPr/>
        <w:t>,</w:t>
      </w:r>
      <w:r w:rsidR="0773BD54">
        <w:rPr/>
        <w:t xml:space="preserve"> </w:t>
      </w:r>
      <w:r w:rsidR="64583B6F">
        <w:rPr/>
        <w:t>Characteristics,</w:t>
      </w:r>
      <w:r w:rsidR="77E79610">
        <w:rPr/>
        <w:t xml:space="preserve"> and </w:t>
      </w:r>
      <w:r w:rsidR="600DE24E">
        <w:rPr/>
        <w:t>T</w:t>
      </w:r>
      <w:r w:rsidR="77E79610">
        <w:rPr/>
        <w:t>ypes</w:t>
      </w:r>
      <w:r w:rsidR="5BF18890">
        <w:rPr/>
        <w:t>’</w:t>
      </w:r>
      <w:r w:rsidR="0773BD54">
        <w:rPr/>
        <w:t xml:space="preserve"> </w:t>
      </w:r>
      <w:r w:rsidR="4D42D2DC">
        <w:rPr/>
        <w:t xml:space="preserve">Available </w:t>
      </w:r>
      <w:r w:rsidR="4D42D2DC">
        <w:rPr/>
        <w:t>at :</w:t>
      </w:r>
      <w:r w:rsidR="4D42D2DC">
        <w:rPr/>
        <w:t xml:space="preserve"> </w:t>
      </w:r>
      <w:hyperlink r:id="R9983e159b004436d">
        <w:r w:rsidRPr="0052A477" w:rsidR="0773BD54">
          <w:rPr>
            <w:rStyle w:val="Hyperlink"/>
          </w:rPr>
          <w:t>https://www.investopedia.com/terms/m/multinationalcorporation.asp</w:t>
        </w:r>
      </w:hyperlink>
      <w:r w:rsidR="559CF5EC">
        <w:rPr/>
        <w:t xml:space="preserve"> (Accessed:15.09.2025)</w:t>
      </w:r>
    </w:p>
    <w:p w:rsidR="09743467" w:rsidP="0052A477" w:rsidRDefault="09743467" w14:paraId="09EDE46B" w14:textId="2406BD49">
      <w:pPr>
        <w:spacing w:before="0" w:beforeAutospacing="off" w:after="0" w:afterAutospacing="off"/>
      </w:pPr>
      <w:r w:rsidRPr="0052A477" w:rsidR="09743467">
        <w:rPr>
          <w:rFonts w:ascii="Aptos" w:hAnsi="Aptos" w:eastAsia="Aptos" w:cs="Aptos"/>
          <w:noProof w:val="0"/>
          <w:sz w:val="24"/>
          <w:szCs w:val="24"/>
          <w:lang w:val="en-GB"/>
        </w:rPr>
        <w:t xml:space="preserve">Hofstede, G. (1994) </w:t>
      </w:r>
      <w:r w:rsidRPr="0052A477" w:rsidR="09743467">
        <w:rPr>
          <w:rFonts w:ascii="Aptos" w:hAnsi="Aptos" w:eastAsia="Aptos" w:cs="Aptos"/>
          <w:i w:val="1"/>
          <w:iCs w:val="1"/>
          <w:noProof w:val="0"/>
          <w:sz w:val="24"/>
          <w:szCs w:val="24"/>
          <w:lang w:val="en-GB"/>
        </w:rPr>
        <w:t xml:space="preserve">Cultures and </w:t>
      </w:r>
      <w:r w:rsidRPr="0052A477" w:rsidR="09743467">
        <w:rPr>
          <w:rFonts w:ascii="Aptos" w:hAnsi="Aptos" w:eastAsia="Aptos" w:cs="Aptos"/>
          <w:i w:val="1"/>
          <w:iCs w:val="1"/>
          <w:noProof w:val="0"/>
          <w:sz w:val="24"/>
          <w:szCs w:val="24"/>
          <w:lang w:val="en-GB"/>
        </w:rPr>
        <w:t>organizations :</w:t>
      </w:r>
      <w:r w:rsidRPr="0052A477" w:rsidR="09743467">
        <w:rPr>
          <w:rFonts w:ascii="Aptos" w:hAnsi="Aptos" w:eastAsia="Aptos" w:cs="Aptos"/>
          <w:i w:val="1"/>
          <w:iCs w:val="1"/>
          <w:noProof w:val="0"/>
          <w:sz w:val="24"/>
          <w:szCs w:val="24"/>
          <w:lang w:val="en-GB"/>
        </w:rPr>
        <w:t xml:space="preserve"> software of the mind</w:t>
      </w:r>
      <w:r w:rsidRPr="0052A477" w:rsidR="09743467">
        <w:rPr>
          <w:rFonts w:ascii="Aptos" w:hAnsi="Aptos" w:eastAsia="Aptos" w:cs="Aptos"/>
          <w:noProof w:val="0"/>
          <w:sz w:val="24"/>
          <w:szCs w:val="24"/>
          <w:lang w:val="en-GB"/>
        </w:rPr>
        <w:t>. New ed. London: HarperCollins.</w:t>
      </w:r>
      <w:r w:rsidRPr="0052A477" w:rsidR="09743467">
        <w:rPr>
          <w:rFonts w:ascii="Aptos" w:hAnsi="Aptos" w:eastAsia="Aptos" w:cs="Aptos"/>
          <w:noProof w:val="0"/>
          <w:sz w:val="24"/>
          <w:szCs w:val="24"/>
          <w:lang w:val="en-GB"/>
        </w:rPr>
        <w:t xml:space="preserve"> </w:t>
      </w:r>
    </w:p>
    <w:p w:rsidR="0052A477" w:rsidP="0052A477" w:rsidRDefault="0052A477" w14:paraId="7ADF0202" w14:textId="3839671C">
      <w:pPr>
        <w:spacing w:before="0" w:beforeAutospacing="off" w:after="0" w:afterAutospacing="off"/>
        <w:rPr>
          <w:rFonts w:ascii="Aptos" w:hAnsi="Aptos" w:eastAsia="Aptos" w:cs="Aptos"/>
          <w:noProof w:val="0"/>
          <w:sz w:val="24"/>
          <w:szCs w:val="24"/>
          <w:lang w:val="en-GB"/>
        </w:rPr>
      </w:pPr>
    </w:p>
    <w:p w:rsidR="0A3FD5E0" w:rsidP="0052A477" w:rsidRDefault="0A3FD5E0" w14:paraId="1093DA33" w14:textId="6393CFB7">
      <w:pPr>
        <w:spacing w:before="0" w:beforeAutospacing="off" w:after="0" w:afterAutospacing="off"/>
        <w:rPr>
          <w:rFonts w:ascii="Aptos" w:hAnsi="Aptos" w:eastAsia="Aptos" w:cs="Aptos"/>
          <w:noProof w:val="0"/>
          <w:sz w:val="24"/>
          <w:szCs w:val="24"/>
          <w:lang w:val="en-GB"/>
        </w:rPr>
      </w:pPr>
      <w:r w:rsidRPr="0052A477" w:rsidR="0A3FD5E0">
        <w:rPr>
          <w:rFonts w:ascii="Aptos" w:hAnsi="Aptos" w:eastAsia="Aptos" w:cs="Aptos"/>
          <w:noProof w:val="0"/>
          <w:sz w:val="24"/>
          <w:szCs w:val="24"/>
          <w:lang w:val="en-GB"/>
        </w:rPr>
        <w:t>Hofstede, G. (2025) https://www.theculturefactor.com/country-comparison-tool?countries=china%2Cspain</w:t>
      </w:r>
    </w:p>
    <w:p w:rsidR="0052A477" w:rsidP="0052A477" w:rsidRDefault="0052A477" w14:paraId="49A96245" w14:textId="37C11B41">
      <w:pPr>
        <w:spacing w:before="0" w:beforeAutospacing="off" w:after="0" w:afterAutospacing="off"/>
        <w:rPr>
          <w:rFonts w:ascii="Aptos" w:hAnsi="Aptos" w:eastAsia="Aptos" w:cs="Aptos"/>
          <w:noProof w:val="0"/>
          <w:sz w:val="24"/>
          <w:szCs w:val="24"/>
          <w:lang w:val="en-GB"/>
        </w:rPr>
      </w:pPr>
    </w:p>
    <w:p w:rsidR="48A82905" w:rsidP="0052A477" w:rsidRDefault="48A82905" w14:paraId="3360D52B" w14:textId="42AAC1E7">
      <w:pPr>
        <w:spacing w:before="0" w:beforeAutospacing="off" w:after="0" w:afterAutospacing="off"/>
      </w:pPr>
      <w:r w:rsidRPr="0052A477" w:rsidR="48A82905">
        <w:rPr>
          <w:rFonts w:ascii="Aptos" w:hAnsi="Aptos" w:eastAsia="Aptos" w:cs="Aptos"/>
          <w:noProof w:val="0"/>
          <w:sz w:val="24"/>
          <w:szCs w:val="24"/>
          <w:lang w:val="en-GB"/>
        </w:rPr>
        <w:t xml:space="preserve">Huang, F. </w:t>
      </w:r>
      <w:r w:rsidRPr="0052A477" w:rsidR="48A82905">
        <w:rPr>
          <w:rFonts w:ascii="Aptos" w:hAnsi="Aptos" w:eastAsia="Aptos" w:cs="Aptos"/>
          <w:i w:val="1"/>
          <w:iCs w:val="1"/>
          <w:noProof w:val="0"/>
          <w:sz w:val="24"/>
          <w:szCs w:val="24"/>
          <w:lang w:val="en-GB"/>
        </w:rPr>
        <w:t>et al.</w:t>
      </w:r>
      <w:r w:rsidRPr="0052A477" w:rsidR="48A82905">
        <w:rPr>
          <w:rFonts w:ascii="Aptos" w:hAnsi="Aptos" w:eastAsia="Aptos" w:cs="Aptos"/>
          <w:noProof w:val="0"/>
          <w:sz w:val="24"/>
          <w:szCs w:val="24"/>
          <w:lang w:val="en-GB"/>
        </w:rPr>
        <w:t xml:space="preserve"> (2019) ‘Cultural values and technology adoption: A model comparison with university teachers from China and Spain’, </w:t>
      </w:r>
      <w:r w:rsidRPr="0052A477" w:rsidR="48A82905">
        <w:rPr>
          <w:rFonts w:ascii="Aptos" w:hAnsi="Aptos" w:eastAsia="Aptos" w:cs="Aptos"/>
          <w:i w:val="1"/>
          <w:iCs w:val="1"/>
          <w:noProof w:val="0"/>
          <w:sz w:val="24"/>
          <w:szCs w:val="24"/>
          <w:lang w:val="en-GB"/>
        </w:rPr>
        <w:t>Computers and education</w:t>
      </w:r>
      <w:r w:rsidRPr="0052A477" w:rsidR="48A82905">
        <w:rPr>
          <w:rFonts w:ascii="Aptos" w:hAnsi="Aptos" w:eastAsia="Aptos" w:cs="Aptos"/>
          <w:noProof w:val="0"/>
          <w:sz w:val="24"/>
          <w:szCs w:val="24"/>
          <w:lang w:val="en-GB"/>
        </w:rPr>
        <w:t xml:space="preserve">, 133, pp. 69–81. Available at: </w:t>
      </w:r>
      <w:hyperlink r:id="R8186809edf7c471f">
        <w:r w:rsidRPr="0052A477" w:rsidR="48A82905">
          <w:rPr>
            <w:rStyle w:val="Hyperlink"/>
            <w:rFonts w:ascii="Aptos" w:hAnsi="Aptos" w:eastAsia="Aptos" w:cs="Aptos"/>
            <w:noProof w:val="0"/>
            <w:sz w:val="24"/>
            <w:szCs w:val="24"/>
            <w:lang w:val="en-GB"/>
          </w:rPr>
          <w:t>https://doi.org/10.1016/j.compedu.2019.01.012</w:t>
        </w:r>
      </w:hyperlink>
      <w:r w:rsidRPr="0052A477" w:rsidR="48A82905">
        <w:rPr>
          <w:rFonts w:ascii="Aptos" w:hAnsi="Aptos" w:eastAsia="Aptos" w:cs="Aptos"/>
          <w:noProof w:val="0"/>
          <w:sz w:val="24"/>
          <w:szCs w:val="24"/>
          <w:lang w:val="en-GB"/>
        </w:rPr>
        <w:t>.</w:t>
      </w:r>
    </w:p>
    <w:p w:rsidR="0052A477" w:rsidRDefault="0052A477" w14:paraId="21A46CE7" w14:textId="6B725B33"/>
    <w:p w:rsidR="54ADEF73" w:rsidP="3937C69C" w:rsidRDefault="54ADEF73" w14:paraId="27D07E50" w14:textId="4B3B241E" w14:noSpellErr="1">
      <w:pPr>
        <w:spacing w:before="0" w:beforeAutospacing="off" w:after="0" w:afterAutospacing="off"/>
      </w:pPr>
      <w:r w:rsidRPr="0052A477" w:rsidR="0FC415FF">
        <w:rPr>
          <w:rFonts w:ascii="Aptos" w:hAnsi="Aptos" w:eastAsia="Aptos" w:cs="Aptos"/>
          <w:noProof w:val="0"/>
          <w:sz w:val="24"/>
          <w:szCs w:val="24"/>
          <w:lang w:val="en-GB"/>
        </w:rPr>
        <w:t>Hutagalung</w:t>
      </w:r>
      <w:r w:rsidRPr="0052A477" w:rsidR="0FC415FF">
        <w:rPr>
          <w:rFonts w:ascii="Aptos" w:hAnsi="Aptos" w:eastAsia="Aptos" w:cs="Aptos"/>
          <w:noProof w:val="0"/>
          <w:sz w:val="24"/>
          <w:szCs w:val="24"/>
          <w:lang w:val="en-GB"/>
        </w:rPr>
        <w:t xml:space="preserve">, F.D. </w:t>
      </w:r>
      <w:r w:rsidRPr="0052A477" w:rsidR="0FC415FF">
        <w:rPr>
          <w:rFonts w:ascii="Aptos" w:hAnsi="Aptos" w:eastAsia="Aptos" w:cs="Aptos"/>
          <w:i w:val="1"/>
          <w:iCs w:val="1"/>
          <w:noProof w:val="0"/>
          <w:sz w:val="24"/>
          <w:szCs w:val="24"/>
          <w:lang w:val="en-GB"/>
        </w:rPr>
        <w:t>et al.</w:t>
      </w:r>
      <w:r w:rsidRPr="0052A477" w:rsidR="0FC415FF">
        <w:rPr>
          <w:rFonts w:ascii="Aptos" w:hAnsi="Aptos" w:eastAsia="Aptos" w:cs="Aptos"/>
          <w:noProof w:val="0"/>
          <w:sz w:val="24"/>
          <w:szCs w:val="24"/>
          <w:lang w:val="en-GB"/>
        </w:rPr>
        <w:t xml:space="preserve"> (2025) ‘Analysis of Zara’s Fast Fashion Supply Chain Rapid Response Strategy’, in </w:t>
      </w:r>
      <w:r w:rsidRPr="0052A477" w:rsidR="0FC415FF">
        <w:rPr>
          <w:rFonts w:ascii="Aptos" w:hAnsi="Aptos" w:eastAsia="Aptos" w:cs="Aptos"/>
          <w:i w:val="1"/>
          <w:iCs w:val="1"/>
          <w:noProof w:val="0"/>
          <w:sz w:val="24"/>
          <w:szCs w:val="24"/>
          <w:lang w:val="en-GB"/>
        </w:rPr>
        <w:t>Proceedings of the 2025 11th International Conference on Humanities and Social Science Research (ICHSSR 2025)</w:t>
      </w:r>
      <w:r w:rsidRPr="0052A477" w:rsidR="0FC415FF">
        <w:rPr>
          <w:rFonts w:ascii="Aptos" w:hAnsi="Aptos" w:eastAsia="Aptos" w:cs="Aptos"/>
          <w:noProof w:val="0"/>
          <w:sz w:val="24"/>
          <w:szCs w:val="24"/>
          <w:lang w:val="en-GB"/>
        </w:rPr>
        <w:t>. France: Atlantis Press (Zeger Karssen).</w:t>
      </w:r>
    </w:p>
    <w:p w:rsidR="0052A477" w:rsidP="0052A477" w:rsidRDefault="0052A477" w14:paraId="288F87CE" w14:textId="696FBEE6">
      <w:pPr>
        <w:spacing w:before="0" w:beforeAutospacing="off" w:after="0" w:afterAutospacing="off"/>
        <w:rPr>
          <w:rFonts w:ascii="Aptos" w:hAnsi="Aptos" w:eastAsia="Aptos" w:cs="Aptos"/>
          <w:noProof w:val="0"/>
          <w:sz w:val="24"/>
          <w:szCs w:val="24"/>
          <w:lang w:val="en-GB"/>
        </w:rPr>
      </w:pPr>
    </w:p>
    <w:p w:rsidR="5D9B339E" w:rsidP="0052A477" w:rsidRDefault="5D9B339E" w14:paraId="08CC94B4" w14:textId="579D075C">
      <w:pPr>
        <w:spacing w:before="0" w:beforeAutospacing="off" w:after="0" w:afterAutospacing="off"/>
      </w:pPr>
      <w:r w:rsidRPr="0052A477" w:rsidR="5D9B339E">
        <w:rPr>
          <w:rFonts w:ascii="Aptos" w:hAnsi="Aptos" w:eastAsia="Aptos" w:cs="Aptos"/>
          <w:noProof w:val="0"/>
          <w:sz w:val="24"/>
          <w:szCs w:val="24"/>
          <w:lang w:val="en-GB"/>
        </w:rPr>
        <w:t xml:space="preserve">Keller, J. </w:t>
      </w:r>
      <w:r w:rsidRPr="0052A477" w:rsidR="5D9B339E">
        <w:rPr>
          <w:rFonts w:ascii="Aptos" w:hAnsi="Aptos" w:eastAsia="Aptos" w:cs="Aptos"/>
          <w:i w:val="1"/>
          <w:iCs w:val="1"/>
          <w:noProof w:val="0"/>
          <w:sz w:val="24"/>
          <w:szCs w:val="24"/>
          <w:lang w:val="en-GB"/>
        </w:rPr>
        <w:t>et al.</w:t>
      </w:r>
      <w:r w:rsidRPr="0052A477" w:rsidR="5D9B339E">
        <w:rPr>
          <w:rFonts w:ascii="Aptos" w:hAnsi="Aptos" w:eastAsia="Aptos" w:cs="Aptos"/>
          <w:noProof w:val="0"/>
          <w:sz w:val="24"/>
          <w:szCs w:val="24"/>
          <w:lang w:val="en-GB"/>
        </w:rPr>
        <w:t xml:space="preserve"> (2015) ‘Cultural Dimensions: A Comparative Analysis of Aviation Students in China and the U.S’, </w:t>
      </w:r>
      <w:r w:rsidRPr="0052A477" w:rsidR="5D9B339E">
        <w:rPr>
          <w:rFonts w:ascii="Aptos" w:hAnsi="Aptos" w:eastAsia="Aptos" w:cs="Aptos"/>
          <w:i w:val="1"/>
          <w:iCs w:val="1"/>
          <w:noProof w:val="0"/>
          <w:sz w:val="24"/>
          <w:szCs w:val="24"/>
          <w:lang w:val="en-GB"/>
        </w:rPr>
        <w:t>International journal of aviation, aeronautics, and aerospace</w:t>
      </w:r>
      <w:r w:rsidRPr="0052A477" w:rsidR="5D9B339E">
        <w:rPr>
          <w:rFonts w:ascii="Aptos" w:hAnsi="Aptos" w:eastAsia="Aptos" w:cs="Aptos"/>
          <w:noProof w:val="0"/>
          <w:sz w:val="24"/>
          <w:szCs w:val="24"/>
          <w:lang w:val="en-GB"/>
        </w:rPr>
        <w:t xml:space="preserve">, 2(3), p. 3. Available at: </w:t>
      </w:r>
      <w:hyperlink r:id="R115cbefd9a074fe4">
        <w:r w:rsidRPr="0052A477" w:rsidR="5D9B339E">
          <w:rPr>
            <w:rStyle w:val="Hyperlink"/>
            <w:rFonts w:ascii="Aptos" w:hAnsi="Aptos" w:eastAsia="Aptos" w:cs="Aptos"/>
            <w:noProof w:val="0"/>
            <w:sz w:val="24"/>
            <w:szCs w:val="24"/>
            <w:lang w:val="en-GB"/>
          </w:rPr>
          <w:t>https://doi.org/10.58940/2374-6793.1065</w:t>
        </w:r>
      </w:hyperlink>
      <w:r w:rsidRPr="0052A477" w:rsidR="5D9B339E">
        <w:rPr>
          <w:rFonts w:ascii="Aptos" w:hAnsi="Aptos" w:eastAsia="Aptos" w:cs="Aptos"/>
          <w:noProof w:val="0"/>
          <w:sz w:val="24"/>
          <w:szCs w:val="24"/>
          <w:lang w:val="en-GB"/>
        </w:rPr>
        <w:t>.</w:t>
      </w:r>
    </w:p>
    <w:p w:rsidR="54ADEF73" w:rsidRDefault="54ADEF73" w14:paraId="3DB80FC3" w14:textId="2512D311"/>
    <w:p w:rsidR="54ADEF73" w:rsidP="5DDDE088" w:rsidRDefault="5EE84FDD" w14:paraId="1C7A9E8B" w14:textId="3482D46E">
      <w:pPr>
        <w:spacing w:after="0"/>
      </w:pPr>
      <w:r w:rsidRPr="5DDDE088">
        <w:rPr>
          <w:rFonts w:ascii="Aptos" w:hAnsi="Aptos" w:eastAsia="Aptos" w:cs="Aptos"/>
        </w:rPr>
        <w:t xml:space="preserve">Li, R., Liu, W. and Zhou, S. (2024) ‘Digital Transformation of Supply Chain Management in the Fast Fashion Industry: A Case Study of Zara’, </w:t>
      </w:r>
      <w:r w:rsidRPr="5DDDE088">
        <w:rPr>
          <w:rFonts w:ascii="Aptos" w:hAnsi="Aptos" w:eastAsia="Aptos" w:cs="Aptos"/>
          <w:i/>
          <w:iCs/>
        </w:rPr>
        <w:t>SHS web of conferences</w:t>
      </w:r>
      <w:r w:rsidRPr="5DDDE088">
        <w:rPr>
          <w:rFonts w:ascii="Aptos" w:hAnsi="Aptos" w:eastAsia="Aptos" w:cs="Aptos"/>
        </w:rPr>
        <w:t xml:space="preserve">, 181, p. 4019. Available at: </w:t>
      </w:r>
      <w:hyperlink r:id="rId14">
        <w:r w:rsidRPr="5DDDE088">
          <w:rPr>
            <w:rStyle w:val="Hyperlink"/>
            <w:rFonts w:ascii="Aptos" w:hAnsi="Aptos" w:eastAsia="Aptos" w:cs="Aptos"/>
          </w:rPr>
          <w:t>https://doi.org/10.1051/shsconf/202418104019</w:t>
        </w:r>
      </w:hyperlink>
      <w:r w:rsidRPr="5DDDE088">
        <w:rPr>
          <w:rFonts w:ascii="Aptos" w:hAnsi="Aptos" w:eastAsia="Aptos" w:cs="Aptos"/>
        </w:rPr>
        <w:t>.</w:t>
      </w:r>
    </w:p>
    <w:p w:rsidR="54ADEF73" w:rsidRDefault="54ADEF73" w14:paraId="1FD35D4C" w14:textId="49ACE44F" w14:noSpellErr="1"/>
    <w:p w:rsidR="038A33EA" w:rsidP="0052A477" w:rsidRDefault="038A33EA" w14:paraId="632B1E69" w14:textId="11D9DAA5">
      <w:pPr>
        <w:pStyle w:val="Normal"/>
        <w:rPr>
          <w:rFonts w:ascii="Aptos" w:hAnsi="Aptos" w:eastAsia="Aptos" w:cs="Aptos"/>
          <w:noProof w:val="0"/>
          <w:sz w:val="24"/>
          <w:szCs w:val="24"/>
          <w:lang w:val="en-GB"/>
        </w:rPr>
      </w:pPr>
      <w:r w:rsidRPr="0052A477" w:rsidR="038A33EA">
        <w:rPr>
          <w:rFonts w:ascii="Arial" w:hAnsi="Arial" w:eastAsia="Arial" w:cs="Arial"/>
          <w:b w:val="0"/>
          <w:bCs w:val="0"/>
          <w:i w:val="0"/>
          <w:iCs w:val="0"/>
          <w:caps w:val="0"/>
          <w:smallCaps w:val="0"/>
          <w:noProof w:val="0"/>
          <w:color w:val="222222"/>
          <w:sz w:val="19"/>
          <w:szCs w:val="19"/>
          <w:lang w:val="en-GB"/>
        </w:rPr>
        <w:t xml:space="preserve">Lopez, C. and Fan, Y., (2009). Internationalisation of the Spanish fashion brand Zara. </w:t>
      </w:r>
      <w:r w:rsidRPr="0052A477" w:rsidR="038A33EA">
        <w:rPr>
          <w:rFonts w:ascii="Arial" w:hAnsi="Arial" w:eastAsia="Arial" w:cs="Arial"/>
          <w:b w:val="0"/>
          <w:bCs w:val="0"/>
          <w:i w:val="1"/>
          <w:iCs w:val="1"/>
          <w:caps w:val="0"/>
          <w:smallCaps w:val="0"/>
          <w:noProof w:val="0"/>
          <w:color w:val="222222"/>
          <w:sz w:val="19"/>
          <w:szCs w:val="19"/>
          <w:lang w:val="en-GB"/>
        </w:rPr>
        <w:t>Journal of Fashion Marketing and Management: An International Journal</w:t>
      </w:r>
      <w:r w:rsidRPr="0052A477" w:rsidR="038A33EA">
        <w:rPr>
          <w:rFonts w:ascii="Arial" w:hAnsi="Arial" w:eastAsia="Arial" w:cs="Arial"/>
          <w:b w:val="0"/>
          <w:bCs w:val="0"/>
          <w:i w:val="0"/>
          <w:iCs w:val="0"/>
          <w:caps w:val="0"/>
          <w:smallCaps w:val="0"/>
          <w:noProof w:val="0"/>
          <w:color w:val="222222"/>
          <w:sz w:val="19"/>
          <w:szCs w:val="19"/>
          <w:lang w:val="en-GB"/>
        </w:rPr>
        <w:t xml:space="preserve">, </w:t>
      </w:r>
      <w:r w:rsidRPr="0052A477" w:rsidR="038A33EA">
        <w:rPr>
          <w:rFonts w:ascii="Arial" w:hAnsi="Arial" w:eastAsia="Arial" w:cs="Arial"/>
          <w:b w:val="0"/>
          <w:bCs w:val="0"/>
          <w:i w:val="1"/>
          <w:iCs w:val="1"/>
          <w:caps w:val="0"/>
          <w:smallCaps w:val="0"/>
          <w:noProof w:val="0"/>
          <w:color w:val="222222"/>
          <w:sz w:val="19"/>
          <w:szCs w:val="19"/>
          <w:lang w:val="en-GB"/>
        </w:rPr>
        <w:t>13</w:t>
      </w:r>
      <w:r w:rsidRPr="0052A477" w:rsidR="038A33EA">
        <w:rPr>
          <w:rFonts w:ascii="Arial" w:hAnsi="Arial" w:eastAsia="Arial" w:cs="Arial"/>
          <w:b w:val="0"/>
          <w:bCs w:val="0"/>
          <w:i w:val="0"/>
          <w:iCs w:val="0"/>
          <w:caps w:val="0"/>
          <w:smallCaps w:val="0"/>
          <w:noProof w:val="0"/>
          <w:color w:val="222222"/>
          <w:sz w:val="19"/>
          <w:szCs w:val="19"/>
          <w:lang w:val="en-GB"/>
        </w:rPr>
        <w:t>(2), pp.279-296.</w:t>
      </w:r>
    </w:p>
    <w:p w:rsidR="6EE4EE5B" w:rsidP="5DDDE088" w:rsidRDefault="6EE4EE5B" w14:paraId="3EAE9302" w14:textId="5A12AA61">
      <w:pPr>
        <w:spacing w:after="0"/>
      </w:pPr>
      <w:r w:rsidRPr="5DDDE088">
        <w:rPr>
          <w:rFonts w:ascii="Aptos" w:hAnsi="Aptos" w:eastAsia="Aptos" w:cs="Aptos"/>
        </w:rPr>
        <w:t xml:space="preserve">López, T. </w:t>
      </w:r>
      <w:r w:rsidRPr="5DDDE088">
        <w:rPr>
          <w:rFonts w:ascii="Aptos" w:hAnsi="Aptos" w:eastAsia="Aptos" w:cs="Aptos"/>
          <w:i/>
          <w:iCs/>
        </w:rPr>
        <w:t>et al.</w:t>
      </w:r>
      <w:r w:rsidRPr="5DDDE088">
        <w:rPr>
          <w:rFonts w:ascii="Aptos" w:hAnsi="Aptos" w:eastAsia="Aptos" w:cs="Aptos"/>
        </w:rPr>
        <w:t xml:space="preserve"> (2022) ‘Digital value chain restructuring and labour process transformations in the fast-fashion sector: Evidence from the value chains of Zara &amp; H&amp;M’, </w:t>
      </w:r>
      <w:r w:rsidRPr="5DDDE088">
        <w:rPr>
          <w:rFonts w:ascii="Aptos" w:hAnsi="Aptos" w:eastAsia="Aptos" w:cs="Aptos"/>
          <w:i/>
          <w:iCs/>
        </w:rPr>
        <w:t>Global networks (Oxford)</w:t>
      </w:r>
      <w:r w:rsidRPr="5DDDE088">
        <w:rPr>
          <w:rFonts w:ascii="Aptos" w:hAnsi="Aptos" w:eastAsia="Aptos" w:cs="Aptos"/>
        </w:rPr>
        <w:t>, 22(4), pp. 684–</w:t>
      </w:r>
      <w:r w:rsidRPr="5DDDE088" w:rsidR="0077695C">
        <w:rPr>
          <w:rFonts w:ascii="Aptos" w:hAnsi="Aptos" w:eastAsia="Aptos" w:cs="Aptos"/>
        </w:rPr>
        <w:t>seven hundred</w:t>
      </w:r>
      <w:r w:rsidRPr="5DDDE088">
        <w:rPr>
          <w:rFonts w:ascii="Aptos" w:hAnsi="Aptos" w:eastAsia="Aptos" w:cs="Aptos"/>
        </w:rPr>
        <w:t xml:space="preserve">. Available at: </w:t>
      </w:r>
      <w:hyperlink r:id="rId15">
        <w:r w:rsidRPr="5DDDE088">
          <w:rPr>
            <w:rStyle w:val="Hyperlink"/>
            <w:rFonts w:ascii="Aptos" w:hAnsi="Aptos" w:eastAsia="Aptos" w:cs="Aptos"/>
          </w:rPr>
          <w:t>https://doi.org/10.1111/glob.12353</w:t>
        </w:r>
      </w:hyperlink>
      <w:r w:rsidRPr="5DDDE088">
        <w:rPr>
          <w:rFonts w:ascii="Aptos" w:hAnsi="Aptos" w:eastAsia="Aptos" w:cs="Aptos"/>
        </w:rPr>
        <w:t>.</w:t>
      </w:r>
    </w:p>
    <w:p w:rsidR="5DDDE088" w:rsidRDefault="5DDDE088" w14:paraId="5CD610AD" w14:textId="0208C68E" w14:noSpellErr="1"/>
    <w:p w:rsidR="4DC62979" w:rsidP="0052A477" w:rsidRDefault="4DC62979" w14:paraId="6A19D2F8" w14:textId="3DF98B31">
      <w:pPr>
        <w:spacing w:before="0" w:beforeAutospacing="off" w:after="0" w:afterAutospacing="off"/>
      </w:pPr>
      <w:r w:rsidRPr="0052A477" w:rsidR="4DC62979">
        <w:rPr>
          <w:rFonts w:ascii="Aptos" w:hAnsi="Aptos" w:eastAsia="Aptos" w:cs="Aptos"/>
          <w:noProof w:val="0"/>
          <w:sz w:val="24"/>
          <w:szCs w:val="24"/>
          <w:lang w:val="en-GB"/>
        </w:rPr>
        <w:t xml:space="preserve">Liu, S., Huang, Y. and Pan, Q. (2024) ‘Analyzing the Strategic Impact of Zara’s Branding Strategies on Consumer Engagement and Market Position’, </w:t>
      </w:r>
      <w:r w:rsidRPr="0052A477" w:rsidR="4DC62979">
        <w:rPr>
          <w:rFonts w:ascii="Aptos" w:hAnsi="Aptos" w:eastAsia="Aptos" w:cs="Aptos"/>
          <w:i w:val="1"/>
          <w:iCs w:val="1"/>
          <w:noProof w:val="0"/>
          <w:sz w:val="24"/>
          <w:szCs w:val="24"/>
          <w:lang w:val="en-GB"/>
        </w:rPr>
        <w:t>SHS web of conferences</w:t>
      </w:r>
      <w:r w:rsidRPr="0052A477" w:rsidR="4DC62979">
        <w:rPr>
          <w:rFonts w:ascii="Aptos" w:hAnsi="Aptos" w:eastAsia="Aptos" w:cs="Aptos"/>
          <w:noProof w:val="0"/>
          <w:sz w:val="24"/>
          <w:szCs w:val="24"/>
          <w:lang w:val="en-GB"/>
        </w:rPr>
        <w:t xml:space="preserve">, 185, p. 3018. Available at: </w:t>
      </w:r>
      <w:hyperlink r:id="Rac1d1a9d884c417a">
        <w:r w:rsidRPr="0052A477" w:rsidR="4DC62979">
          <w:rPr>
            <w:rStyle w:val="Hyperlink"/>
            <w:rFonts w:ascii="Aptos" w:hAnsi="Aptos" w:eastAsia="Aptos" w:cs="Aptos"/>
            <w:noProof w:val="0"/>
            <w:sz w:val="24"/>
            <w:szCs w:val="24"/>
            <w:lang w:val="en-GB"/>
          </w:rPr>
          <w:t>https://doi.org/10.1051/shsconf/202418503018</w:t>
        </w:r>
      </w:hyperlink>
      <w:r w:rsidRPr="0052A477" w:rsidR="4DC62979">
        <w:rPr>
          <w:rFonts w:ascii="Aptos" w:hAnsi="Aptos" w:eastAsia="Aptos" w:cs="Aptos"/>
          <w:noProof w:val="0"/>
          <w:sz w:val="24"/>
          <w:szCs w:val="24"/>
          <w:lang w:val="en-GB"/>
        </w:rPr>
        <w:t>.</w:t>
      </w:r>
    </w:p>
    <w:p w:rsidR="0052A477" w:rsidRDefault="0052A477" w14:paraId="2A7A800D" w14:textId="2B16353B"/>
    <w:p w:rsidR="7392F8D2" w:rsidP="0052A477" w:rsidRDefault="7392F8D2" w14:paraId="08900EEA" w14:textId="04B25034">
      <w:pPr>
        <w:spacing w:before="0" w:beforeAutospacing="off" w:after="0" w:afterAutospacing="off"/>
      </w:pPr>
      <w:r w:rsidRPr="0052A477" w:rsidR="7392F8D2">
        <w:rPr>
          <w:rFonts w:ascii="Aptos" w:hAnsi="Aptos" w:eastAsia="Aptos" w:cs="Aptos"/>
          <w:noProof w:val="0"/>
          <w:sz w:val="24"/>
          <w:szCs w:val="24"/>
          <w:lang w:val="en-GB"/>
        </w:rPr>
        <w:t xml:space="preserve">Ly, B. (2021) ‘Competitive advantage and internationalization of a circular economy model in apparel multinationals’, </w:t>
      </w:r>
      <w:r w:rsidRPr="0052A477" w:rsidR="7392F8D2">
        <w:rPr>
          <w:rFonts w:ascii="Aptos" w:hAnsi="Aptos" w:eastAsia="Aptos" w:cs="Aptos"/>
          <w:i w:val="1"/>
          <w:iCs w:val="1"/>
          <w:noProof w:val="0"/>
          <w:sz w:val="24"/>
          <w:szCs w:val="24"/>
          <w:lang w:val="en-GB"/>
        </w:rPr>
        <w:t>Cogent business &amp; management</w:t>
      </w:r>
      <w:r w:rsidRPr="0052A477" w:rsidR="7392F8D2">
        <w:rPr>
          <w:rFonts w:ascii="Aptos" w:hAnsi="Aptos" w:eastAsia="Aptos" w:cs="Aptos"/>
          <w:noProof w:val="0"/>
          <w:sz w:val="24"/>
          <w:szCs w:val="24"/>
          <w:lang w:val="en-GB"/>
        </w:rPr>
        <w:t xml:space="preserve">, 8(1), pp. 1–22. Available at: </w:t>
      </w:r>
      <w:hyperlink r:id="Radc04a5628e34991">
        <w:r w:rsidRPr="0052A477" w:rsidR="7392F8D2">
          <w:rPr>
            <w:rStyle w:val="Hyperlink"/>
            <w:rFonts w:ascii="Aptos" w:hAnsi="Aptos" w:eastAsia="Aptos" w:cs="Aptos"/>
            <w:noProof w:val="0"/>
            <w:sz w:val="24"/>
            <w:szCs w:val="24"/>
            <w:lang w:val="en-GB"/>
          </w:rPr>
          <w:t>https://doi.org/10.1080/23311975.2021.1944012</w:t>
        </w:r>
      </w:hyperlink>
      <w:r w:rsidRPr="0052A477" w:rsidR="7392F8D2">
        <w:rPr>
          <w:rFonts w:ascii="Aptos" w:hAnsi="Aptos" w:eastAsia="Aptos" w:cs="Aptos"/>
          <w:noProof w:val="0"/>
          <w:sz w:val="24"/>
          <w:szCs w:val="24"/>
          <w:lang w:val="en-GB"/>
        </w:rPr>
        <w:t>.</w:t>
      </w:r>
    </w:p>
    <w:p w:rsidR="0052A477" w:rsidP="0052A477" w:rsidRDefault="0052A477" w14:paraId="291C79C6" w14:textId="251D8926">
      <w:pPr>
        <w:pStyle w:val="Normal"/>
      </w:pPr>
    </w:p>
    <w:p w:rsidR="42F40715" w:rsidRDefault="42F40715" w14:paraId="63E058A5" w14:textId="3B51B507">
      <w:r w:rsidR="42F40715">
        <w:rPr/>
        <w:t xml:space="preserve">Nanda, V. (2022) </w:t>
      </w:r>
      <w:r w:rsidR="43F2B2AA">
        <w:rPr/>
        <w:t>‘Difference between Multinational and Transnational’</w:t>
      </w:r>
      <w:r w:rsidR="47C45A93">
        <w:rPr/>
        <w:t xml:space="preserve"> Available at: </w:t>
      </w:r>
      <w:hyperlink r:id="Ra2281847adc2483a">
        <w:r w:rsidRPr="0052A477" w:rsidR="47C45A93">
          <w:rPr>
            <w:rStyle w:val="Hyperlink"/>
          </w:rPr>
          <w:t>https://www.tutorialspoint.com/difference-between-multinational-and-transnational</w:t>
        </w:r>
      </w:hyperlink>
      <w:r w:rsidR="47C45A93">
        <w:rPr/>
        <w:t xml:space="preserve"> (Accessed</w:t>
      </w:r>
      <w:r w:rsidR="6579C11B">
        <w:rPr/>
        <w:t>: 28.09.2025)</w:t>
      </w:r>
    </w:p>
    <w:p w:rsidR="54ADEF73" w:rsidP="0052A477" w:rsidRDefault="54ADEF73" w14:paraId="6DD2617D" w14:textId="160DD3E1">
      <w:pPr>
        <w:spacing w:before="0" w:beforeAutospacing="off" w:after="0" w:afterAutospacing="off"/>
      </w:pPr>
      <w:r w:rsidRPr="0052A477" w:rsidR="59760959">
        <w:rPr>
          <w:rFonts w:ascii="Aptos" w:hAnsi="Aptos" w:eastAsia="Aptos" w:cs="Aptos"/>
          <w:noProof w:val="0"/>
          <w:sz w:val="24"/>
          <w:szCs w:val="24"/>
          <w:lang w:val="en-GB"/>
        </w:rPr>
        <w:t xml:space="preserve">Nazarian, A. </w:t>
      </w:r>
      <w:r w:rsidRPr="0052A477" w:rsidR="59760959">
        <w:rPr>
          <w:rFonts w:ascii="Aptos" w:hAnsi="Aptos" w:eastAsia="Aptos" w:cs="Aptos"/>
          <w:i w:val="1"/>
          <w:iCs w:val="1"/>
          <w:noProof w:val="0"/>
          <w:sz w:val="24"/>
          <w:szCs w:val="24"/>
          <w:lang w:val="en-GB"/>
        </w:rPr>
        <w:t>et al.</w:t>
      </w:r>
      <w:r w:rsidRPr="0052A477" w:rsidR="59760959">
        <w:rPr>
          <w:rFonts w:ascii="Aptos" w:hAnsi="Aptos" w:eastAsia="Aptos" w:cs="Aptos"/>
          <w:noProof w:val="0"/>
          <w:sz w:val="24"/>
          <w:szCs w:val="24"/>
          <w:lang w:val="en-GB"/>
        </w:rPr>
        <w:t xml:space="preserve"> (2026) ‘Cultivating intention to stay: A cross-cultural exploration of leadership and ethical climates in hotel industry’, </w:t>
      </w:r>
      <w:r w:rsidRPr="0052A477" w:rsidR="59760959">
        <w:rPr>
          <w:rFonts w:ascii="Aptos" w:hAnsi="Aptos" w:eastAsia="Aptos" w:cs="Aptos"/>
          <w:i w:val="1"/>
          <w:iCs w:val="1"/>
          <w:noProof w:val="0"/>
          <w:sz w:val="24"/>
          <w:szCs w:val="24"/>
          <w:lang w:val="en-GB"/>
        </w:rPr>
        <w:t>International journal of hospitality management</w:t>
      </w:r>
      <w:r w:rsidRPr="0052A477" w:rsidR="59760959">
        <w:rPr>
          <w:rFonts w:ascii="Aptos" w:hAnsi="Aptos" w:eastAsia="Aptos" w:cs="Aptos"/>
          <w:noProof w:val="0"/>
          <w:sz w:val="24"/>
          <w:szCs w:val="24"/>
          <w:lang w:val="en-GB"/>
        </w:rPr>
        <w:t xml:space="preserve">, 133. Available at: </w:t>
      </w:r>
      <w:hyperlink r:id="Ra213ea0eb8b74811">
        <w:r w:rsidRPr="0052A477" w:rsidR="59760959">
          <w:rPr>
            <w:rStyle w:val="Hyperlink"/>
            <w:rFonts w:ascii="Aptos" w:hAnsi="Aptos" w:eastAsia="Aptos" w:cs="Aptos"/>
            <w:noProof w:val="0"/>
            <w:sz w:val="24"/>
            <w:szCs w:val="24"/>
            <w:lang w:val="en-GB"/>
          </w:rPr>
          <w:t>https://doi.org/10.1016/j.ijhm.2025.104454</w:t>
        </w:r>
      </w:hyperlink>
      <w:r w:rsidRPr="0052A477" w:rsidR="59760959">
        <w:rPr>
          <w:rFonts w:ascii="Aptos" w:hAnsi="Aptos" w:eastAsia="Aptos" w:cs="Aptos"/>
          <w:noProof w:val="0"/>
          <w:sz w:val="24"/>
          <w:szCs w:val="24"/>
          <w:lang w:val="en-GB"/>
        </w:rPr>
        <w:t>.</w:t>
      </w:r>
      <w:r w:rsidRPr="0052A477" w:rsidR="59760959">
        <w:rPr>
          <w:rFonts w:ascii="Aptos" w:hAnsi="Aptos" w:eastAsia="Aptos" w:cs="Aptos"/>
          <w:noProof w:val="0"/>
          <w:sz w:val="24"/>
          <w:szCs w:val="24"/>
          <w:lang w:val="en-GB"/>
        </w:rPr>
        <w:t xml:space="preserve"> </w:t>
      </w:r>
    </w:p>
    <w:p w:rsidR="54ADEF73" w:rsidP="0052A477" w:rsidRDefault="54ADEF73" w14:paraId="7E40EB44" w14:textId="27CC9BBF">
      <w:pPr>
        <w:spacing w:before="0" w:beforeAutospacing="off" w:after="0" w:afterAutospacing="off"/>
      </w:pPr>
      <w:r w:rsidRPr="0052A477" w:rsidR="41ECCF9A">
        <w:rPr>
          <w:rFonts w:ascii="Aptos" w:hAnsi="Aptos" w:eastAsia="Aptos" w:cs="Aptos"/>
          <w:noProof w:val="0"/>
          <w:sz w:val="24"/>
          <w:szCs w:val="24"/>
          <w:lang w:val="en-GB"/>
        </w:rPr>
        <w:t xml:space="preserve">Ogden, </w:t>
      </w:r>
      <w:r w:rsidRPr="0052A477" w:rsidR="41ECCF9A">
        <w:rPr>
          <w:rFonts w:ascii="Aptos" w:hAnsi="Aptos" w:eastAsia="Aptos" w:cs="Aptos"/>
          <w:noProof w:val="0"/>
          <w:sz w:val="24"/>
          <w:szCs w:val="24"/>
          <w:lang w:val="en-GB"/>
        </w:rPr>
        <w:t>H.</w:t>
      </w:r>
      <w:r w:rsidRPr="0052A477" w:rsidR="41ECCF9A">
        <w:rPr>
          <w:rFonts w:ascii="Aptos" w:hAnsi="Aptos" w:eastAsia="Aptos" w:cs="Aptos"/>
          <w:noProof w:val="0"/>
          <w:sz w:val="24"/>
          <w:szCs w:val="24"/>
          <w:lang w:val="en-GB"/>
        </w:rPr>
        <w:t xml:space="preserve"> and Cheng, S. (2011) ‘Cultural dimensions and materialism: comparing Canada and China’, </w:t>
      </w:r>
      <w:r w:rsidRPr="0052A477" w:rsidR="41ECCF9A">
        <w:rPr>
          <w:rFonts w:ascii="Aptos" w:hAnsi="Aptos" w:eastAsia="Aptos" w:cs="Aptos"/>
          <w:i w:val="1"/>
          <w:iCs w:val="1"/>
          <w:noProof w:val="0"/>
          <w:sz w:val="24"/>
          <w:szCs w:val="24"/>
          <w:lang w:val="en-GB"/>
        </w:rPr>
        <w:t xml:space="preserve">Asia Pacific journal of marketing and </w:t>
      </w:r>
      <w:r w:rsidRPr="0052A477" w:rsidR="41ECCF9A">
        <w:rPr>
          <w:rFonts w:ascii="Aptos" w:hAnsi="Aptos" w:eastAsia="Aptos" w:cs="Aptos"/>
          <w:i w:val="1"/>
          <w:iCs w:val="1"/>
          <w:noProof w:val="0"/>
          <w:sz w:val="24"/>
          <w:szCs w:val="24"/>
          <w:lang w:val="en-GB"/>
        </w:rPr>
        <w:t>logistics</w:t>
      </w:r>
      <w:r w:rsidRPr="0052A477" w:rsidR="41ECCF9A">
        <w:rPr>
          <w:rFonts w:ascii="Aptos" w:hAnsi="Aptos" w:eastAsia="Aptos" w:cs="Aptos"/>
          <w:noProof w:val="0"/>
          <w:sz w:val="24"/>
          <w:szCs w:val="24"/>
          <w:lang w:val="en-GB"/>
        </w:rPr>
        <w:t xml:space="preserve">, 23(4), pp. 431–447. Available at: </w:t>
      </w:r>
      <w:hyperlink r:id="R01efb6a432b24a0d">
        <w:r w:rsidRPr="0052A477" w:rsidR="41ECCF9A">
          <w:rPr>
            <w:rStyle w:val="Hyperlink"/>
            <w:rFonts w:ascii="Aptos" w:hAnsi="Aptos" w:eastAsia="Aptos" w:cs="Aptos"/>
            <w:noProof w:val="0"/>
            <w:sz w:val="24"/>
            <w:szCs w:val="24"/>
            <w:lang w:val="en-GB"/>
          </w:rPr>
          <w:t>https://doi.org/10.1108/13555851111165011</w:t>
        </w:r>
      </w:hyperlink>
      <w:r w:rsidRPr="0052A477" w:rsidR="41ECCF9A">
        <w:rPr>
          <w:rFonts w:ascii="Aptos" w:hAnsi="Aptos" w:eastAsia="Aptos" w:cs="Aptos"/>
          <w:noProof w:val="0"/>
          <w:sz w:val="24"/>
          <w:szCs w:val="24"/>
          <w:lang w:val="en-GB"/>
        </w:rPr>
        <w:t>.</w:t>
      </w:r>
    </w:p>
    <w:p w:rsidR="54ADEF73" w:rsidRDefault="54ADEF73" w14:paraId="088AC061" w14:textId="25E59A5D"/>
    <w:p w:rsidR="578E0A08" w:rsidP="54ADEF73" w:rsidRDefault="578E0A08" w14:paraId="70F29028" w14:textId="7D4D77D6">
      <w:pPr>
        <w:spacing w:after="0"/>
      </w:pPr>
      <w:r w:rsidRPr="54ADEF73">
        <w:rPr>
          <w:rFonts w:ascii="Aptos" w:hAnsi="Aptos" w:eastAsia="Aptos" w:cs="Aptos"/>
        </w:rPr>
        <w:t xml:space="preserve">Pratiwi, A.A. </w:t>
      </w:r>
      <w:r w:rsidRPr="54ADEF73">
        <w:rPr>
          <w:rFonts w:ascii="Aptos" w:hAnsi="Aptos" w:eastAsia="Aptos" w:cs="Aptos"/>
          <w:i/>
          <w:iCs/>
        </w:rPr>
        <w:t>et al.</w:t>
      </w:r>
      <w:r w:rsidRPr="54ADEF73">
        <w:rPr>
          <w:rFonts w:ascii="Aptos" w:hAnsi="Aptos" w:eastAsia="Aptos" w:cs="Aptos"/>
        </w:rPr>
        <w:t xml:space="preserve"> (2024) ‘Industrial Cluster Design using Value Chain Analysis and Diamond Porter’s Model (Case Study in Batik Trusmi Cirebon </w:t>
      </w:r>
      <w:r w:rsidR="007F5636">
        <w:rPr>
          <w:rFonts w:ascii="Aptos" w:hAnsi="Aptos" w:eastAsia="Aptos" w:cs="Aptos"/>
        </w:rPr>
        <w:t>Centre</w:t>
      </w:r>
      <w:r w:rsidRPr="54ADEF73">
        <w:rPr>
          <w:rFonts w:ascii="Aptos" w:hAnsi="Aptos" w:eastAsia="Aptos" w:cs="Aptos"/>
        </w:rPr>
        <w:t xml:space="preserve">)’, </w:t>
      </w:r>
      <w:r w:rsidRPr="54ADEF73">
        <w:rPr>
          <w:rFonts w:ascii="Aptos" w:hAnsi="Aptos" w:eastAsia="Aptos" w:cs="Aptos"/>
          <w:i/>
          <w:iCs/>
        </w:rPr>
        <w:t>E3S web of conferences</w:t>
      </w:r>
      <w:r w:rsidRPr="54ADEF73">
        <w:rPr>
          <w:rFonts w:ascii="Aptos" w:hAnsi="Aptos" w:eastAsia="Aptos" w:cs="Aptos"/>
        </w:rPr>
        <w:t xml:space="preserve">, 517, p. 5005. Available at: </w:t>
      </w:r>
      <w:hyperlink r:id="rId17">
        <w:r w:rsidRPr="54ADEF73">
          <w:rPr>
            <w:rStyle w:val="Hyperlink"/>
            <w:rFonts w:ascii="Aptos" w:hAnsi="Aptos" w:eastAsia="Aptos" w:cs="Aptos"/>
          </w:rPr>
          <w:t>https://doi.org/10.1051/e3sconf/202451705005</w:t>
        </w:r>
      </w:hyperlink>
      <w:r w:rsidRPr="54ADEF73">
        <w:rPr>
          <w:rFonts w:ascii="Aptos" w:hAnsi="Aptos" w:eastAsia="Aptos" w:cs="Aptos"/>
        </w:rPr>
        <w:t>.</w:t>
      </w:r>
    </w:p>
    <w:p w:rsidR="54ADEF73" w:rsidRDefault="54ADEF73" w14:paraId="1878659D" w14:textId="34EE9ED8"/>
    <w:p w:rsidR="609C40F9" w:rsidP="5DDDE088" w:rsidRDefault="609C40F9" w14:paraId="24A4620A" w14:noSpellErr="1" w14:textId="5DFD2B30">
      <w:pPr>
        <w:spacing w:after="0"/>
      </w:pPr>
      <w:r w:rsidRPr="0052A477" w:rsidR="609C40F9">
        <w:rPr>
          <w:rFonts w:ascii="Aptos" w:hAnsi="Aptos" w:eastAsia="Aptos" w:cs="Aptos"/>
        </w:rPr>
        <w:t xml:space="preserve">Ruan, S. (2020) ‘Research on Strategic Cost Management of Enterprises Based on Porter’s Value Chain Model’, </w:t>
      </w:r>
      <w:r w:rsidRPr="0052A477" w:rsidR="609C40F9">
        <w:rPr>
          <w:rFonts w:ascii="Aptos" w:hAnsi="Aptos" w:eastAsia="Aptos" w:cs="Aptos"/>
          <w:i w:val="1"/>
          <w:iCs w:val="1"/>
        </w:rPr>
        <w:t xml:space="preserve">Journal of </w:t>
      </w:r>
      <w:r w:rsidRPr="0052A477" w:rsidR="007F5636">
        <w:rPr>
          <w:rFonts w:ascii="Aptos" w:hAnsi="Aptos" w:eastAsia="Aptos" w:cs="Aptos"/>
          <w:i w:val="1"/>
          <w:iCs w:val="1"/>
        </w:rPr>
        <w:t>Physics</w:t>
      </w:r>
      <w:r w:rsidRPr="0052A477" w:rsidR="609C40F9">
        <w:rPr>
          <w:rFonts w:ascii="Aptos" w:hAnsi="Aptos" w:eastAsia="Aptos" w:cs="Aptos"/>
          <w:i w:val="1"/>
          <w:iCs w:val="1"/>
        </w:rPr>
        <w:t>. Conference series</w:t>
      </w:r>
      <w:r w:rsidRPr="0052A477" w:rsidR="609C40F9">
        <w:rPr>
          <w:rFonts w:ascii="Aptos" w:hAnsi="Aptos" w:eastAsia="Aptos" w:cs="Aptos"/>
        </w:rPr>
        <w:t xml:space="preserve">, 1533(2), p. 22056. Available at: </w:t>
      </w:r>
      <w:hyperlink r:id="R754960083ab54ea3">
        <w:r w:rsidRPr="0052A477" w:rsidR="609C40F9">
          <w:rPr>
            <w:rStyle w:val="Hyperlink"/>
            <w:rFonts w:ascii="Aptos" w:hAnsi="Aptos" w:eastAsia="Aptos" w:cs="Aptos"/>
          </w:rPr>
          <w:t>https://doi.org/10.1088/1742-6596/1533/2/022056</w:t>
        </w:r>
      </w:hyperlink>
      <w:r w:rsidRPr="0052A477" w:rsidR="609C40F9">
        <w:rPr>
          <w:rFonts w:ascii="Aptos" w:hAnsi="Aptos" w:eastAsia="Aptos" w:cs="Aptos"/>
        </w:rPr>
        <w:t>.</w:t>
      </w:r>
    </w:p>
    <w:p w:rsidR="0052A477" w:rsidP="0052A477" w:rsidRDefault="0052A477" w14:paraId="03795EF8" w14:textId="1DC188D0">
      <w:pPr>
        <w:spacing w:after="0"/>
        <w:rPr>
          <w:rFonts w:ascii="Aptos" w:hAnsi="Aptos" w:eastAsia="Aptos" w:cs="Aptos"/>
        </w:rPr>
      </w:pPr>
    </w:p>
    <w:p w:rsidR="6E768D58" w:rsidP="0052A477" w:rsidRDefault="6E768D58" w14:paraId="7F377B7B" w14:textId="5C7C6AD5">
      <w:pPr>
        <w:spacing w:before="0" w:beforeAutospacing="off" w:after="0" w:afterAutospacing="off"/>
      </w:pPr>
      <w:r w:rsidRPr="0052A477" w:rsidR="6E768D58">
        <w:rPr>
          <w:rFonts w:ascii="Aptos" w:hAnsi="Aptos" w:eastAsia="Aptos" w:cs="Aptos"/>
          <w:noProof w:val="0"/>
          <w:sz w:val="24"/>
          <w:szCs w:val="24"/>
          <w:lang w:val="en-GB"/>
        </w:rPr>
        <w:t xml:space="preserve">Schein, E.H. and Schein, P. (2017) </w:t>
      </w:r>
      <w:r w:rsidRPr="0052A477" w:rsidR="6E768D58">
        <w:rPr>
          <w:rFonts w:ascii="Aptos" w:hAnsi="Aptos" w:eastAsia="Aptos" w:cs="Aptos"/>
          <w:i w:val="1"/>
          <w:iCs w:val="1"/>
          <w:noProof w:val="0"/>
          <w:sz w:val="24"/>
          <w:szCs w:val="24"/>
          <w:lang w:val="en-GB"/>
        </w:rPr>
        <w:t>Organizational culture and leadership</w:t>
      </w:r>
      <w:r w:rsidRPr="0052A477" w:rsidR="6E768D58">
        <w:rPr>
          <w:rFonts w:ascii="Aptos" w:hAnsi="Aptos" w:eastAsia="Aptos" w:cs="Aptos"/>
          <w:noProof w:val="0"/>
          <w:sz w:val="24"/>
          <w:szCs w:val="24"/>
          <w:lang w:val="en-GB"/>
        </w:rPr>
        <w:t>. Fifth edition. Hoboken, N.J: Wiley.</w:t>
      </w:r>
    </w:p>
    <w:p w:rsidR="0052A477" w:rsidP="0052A477" w:rsidRDefault="0052A477" w14:paraId="2A83F62B" w14:textId="1EA21D15">
      <w:pPr>
        <w:spacing w:after="0"/>
        <w:rPr>
          <w:rFonts w:ascii="Aptos" w:hAnsi="Aptos" w:eastAsia="Aptos" w:cs="Aptos"/>
        </w:rPr>
      </w:pPr>
    </w:p>
    <w:p w:rsidR="1E646C65" w:rsidP="0052A477" w:rsidRDefault="1E646C65" w14:paraId="43F9BB22" w14:textId="2A38FBAD">
      <w:pPr>
        <w:spacing w:before="0" w:beforeAutospacing="off" w:after="0" w:afterAutospacing="off"/>
      </w:pPr>
      <w:r w:rsidRPr="0052A477" w:rsidR="1E646C65">
        <w:rPr>
          <w:rFonts w:ascii="Aptos" w:hAnsi="Aptos" w:eastAsia="Aptos" w:cs="Aptos"/>
          <w:noProof w:val="0"/>
          <w:sz w:val="24"/>
          <w:szCs w:val="24"/>
          <w:lang w:val="en-GB"/>
        </w:rPr>
        <w:t xml:space="preserve">Wang, L. </w:t>
      </w:r>
      <w:r w:rsidRPr="0052A477" w:rsidR="1E646C65">
        <w:rPr>
          <w:rFonts w:ascii="Aptos" w:hAnsi="Aptos" w:eastAsia="Aptos" w:cs="Aptos"/>
          <w:i w:val="1"/>
          <w:iCs w:val="1"/>
          <w:noProof w:val="0"/>
          <w:sz w:val="24"/>
          <w:szCs w:val="24"/>
          <w:lang w:val="en-GB"/>
        </w:rPr>
        <w:t>et al.</w:t>
      </w:r>
      <w:r w:rsidRPr="0052A477" w:rsidR="1E646C65">
        <w:rPr>
          <w:rFonts w:ascii="Aptos" w:hAnsi="Aptos" w:eastAsia="Aptos" w:cs="Aptos"/>
          <w:noProof w:val="0"/>
          <w:sz w:val="24"/>
          <w:szCs w:val="24"/>
          <w:lang w:val="en-GB"/>
        </w:rPr>
        <w:t xml:space="preserve"> (2025) ‘Two kinds of centralization: Divergences between China and Europe’, </w:t>
      </w:r>
      <w:r w:rsidRPr="0052A477" w:rsidR="1E646C65">
        <w:rPr>
          <w:rFonts w:ascii="Aptos" w:hAnsi="Aptos" w:eastAsia="Aptos" w:cs="Aptos"/>
          <w:i w:val="1"/>
          <w:iCs w:val="1"/>
          <w:noProof w:val="0"/>
          <w:sz w:val="24"/>
          <w:szCs w:val="24"/>
          <w:lang w:val="en-GB"/>
        </w:rPr>
        <w:t>Economic modelling</w:t>
      </w:r>
      <w:r w:rsidRPr="0052A477" w:rsidR="1E646C65">
        <w:rPr>
          <w:rFonts w:ascii="Aptos" w:hAnsi="Aptos" w:eastAsia="Aptos" w:cs="Aptos"/>
          <w:noProof w:val="0"/>
          <w:sz w:val="24"/>
          <w:szCs w:val="24"/>
          <w:lang w:val="en-GB"/>
        </w:rPr>
        <w:t xml:space="preserve">, 153. Available at: </w:t>
      </w:r>
      <w:hyperlink r:id="R14a3f9eeccfd4b7f">
        <w:r w:rsidRPr="0052A477" w:rsidR="1E646C65">
          <w:rPr>
            <w:rStyle w:val="Hyperlink"/>
            <w:rFonts w:ascii="Aptos" w:hAnsi="Aptos" w:eastAsia="Aptos" w:cs="Aptos"/>
            <w:noProof w:val="0"/>
            <w:sz w:val="24"/>
            <w:szCs w:val="24"/>
            <w:lang w:val="en-GB"/>
          </w:rPr>
          <w:t>https://doi.org/10.1016/j.econmod.2025.107315</w:t>
        </w:r>
      </w:hyperlink>
      <w:r w:rsidRPr="0052A477" w:rsidR="1E646C65">
        <w:rPr>
          <w:rFonts w:ascii="Aptos" w:hAnsi="Aptos" w:eastAsia="Aptos" w:cs="Aptos"/>
          <w:noProof w:val="0"/>
          <w:sz w:val="24"/>
          <w:szCs w:val="24"/>
          <w:lang w:val="en-GB"/>
        </w:rPr>
        <w:t>.</w:t>
      </w:r>
    </w:p>
    <w:p w:rsidR="0052A477" w:rsidP="0052A477" w:rsidRDefault="0052A477" w14:paraId="294380D0" w14:textId="10976698">
      <w:pPr>
        <w:spacing w:after="0"/>
        <w:rPr>
          <w:rFonts w:ascii="Aptos" w:hAnsi="Aptos" w:eastAsia="Aptos" w:cs="Aptos"/>
        </w:rPr>
      </w:pPr>
    </w:p>
    <w:p w:rsidR="0052A477" w:rsidP="0052A477" w:rsidRDefault="0052A477" w14:paraId="0B94C695" w14:textId="246FFA33">
      <w:pPr>
        <w:spacing w:after="0"/>
        <w:rPr>
          <w:rFonts w:ascii="Aptos" w:hAnsi="Aptos" w:eastAsia="Aptos" w:cs="Aptos"/>
        </w:rPr>
      </w:pPr>
    </w:p>
    <w:p w:rsidR="52786733" w:rsidP="0052A477" w:rsidRDefault="52786733" w14:paraId="4CDEEFD2" w14:textId="52BB79EF">
      <w:pPr>
        <w:spacing w:before="0" w:beforeAutospacing="off" w:after="0" w:afterAutospacing="off"/>
      </w:pPr>
      <w:r w:rsidRPr="0052A477" w:rsidR="52786733">
        <w:rPr>
          <w:rFonts w:ascii="Aptos" w:hAnsi="Aptos" w:eastAsia="Aptos" w:cs="Aptos"/>
          <w:noProof w:val="0"/>
          <w:sz w:val="24"/>
          <w:szCs w:val="24"/>
          <w:lang w:val="en-GB"/>
        </w:rPr>
        <w:t xml:space="preserve">Yang, X. (2019) ‘The Cultural Factors in the MOOC Design in China from Hofstede’s Cultural Dimensions’, </w:t>
      </w:r>
      <w:r w:rsidRPr="0052A477" w:rsidR="52786733">
        <w:rPr>
          <w:rFonts w:ascii="Aptos" w:hAnsi="Aptos" w:eastAsia="Aptos" w:cs="Aptos"/>
          <w:i w:val="1"/>
          <w:iCs w:val="1"/>
          <w:noProof w:val="0"/>
          <w:sz w:val="24"/>
          <w:szCs w:val="24"/>
          <w:lang w:val="en-GB"/>
        </w:rPr>
        <w:t>Theory</w:t>
      </w:r>
      <w:r w:rsidRPr="0052A477" w:rsidR="52786733">
        <w:rPr>
          <w:rFonts w:ascii="Aptos" w:hAnsi="Aptos" w:eastAsia="Aptos" w:cs="Aptos"/>
          <w:i w:val="1"/>
          <w:iCs w:val="1"/>
          <w:noProof w:val="0"/>
          <w:sz w:val="24"/>
          <w:szCs w:val="24"/>
          <w:lang w:val="en-GB"/>
        </w:rPr>
        <w:t xml:space="preserve"> and practice in language studies</w:t>
      </w:r>
      <w:r w:rsidRPr="0052A477" w:rsidR="52786733">
        <w:rPr>
          <w:rFonts w:ascii="Aptos" w:hAnsi="Aptos" w:eastAsia="Aptos" w:cs="Aptos"/>
          <w:noProof w:val="0"/>
          <w:sz w:val="24"/>
          <w:szCs w:val="24"/>
          <w:lang w:val="en-GB"/>
        </w:rPr>
        <w:t xml:space="preserve">, 9(10), pp. 13201325–1325. Available at: </w:t>
      </w:r>
      <w:hyperlink r:id="R9d7db4684f7248dc">
        <w:r w:rsidRPr="0052A477" w:rsidR="52786733">
          <w:rPr>
            <w:rStyle w:val="Hyperlink"/>
            <w:rFonts w:ascii="Aptos" w:hAnsi="Aptos" w:eastAsia="Aptos" w:cs="Aptos"/>
            <w:noProof w:val="0"/>
            <w:sz w:val="24"/>
            <w:szCs w:val="24"/>
            <w:lang w:val="en-GB"/>
          </w:rPr>
          <w:t>https://doi.org/10.17507/tpls.0910.09</w:t>
        </w:r>
      </w:hyperlink>
      <w:r w:rsidRPr="0052A477" w:rsidR="52786733">
        <w:rPr>
          <w:rFonts w:ascii="Aptos" w:hAnsi="Aptos" w:eastAsia="Aptos" w:cs="Aptos"/>
          <w:noProof w:val="0"/>
          <w:sz w:val="24"/>
          <w:szCs w:val="24"/>
          <w:lang w:val="en-GB"/>
        </w:rPr>
        <w:t>.</w:t>
      </w:r>
    </w:p>
    <w:p w:rsidR="0052A477" w:rsidP="0052A477" w:rsidRDefault="0052A477" w14:paraId="11AE596C" w14:textId="25EAF1A3">
      <w:pPr>
        <w:spacing w:before="0" w:beforeAutospacing="off" w:after="0" w:afterAutospacing="off"/>
        <w:rPr>
          <w:rFonts w:ascii="Aptos" w:hAnsi="Aptos" w:eastAsia="Aptos" w:cs="Aptos"/>
          <w:noProof w:val="0"/>
          <w:sz w:val="24"/>
          <w:szCs w:val="24"/>
          <w:lang w:val="en-GB"/>
        </w:rPr>
      </w:pPr>
    </w:p>
    <w:p w:rsidR="0BFD1610" w:rsidP="0052A477" w:rsidRDefault="0BFD1610" w14:paraId="06AF1976" w14:textId="6D86B156">
      <w:pPr>
        <w:spacing w:before="0" w:beforeAutospacing="off" w:after="0" w:afterAutospacing="off"/>
      </w:pPr>
      <w:r w:rsidRPr="0052A477" w:rsidR="0BFD1610">
        <w:rPr>
          <w:rFonts w:ascii="Aptos" w:hAnsi="Aptos" w:eastAsia="Aptos" w:cs="Aptos"/>
          <w:noProof w:val="0"/>
          <w:sz w:val="24"/>
          <w:szCs w:val="24"/>
          <w:lang w:val="en-GB"/>
        </w:rPr>
        <w:t xml:space="preserve">Zhou, X. (2008) ‘Cultural Dimensions and Framing the Internet in China: A Cross-Cultural Study of Newspapers’ Coverage in Hong Kong, Singapore, the US and the UK’, </w:t>
      </w:r>
      <w:r w:rsidRPr="0052A477" w:rsidR="0BFD1610">
        <w:rPr>
          <w:rFonts w:ascii="Aptos" w:hAnsi="Aptos" w:eastAsia="Aptos" w:cs="Aptos"/>
          <w:i w:val="1"/>
          <w:iCs w:val="1"/>
          <w:noProof w:val="0"/>
          <w:sz w:val="24"/>
          <w:szCs w:val="24"/>
          <w:lang w:val="en-GB"/>
        </w:rPr>
        <w:t>The international communication gazette</w:t>
      </w:r>
      <w:r w:rsidRPr="0052A477" w:rsidR="0BFD1610">
        <w:rPr>
          <w:rFonts w:ascii="Aptos" w:hAnsi="Aptos" w:eastAsia="Aptos" w:cs="Aptos"/>
          <w:noProof w:val="0"/>
          <w:sz w:val="24"/>
          <w:szCs w:val="24"/>
          <w:lang w:val="en-GB"/>
        </w:rPr>
        <w:t xml:space="preserve">, 70(2), pp. 117–136. Available at: </w:t>
      </w:r>
      <w:hyperlink r:id="R8a1d4b5dffdb45b4">
        <w:r w:rsidRPr="0052A477" w:rsidR="0BFD1610">
          <w:rPr>
            <w:rStyle w:val="Hyperlink"/>
            <w:rFonts w:ascii="Aptos" w:hAnsi="Aptos" w:eastAsia="Aptos" w:cs="Aptos"/>
            <w:noProof w:val="0"/>
            <w:sz w:val="24"/>
            <w:szCs w:val="24"/>
            <w:lang w:val="en-GB"/>
          </w:rPr>
          <w:t>https://doi.org/10.1177/1748048507086908</w:t>
        </w:r>
      </w:hyperlink>
      <w:r w:rsidRPr="0052A477" w:rsidR="0BFD1610">
        <w:rPr>
          <w:rFonts w:ascii="Aptos" w:hAnsi="Aptos" w:eastAsia="Aptos" w:cs="Aptos"/>
          <w:noProof w:val="0"/>
          <w:sz w:val="24"/>
          <w:szCs w:val="24"/>
          <w:lang w:val="en-GB"/>
        </w:rPr>
        <w:t>.</w:t>
      </w:r>
    </w:p>
    <w:p w:rsidR="0052A477" w:rsidP="0052A477" w:rsidRDefault="0052A477" w14:paraId="3C456813" w14:textId="2113FB35">
      <w:pPr>
        <w:spacing w:before="0" w:beforeAutospacing="off" w:after="0" w:afterAutospacing="off"/>
        <w:rPr>
          <w:rFonts w:ascii="Aptos" w:hAnsi="Aptos" w:eastAsia="Aptos" w:cs="Aptos"/>
          <w:noProof w:val="0"/>
          <w:sz w:val="24"/>
          <w:szCs w:val="24"/>
          <w:lang w:val="en-GB"/>
        </w:rPr>
      </w:pPr>
    </w:p>
    <w:p w:rsidR="0052A477" w:rsidP="0052A477" w:rsidRDefault="0052A477" w14:paraId="2BF76B7F" w14:textId="4748406E">
      <w:pPr>
        <w:spacing w:after="0"/>
        <w:rPr>
          <w:rFonts w:ascii="Aptos" w:hAnsi="Aptos" w:eastAsia="Aptos" w:cs="Aptos"/>
        </w:rPr>
      </w:pPr>
    </w:p>
    <w:p w:rsidR="5DDDE088" w:rsidRDefault="5DDDE088" w14:paraId="264F0B0C" w14:textId="5E909617"/>
    <w:sectPr w:rsidR="5DDDE088">
      <w:headerReference w:type="default" r:id="rId19"/>
      <w:footerReference w:type="default" r:id="rId20"/>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0B0F" w:rsidRDefault="006F0B0F" w14:paraId="61E0DBB7" w14:textId="77777777">
      <w:pPr>
        <w:spacing w:after="0" w:line="240" w:lineRule="auto"/>
      </w:pPr>
      <w:r>
        <w:separator/>
      </w:r>
    </w:p>
  </w:endnote>
  <w:endnote w:type="continuationSeparator" w:id="0">
    <w:p w:rsidR="006F0B0F" w:rsidRDefault="006F0B0F" w14:paraId="343112C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54ADEF73" w:rsidRDefault="54ADEF73" w14:paraId="3B1537BC" w14:textId="1FC02C68"/>
  <w:tbl>
    <w:tblPr>
      <w:tblW w:w="0" w:type="auto"/>
      <w:tblLayout w:type="fixed"/>
      <w:tblLook w:val="06A0" w:firstRow="1" w:lastRow="0" w:firstColumn="1" w:lastColumn="0" w:noHBand="1" w:noVBand="1"/>
    </w:tblPr>
    <w:tblGrid>
      <w:gridCol w:w="3005"/>
      <w:gridCol w:w="3005"/>
      <w:gridCol w:w="3005"/>
    </w:tblGrid>
    <w:tr w:rsidR="54ADEF73" w:rsidTr="54ADEF73" w14:paraId="6B538A8C" w14:textId="77777777">
      <w:trPr>
        <w:trHeight w:val="300"/>
      </w:trPr>
      <w:tc>
        <w:tcPr>
          <w:tcW w:w="3005" w:type="dxa"/>
        </w:tcPr>
        <w:p w:rsidR="54ADEF73" w:rsidP="54ADEF73" w:rsidRDefault="54ADEF73" w14:paraId="75B97A77" w14:textId="3DDBD946">
          <w:pPr>
            <w:pStyle w:val="Header"/>
            <w:ind w:left="-115"/>
          </w:pPr>
        </w:p>
      </w:tc>
      <w:tc>
        <w:tcPr>
          <w:tcW w:w="3005" w:type="dxa"/>
        </w:tcPr>
        <w:p w:rsidR="54ADEF73" w:rsidP="54ADEF73" w:rsidRDefault="54ADEF73" w14:paraId="66869B45" w14:textId="5E3E6683">
          <w:pPr>
            <w:pStyle w:val="Header"/>
            <w:jc w:val="center"/>
          </w:pPr>
        </w:p>
      </w:tc>
      <w:tc>
        <w:tcPr>
          <w:tcW w:w="3005" w:type="dxa"/>
        </w:tcPr>
        <w:p w:rsidR="54ADEF73" w:rsidP="54ADEF73" w:rsidRDefault="54ADEF73" w14:paraId="39ADBA83" w14:textId="1CBB86EF">
          <w:pPr>
            <w:pStyle w:val="Header"/>
            <w:ind w:right="-115"/>
            <w:jc w:val="right"/>
          </w:pPr>
          <w:r>
            <w:fldChar w:fldCharType="begin"/>
          </w:r>
          <w:r>
            <w:instrText>PAGE</w:instrText>
          </w:r>
          <w:r>
            <w:fldChar w:fldCharType="separate"/>
          </w:r>
          <w:r w:rsidR="007F5636">
            <w:rPr>
              <w:noProof/>
            </w:rPr>
            <w:t>1</w:t>
          </w:r>
          <w:r>
            <w:fldChar w:fldCharType="end"/>
          </w:r>
        </w:p>
      </w:tc>
    </w:tr>
  </w:tbl>
  <w:p w:rsidR="54ADEF73" w:rsidP="54ADEF73" w:rsidRDefault="54ADEF73" w14:paraId="268A8E76" w14:textId="6518C3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0B0F" w:rsidRDefault="006F0B0F" w14:paraId="6214F0FE" w14:textId="77777777">
      <w:pPr>
        <w:spacing w:after="0" w:line="240" w:lineRule="auto"/>
      </w:pPr>
      <w:r>
        <w:separator/>
      </w:r>
    </w:p>
  </w:footnote>
  <w:footnote w:type="continuationSeparator" w:id="0">
    <w:p w:rsidR="006F0B0F" w:rsidRDefault="006F0B0F" w14:paraId="16C68FD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54ADEF73" w:rsidTr="54ADEF73" w14:paraId="1F888223" w14:textId="77777777">
      <w:trPr>
        <w:trHeight w:val="300"/>
      </w:trPr>
      <w:tc>
        <w:tcPr>
          <w:tcW w:w="3005" w:type="dxa"/>
        </w:tcPr>
        <w:p w:rsidR="54ADEF73" w:rsidP="54ADEF73" w:rsidRDefault="54ADEF73" w14:paraId="6D8E17E9" w14:textId="5BF5D054">
          <w:pPr>
            <w:pStyle w:val="Header"/>
            <w:ind w:left="-115"/>
          </w:pPr>
        </w:p>
      </w:tc>
      <w:tc>
        <w:tcPr>
          <w:tcW w:w="3005" w:type="dxa"/>
        </w:tcPr>
        <w:p w:rsidR="54ADEF73" w:rsidP="54ADEF73" w:rsidRDefault="54ADEF73" w14:paraId="5205B140" w14:textId="48E67C1C">
          <w:pPr>
            <w:pStyle w:val="Header"/>
            <w:jc w:val="center"/>
          </w:pPr>
        </w:p>
      </w:tc>
      <w:tc>
        <w:tcPr>
          <w:tcW w:w="3005" w:type="dxa"/>
        </w:tcPr>
        <w:p w:rsidR="54ADEF73" w:rsidP="54ADEF73" w:rsidRDefault="54ADEF73" w14:paraId="3C48EB54" w14:textId="0CBD31DD">
          <w:pPr>
            <w:pStyle w:val="Header"/>
            <w:ind w:right="-115"/>
            <w:jc w:val="right"/>
          </w:pPr>
        </w:p>
      </w:tc>
    </w:tr>
  </w:tbl>
  <w:p w:rsidR="54ADEF73" w:rsidP="54ADEF73" w:rsidRDefault="54ADEF73" w14:paraId="71C6DB64" w14:textId="1476028B">
    <w:pPr>
      <w:pStyle w:val="Header"/>
    </w:pPr>
  </w:p>
  <w:p w:rsidR="54ADEF73" w:rsidRDefault="54ADEF73" w14:paraId="1DB96986" w14:textId="21CB6A64">
    <w:r>
      <w:br w:type="page"/>
    </w:r>
  </w:p>
  <w:p w:rsidR="54ADEF73" w:rsidP="54ADEF73" w:rsidRDefault="54ADEF73" w14:paraId="6F25BC62" w14:textId="3053F6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5">
    <w:nsid w:val="67a2979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2d93d3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a5031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7C2489A"/>
    <w:multiLevelType w:val="hybridMultilevel"/>
    <w:tmpl w:val="FBF46312"/>
    <w:lvl w:ilvl="0" w:tplc="1A081BF0">
      <w:start w:val="1"/>
      <w:numFmt w:val="decimal"/>
      <w:lvlText w:val="%1."/>
      <w:lvlJc w:val="left"/>
      <w:pPr>
        <w:ind w:left="720" w:hanging="360"/>
      </w:pPr>
    </w:lvl>
    <w:lvl w:ilvl="1" w:tplc="4DDA0C9E">
      <w:start w:val="1"/>
      <w:numFmt w:val="lowerLetter"/>
      <w:lvlText w:val="%2."/>
      <w:lvlJc w:val="left"/>
      <w:pPr>
        <w:ind w:left="1440" w:hanging="360"/>
      </w:pPr>
    </w:lvl>
    <w:lvl w:ilvl="2" w:tplc="7FEAD5BC">
      <w:start w:val="1"/>
      <w:numFmt w:val="lowerRoman"/>
      <w:lvlText w:val="%3."/>
      <w:lvlJc w:val="right"/>
      <w:pPr>
        <w:ind w:left="2160" w:hanging="180"/>
      </w:pPr>
    </w:lvl>
    <w:lvl w:ilvl="3" w:tplc="05669864">
      <w:start w:val="1"/>
      <w:numFmt w:val="decimal"/>
      <w:lvlText w:val="%4."/>
      <w:lvlJc w:val="left"/>
      <w:pPr>
        <w:ind w:left="2880" w:hanging="360"/>
      </w:pPr>
    </w:lvl>
    <w:lvl w:ilvl="4" w:tplc="B96CE996">
      <w:start w:val="1"/>
      <w:numFmt w:val="lowerLetter"/>
      <w:lvlText w:val="%5."/>
      <w:lvlJc w:val="left"/>
      <w:pPr>
        <w:ind w:left="3600" w:hanging="360"/>
      </w:pPr>
    </w:lvl>
    <w:lvl w:ilvl="5" w:tplc="DC52C8C2">
      <w:start w:val="1"/>
      <w:numFmt w:val="lowerRoman"/>
      <w:lvlText w:val="%6."/>
      <w:lvlJc w:val="right"/>
      <w:pPr>
        <w:ind w:left="4320" w:hanging="180"/>
      </w:pPr>
    </w:lvl>
    <w:lvl w:ilvl="6" w:tplc="3C2007D4">
      <w:start w:val="1"/>
      <w:numFmt w:val="decimal"/>
      <w:lvlText w:val="%7."/>
      <w:lvlJc w:val="left"/>
      <w:pPr>
        <w:ind w:left="5040" w:hanging="360"/>
      </w:pPr>
    </w:lvl>
    <w:lvl w:ilvl="7" w:tplc="94028F90">
      <w:start w:val="1"/>
      <w:numFmt w:val="lowerLetter"/>
      <w:lvlText w:val="%8."/>
      <w:lvlJc w:val="left"/>
      <w:pPr>
        <w:ind w:left="5760" w:hanging="360"/>
      </w:pPr>
    </w:lvl>
    <w:lvl w:ilvl="8" w:tplc="162CDD54">
      <w:start w:val="1"/>
      <w:numFmt w:val="lowerRoman"/>
      <w:lvlText w:val="%9."/>
      <w:lvlJc w:val="right"/>
      <w:pPr>
        <w:ind w:left="6480" w:hanging="180"/>
      </w:pPr>
    </w:lvl>
  </w:abstractNum>
  <w:abstractNum w:abstractNumId="1" w15:restartNumberingAfterBreak="0">
    <w:nsid w:val="595C71E0"/>
    <w:multiLevelType w:val="hybridMultilevel"/>
    <w:tmpl w:val="9BDE2460"/>
    <w:lvl w:ilvl="0" w:tplc="EB081844">
      <w:start w:val="1"/>
      <w:numFmt w:val="decimal"/>
      <w:lvlText w:val="%1."/>
      <w:lvlJc w:val="left"/>
      <w:pPr>
        <w:ind w:left="720" w:hanging="360"/>
      </w:pPr>
    </w:lvl>
    <w:lvl w:ilvl="1" w:tplc="568A88A0">
      <w:start w:val="1"/>
      <w:numFmt w:val="lowerLetter"/>
      <w:lvlText w:val="%2."/>
      <w:lvlJc w:val="left"/>
      <w:pPr>
        <w:ind w:left="1440" w:hanging="360"/>
      </w:pPr>
    </w:lvl>
    <w:lvl w:ilvl="2" w:tplc="E974B188">
      <w:start w:val="1"/>
      <w:numFmt w:val="lowerLetter"/>
      <w:lvlText w:val="%3."/>
      <w:lvlJc w:val="left"/>
      <w:pPr>
        <w:ind w:left="2160" w:hanging="180"/>
      </w:pPr>
    </w:lvl>
    <w:lvl w:ilvl="3" w:tplc="5D38A346">
      <w:start w:val="1"/>
      <w:numFmt w:val="decimal"/>
      <w:lvlText w:val="%4."/>
      <w:lvlJc w:val="left"/>
      <w:pPr>
        <w:ind w:left="2880" w:hanging="360"/>
      </w:pPr>
    </w:lvl>
    <w:lvl w:ilvl="4" w:tplc="500C64BC">
      <w:start w:val="1"/>
      <w:numFmt w:val="lowerLetter"/>
      <w:lvlText w:val="%5."/>
      <w:lvlJc w:val="left"/>
      <w:pPr>
        <w:ind w:left="3600" w:hanging="360"/>
      </w:pPr>
    </w:lvl>
    <w:lvl w:ilvl="5" w:tplc="D74C17C2">
      <w:start w:val="1"/>
      <w:numFmt w:val="lowerRoman"/>
      <w:lvlText w:val="%6."/>
      <w:lvlJc w:val="right"/>
      <w:pPr>
        <w:ind w:left="4320" w:hanging="180"/>
      </w:pPr>
    </w:lvl>
    <w:lvl w:ilvl="6" w:tplc="B454B27C">
      <w:start w:val="1"/>
      <w:numFmt w:val="decimal"/>
      <w:lvlText w:val="%7."/>
      <w:lvlJc w:val="left"/>
      <w:pPr>
        <w:ind w:left="5040" w:hanging="360"/>
      </w:pPr>
    </w:lvl>
    <w:lvl w:ilvl="7" w:tplc="F44A7024">
      <w:start w:val="1"/>
      <w:numFmt w:val="lowerLetter"/>
      <w:lvlText w:val="%8."/>
      <w:lvlJc w:val="left"/>
      <w:pPr>
        <w:ind w:left="5760" w:hanging="360"/>
      </w:pPr>
    </w:lvl>
    <w:lvl w:ilvl="8" w:tplc="A3C08E92">
      <w:start w:val="1"/>
      <w:numFmt w:val="lowerRoman"/>
      <w:lvlText w:val="%9."/>
      <w:lvlJc w:val="right"/>
      <w:pPr>
        <w:ind w:left="6480" w:hanging="180"/>
      </w:pPr>
    </w:lvl>
  </w:abstractNum>
  <w:abstractNum w:abstractNumId="2" w15:restartNumberingAfterBreak="0">
    <w:nsid w:val="5D3103BC"/>
    <w:multiLevelType w:val="hybridMultilevel"/>
    <w:tmpl w:val="203E3E70"/>
    <w:lvl w:ilvl="0" w:tplc="9D6E2AB4">
      <w:start w:val="3"/>
      <w:numFmt w:val="decimal"/>
      <w:lvlText w:val="%1."/>
      <w:lvlJc w:val="left"/>
      <w:pPr>
        <w:ind w:left="720" w:hanging="360"/>
      </w:pPr>
    </w:lvl>
    <w:lvl w:ilvl="1" w:tplc="BE2E6BC8">
      <w:start w:val="1"/>
      <w:numFmt w:val="lowerLetter"/>
      <w:lvlText w:val="%2."/>
      <w:lvlJc w:val="left"/>
      <w:pPr>
        <w:ind w:left="1440" w:hanging="360"/>
      </w:pPr>
    </w:lvl>
    <w:lvl w:ilvl="2" w:tplc="5534238C">
      <w:start w:val="1"/>
      <w:numFmt w:val="lowerRoman"/>
      <w:lvlText w:val="%3."/>
      <w:lvlJc w:val="right"/>
      <w:pPr>
        <w:ind w:left="2160" w:hanging="180"/>
      </w:pPr>
    </w:lvl>
    <w:lvl w:ilvl="3" w:tplc="37700CD6">
      <w:start w:val="1"/>
      <w:numFmt w:val="decimal"/>
      <w:lvlText w:val="%4."/>
      <w:lvlJc w:val="left"/>
      <w:pPr>
        <w:ind w:left="2880" w:hanging="360"/>
      </w:pPr>
    </w:lvl>
    <w:lvl w:ilvl="4" w:tplc="CAE2FD10">
      <w:start w:val="1"/>
      <w:numFmt w:val="lowerLetter"/>
      <w:lvlText w:val="%5."/>
      <w:lvlJc w:val="left"/>
      <w:pPr>
        <w:ind w:left="3600" w:hanging="360"/>
      </w:pPr>
    </w:lvl>
    <w:lvl w:ilvl="5" w:tplc="F0BAD03E">
      <w:start w:val="1"/>
      <w:numFmt w:val="lowerRoman"/>
      <w:lvlText w:val="%6."/>
      <w:lvlJc w:val="right"/>
      <w:pPr>
        <w:ind w:left="4320" w:hanging="180"/>
      </w:pPr>
    </w:lvl>
    <w:lvl w:ilvl="6" w:tplc="67B6415E">
      <w:start w:val="1"/>
      <w:numFmt w:val="decimal"/>
      <w:lvlText w:val="%7."/>
      <w:lvlJc w:val="left"/>
      <w:pPr>
        <w:ind w:left="5040" w:hanging="360"/>
      </w:pPr>
    </w:lvl>
    <w:lvl w:ilvl="7" w:tplc="2F74C9D2">
      <w:start w:val="1"/>
      <w:numFmt w:val="lowerLetter"/>
      <w:lvlText w:val="%8."/>
      <w:lvlJc w:val="left"/>
      <w:pPr>
        <w:ind w:left="5760" w:hanging="360"/>
      </w:pPr>
    </w:lvl>
    <w:lvl w:ilvl="8" w:tplc="F6F851A2">
      <w:start w:val="1"/>
      <w:numFmt w:val="lowerRoman"/>
      <w:lvlText w:val="%9."/>
      <w:lvlJc w:val="right"/>
      <w:pPr>
        <w:ind w:left="6480" w:hanging="180"/>
      </w:pPr>
    </w:lvl>
  </w:abstractNum>
  <w:num w:numId="6">
    <w:abstractNumId w:val="5"/>
  </w:num>
  <w:num w:numId="5">
    <w:abstractNumId w:val="4"/>
  </w:num>
  <w:num w:numId="4">
    <w:abstractNumId w:val="3"/>
  </w:num>
  <w:num w:numId="1" w16cid:durableId="1749884613">
    <w:abstractNumId w:val="2"/>
  </w:num>
  <w:num w:numId="2" w16cid:durableId="1189175277">
    <w:abstractNumId w:val="1"/>
  </w:num>
  <w:num w:numId="3" w16cid:durableId="6931133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7575CE3"/>
    <w:rsid w:val="00001587"/>
    <w:rsid w:val="00003CB5"/>
    <w:rsid w:val="00022728"/>
    <w:rsid w:val="000B02C8"/>
    <w:rsid w:val="001740F5"/>
    <w:rsid w:val="001E5CAF"/>
    <w:rsid w:val="002049C2"/>
    <w:rsid w:val="003A222F"/>
    <w:rsid w:val="003D25F3"/>
    <w:rsid w:val="00476874"/>
    <w:rsid w:val="00502AA8"/>
    <w:rsid w:val="0051173D"/>
    <w:rsid w:val="0052A477"/>
    <w:rsid w:val="0061EEDC"/>
    <w:rsid w:val="00634415"/>
    <w:rsid w:val="006F0B0F"/>
    <w:rsid w:val="0077695C"/>
    <w:rsid w:val="00797083"/>
    <w:rsid w:val="007F5636"/>
    <w:rsid w:val="00AA77CD"/>
    <w:rsid w:val="00B86E72"/>
    <w:rsid w:val="00BDC644"/>
    <w:rsid w:val="00BE7640"/>
    <w:rsid w:val="00BF3007"/>
    <w:rsid w:val="00C2C447"/>
    <w:rsid w:val="00CC46E6"/>
    <w:rsid w:val="00D16E73"/>
    <w:rsid w:val="00D5292F"/>
    <w:rsid w:val="00D974AE"/>
    <w:rsid w:val="00E1364D"/>
    <w:rsid w:val="00E50CCA"/>
    <w:rsid w:val="00EE5B5C"/>
    <w:rsid w:val="010A6326"/>
    <w:rsid w:val="010BC86E"/>
    <w:rsid w:val="014036EB"/>
    <w:rsid w:val="014059F4"/>
    <w:rsid w:val="015F85EC"/>
    <w:rsid w:val="01A8FC78"/>
    <w:rsid w:val="01D3D07C"/>
    <w:rsid w:val="01F1A94E"/>
    <w:rsid w:val="01FE27B4"/>
    <w:rsid w:val="02373B17"/>
    <w:rsid w:val="028565A9"/>
    <w:rsid w:val="02A0B036"/>
    <w:rsid w:val="02CC62AD"/>
    <w:rsid w:val="03044385"/>
    <w:rsid w:val="030D2084"/>
    <w:rsid w:val="033F1479"/>
    <w:rsid w:val="037417E3"/>
    <w:rsid w:val="038A33EA"/>
    <w:rsid w:val="03BAF4FC"/>
    <w:rsid w:val="041B1CB0"/>
    <w:rsid w:val="04B9E66C"/>
    <w:rsid w:val="0535D5B9"/>
    <w:rsid w:val="05DF729D"/>
    <w:rsid w:val="05FBA2C1"/>
    <w:rsid w:val="061B9FED"/>
    <w:rsid w:val="06200A76"/>
    <w:rsid w:val="065D1901"/>
    <w:rsid w:val="06A2B002"/>
    <w:rsid w:val="06B1A35F"/>
    <w:rsid w:val="07059FCD"/>
    <w:rsid w:val="0736C2B8"/>
    <w:rsid w:val="0773BD54"/>
    <w:rsid w:val="078585ED"/>
    <w:rsid w:val="07DD1AF6"/>
    <w:rsid w:val="08EC6EF0"/>
    <w:rsid w:val="08FD830B"/>
    <w:rsid w:val="09032388"/>
    <w:rsid w:val="090D2B2D"/>
    <w:rsid w:val="093FA07C"/>
    <w:rsid w:val="094BB1A3"/>
    <w:rsid w:val="095CE723"/>
    <w:rsid w:val="09743467"/>
    <w:rsid w:val="0A21EE30"/>
    <w:rsid w:val="0A34CB9B"/>
    <w:rsid w:val="0A3FD5E0"/>
    <w:rsid w:val="0A9F2723"/>
    <w:rsid w:val="0B19BF6B"/>
    <w:rsid w:val="0B7A0F23"/>
    <w:rsid w:val="0B9D5C15"/>
    <w:rsid w:val="0BAD3212"/>
    <w:rsid w:val="0BB7EF99"/>
    <w:rsid w:val="0BDC19A6"/>
    <w:rsid w:val="0BFD1610"/>
    <w:rsid w:val="0C03C095"/>
    <w:rsid w:val="0C31EF61"/>
    <w:rsid w:val="0C4733D3"/>
    <w:rsid w:val="0C82EF8F"/>
    <w:rsid w:val="0CC6B4F7"/>
    <w:rsid w:val="0D56BEFB"/>
    <w:rsid w:val="0E773CE2"/>
    <w:rsid w:val="0E881CEB"/>
    <w:rsid w:val="0E8B31C4"/>
    <w:rsid w:val="0E8C4C43"/>
    <w:rsid w:val="0ECDEFBB"/>
    <w:rsid w:val="0ECF1FDA"/>
    <w:rsid w:val="0ED6247C"/>
    <w:rsid w:val="0F722E1A"/>
    <w:rsid w:val="0FC415FF"/>
    <w:rsid w:val="0FF62AA3"/>
    <w:rsid w:val="0FFCDAAF"/>
    <w:rsid w:val="0FFF6B44"/>
    <w:rsid w:val="103230EF"/>
    <w:rsid w:val="10620271"/>
    <w:rsid w:val="10A690D8"/>
    <w:rsid w:val="11014A77"/>
    <w:rsid w:val="11456F73"/>
    <w:rsid w:val="1155B29F"/>
    <w:rsid w:val="11CACD82"/>
    <w:rsid w:val="11E467F4"/>
    <w:rsid w:val="12421DB6"/>
    <w:rsid w:val="12706FD6"/>
    <w:rsid w:val="12AA0F81"/>
    <w:rsid w:val="12D33A10"/>
    <w:rsid w:val="12EF22D2"/>
    <w:rsid w:val="12FA2B16"/>
    <w:rsid w:val="1379B5A4"/>
    <w:rsid w:val="13C055D1"/>
    <w:rsid w:val="13D5019D"/>
    <w:rsid w:val="141C8BFA"/>
    <w:rsid w:val="14291B27"/>
    <w:rsid w:val="147038FF"/>
    <w:rsid w:val="149307DA"/>
    <w:rsid w:val="149649CF"/>
    <w:rsid w:val="159977B3"/>
    <w:rsid w:val="15CB3087"/>
    <w:rsid w:val="1652ED6A"/>
    <w:rsid w:val="17072494"/>
    <w:rsid w:val="172AEA09"/>
    <w:rsid w:val="172E4B71"/>
    <w:rsid w:val="173EFAA4"/>
    <w:rsid w:val="176FFC69"/>
    <w:rsid w:val="178F74E1"/>
    <w:rsid w:val="188A28AD"/>
    <w:rsid w:val="18B5E656"/>
    <w:rsid w:val="18D06907"/>
    <w:rsid w:val="18DC21AB"/>
    <w:rsid w:val="19148975"/>
    <w:rsid w:val="1962A3DC"/>
    <w:rsid w:val="197572FE"/>
    <w:rsid w:val="19D0CA20"/>
    <w:rsid w:val="1AAF9348"/>
    <w:rsid w:val="1AD2E6AC"/>
    <w:rsid w:val="1AE3DBD6"/>
    <w:rsid w:val="1B13DFFF"/>
    <w:rsid w:val="1BA38205"/>
    <w:rsid w:val="1BB143B2"/>
    <w:rsid w:val="1BDFA55D"/>
    <w:rsid w:val="1C096559"/>
    <w:rsid w:val="1C3CC55A"/>
    <w:rsid w:val="1C451A6E"/>
    <w:rsid w:val="1C62EEB0"/>
    <w:rsid w:val="1C66CA7C"/>
    <w:rsid w:val="1CA2978E"/>
    <w:rsid w:val="1CB71E7C"/>
    <w:rsid w:val="1CFF3445"/>
    <w:rsid w:val="1D64EE18"/>
    <w:rsid w:val="1D697441"/>
    <w:rsid w:val="1D6CF80F"/>
    <w:rsid w:val="1D747090"/>
    <w:rsid w:val="1E0960E1"/>
    <w:rsid w:val="1E13A287"/>
    <w:rsid w:val="1E20B574"/>
    <w:rsid w:val="1E646C65"/>
    <w:rsid w:val="1EA38580"/>
    <w:rsid w:val="1EAB6269"/>
    <w:rsid w:val="1EC5F971"/>
    <w:rsid w:val="1ED1E2FF"/>
    <w:rsid w:val="1EDEF423"/>
    <w:rsid w:val="1F22E9CE"/>
    <w:rsid w:val="1F5ADD26"/>
    <w:rsid w:val="1F92D683"/>
    <w:rsid w:val="1FAAF5F6"/>
    <w:rsid w:val="1FF83294"/>
    <w:rsid w:val="204761E7"/>
    <w:rsid w:val="204CB80E"/>
    <w:rsid w:val="207DAF6D"/>
    <w:rsid w:val="2092A61E"/>
    <w:rsid w:val="20987071"/>
    <w:rsid w:val="20DD2FC1"/>
    <w:rsid w:val="20ED65B9"/>
    <w:rsid w:val="214BFB4D"/>
    <w:rsid w:val="216E7E5F"/>
    <w:rsid w:val="21A574BE"/>
    <w:rsid w:val="220F5981"/>
    <w:rsid w:val="229E95BD"/>
    <w:rsid w:val="22E29A44"/>
    <w:rsid w:val="234CDC95"/>
    <w:rsid w:val="23CEBC04"/>
    <w:rsid w:val="24373813"/>
    <w:rsid w:val="248A9A39"/>
    <w:rsid w:val="2503AF59"/>
    <w:rsid w:val="251C6D92"/>
    <w:rsid w:val="25407DFD"/>
    <w:rsid w:val="2543ACA6"/>
    <w:rsid w:val="258E2AE4"/>
    <w:rsid w:val="25C30C91"/>
    <w:rsid w:val="25C7D13F"/>
    <w:rsid w:val="2664F40B"/>
    <w:rsid w:val="26673325"/>
    <w:rsid w:val="26B31213"/>
    <w:rsid w:val="26C2B3C4"/>
    <w:rsid w:val="2710A549"/>
    <w:rsid w:val="276F1734"/>
    <w:rsid w:val="278C7185"/>
    <w:rsid w:val="27C2E98C"/>
    <w:rsid w:val="28136403"/>
    <w:rsid w:val="2818E382"/>
    <w:rsid w:val="284A8FC8"/>
    <w:rsid w:val="284B1A85"/>
    <w:rsid w:val="284EB113"/>
    <w:rsid w:val="285E7D66"/>
    <w:rsid w:val="28BC8E3B"/>
    <w:rsid w:val="28C946F1"/>
    <w:rsid w:val="28CB2ECD"/>
    <w:rsid w:val="292F6BA7"/>
    <w:rsid w:val="2955486A"/>
    <w:rsid w:val="2974D6E2"/>
    <w:rsid w:val="29BA1965"/>
    <w:rsid w:val="29BB1908"/>
    <w:rsid w:val="2AF589CA"/>
    <w:rsid w:val="2B3D22D8"/>
    <w:rsid w:val="2B517699"/>
    <w:rsid w:val="2B7DE334"/>
    <w:rsid w:val="2B9E4480"/>
    <w:rsid w:val="2BD4D752"/>
    <w:rsid w:val="2BE21EDD"/>
    <w:rsid w:val="2BE331ED"/>
    <w:rsid w:val="2C3BCBA1"/>
    <w:rsid w:val="2C4B7C76"/>
    <w:rsid w:val="2D650900"/>
    <w:rsid w:val="2D908EAC"/>
    <w:rsid w:val="2DCBB478"/>
    <w:rsid w:val="2DE490BC"/>
    <w:rsid w:val="2E03AD87"/>
    <w:rsid w:val="2E082801"/>
    <w:rsid w:val="2F2A0CEB"/>
    <w:rsid w:val="2F48E7B4"/>
    <w:rsid w:val="2F9189AB"/>
    <w:rsid w:val="3013EA69"/>
    <w:rsid w:val="30347D23"/>
    <w:rsid w:val="3042AC98"/>
    <w:rsid w:val="308CD23E"/>
    <w:rsid w:val="30BA27C8"/>
    <w:rsid w:val="30FB6996"/>
    <w:rsid w:val="3118813E"/>
    <w:rsid w:val="312F5379"/>
    <w:rsid w:val="313615B2"/>
    <w:rsid w:val="316617F2"/>
    <w:rsid w:val="318B8E62"/>
    <w:rsid w:val="31A18568"/>
    <w:rsid w:val="32037160"/>
    <w:rsid w:val="3281B37A"/>
    <w:rsid w:val="32A5DDC2"/>
    <w:rsid w:val="32D53952"/>
    <w:rsid w:val="32E87CCE"/>
    <w:rsid w:val="332ABBDB"/>
    <w:rsid w:val="33304CF7"/>
    <w:rsid w:val="33429D7E"/>
    <w:rsid w:val="33A8EF8B"/>
    <w:rsid w:val="341594F3"/>
    <w:rsid w:val="342D052E"/>
    <w:rsid w:val="346104AF"/>
    <w:rsid w:val="34637B6F"/>
    <w:rsid w:val="346EFDE0"/>
    <w:rsid w:val="3478BB37"/>
    <w:rsid w:val="34DDF347"/>
    <w:rsid w:val="353835EB"/>
    <w:rsid w:val="357E70EF"/>
    <w:rsid w:val="35BCC7D3"/>
    <w:rsid w:val="35C639E8"/>
    <w:rsid w:val="35F1B970"/>
    <w:rsid w:val="36021D20"/>
    <w:rsid w:val="36327C08"/>
    <w:rsid w:val="369CEC4E"/>
    <w:rsid w:val="36A56BC9"/>
    <w:rsid w:val="36E30BA0"/>
    <w:rsid w:val="3722FCD7"/>
    <w:rsid w:val="374A0CF1"/>
    <w:rsid w:val="37749C9A"/>
    <w:rsid w:val="37F057CA"/>
    <w:rsid w:val="380462D7"/>
    <w:rsid w:val="38444B5E"/>
    <w:rsid w:val="38A45B06"/>
    <w:rsid w:val="38A494A2"/>
    <w:rsid w:val="38E38BD4"/>
    <w:rsid w:val="391B6DAF"/>
    <w:rsid w:val="39372609"/>
    <w:rsid w:val="3937C69C"/>
    <w:rsid w:val="39978823"/>
    <w:rsid w:val="39F73FA1"/>
    <w:rsid w:val="3A18A010"/>
    <w:rsid w:val="3A3F709A"/>
    <w:rsid w:val="3A43A35A"/>
    <w:rsid w:val="3AD512FE"/>
    <w:rsid w:val="3B2F1B4D"/>
    <w:rsid w:val="3B7B19EC"/>
    <w:rsid w:val="3C3075BD"/>
    <w:rsid w:val="3C47609A"/>
    <w:rsid w:val="3C512D38"/>
    <w:rsid w:val="3CA0FE7D"/>
    <w:rsid w:val="3CF13ADA"/>
    <w:rsid w:val="3CF3397B"/>
    <w:rsid w:val="3DA09C90"/>
    <w:rsid w:val="3DCB2D35"/>
    <w:rsid w:val="3DD15A23"/>
    <w:rsid w:val="3E09718C"/>
    <w:rsid w:val="3E0DF347"/>
    <w:rsid w:val="3E15DA33"/>
    <w:rsid w:val="3E4D47B5"/>
    <w:rsid w:val="3E90510D"/>
    <w:rsid w:val="3EF24491"/>
    <w:rsid w:val="3F1D388A"/>
    <w:rsid w:val="3F5E45AA"/>
    <w:rsid w:val="3F6897E4"/>
    <w:rsid w:val="3F7BD3C9"/>
    <w:rsid w:val="3F9C9B53"/>
    <w:rsid w:val="3FD19312"/>
    <w:rsid w:val="40153DAE"/>
    <w:rsid w:val="40376742"/>
    <w:rsid w:val="408BC49B"/>
    <w:rsid w:val="4099E97B"/>
    <w:rsid w:val="40AAD3CD"/>
    <w:rsid w:val="40C792CB"/>
    <w:rsid w:val="411E9C97"/>
    <w:rsid w:val="4123F901"/>
    <w:rsid w:val="41A8AB47"/>
    <w:rsid w:val="41BB5EA4"/>
    <w:rsid w:val="41C3CE2B"/>
    <w:rsid w:val="41ECCF9A"/>
    <w:rsid w:val="4295005D"/>
    <w:rsid w:val="42F40715"/>
    <w:rsid w:val="433C83F1"/>
    <w:rsid w:val="43547F3E"/>
    <w:rsid w:val="43CB5F51"/>
    <w:rsid w:val="43F2B2AA"/>
    <w:rsid w:val="44563FC2"/>
    <w:rsid w:val="44AC27FE"/>
    <w:rsid w:val="454108C5"/>
    <w:rsid w:val="457A6032"/>
    <w:rsid w:val="459A0A67"/>
    <w:rsid w:val="45ABCB87"/>
    <w:rsid w:val="45BFBC42"/>
    <w:rsid w:val="45DC4C04"/>
    <w:rsid w:val="45EE9ED2"/>
    <w:rsid w:val="4603384B"/>
    <w:rsid w:val="4627B595"/>
    <w:rsid w:val="463C06C5"/>
    <w:rsid w:val="46993066"/>
    <w:rsid w:val="46A7DEBF"/>
    <w:rsid w:val="4717AC28"/>
    <w:rsid w:val="47575CE3"/>
    <w:rsid w:val="47C45A93"/>
    <w:rsid w:val="47F6A2AC"/>
    <w:rsid w:val="480BFD84"/>
    <w:rsid w:val="483131AA"/>
    <w:rsid w:val="4850D0C7"/>
    <w:rsid w:val="487B22B0"/>
    <w:rsid w:val="48A82905"/>
    <w:rsid w:val="48B6031E"/>
    <w:rsid w:val="494CF40F"/>
    <w:rsid w:val="497370C4"/>
    <w:rsid w:val="49A820DF"/>
    <w:rsid w:val="4A342465"/>
    <w:rsid w:val="4A5D5E5E"/>
    <w:rsid w:val="4A9565B5"/>
    <w:rsid w:val="4AE0D4E2"/>
    <w:rsid w:val="4AE9B082"/>
    <w:rsid w:val="4AF65503"/>
    <w:rsid w:val="4B1EE710"/>
    <w:rsid w:val="4B2EEFC1"/>
    <w:rsid w:val="4B31EDCC"/>
    <w:rsid w:val="4BBF224A"/>
    <w:rsid w:val="4BD3C04C"/>
    <w:rsid w:val="4BD577BE"/>
    <w:rsid w:val="4BEA7248"/>
    <w:rsid w:val="4C38D0AC"/>
    <w:rsid w:val="4C622030"/>
    <w:rsid w:val="4CBA5652"/>
    <w:rsid w:val="4CC58EDD"/>
    <w:rsid w:val="4CCB1407"/>
    <w:rsid w:val="4D1B1B6D"/>
    <w:rsid w:val="4D2AA00D"/>
    <w:rsid w:val="4D423B51"/>
    <w:rsid w:val="4D42D2DC"/>
    <w:rsid w:val="4D470A83"/>
    <w:rsid w:val="4DAC8D59"/>
    <w:rsid w:val="4DC62979"/>
    <w:rsid w:val="4DCF2A68"/>
    <w:rsid w:val="4E053B5B"/>
    <w:rsid w:val="4E1691E1"/>
    <w:rsid w:val="4E48E18C"/>
    <w:rsid w:val="4E4D0484"/>
    <w:rsid w:val="4E90D3DE"/>
    <w:rsid w:val="4E9652DA"/>
    <w:rsid w:val="4F53D061"/>
    <w:rsid w:val="4FDA9DEE"/>
    <w:rsid w:val="504E3D20"/>
    <w:rsid w:val="50739D6B"/>
    <w:rsid w:val="50BA46DB"/>
    <w:rsid w:val="5111F191"/>
    <w:rsid w:val="5116C839"/>
    <w:rsid w:val="5116C839"/>
    <w:rsid w:val="51400BE4"/>
    <w:rsid w:val="5153FC43"/>
    <w:rsid w:val="5195A552"/>
    <w:rsid w:val="51B4927F"/>
    <w:rsid w:val="5238BF9A"/>
    <w:rsid w:val="523DA08B"/>
    <w:rsid w:val="52786733"/>
    <w:rsid w:val="528A4627"/>
    <w:rsid w:val="52F61396"/>
    <w:rsid w:val="536A5B30"/>
    <w:rsid w:val="53922E2B"/>
    <w:rsid w:val="53CC2080"/>
    <w:rsid w:val="54A9BA1C"/>
    <w:rsid w:val="54ADEF73"/>
    <w:rsid w:val="54BF37C3"/>
    <w:rsid w:val="54E3BEC9"/>
    <w:rsid w:val="552CDF28"/>
    <w:rsid w:val="553642AA"/>
    <w:rsid w:val="554D3C83"/>
    <w:rsid w:val="555C1DA8"/>
    <w:rsid w:val="55715C4D"/>
    <w:rsid w:val="557B2CC7"/>
    <w:rsid w:val="557D8856"/>
    <w:rsid w:val="55831D7A"/>
    <w:rsid w:val="559CF5EC"/>
    <w:rsid w:val="55B56BE8"/>
    <w:rsid w:val="55C8EA53"/>
    <w:rsid w:val="55DE6356"/>
    <w:rsid w:val="55E15DF5"/>
    <w:rsid w:val="560591A1"/>
    <w:rsid w:val="574060B0"/>
    <w:rsid w:val="574BBD1B"/>
    <w:rsid w:val="578E0A08"/>
    <w:rsid w:val="57DE5760"/>
    <w:rsid w:val="57EABF87"/>
    <w:rsid w:val="57F3B39A"/>
    <w:rsid w:val="58104CAE"/>
    <w:rsid w:val="58268858"/>
    <w:rsid w:val="585640E2"/>
    <w:rsid w:val="5884F79C"/>
    <w:rsid w:val="58A2CDCA"/>
    <w:rsid w:val="58E56FA2"/>
    <w:rsid w:val="592F8398"/>
    <w:rsid w:val="596D0B16"/>
    <w:rsid w:val="59760959"/>
    <w:rsid w:val="5A21C3DC"/>
    <w:rsid w:val="5A57734A"/>
    <w:rsid w:val="5A5A4D00"/>
    <w:rsid w:val="5A82C053"/>
    <w:rsid w:val="5AA18758"/>
    <w:rsid w:val="5BA9FB8A"/>
    <w:rsid w:val="5BF18890"/>
    <w:rsid w:val="5C2E06D9"/>
    <w:rsid w:val="5CC388B6"/>
    <w:rsid w:val="5CD7A6FC"/>
    <w:rsid w:val="5D687B98"/>
    <w:rsid w:val="5D9B339E"/>
    <w:rsid w:val="5DDDE088"/>
    <w:rsid w:val="5ED359AB"/>
    <w:rsid w:val="5EE84FDD"/>
    <w:rsid w:val="5F515BE1"/>
    <w:rsid w:val="600DE24E"/>
    <w:rsid w:val="604451D8"/>
    <w:rsid w:val="60706312"/>
    <w:rsid w:val="608C1E97"/>
    <w:rsid w:val="608D0193"/>
    <w:rsid w:val="6095A553"/>
    <w:rsid w:val="609C40F9"/>
    <w:rsid w:val="61139695"/>
    <w:rsid w:val="6115AE11"/>
    <w:rsid w:val="614257F6"/>
    <w:rsid w:val="61B19820"/>
    <w:rsid w:val="61B8309F"/>
    <w:rsid w:val="61C8D762"/>
    <w:rsid w:val="620543D9"/>
    <w:rsid w:val="624B12BD"/>
    <w:rsid w:val="626D88EA"/>
    <w:rsid w:val="627A33FE"/>
    <w:rsid w:val="634969B4"/>
    <w:rsid w:val="6359BC1F"/>
    <w:rsid w:val="637847E4"/>
    <w:rsid w:val="637C4E96"/>
    <w:rsid w:val="63A68D1D"/>
    <w:rsid w:val="63F3EB7B"/>
    <w:rsid w:val="63F7C2EC"/>
    <w:rsid w:val="64020CC8"/>
    <w:rsid w:val="640F9D35"/>
    <w:rsid w:val="64583B6F"/>
    <w:rsid w:val="648F1D02"/>
    <w:rsid w:val="64B835F6"/>
    <w:rsid w:val="64F104CC"/>
    <w:rsid w:val="653260A1"/>
    <w:rsid w:val="65653A23"/>
    <w:rsid w:val="6568D7E7"/>
    <w:rsid w:val="656FECBD"/>
    <w:rsid w:val="6579C11B"/>
    <w:rsid w:val="6670A483"/>
    <w:rsid w:val="668D5284"/>
    <w:rsid w:val="66D5040A"/>
    <w:rsid w:val="67072D24"/>
    <w:rsid w:val="6780136F"/>
    <w:rsid w:val="67C71CA3"/>
    <w:rsid w:val="67E6160E"/>
    <w:rsid w:val="682A22A5"/>
    <w:rsid w:val="6845A5EE"/>
    <w:rsid w:val="6885BB5C"/>
    <w:rsid w:val="689621B1"/>
    <w:rsid w:val="68B8CF2D"/>
    <w:rsid w:val="6928C705"/>
    <w:rsid w:val="692EE9B5"/>
    <w:rsid w:val="69453528"/>
    <w:rsid w:val="69582FD7"/>
    <w:rsid w:val="69850E32"/>
    <w:rsid w:val="698866DB"/>
    <w:rsid w:val="69E6FF47"/>
    <w:rsid w:val="69EAD865"/>
    <w:rsid w:val="69F5E5CA"/>
    <w:rsid w:val="6A0CEA9E"/>
    <w:rsid w:val="6A178BAB"/>
    <w:rsid w:val="6A186E38"/>
    <w:rsid w:val="6A9240E3"/>
    <w:rsid w:val="6A93325C"/>
    <w:rsid w:val="6AC66DDB"/>
    <w:rsid w:val="6AD3C174"/>
    <w:rsid w:val="6B01788F"/>
    <w:rsid w:val="6B73D89F"/>
    <w:rsid w:val="6B74A9EA"/>
    <w:rsid w:val="6B7C7E23"/>
    <w:rsid w:val="6BABF61E"/>
    <w:rsid w:val="6BB0E9F2"/>
    <w:rsid w:val="6BC4D4C8"/>
    <w:rsid w:val="6BD3B242"/>
    <w:rsid w:val="6C4DA626"/>
    <w:rsid w:val="6CC5413F"/>
    <w:rsid w:val="6E420B99"/>
    <w:rsid w:val="6E61C90E"/>
    <w:rsid w:val="6E768D58"/>
    <w:rsid w:val="6EE4EE5B"/>
    <w:rsid w:val="6F182D17"/>
    <w:rsid w:val="6F34A246"/>
    <w:rsid w:val="6F715BE4"/>
    <w:rsid w:val="70168C50"/>
    <w:rsid w:val="707018DC"/>
    <w:rsid w:val="70881E9C"/>
    <w:rsid w:val="70F4AD39"/>
    <w:rsid w:val="71664213"/>
    <w:rsid w:val="716807A4"/>
    <w:rsid w:val="717B2272"/>
    <w:rsid w:val="718EB6E1"/>
    <w:rsid w:val="71ADC5EA"/>
    <w:rsid w:val="729BCDF7"/>
    <w:rsid w:val="72BA0A9D"/>
    <w:rsid w:val="72C26F33"/>
    <w:rsid w:val="732F255F"/>
    <w:rsid w:val="735E35E9"/>
    <w:rsid w:val="7371A074"/>
    <w:rsid w:val="7392F8D2"/>
    <w:rsid w:val="73D118AF"/>
    <w:rsid w:val="747AC524"/>
    <w:rsid w:val="74A2DAA6"/>
    <w:rsid w:val="74D0C01B"/>
    <w:rsid w:val="75243F38"/>
    <w:rsid w:val="75E05651"/>
    <w:rsid w:val="7637D864"/>
    <w:rsid w:val="7689FB9D"/>
    <w:rsid w:val="7694C98C"/>
    <w:rsid w:val="76F37ED4"/>
    <w:rsid w:val="770834B8"/>
    <w:rsid w:val="7767BD3F"/>
    <w:rsid w:val="77E79610"/>
    <w:rsid w:val="78053D05"/>
    <w:rsid w:val="78277B50"/>
    <w:rsid w:val="783F8D8C"/>
    <w:rsid w:val="78B01D02"/>
    <w:rsid w:val="78E5896C"/>
    <w:rsid w:val="78E5896C"/>
    <w:rsid w:val="791974BD"/>
    <w:rsid w:val="795CD2F3"/>
    <w:rsid w:val="7987FD45"/>
    <w:rsid w:val="79E7071A"/>
    <w:rsid w:val="7A0FD845"/>
    <w:rsid w:val="7A5A4396"/>
    <w:rsid w:val="7AA0C942"/>
    <w:rsid w:val="7B2EB9D2"/>
    <w:rsid w:val="7B65EBBC"/>
    <w:rsid w:val="7B78DCCC"/>
    <w:rsid w:val="7BF1F647"/>
    <w:rsid w:val="7C28B84D"/>
    <w:rsid w:val="7C9C5838"/>
    <w:rsid w:val="7DD40A74"/>
    <w:rsid w:val="7E2409A9"/>
    <w:rsid w:val="7E797F21"/>
    <w:rsid w:val="7E95C434"/>
    <w:rsid w:val="7EC155A9"/>
    <w:rsid w:val="7EC9ABDB"/>
    <w:rsid w:val="7EE53A76"/>
    <w:rsid w:val="7F006505"/>
    <w:rsid w:val="7F09B02F"/>
    <w:rsid w:val="7F62745D"/>
    <w:rsid w:val="7F7E48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575CE3"/>
  <w15:chartTrackingRefBased/>
  <w15:docId w15:val="{A9CD2CD9-3FD6-4EC4-8B69-5962D74D26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204761E7"/>
    <w:rPr>
      <w:color w:val="467886"/>
      <w:u w:val="single"/>
    </w:rPr>
  </w:style>
  <w:style w:type="paragraph" w:styleId="TOC1">
    <w:name w:val="toc 1"/>
    <w:basedOn w:val="Normal"/>
    <w:next w:val="Normal"/>
    <w:uiPriority w:val="39"/>
    <w:unhideWhenUsed/>
    <w:rsid w:val="54ADEF73"/>
    <w:pPr>
      <w:spacing w:after="100"/>
    </w:pPr>
  </w:style>
  <w:style w:type="paragraph" w:styleId="Header">
    <w:name w:val="header"/>
    <w:basedOn w:val="Normal"/>
    <w:uiPriority w:val="99"/>
    <w:unhideWhenUsed/>
    <w:rsid w:val="54ADEF73"/>
    <w:pPr>
      <w:tabs>
        <w:tab w:val="center" w:pos="4680"/>
        <w:tab w:val="right" w:pos="9360"/>
      </w:tabs>
      <w:spacing w:after="0" w:line="240" w:lineRule="auto"/>
    </w:pPr>
  </w:style>
  <w:style w:type="paragraph" w:styleId="Footer">
    <w:name w:val="footer"/>
    <w:basedOn w:val="Normal"/>
    <w:uiPriority w:val="99"/>
    <w:unhideWhenUsed/>
    <w:rsid w:val="54ADEF7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OC2">
    <w:name w:val="toc 2"/>
    <w:basedOn w:val="Normal"/>
    <w:next w:val="Normal"/>
    <w:uiPriority w:val="39"/>
    <w:unhideWhenUsed/>
    <w:rsid w:val="26B31213"/>
    <w:pPr>
      <w:spacing w:after="100"/>
      <w:ind w:left="220"/>
    </w:pPr>
  </w:style>
  <w:style w:type="paragraph" w:styleId="ListParagraph">
    <w:uiPriority w:val="34"/>
    <w:name w:val="List Paragraph"/>
    <w:basedOn w:val="Normal"/>
    <w:qFormat/>
    <w:rsid w:val="3937C69C"/>
    <w:pPr>
      <w:spacing/>
      <w:ind w:left="720"/>
      <w:contextualSpacing/>
    </w:pPr>
  </w:style>
  <w:style w:type="paragraph" w:styleId="TOC3">
    <w:uiPriority w:val="39"/>
    <w:name w:val="toc 3"/>
    <w:basedOn w:val="Normal"/>
    <w:next w:val="Normal"/>
    <w:unhideWhenUsed/>
    <w:rsid w:val="3937C69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image" Target="media/image1.jpg" Id="rId7" /><Relationship Type="http://schemas.openxmlformats.org/officeDocument/2006/relationships/hyperlink" Target="https://doi.org/10.1002/csr.2803" TargetMode="External" Id="rId12" /><Relationship Type="http://schemas.openxmlformats.org/officeDocument/2006/relationships/hyperlink" Target="https://doi.org/10.1051/e3sconf/202451705005" TargetMode="External" Id="rId17" /><Relationship Type="http://schemas.openxmlformats.org/officeDocument/2006/relationships/styles" Target="styles.xml" Id="rId2" /><Relationship Type="http://schemas.openxmlformats.org/officeDocument/2006/relationships/footer" Target="footer1.xml" Id="rId20"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yperlink" Target="https://doi.org/10.1111/glob.12353" TargetMode="External" Id="rId15" /><Relationship Type="http://schemas.openxmlformats.org/officeDocument/2006/relationships/image" Target="media/image4.png" Id="rId10" /><Relationship Type="http://schemas.openxmlformats.org/officeDocument/2006/relationships/header" Target="header1.xml" Id="rId19"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doi.org/10.1051/shsconf/202418104019" TargetMode="External" Id="rId14" /><Relationship Type="http://schemas.openxmlformats.org/officeDocument/2006/relationships/theme" Target="theme/theme1.xml" Id="rId22" /><Relationship Type="http://schemas.openxmlformats.org/officeDocument/2006/relationships/image" Target="/media/image4.png" Id="rId1488301244" /><Relationship Type="http://schemas.openxmlformats.org/officeDocument/2006/relationships/hyperlink" Target="https://doi.org/10.1002/joe.21805" TargetMode="External" Id="Re9fcbb2174f445a8" /><Relationship Type="http://schemas.openxmlformats.org/officeDocument/2006/relationships/hyperlink" Target="https://doi.org/10.1142/S2737566822500074" TargetMode="External" Id="R569d4e879914413f" /><Relationship Type="http://schemas.openxmlformats.org/officeDocument/2006/relationships/hyperlink" Target="https://doi.org/10.1080/09593969.2011.578804" TargetMode="External" Id="R5a1e040f86114656" /><Relationship Type="http://schemas.openxmlformats.org/officeDocument/2006/relationships/hyperlink" Target="https://doi.org/10.1007/s10490-007-9074-z" TargetMode="External" Id="Ra442853213bf4a1f" /><Relationship Type="http://schemas.openxmlformats.org/officeDocument/2006/relationships/hyperlink" Target="https://doi.org/10.1007/s40821-020-00168-4" TargetMode="External" Id="Ra68d5009ab384153" /><Relationship Type="http://schemas.openxmlformats.org/officeDocument/2006/relationships/hyperlink" Target="https://doi.org/10.1080/20932685.2011.10593077" TargetMode="External" Id="Rf70394fc74514bf1" /><Relationship Type="http://schemas.openxmlformats.org/officeDocument/2006/relationships/hyperlink" Target="https://www.investopedia.com/terms/m/multinationalcorporation.asp" TargetMode="External" Id="R9983e159b004436d" /><Relationship Type="http://schemas.openxmlformats.org/officeDocument/2006/relationships/hyperlink" Target="https://doi.org/10.1016/j.compedu.2019.01.012" TargetMode="External" Id="R8186809edf7c471f" /><Relationship Type="http://schemas.openxmlformats.org/officeDocument/2006/relationships/hyperlink" Target="https://doi.org/10.58940/2374-6793.1065" TargetMode="External" Id="R115cbefd9a074fe4" /><Relationship Type="http://schemas.openxmlformats.org/officeDocument/2006/relationships/hyperlink" Target="https://doi.org/10.1051/shsconf/202418503018" TargetMode="External" Id="Rac1d1a9d884c417a" /><Relationship Type="http://schemas.openxmlformats.org/officeDocument/2006/relationships/hyperlink" Target="https://doi.org/10.1080/23311975.2021.1944012" TargetMode="External" Id="Radc04a5628e34991" /><Relationship Type="http://schemas.openxmlformats.org/officeDocument/2006/relationships/hyperlink" Target="https://www.tutorialspoint.com/difference-between-multinational-and-transnational" TargetMode="External" Id="Ra2281847adc2483a" /><Relationship Type="http://schemas.openxmlformats.org/officeDocument/2006/relationships/hyperlink" Target="https://doi.org/10.1016/j.ijhm.2025.104454" TargetMode="External" Id="Ra213ea0eb8b74811" /><Relationship Type="http://schemas.openxmlformats.org/officeDocument/2006/relationships/hyperlink" Target="https://doi.org/10.1108/13555851111165011" TargetMode="External" Id="R01efb6a432b24a0d" /><Relationship Type="http://schemas.openxmlformats.org/officeDocument/2006/relationships/hyperlink" Target="https://doi.org/10.1088/1742-6596/1533/2/022056" TargetMode="External" Id="R754960083ab54ea3" /><Relationship Type="http://schemas.openxmlformats.org/officeDocument/2006/relationships/hyperlink" Target="https://doi.org/10.1016/j.econmod.2025.107315" TargetMode="External" Id="R14a3f9eeccfd4b7f" /><Relationship Type="http://schemas.openxmlformats.org/officeDocument/2006/relationships/hyperlink" Target="https://doi.org/10.17507/tpls.0910.09" TargetMode="External" Id="R9d7db4684f7248dc" /><Relationship Type="http://schemas.openxmlformats.org/officeDocument/2006/relationships/hyperlink" Target="https://doi.org/10.1177/1748048507086908" TargetMode="External" Id="R8a1d4b5dffdb45b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Rebecca Travers (2128316)</dc:creator>
  <keywords/>
  <dc:description/>
  <lastModifiedBy>Rebecca Travers (2128316)</lastModifiedBy>
  <revision>26</revision>
  <dcterms:created xsi:type="dcterms:W3CDTF">2025-09-15T18:39:00.0000000Z</dcterms:created>
  <dcterms:modified xsi:type="dcterms:W3CDTF">2025-11-28T13:47:29.9575276Z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09415db9-a3dd-45d1-bdad-b3612b9bc007</vt:lpwstr>
  </property>
</Properties>
</file>