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3909E7F"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CB2612">
        <w:rPr>
          <w:rFonts w:asciiTheme="minorBidi" w:hAnsiTheme="minorBidi"/>
          <w:sz w:val="28"/>
          <w:szCs w:val="28"/>
        </w:rPr>
        <w:t>Ismihan</w:t>
      </w:r>
      <w:proofErr w:type="spellEnd"/>
      <w:r w:rsidR="00CB2612">
        <w:rPr>
          <w:rFonts w:asciiTheme="minorBidi" w:hAnsiTheme="minorBidi"/>
          <w:sz w:val="28"/>
          <w:szCs w:val="28"/>
        </w:rPr>
        <w:t xml:space="preserve"> BOZYIGIT</w:t>
      </w:r>
    </w:p>
    <w:p w14:paraId="485B6F49" w14:textId="50DEA6F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B2612">
        <w:rPr>
          <w:rFonts w:asciiTheme="minorBidi" w:hAnsiTheme="minorBidi"/>
          <w:sz w:val="28"/>
          <w:szCs w:val="28"/>
        </w:rPr>
        <w:t>2513236</w:t>
      </w:r>
    </w:p>
    <w:p w14:paraId="3C1E7A20" w14:textId="7D28B43A" w:rsidR="00ED5964" w:rsidRDefault="00ED5964" w:rsidP="00ED5964">
      <w:pPr>
        <w:jc w:val="both"/>
        <w:rPr>
          <w:rFonts w:asciiTheme="minorBidi" w:hAnsiTheme="minorBidi"/>
          <w:sz w:val="28"/>
          <w:szCs w:val="28"/>
        </w:rPr>
      </w:pPr>
      <w:r>
        <w:rPr>
          <w:rFonts w:asciiTheme="minorBidi" w:hAnsiTheme="minorBidi"/>
          <w:sz w:val="28"/>
          <w:szCs w:val="28"/>
        </w:rPr>
        <w:t>Module Code:</w:t>
      </w:r>
      <w:r w:rsidR="00F12A95">
        <w:rPr>
          <w:rFonts w:asciiTheme="minorBidi" w:hAnsiTheme="minorBidi"/>
          <w:sz w:val="28"/>
          <w:szCs w:val="28"/>
        </w:rPr>
        <w:t xml:space="preserve"> LCHS4001</w:t>
      </w:r>
    </w:p>
    <w:p w14:paraId="4EEB2DA3" w14:textId="744C004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12A95">
        <w:rPr>
          <w:rFonts w:asciiTheme="minorBidi" w:hAnsiTheme="minorBidi"/>
          <w:sz w:val="28"/>
          <w:szCs w:val="28"/>
        </w:rPr>
        <w:t>Academic and Employability Skills</w:t>
      </w:r>
    </w:p>
    <w:p w14:paraId="112342CB" w14:textId="1BC3CB2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B2612">
        <w:rPr>
          <w:rFonts w:asciiTheme="minorBidi" w:hAnsiTheme="minorBidi"/>
          <w:sz w:val="28"/>
          <w:szCs w:val="28"/>
        </w:rPr>
        <w:t>Farah WIITA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6B4D1196"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CB2612">
              <w:rPr>
                <w:rStyle w:val="Hyperlink"/>
              </w:rPr>
              <w:t>Adult Nursing</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BADC76B"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CB2612">
              <w:rPr>
                <w:rStyle w:val="Hyperlink"/>
              </w:rPr>
              <w:t>Adult Nursing</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25E4A693" w:rsidR="00824CB1" w:rsidRDefault="0CF501EC" w:rsidP="0CF501EC">
          <w:pPr>
            <w:pStyle w:val="TOC2"/>
            <w:tabs>
              <w:tab w:val="right" w:leader="dot" w:pos="9015"/>
            </w:tabs>
            <w:rPr>
              <w:rStyle w:val="Hyperlink"/>
              <w:noProof/>
              <w:lang w:eastAsia="en-GB"/>
            </w:rPr>
          </w:pPr>
          <w:hyperlink w:anchor="_Toc1426973069">
            <w:r w:rsidRPr="0CF501EC">
              <w:rPr>
                <w:rStyle w:val="Hyperlink"/>
              </w:rPr>
              <w:t>2.2</w:t>
            </w:r>
            <w:r w:rsidR="00CB2612">
              <w:rPr>
                <w:rStyle w:val="Hyperlink"/>
              </w:rPr>
              <w:t xml:space="preserve"> </w:t>
            </w:r>
            <w:r w:rsidRPr="0CF501EC">
              <w:rPr>
                <w:rStyle w:val="Hyperlink"/>
              </w:rPr>
              <w:t xml:space="preserve">Explanation of Most Significant Skills Needed for </w:t>
            </w:r>
            <w:r w:rsidR="00CB2612">
              <w:rPr>
                <w:rStyle w:val="Hyperlink"/>
              </w:rPr>
              <w:t xml:space="preserve">Adult Nursing </w:t>
            </w:r>
            <w:r w:rsidRPr="0CF501EC">
              <w:rPr>
                <w:rStyle w:val="Hyperlink"/>
              </w:rPr>
              <w:t>in Health and Social Care</w:t>
            </w:r>
            <w:r w:rsidR="00824CB1">
              <w:tab/>
            </w:r>
            <w:r w:rsidR="00CB2612">
              <w:t>3</w:t>
            </w:r>
          </w:hyperlink>
        </w:p>
        <w:p w14:paraId="0A8B3CCA" w14:textId="1B4E3F8D"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CB2612">
              <w:rPr>
                <w:rStyle w:val="Hyperlink"/>
              </w:rPr>
              <w:t>Adult Nursing</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CF551AD"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CB2612">
              <w:rPr>
                <w:rStyle w:val="Hyperlink"/>
              </w:rPr>
              <w:t>Adult Nursing</w:t>
            </w:r>
            <w:r w:rsidR="00824CB1">
              <w:tab/>
            </w:r>
            <w:r w:rsidR="00CB2612">
              <w:t>4</w:t>
            </w:r>
          </w:hyperlink>
        </w:p>
        <w:p w14:paraId="318879F9" w14:textId="4597B0AC"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CB2612">
              <w:t>5</w:t>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CC61BC1" w14:textId="2168B4A2" w:rsidR="00F36ADC" w:rsidRDefault="00985C86" w:rsidP="0156E134">
      <w:pPr>
        <w:spacing w:after="0" w:line="240" w:lineRule="auto"/>
        <w:rPr>
          <w:sz w:val="22"/>
        </w:rPr>
      </w:pPr>
      <w:r w:rsidRPr="00985C86">
        <w:rPr>
          <w:sz w:val="22"/>
        </w:rPr>
        <w:t xml:space="preserve">Effective health and social care </w:t>
      </w:r>
      <w:proofErr w:type="gramStart"/>
      <w:r w:rsidRPr="00985C86">
        <w:rPr>
          <w:sz w:val="22"/>
        </w:rPr>
        <w:t>depends</w:t>
      </w:r>
      <w:proofErr w:type="gramEnd"/>
      <w:r w:rsidRPr="00985C86">
        <w:rPr>
          <w:sz w:val="22"/>
        </w:rPr>
        <w:t xml:space="preserve"> on a skilled workforce where each role is vital. Adult nursing is central to this system, with the adult nurse delivering essential care to adults, particularly in later life or during illness. This report analyses this pivotal role. It aims to define the adult nurse's core duties, examine three key skills</w:t>
      </w:r>
      <w:r>
        <w:rPr>
          <w:sz w:val="22"/>
        </w:rPr>
        <w:t xml:space="preserve"> </w:t>
      </w:r>
      <w:r w:rsidRPr="00985C86">
        <w:rPr>
          <w:sz w:val="22"/>
        </w:rPr>
        <w:t>communication, clinical judgement, and teamwork</w:t>
      </w:r>
      <w:r>
        <w:rPr>
          <w:sz w:val="22"/>
        </w:rPr>
        <w:t xml:space="preserve"> </w:t>
      </w:r>
      <w:r w:rsidRPr="00985C86">
        <w:rPr>
          <w:sz w:val="22"/>
        </w:rPr>
        <w:t>and propose evidence-based development strategies. The structure will first describe the role, then analyse the essential skills, followed by improvement methods, and conclude with a summary. This approach ensures a clear understanding of the competencies required for high-quality adult nursing practice.</w:t>
      </w:r>
    </w:p>
    <w:p w14:paraId="1FC2C17E" w14:textId="77777777" w:rsidR="00985C86" w:rsidRPr="00242974" w:rsidRDefault="00985C86" w:rsidP="0156E134">
      <w:pPr>
        <w:spacing w:after="0" w:line="240" w:lineRule="auto"/>
        <w:rPr>
          <w:sz w:val="22"/>
        </w:rPr>
      </w:pPr>
    </w:p>
    <w:p w14:paraId="40E4C06E" w14:textId="68B1FD8D" w:rsidR="00985C86" w:rsidRPr="00985C86" w:rsidRDefault="3C659699" w:rsidP="00985C86">
      <w:pPr>
        <w:pStyle w:val="Heading2"/>
        <w:rPr>
          <w:color w:val="4472C4" w:themeColor="accent1"/>
        </w:rPr>
      </w:pPr>
      <w:bookmarkStart w:id="1" w:name="_Toc1915621813"/>
      <w:r w:rsidRPr="0CF501EC">
        <w:rPr>
          <w:color w:val="4471C4"/>
        </w:rPr>
        <w:t xml:space="preserve">2 </w:t>
      </w:r>
      <w:r w:rsidR="00985C86">
        <w:rPr>
          <w:color w:val="4471C4"/>
        </w:rPr>
        <w:t xml:space="preserve">Adult Nursing </w:t>
      </w:r>
      <w:r w:rsidRPr="0CF501EC">
        <w:rPr>
          <w:color w:val="4471C4"/>
        </w:rPr>
        <w:t>in the Health and Social Care Field</w:t>
      </w:r>
      <w:bookmarkEnd w:id="1"/>
    </w:p>
    <w:p w14:paraId="26E0D1A5" w14:textId="7C1E9CB5" w:rsidR="0156E134" w:rsidRPr="00985C86" w:rsidRDefault="5CF7C3DB" w:rsidP="00985C86">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CB2612">
        <w:rPr>
          <w:color w:val="4471C4"/>
        </w:rPr>
        <w:t>Adult Nursing</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5E39C11A" w14:textId="62B30EA5" w:rsidR="00985C86" w:rsidRDefault="00985C86" w:rsidP="00985C86">
      <w:pPr>
        <w:spacing w:after="0" w:line="240" w:lineRule="auto"/>
        <w:jc w:val="both"/>
        <w:rPr>
          <w:sz w:val="21"/>
          <w:szCs w:val="21"/>
        </w:rPr>
      </w:pPr>
      <w:r w:rsidRPr="00985C86">
        <w:rPr>
          <w:sz w:val="21"/>
          <w:szCs w:val="21"/>
        </w:rPr>
        <w:t>Adult nursing is a critically important and regulated profession within modern healthcare systems, acting as the central coordinator and provider of holistic, person-centred care. The role's profound significance lies in its sustained and direct impact on patient journeys, providing essential physical, emotional, and educational support through acute illness episodes, long-term condition management, and the recovery process. This comprehensive support is fundamental to upholding patient dignity, autonomy, and independence (Peate, 2021). Key duties, as mandated by the Nursing and Midwifery Council (2018), encompass conducting comprehensive patient assessments, collaboratively planning and implementing individualised care interventions, safely administering medications, and maintaining meticulous records. Furthermore, nurses serve as patient advocates, health educators for patients and families, and key collaborators within multidisciplinary teams. Executing these responsibilities effectively requires a robust skill set, including advanced communication to build trust and convey information, sharp clinical judgement for decision-making, technical proficiency for procedures, and considerable resilience. The integration of these duties and skills enables the delivery of safe, effective, ethical, and compassionate care.</w:t>
      </w:r>
    </w:p>
    <w:p w14:paraId="1E3638CF" w14:textId="20A611EB" w:rsidR="0156E134" w:rsidRDefault="0156E134" w:rsidP="0156E134">
      <w:pPr>
        <w:pStyle w:val="ListParagraph"/>
        <w:spacing w:after="0" w:line="240" w:lineRule="auto"/>
        <w:jc w:val="both"/>
        <w:rPr>
          <w:sz w:val="22"/>
        </w:rPr>
      </w:pPr>
    </w:p>
    <w:p w14:paraId="4010C35E" w14:textId="5FAE9F53"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985C86">
        <w:rPr>
          <w:color w:val="4471C4"/>
        </w:rPr>
        <w:t>Adult Nursing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508D34DC" w14:textId="77777777" w:rsidR="00985C86" w:rsidRPr="00985C86" w:rsidRDefault="00985C86" w:rsidP="00985C86">
      <w:pPr>
        <w:spacing w:after="0" w:line="240" w:lineRule="auto"/>
        <w:jc w:val="both"/>
        <w:rPr>
          <w:sz w:val="22"/>
        </w:rPr>
      </w:pPr>
      <w:r w:rsidRPr="00985C86">
        <w:rPr>
          <w:sz w:val="22"/>
        </w:rPr>
        <w:t>Communication Proficiency</w:t>
      </w:r>
    </w:p>
    <w:p w14:paraId="5431C725" w14:textId="77777777" w:rsidR="00985C86" w:rsidRPr="00985C86" w:rsidRDefault="00985C86" w:rsidP="00985C86">
      <w:pPr>
        <w:spacing w:after="0" w:line="240" w:lineRule="auto"/>
        <w:jc w:val="both"/>
        <w:rPr>
          <w:sz w:val="22"/>
        </w:rPr>
      </w:pPr>
      <w:r w:rsidRPr="00985C86">
        <w:rPr>
          <w:sz w:val="22"/>
        </w:rPr>
        <w:t>Communication proficiency represents a foundational nursing skill, essential for establishing therapeutic relationships and ensuring patient safety. This competency involves verbal clarity, active listening, appropriate non-verbal cues, and precise documentation, all vital for accurate assessment, effective health education, and seamless professional collaboration (RCN, 2022). Effective communication adapts to diverse patient needs, such as those with sensory impairments, cognitive decline, or language barriers. For example, a nurse might adapt their communication by using simple terms, visual aids, and a calm, reassuring manner when explaining a new diagnosis of diabetes to an anxious, elderly patient, thereby reducing fear and improving understanding and adherence to treatment. Consequently, expertise in communication directly influences care quality, patient satisfaction, and clinical outcomes, forming the bedrock of trust upon which all other care activities depend.</w:t>
      </w:r>
    </w:p>
    <w:p w14:paraId="14B1AD83" w14:textId="77777777" w:rsidR="00985C86" w:rsidRPr="00985C86" w:rsidRDefault="00985C86" w:rsidP="00985C86">
      <w:pPr>
        <w:spacing w:after="0" w:line="240" w:lineRule="auto"/>
        <w:jc w:val="both"/>
        <w:rPr>
          <w:sz w:val="22"/>
        </w:rPr>
      </w:pPr>
    </w:p>
    <w:p w14:paraId="7F5A309C" w14:textId="77777777" w:rsidR="00985C86" w:rsidRPr="00985C86" w:rsidRDefault="00985C86" w:rsidP="00985C86">
      <w:pPr>
        <w:spacing w:after="0" w:line="240" w:lineRule="auto"/>
        <w:jc w:val="both"/>
        <w:rPr>
          <w:sz w:val="22"/>
        </w:rPr>
      </w:pPr>
      <w:r w:rsidRPr="00985C86">
        <w:rPr>
          <w:sz w:val="22"/>
        </w:rPr>
        <w:t>Clinical Judgement and Decision-Making</w:t>
      </w:r>
    </w:p>
    <w:p w14:paraId="4207CF73" w14:textId="77777777" w:rsidR="00985C86" w:rsidRPr="00985C86" w:rsidRDefault="00985C86" w:rsidP="00985C86">
      <w:pPr>
        <w:spacing w:after="0" w:line="240" w:lineRule="auto"/>
        <w:jc w:val="both"/>
        <w:rPr>
          <w:sz w:val="22"/>
        </w:rPr>
      </w:pPr>
      <w:r w:rsidRPr="00985C86">
        <w:rPr>
          <w:sz w:val="22"/>
        </w:rPr>
        <w:t xml:space="preserve">The capacity for sound clinical judgement is paramount, enabling nurses to interpret patient data, identify risks, and initiate timely interventions. This skill involves applying critical thinking to observations, patient history, and evidence-based guidelines, such as those from the </w:t>
      </w:r>
      <w:r w:rsidRPr="00985C86">
        <w:rPr>
          <w:sz w:val="22"/>
        </w:rPr>
        <w:lastRenderedPageBreak/>
        <w:t>National Institute for Health and Care Excellence (NICE), to formulate, implement, and adjust dynamic care plans. It requires synthesising information from multiple sources to distinguish between normal variations and signs of potential deterioration. A practical application is a nurse noticing subtle but concerning changes in a post-operative patient's condition—such as increased pain scores, slight confusion, or a marginal drop in blood pressure—which prompts a systematic further assessment and early escalation to the medical team to prevent serious complications like sepsis or haemorrhage. This analytical, proactive approach is crucial for safeguarding patient wellbeing and exemplifies the move from task-based care to knowledgeable, autonomous practice.</w:t>
      </w:r>
    </w:p>
    <w:p w14:paraId="40AE5581" w14:textId="77777777" w:rsidR="00985C86" w:rsidRPr="00985C86" w:rsidRDefault="00985C86" w:rsidP="00985C86">
      <w:pPr>
        <w:spacing w:after="0" w:line="240" w:lineRule="auto"/>
        <w:jc w:val="both"/>
        <w:rPr>
          <w:sz w:val="22"/>
        </w:rPr>
      </w:pPr>
    </w:p>
    <w:p w14:paraId="7B1310D3" w14:textId="77777777" w:rsidR="00985C86" w:rsidRPr="00985C86" w:rsidRDefault="00985C86" w:rsidP="00985C86">
      <w:pPr>
        <w:spacing w:after="0" w:line="240" w:lineRule="auto"/>
        <w:jc w:val="both"/>
        <w:rPr>
          <w:sz w:val="22"/>
        </w:rPr>
      </w:pPr>
      <w:r w:rsidRPr="00985C86">
        <w:rPr>
          <w:sz w:val="22"/>
        </w:rPr>
        <w:t>Interprofessional Teamwork and Collaboration</w:t>
      </w:r>
    </w:p>
    <w:p w14:paraId="25795C20" w14:textId="77777777" w:rsidR="00985C86" w:rsidRPr="00985C86" w:rsidRDefault="00985C86" w:rsidP="00985C86">
      <w:pPr>
        <w:spacing w:after="0" w:line="240" w:lineRule="auto"/>
        <w:jc w:val="both"/>
        <w:rPr>
          <w:sz w:val="22"/>
        </w:rPr>
      </w:pPr>
      <w:r w:rsidRPr="00985C86">
        <w:rPr>
          <w:sz w:val="22"/>
        </w:rPr>
        <w:t>Effective interprofessional teamwork is indispensable in modern healthcare, ensuring coordinated and comprehensive care delivery. This skill requires clear communication, mutual respect, an understanding of diverse professional roles and contributions, and a shared commitment to patient-centred goals, as advocated by the World Health Organization (2010) framework for collaborative practice. Successful teamwork maximises the strengths of each discipline while minimising gaps in care. In practice, this is evident during structured multidisciplinary team (MDT) meetings where a nurse’s insights into a patient’s social circumstances, family dynamics, and daily functional capabilities directly inform a physiotherapist's rehabilitation plan and a social worker's complex discharge arrangements. Strong collaboration minimises care fragmentation, enhances operational efficiency, improves patient safety, and reduces the risk of errors that can occur during transitions of care.</w:t>
      </w:r>
    </w:p>
    <w:p w14:paraId="3BCFF9A3" w14:textId="77777777" w:rsidR="00985C86" w:rsidRPr="00985C86" w:rsidRDefault="00985C86" w:rsidP="00985C86">
      <w:pPr>
        <w:spacing w:after="0" w:line="240" w:lineRule="auto"/>
        <w:jc w:val="both"/>
        <w:rPr>
          <w:sz w:val="22"/>
        </w:rPr>
      </w:pPr>
    </w:p>
    <w:p w14:paraId="34A8BD07" w14:textId="77777777" w:rsidR="00985C86" w:rsidRPr="00985C86" w:rsidRDefault="00985C86" w:rsidP="00985C86">
      <w:pPr>
        <w:spacing w:after="0" w:line="240" w:lineRule="auto"/>
        <w:jc w:val="both"/>
        <w:rPr>
          <w:sz w:val="22"/>
        </w:rPr>
      </w:pPr>
      <w:r w:rsidRPr="00985C86">
        <w:rPr>
          <w:sz w:val="22"/>
        </w:rPr>
        <w:t>Consequences of Skill Deficiencies</w:t>
      </w:r>
    </w:p>
    <w:p w14:paraId="7338813D" w14:textId="48689514" w:rsidR="00C85A7C" w:rsidRPr="00985C86" w:rsidRDefault="00985C86" w:rsidP="00985C86">
      <w:pPr>
        <w:spacing w:after="0" w:line="240" w:lineRule="auto"/>
        <w:jc w:val="both"/>
        <w:rPr>
          <w:sz w:val="22"/>
        </w:rPr>
      </w:pPr>
      <w:r w:rsidRPr="00985C86">
        <w:rPr>
          <w:sz w:val="22"/>
        </w:rPr>
        <w:t>A lack of competency in these key areas can lead to significant negative consequences for individuals and the healthcare system. Poor communication is a well-documented root cause of medication errors, misdiagnosis, and preventable patient distress and anxiety. Inadequate clinical judgement can result in missed signs of patient deterioration, known as 'failure to rescue', with potentially fatal outcomes. Weak teamwork leads to disjointed care, operational inefficiencies, staff conflict, and low morale. For instance, if a nurse fails to clearly document and verbally hand over a patient's new allergy information during a shift change, it could directly lead to a serious adverse drug event. Therefore, the ongoing development and assessment of these skills is not merely a continuing professional development (CPD) target but an ethical and professional imperative to maintain the highest standards of care, ensure patient safety, and uphold public trust in nursing.</w:t>
      </w:r>
    </w:p>
    <w:p w14:paraId="084FD4ED" w14:textId="77777777" w:rsidR="00985C86" w:rsidRDefault="00985C86" w:rsidP="0CF501EC">
      <w:pPr>
        <w:pStyle w:val="Heading2"/>
        <w:rPr>
          <w:color w:val="4471C4"/>
        </w:rPr>
      </w:pPr>
      <w:bookmarkStart w:id="4" w:name="_Toc992114325"/>
    </w:p>
    <w:p w14:paraId="2CAEA1EC" w14:textId="4DDF3DBA" w:rsidR="002370CE" w:rsidRPr="002976D4" w:rsidRDefault="1F09BC6E" w:rsidP="0CF501EC">
      <w:pPr>
        <w:pStyle w:val="Heading2"/>
        <w:rPr>
          <w:color w:val="4472C4" w:themeColor="accent1"/>
        </w:rPr>
      </w:pPr>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985C86">
        <w:rPr>
          <w:color w:val="4471C4"/>
        </w:rPr>
        <w:t>Adult Nursing</w:t>
      </w:r>
    </w:p>
    <w:p w14:paraId="2914FC73" w14:textId="6675BCF7" w:rsidR="6F3208D0" w:rsidRPr="00985C86" w:rsidRDefault="0C5D0C5C" w:rsidP="00985C86">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985C86">
        <w:rPr>
          <w:color w:val="4471C4"/>
        </w:rPr>
        <w:t>Adult Nursing</w:t>
      </w:r>
    </w:p>
    <w:p w14:paraId="2CF42F73" w14:textId="77777777" w:rsidR="00985C86" w:rsidRPr="00985C86" w:rsidRDefault="6F3208D0" w:rsidP="00985C86">
      <w:pPr>
        <w:spacing w:after="0"/>
        <w:rPr>
          <w:sz w:val="21"/>
          <w:szCs w:val="21"/>
        </w:rPr>
      </w:pPr>
      <w:r w:rsidRPr="0156E134">
        <w:rPr>
          <w:sz w:val="21"/>
          <w:szCs w:val="21"/>
        </w:rPr>
        <w:t xml:space="preserve"> </w:t>
      </w:r>
      <w:r w:rsidR="00985C86" w:rsidRPr="00985C86">
        <w:rPr>
          <w:sz w:val="21"/>
          <w:szCs w:val="21"/>
        </w:rPr>
        <w:t>Strategy for Skill 1: Structured Reflective Practice for Communication</w:t>
      </w:r>
    </w:p>
    <w:p w14:paraId="2ECD08EC" w14:textId="77777777" w:rsidR="00985C86" w:rsidRPr="00985C86" w:rsidRDefault="00985C86" w:rsidP="00985C86">
      <w:pPr>
        <w:spacing w:after="0"/>
        <w:rPr>
          <w:sz w:val="21"/>
          <w:szCs w:val="21"/>
        </w:rPr>
      </w:pPr>
      <w:r w:rsidRPr="00985C86">
        <w:rPr>
          <w:sz w:val="21"/>
          <w:szCs w:val="21"/>
        </w:rPr>
        <w:t>A powerful strategy to enhance communication skills is engaging in structured reflective practice. This method involves critically analysing interactions to develop deeper empathy and self-awareness, aligning with the reflective practitioner model advocated by Johns (2006). For example, after a difficult conversation with a family member, a nurse might use a reflective model to evaluate their response, consider the relative's perspective, and plan a more supportive approach for the future. This deliberate process moves learning beyond experience, fostering more thoughtful and effective communication in complex situations.</w:t>
      </w:r>
    </w:p>
    <w:p w14:paraId="0ADC1DC7" w14:textId="77777777" w:rsidR="00985C86" w:rsidRPr="00985C86" w:rsidRDefault="00985C86" w:rsidP="00985C86">
      <w:pPr>
        <w:spacing w:after="0"/>
        <w:rPr>
          <w:sz w:val="21"/>
          <w:szCs w:val="21"/>
        </w:rPr>
      </w:pPr>
    </w:p>
    <w:p w14:paraId="396F1F2E" w14:textId="77777777" w:rsidR="00985C86" w:rsidRPr="00985C86" w:rsidRDefault="00985C86" w:rsidP="00985C86">
      <w:pPr>
        <w:spacing w:after="0"/>
        <w:rPr>
          <w:sz w:val="21"/>
          <w:szCs w:val="21"/>
        </w:rPr>
      </w:pPr>
      <w:r w:rsidRPr="00985C86">
        <w:rPr>
          <w:sz w:val="21"/>
          <w:szCs w:val="21"/>
        </w:rPr>
        <w:t>Strategy for Skill 2: Simulation-Based Training for Clinical Judgement</w:t>
      </w:r>
    </w:p>
    <w:p w14:paraId="770BF0EA" w14:textId="77777777" w:rsidR="00985C86" w:rsidRPr="00985C86" w:rsidRDefault="00985C86" w:rsidP="00985C86">
      <w:pPr>
        <w:spacing w:after="0"/>
        <w:rPr>
          <w:sz w:val="21"/>
          <w:szCs w:val="21"/>
        </w:rPr>
      </w:pPr>
      <w:r w:rsidRPr="00985C86">
        <w:rPr>
          <w:sz w:val="21"/>
          <w:szCs w:val="21"/>
        </w:rPr>
        <w:t>Clinical judgement can be significantly strengthened through regular simulation-based training. This experiential learning method places practitioners in controlled, realistic scenarios where they must assess, decide, and act, receiving immediate feedback in a risk-free environment (NICE, 2023). Participating in a simulation managing a patient with sudden chest pain, for instance, requires a nurse to prioritise actions, interpret clinical signs, and communicate effectively with colleagues. Such training builds confidence, sharpens decision-making speed, and improves preparedness for real clinical emergencies, directly enhancing patient safety.</w:t>
      </w:r>
    </w:p>
    <w:p w14:paraId="20262C9B" w14:textId="77777777" w:rsidR="00985C86" w:rsidRPr="00985C86" w:rsidRDefault="00985C86" w:rsidP="00985C86">
      <w:pPr>
        <w:spacing w:after="0"/>
        <w:rPr>
          <w:sz w:val="21"/>
          <w:szCs w:val="21"/>
        </w:rPr>
      </w:pPr>
    </w:p>
    <w:p w14:paraId="738A09DA" w14:textId="77777777" w:rsidR="00985C86" w:rsidRPr="00985C86" w:rsidRDefault="00985C86" w:rsidP="00985C86">
      <w:pPr>
        <w:spacing w:after="0"/>
        <w:rPr>
          <w:sz w:val="21"/>
          <w:szCs w:val="21"/>
        </w:rPr>
      </w:pPr>
      <w:r w:rsidRPr="00985C86">
        <w:rPr>
          <w:sz w:val="21"/>
          <w:szCs w:val="21"/>
        </w:rPr>
        <w:t>Strategy for Skill 3: Interprofessional Education (IPE) for Teamwork</w:t>
      </w:r>
    </w:p>
    <w:p w14:paraId="126A1999" w14:textId="11A8DE58" w:rsidR="6F3208D0" w:rsidRDefault="00985C86" w:rsidP="00985C86">
      <w:pPr>
        <w:spacing w:after="0"/>
        <w:rPr>
          <w:sz w:val="21"/>
          <w:szCs w:val="21"/>
        </w:rPr>
      </w:pPr>
      <w:r w:rsidRPr="00985C86">
        <w:rPr>
          <w:sz w:val="21"/>
          <w:szCs w:val="21"/>
        </w:rPr>
        <w:t>Teamwork competencies are best cultivated through Interprofessional Education (IPE) initiatives. IPE brings together students and professionals from nursing, medicine, and allied health fields to learn collaboratively, breaking down stereotypes and building mutual understanding of roles (WHO, 2010). In an IPE workshop focused on discharge planning, nurses, occupational therapists, and social workers would jointly develop a care plan for a complex case, negotiating responsibilities and resources. This collaborative learning experience fosters a shared identity focused on patient outcomes, which translates into more effective and respectful teamwork in clinical practice.</w:t>
      </w:r>
    </w:p>
    <w:p w14:paraId="03222FA7" w14:textId="77777777" w:rsidR="00985C86" w:rsidRDefault="00985C86" w:rsidP="00985C86">
      <w:pPr>
        <w:spacing w:after="0"/>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5155B0ED" w14:textId="18B8202C" w:rsidR="00D676C3" w:rsidRPr="00985C86" w:rsidRDefault="00985C86" w:rsidP="00985C86">
      <w:pPr>
        <w:spacing w:after="0" w:line="240" w:lineRule="auto"/>
        <w:rPr>
          <w:sz w:val="21"/>
          <w:szCs w:val="21"/>
        </w:rPr>
      </w:pPr>
      <w:r w:rsidRPr="00985C86">
        <w:rPr>
          <w:sz w:val="21"/>
          <w:szCs w:val="21"/>
        </w:rPr>
        <w:t>In summary, this report has demonstrated that the adult nurse plays an indispensable role in health and social care. Effective performance is underpinned by advanced communication, clinical judgement, and interprofessional teamwork. These competencies can be systematically enhanced through dedicated strategies including reflective practice, simulation training, and interprofessional learning. The consistent development of these skills is directly linked to superior patient safety, improved care experiences, and more efficient healthcare delivery. Ultimately, investing in these core areas is fundamental to upholding the highest professional standards and fulfilling the core mandate of nursing.</w:t>
      </w:r>
    </w:p>
    <w:p w14:paraId="21126E44" w14:textId="77777777" w:rsidR="00985C86" w:rsidRDefault="00985C86" w:rsidP="0156E134">
      <w:pPr>
        <w:pStyle w:val="Heading2"/>
        <w:rPr>
          <w:color w:val="4471C4"/>
        </w:rPr>
      </w:pPr>
      <w:bookmarkStart w:id="7" w:name="_Toc1911583216"/>
    </w:p>
    <w:p w14:paraId="6C4B494D" w14:textId="0F754631" w:rsidR="00226D31" w:rsidRDefault="00226D31" w:rsidP="0156E134">
      <w:pPr>
        <w:pStyle w:val="Heading2"/>
        <w:rPr>
          <w:color w:val="4471C4"/>
        </w:rPr>
      </w:pPr>
      <w:r w:rsidRPr="0CF501EC">
        <w:rPr>
          <w:color w:val="4471C4"/>
        </w:rPr>
        <w:t>5 Reference List</w:t>
      </w:r>
      <w:bookmarkEnd w:id="7"/>
    </w:p>
    <w:p w14:paraId="2244B433" w14:textId="77777777" w:rsidR="00CB2612" w:rsidRDefault="00CB2612" w:rsidP="00CB2612">
      <w:r>
        <w:t xml:space="preserve">Cottrell, S. (2019) The Study Skills Handbook. 5th </w:t>
      </w:r>
      <w:proofErr w:type="spellStart"/>
      <w:r>
        <w:t>edn</w:t>
      </w:r>
      <w:proofErr w:type="spellEnd"/>
      <w:r>
        <w:t>. London: Red Globe Press.</w:t>
      </w:r>
    </w:p>
    <w:p w14:paraId="40C1D1A8" w14:textId="77777777" w:rsidR="00CB2612" w:rsidRDefault="00CB2612" w:rsidP="00CB2612">
      <w:r>
        <w:t>Johns, C. (2006) Engaging Reflection in Practice: A Narrative Approach. Oxford: Blackwell Publishing.</w:t>
      </w:r>
    </w:p>
    <w:p w14:paraId="6694FEA8" w14:textId="77777777" w:rsidR="00CB2612" w:rsidRDefault="00CB2612" w:rsidP="00CB2612">
      <w:r>
        <w:t>National Institute for Health and Care Excellence (NICE) (2023) Clinical guideline [NG238]: Acute medical emergencies in adults. Available at: https://www.nice.org.uk/guidance/ng238 (Accessed: 26 October 2023).</w:t>
      </w:r>
    </w:p>
    <w:p w14:paraId="7CFA710F" w14:textId="77777777" w:rsidR="00CB2612" w:rsidRDefault="00CB2612" w:rsidP="00CB2612">
      <w:r>
        <w:t>Nursing and Midwifery Council (NMC) (2018) The Code: Professional standards of practice and behaviour for nurses, midwives and nursing associates. London: NMC.</w:t>
      </w:r>
    </w:p>
    <w:p w14:paraId="2ED03A38" w14:textId="77777777" w:rsidR="00CB2612" w:rsidRDefault="00CB2612" w:rsidP="00CB2612">
      <w:r>
        <w:t xml:space="preserve">Peate, I. (2021) The Nursing Associate’s Handbook. 2nd </w:t>
      </w:r>
      <w:proofErr w:type="spellStart"/>
      <w:r>
        <w:t>edn</w:t>
      </w:r>
      <w:proofErr w:type="spellEnd"/>
      <w:r>
        <w:t>. London: Wiley-Blackwell.</w:t>
      </w:r>
    </w:p>
    <w:p w14:paraId="0556543C" w14:textId="77777777" w:rsidR="00CB2612" w:rsidRDefault="00CB2612" w:rsidP="00CB2612">
      <w:r>
        <w:t>Royal College of Nursing (RCN) (2022) Effective communication in nursing. Available at: https://www.rcn.org.uk/professional-development/publications/pub-009129 (Accessed: 26 October 2023).</w:t>
      </w:r>
    </w:p>
    <w:p w14:paraId="62590372" w14:textId="5BEA25C3" w:rsidR="00CB2612" w:rsidRPr="00CB2612" w:rsidRDefault="00CB2612" w:rsidP="00CB2612">
      <w:r>
        <w:lastRenderedPageBreak/>
        <w:t>World Health Organization (WHO) (2010) Framework for Action on Interprofessional Education and Collaborative Practice. Geneva: WHO.</w:t>
      </w:r>
    </w:p>
    <w:p w14:paraId="371D1E5F" w14:textId="67A20F38" w:rsidR="00985C86" w:rsidRPr="005E44B5" w:rsidRDefault="00985C86" w:rsidP="005E44B5">
      <w:pPr>
        <w:rPr>
          <w:color w:val="FF0000"/>
        </w:rPr>
      </w:pPr>
    </w:p>
    <w:sectPr w:rsidR="00985C86"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4516E9D6"/>
    <w:lvl w:ilvl="0" w:tplc="54BE96D2">
      <w:start w:val="1"/>
      <w:numFmt w:val="bullet"/>
      <w:lvlText w:val=""/>
      <w:lvlJc w:val="left"/>
      <w:pPr>
        <w:ind w:left="720" w:hanging="360"/>
      </w:pPr>
      <w:rPr>
        <w:rFonts w:ascii="Symbol" w:hAnsi="Symbol" w:hint="default"/>
      </w:rPr>
    </w:lvl>
    <w:lvl w:ilvl="1" w:tplc="64A8D76A">
      <w:start w:val="1"/>
      <w:numFmt w:val="bullet"/>
      <w:lvlText w:val="o"/>
      <w:lvlJc w:val="left"/>
      <w:pPr>
        <w:ind w:left="1440" w:hanging="360"/>
      </w:pPr>
      <w:rPr>
        <w:rFonts w:ascii="Courier New" w:hAnsi="Courier New" w:hint="default"/>
      </w:rPr>
    </w:lvl>
    <w:lvl w:ilvl="2" w:tplc="9E80FC20">
      <w:start w:val="1"/>
      <w:numFmt w:val="bullet"/>
      <w:lvlText w:val=""/>
      <w:lvlJc w:val="left"/>
      <w:pPr>
        <w:ind w:left="2160" w:hanging="360"/>
      </w:pPr>
      <w:rPr>
        <w:rFonts w:ascii="Wingdings" w:hAnsi="Wingdings" w:hint="default"/>
      </w:rPr>
    </w:lvl>
    <w:lvl w:ilvl="3" w:tplc="F1E69C78">
      <w:start w:val="1"/>
      <w:numFmt w:val="bullet"/>
      <w:lvlText w:val=""/>
      <w:lvlJc w:val="left"/>
      <w:pPr>
        <w:ind w:left="2880" w:hanging="360"/>
      </w:pPr>
      <w:rPr>
        <w:rFonts w:ascii="Symbol" w:hAnsi="Symbol" w:hint="default"/>
      </w:rPr>
    </w:lvl>
    <w:lvl w:ilvl="4" w:tplc="436E24EC">
      <w:start w:val="1"/>
      <w:numFmt w:val="bullet"/>
      <w:lvlText w:val="o"/>
      <w:lvlJc w:val="left"/>
      <w:pPr>
        <w:ind w:left="3600" w:hanging="360"/>
      </w:pPr>
      <w:rPr>
        <w:rFonts w:ascii="Courier New" w:hAnsi="Courier New" w:hint="default"/>
      </w:rPr>
    </w:lvl>
    <w:lvl w:ilvl="5" w:tplc="FA4E2A3C">
      <w:start w:val="1"/>
      <w:numFmt w:val="bullet"/>
      <w:lvlText w:val=""/>
      <w:lvlJc w:val="left"/>
      <w:pPr>
        <w:ind w:left="4320" w:hanging="360"/>
      </w:pPr>
      <w:rPr>
        <w:rFonts w:ascii="Wingdings" w:hAnsi="Wingdings" w:hint="default"/>
      </w:rPr>
    </w:lvl>
    <w:lvl w:ilvl="6" w:tplc="84F644EE">
      <w:start w:val="1"/>
      <w:numFmt w:val="bullet"/>
      <w:lvlText w:val=""/>
      <w:lvlJc w:val="left"/>
      <w:pPr>
        <w:ind w:left="5040" w:hanging="360"/>
      </w:pPr>
      <w:rPr>
        <w:rFonts w:ascii="Symbol" w:hAnsi="Symbol" w:hint="default"/>
      </w:rPr>
    </w:lvl>
    <w:lvl w:ilvl="7" w:tplc="E222E23E">
      <w:start w:val="1"/>
      <w:numFmt w:val="bullet"/>
      <w:lvlText w:val="o"/>
      <w:lvlJc w:val="left"/>
      <w:pPr>
        <w:ind w:left="5760" w:hanging="360"/>
      </w:pPr>
      <w:rPr>
        <w:rFonts w:ascii="Courier New" w:hAnsi="Courier New" w:hint="default"/>
      </w:rPr>
    </w:lvl>
    <w:lvl w:ilvl="8" w:tplc="1E3C658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29C3ED2"/>
    <w:lvl w:ilvl="0" w:tplc="60B20992">
      <w:start w:val="1"/>
      <w:numFmt w:val="bullet"/>
      <w:lvlText w:val=""/>
      <w:lvlJc w:val="left"/>
      <w:pPr>
        <w:ind w:left="720" w:hanging="360"/>
      </w:pPr>
      <w:rPr>
        <w:rFonts w:ascii="Symbol" w:hAnsi="Symbol" w:hint="default"/>
      </w:rPr>
    </w:lvl>
    <w:lvl w:ilvl="1" w:tplc="8476134A">
      <w:start w:val="1"/>
      <w:numFmt w:val="bullet"/>
      <w:lvlText w:val="o"/>
      <w:lvlJc w:val="left"/>
      <w:pPr>
        <w:ind w:left="1440" w:hanging="360"/>
      </w:pPr>
      <w:rPr>
        <w:rFonts w:ascii="Courier New" w:hAnsi="Courier New" w:hint="default"/>
      </w:rPr>
    </w:lvl>
    <w:lvl w:ilvl="2" w:tplc="726E7484">
      <w:start w:val="1"/>
      <w:numFmt w:val="bullet"/>
      <w:lvlText w:val=""/>
      <w:lvlJc w:val="left"/>
      <w:pPr>
        <w:ind w:left="2160" w:hanging="360"/>
      </w:pPr>
      <w:rPr>
        <w:rFonts w:ascii="Wingdings" w:hAnsi="Wingdings" w:hint="default"/>
      </w:rPr>
    </w:lvl>
    <w:lvl w:ilvl="3" w:tplc="649ACFAA">
      <w:start w:val="1"/>
      <w:numFmt w:val="bullet"/>
      <w:lvlText w:val=""/>
      <w:lvlJc w:val="left"/>
      <w:pPr>
        <w:ind w:left="2880" w:hanging="360"/>
      </w:pPr>
      <w:rPr>
        <w:rFonts w:ascii="Symbol" w:hAnsi="Symbol" w:hint="default"/>
      </w:rPr>
    </w:lvl>
    <w:lvl w:ilvl="4" w:tplc="49EE8BC2">
      <w:start w:val="1"/>
      <w:numFmt w:val="bullet"/>
      <w:lvlText w:val="o"/>
      <w:lvlJc w:val="left"/>
      <w:pPr>
        <w:ind w:left="3600" w:hanging="360"/>
      </w:pPr>
      <w:rPr>
        <w:rFonts w:ascii="Courier New" w:hAnsi="Courier New" w:hint="default"/>
      </w:rPr>
    </w:lvl>
    <w:lvl w:ilvl="5" w:tplc="2D06AA30">
      <w:start w:val="1"/>
      <w:numFmt w:val="bullet"/>
      <w:lvlText w:val=""/>
      <w:lvlJc w:val="left"/>
      <w:pPr>
        <w:ind w:left="4320" w:hanging="360"/>
      </w:pPr>
      <w:rPr>
        <w:rFonts w:ascii="Wingdings" w:hAnsi="Wingdings" w:hint="default"/>
      </w:rPr>
    </w:lvl>
    <w:lvl w:ilvl="6" w:tplc="62F4CAAE">
      <w:start w:val="1"/>
      <w:numFmt w:val="bullet"/>
      <w:lvlText w:val=""/>
      <w:lvlJc w:val="left"/>
      <w:pPr>
        <w:ind w:left="5040" w:hanging="360"/>
      </w:pPr>
      <w:rPr>
        <w:rFonts w:ascii="Symbol" w:hAnsi="Symbol" w:hint="default"/>
      </w:rPr>
    </w:lvl>
    <w:lvl w:ilvl="7" w:tplc="F92E0BAE">
      <w:start w:val="1"/>
      <w:numFmt w:val="bullet"/>
      <w:lvlText w:val="o"/>
      <w:lvlJc w:val="left"/>
      <w:pPr>
        <w:ind w:left="5760" w:hanging="360"/>
      </w:pPr>
      <w:rPr>
        <w:rFonts w:ascii="Courier New" w:hAnsi="Courier New" w:hint="default"/>
      </w:rPr>
    </w:lvl>
    <w:lvl w:ilvl="8" w:tplc="7E7A7D1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9729610"/>
    <w:lvl w:ilvl="0" w:tplc="4768AF1A">
      <w:start w:val="1"/>
      <w:numFmt w:val="bullet"/>
      <w:lvlText w:val=""/>
      <w:lvlJc w:val="left"/>
      <w:pPr>
        <w:ind w:left="720" w:hanging="360"/>
      </w:pPr>
      <w:rPr>
        <w:rFonts w:ascii="Symbol" w:hAnsi="Symbol" w:hint="default"/>
      </w:rPr>
    </w:lvl>
    <w:lvl w:ilvl="1" w:tplc="02BAE382">
      <w:start w:val="1"/>
      <w:numFmt w:val="bullet"/>
      <w:lvlText w:val="o"/>
      <w:lvlJc w:val="left"/>
      <w:pPr>
        <w:ind w:left="1440" w:hanging="360"/>
      </w:pPr>
      <w:rPr>
        <w:rFonts w:ascii="Courier New" w:hAnsi="Courier New" w:hint="default"/>
      </w:rPr>
    </w:lvl>
    <w:lvl w:ilvl="2" w:tplc="B3B82080">
      <w:start w:val="1"/>
      <w:numFmt w:val="bullet"/>
      <w:lvlText w:val=""/>
      <w:lvlJc w:val="left"/>
      <w:pPr>
        <w:ind w:left="2160" w:hanging="360"/>
      </w:pPr>
      <w:rPr>
        <w:rFonts w:ascii="Wingdings" w:hAnsi="Wingdings" w:hint="default"/>
      </w:rPr>
    </w:lvl>
    <w:lvl w:ilvl="3" w:tplc="35848DAA">
      <w:start w:val="1"/>
      <w:numFmt w:val="bullet"/>
      <w:lvlText w:val=""/>
      <w:lvlJc w:val="left"/>
      <w:pPr>
        <w:ind w:left="2880" w:hanging="360"/>
      </w:pPr>
      <w:rPr>
        <w:rFonts w:ascii="Symbol" w:hAnsi="Symbol" w:hint="default"/>
      </w:rPr>
    </w:lvl>
    <w:lvl w:ilvl="4" w:tplc="49BC0B5C">
      <w:start w:val="1"/>
      <w:numFmt w:val="bullet"/>
      <w:lvlText w:val="o"/>
      <w:lvlJc w:val="left"/>
      <w:pPr>
        <w:ind w:left="3600" w:hanging="360"/>
      </w:pPr>
      <w:rPr>
        <w:rFonts w:ascii="Courier New" w:hAnsi="Courier New" w:hint="default"/>
      </w:rPr>
    </w:lvl>
    <w:lvl w:ilvl="5" w:tplc="0532A844">
      <w:start w:val="1"/>
      <w:numFmt w:val="bullet"/>
      <w:lvlText w:val=""/>
      <w:lvlJc w:val="left"/>
      <w:pPr>
        <w:ind w:left="4320" w:hanging="360"/>
      </w:pPr>
      <w:rPr>
        <w:rFonts w:ascii="Wingdings" w:hAnsi="Wingdings" w:hint="default"/>
      </w:rPr>
    </w:lvl>
    <w:lvl w:ilvl="6" w:tplc="CAE43C50">
      <w:start w:val="1"/>
      <w:numFmt w:val="bullet"/>
      <w:lvlText w:val=""/>
      <w:lvlJc w:val="left"/>
      <w:pPr>
        <w:ind w:left="5040" w:hanging="360"/>
      </w:pPr>
      <w:rPr>
        <w:rFonts w:ascii="Symbol" w:hAnsi="Symbol" w:hint="default"/>
      </w:rPr>
    </w:lvl>
    <w:lvl w:ilvl="7" w:tplc="3BCC50E2">
      <w:start w:val="1"/>
      <w:numFmt w:val="bullet"/>
      <w:lvlText w:val="o"/>
      <w:lvlJc w:val="left"/>
      <w:pPr>
        <w:ind w:left="5760" w:hanging="360"/>
      </w:pPr>
      <w:rPr>
        <w:rFonts w:ascii="Courier New" w:hAnsi="Courier New" w:hint="default"/>
      </w:rPr>
    </w:lvl>
    <w:lvl w:ilvl="8" w:tplc="5122E9F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15EA356"/>
    <w:lvl w:ilvl="0" w:tplc="9794AFA2">
      <w:start w:val="1"/>
      <w:numFmt w:val="bullet"/>
      <w:lvlText w:val=""/>
      <w:lvlJc w:val="left"/>
      <w:pPr>
        <w:ind w:left="720" w:hanging="360"/>
      </w:pPr>
      <w:rPr>
        <w:rFonts w:ascii="Symbol" w:hAnsi="Symbol" w:hint="default"/>
      </w:rPr>
    </w:lvl>
    <w:lvl w:ilvl="1" w:tplc="4F4ECCEE">
      <w:start w:val="1"/>
      <w:numFmt w:val="bullet"/>
      <w:lvlText w:val="o"/>
      <w:lvlJc w:val="left"/>
      <w:pPr>
        <w:ind w:left="1440" w:hanging="360"/>
      </w:pPr>
      <w:rPr>
        <w:rFonts w:ascii="Courier New" w:hAnsi="Courier New" w:hint="default"/>
      </w:rPr>
    </w:lvl>
    <w:lvl w:ilvl="2" w:tplc="6E5C56C8">
      <w:start w:val="1"/>
      <w:numFmt w:val="bullet"/>
      <w:lvlText w:val=""/>
      <w:lvlJc w:val="left"/>
      <w:pPr>
        <w:ind w:left="2160" w:hanging="360"/>
      </w:pPr>
      <w:rPr>
        <w:rFonts w:ascii="Wingdings" w:hAnsi="Wingdings" w:hint="default"/>
      </w:rPr>
    </w:lvl>
    <w:lvl w:ilvl="3" w:tplc="8F7284D8">
      <w:start w:val="1"/>
      <w:numFmt w:val="bullet"/>
      <w:lvlText w:val=""/>
      <w:lvlJc w:val="left"/>
      <w:pPr>
        <w:ind w:left="2880" w:hanging="360"/>
      </w:pPr>
      <w:rPr>
        <w:rFonts w:ascii="Symbol" w:hAnsi="Symbol" w:hint="default"/>
      </w:rPr>
    </w:lvl>
    <w:lvl w:ilvl="4" w:tplc="E76CDBE4">
      <w:start w:val="1"/>
      <w:numFmt w:val="bullet"/>
      <w:lvlText w:val="o"/>
      <w:lvlJc w:val="left"/>
      <w:pPr>
        <w:ind w:left="3600" w:hanging="360"/>
      </w:pPr>
      <w:rPr>
        <w:rFonts w:ascii="Courier New" w:hAnsi="Courier New" w:hint="default"/>
      </w:rPr>
    </w:lvl>
    <w:lvl w:ilvl="5" w:tplc="66042A74">
      <w:start w:val="1"/>
      <w:numFmt w:val="bullet"/>
      <w:lvlText w:val=""/>
      <w:lvlJc w:val="left"/>
      <w:pPr>
        <w:ind w:left="4320" w:hanging="360"/>
      </w:pPr>
      <w:rPr>
        <w:rFonts w:ascii="Wingdings" w:hAnsi="Wingdings" w:hint="default"/>
      </w:rPr>
    </w:lvl>
    <w:lvl w:ilvl="6" w:tplc="FDD697A8">
      <w:start w:val="1"/>
      <w:numFmt w:val="bullet"/>
      <w:lvlText w:val=""/>
      <w:lvlJc w:val="left"/>
      <w:pPr>
        <w:ind w:left="5040" w:hanging="360"/>
      </w:pPr>
      <w:rPr>
        <w:rFonts w:ascii="Symbol" w:hAnsi="Symbol" w:hint="default"/>
      </w:rPr>
    </w:lvl>
    <w:lvl w:ilvl="7" w:tplc="7AC2060E">
      <w:start w:val="1"/>
      <w:numFmt w:val="bullet"/>
      <w:lvlText w:val="o"/>
      <w:lvlJc w:val="left"/>
      <w:pPr>
        <w:ind w:left="5760" w:hanging="360"/>
      </w:pPr>
      <w:rPr>
        <w:rFonts w:ascii="Courier New" w:hAnsi="Courier New" w:hint="default"/>
      </w:rPr>
    </w:lvl>
    <w:lvl w:ilvl="8" w:tplc="8E2CB79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8A5EC916"/>
    <w:lvl w:ilvl="0" w:tplc="FA1EF0B0">
      <w:start w:val="1"/>
      <w:numFmt w:val="bullet"/>
      <w:lvlText w:val=""/>
      <w:lvlJc w:val="left"/>
      <w:pPr>
        <w:ind w:left="720" w:hanging="360"/>
      </w:pPr>
      <w:rPr>
        <w:rFonts w:ascii="Symbol" w:hAnsi="Symbol" w:hint="default"/>
      </w:rPr>
    </w:lvl>
    <w:lvl w:ilvl="1" w:tplc="3B8269AA">
      <w:start w:val="1"/>
      <w:numFmt w:val="bullet"/>
      <w:lvlText w:val="o"/>
      <w:lvlJc w:val="left"/>
      <w:pPr>
        <w:ind w:left="1440" w:hanging="360"/>
      </w:pPr>
      <w:rPr>
        <w:rFonts w:ascii="Courier New" w:hAnsi="Courier New" w:hint="default"/>
      </w:rPr>
    </w:lvl>
    <w:lvl w:ilvl="2" w:tplc="068EEB1E">
      <w:start w:val="1"/>
      <w:numFmt w:val="bullet"/>
      <w:lvlText w:val=""/>
      <w:lvlJc w:val="left"/>
      <w:pPr>
        <w:ind w:left="2160" w:hanging="360"/>
      </w:pPr>
      <w:rPr>
        <w:rFonts w:ascii="Wingdings" w:hAnsi="Wingdings" w:hint="default"/>
      </w:rPr>
    </w:lvl>
    <w:lvl w:ilvl="3" w:tplc="61149A7C">
      <w:start w:val="1"/>
      <w:numFmt w:val="bullet"/>
      <w:lvlText w:val=""/>
      <w:lvlJc w:val="left"/>
      <w:pPr>
        <w:ind w:left="2880" w:hanging="360"/>
      </w:pPr>
      <w:rPr>
        <w:rFonts w:ascii="Symbol" w:hAnsi="Symbol" w:hint="default"/>
      </w:rPr>
    </w:lvl>
    <w:lvl w:ilvl="4" w:tplc="F71EE8A6">
      <w:start w:val="1"/>
      <w:numFmt w:val="bullet"/>
      <w:lvlText w:val="o"/>
      <w:lvlJc w:val="left"/>
      <w:pPr>
        <w:ind w:left="3600" w:hanging="360"/>
      </w:pPr>
      <w:rPr>
        <w:rFonts w:ascii="Courier New" w:hAnsi="Courier New" w:hint="default"/>
      </w:rPr>
    </w:lvl>
    <w:lvl w:ilvl="5" w:tplc="EF461146">
      <w:start w:val="1"/>
      <w:numFmt w:val="bullet"/>
      <w:lvlText w:val=""/>
      <w:lvlJc w:val="left"/>
      <w:pPr>
        <w:ind w:left="4320" w:hanging="360"/>
      </w:pPr>
      <w:rPr>
        <w:rFonts w:ascii="Wingdings" w:hAnsi="Wingdings" w:hint="default"/>
      </w:rPr>
    </w:lvl>
    <w:lvl w:ilvl="6" w:tplc="2294CB68">
      <w:start w:val="1"/>
      <w:numFmt w:val="bullet"/>
      <w:lvlText w:val=""/>
      <w:lvlJc w:val="left"/>
      <w:pPr>
        <w:ind w:left="5040" w:hanging="360"/>
      </w:pPr>
      <w:rPr>
        <w:rFonts w:ascii="Symbol" w:hAnsi="Symbol" w:hint="default"/>
      </w:rPr>
    </w:lvl>
    <w:lvl w:ilvl="7" w:tplc="EA4C0A4C">
      <w:start w:val="1"/>
      <w:numFmt w:val="bullet"/>
      <w:lvlText w:val="o"/>
      <w:lvlJc w:val="left"/>
      <w:pPr>
        <w:ind w:left="5760" w:hanging="360"/>
      </w:pPr>
      <w:rPr>
        <w:rFonts w:ascii="Courier New" w:hAnsi="Courier New" w:hint="default"/>
      </w:rPr>
    </w:lvl>
    <w:lvl w:ilvl="8" w:tplc="78A6E08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CCDE0AD6"/>
    <w:lvl w:ilvl="0" w:tplc="EFECC98A">
      <w:start w:val="1"/>
      <w:numFmt w:val="bullet"/>
      <w:lvlText w:val=""/>
      <w:lvlJc w:val="left"/>
      <w:pPr>
        <w:ind w:left="720" w:hanging="360"/>
      </w:pPr>
      <w:rPr>
        <w:rFonts w:ascii="Symbol" w:hAnsi="Symbol" w:hint="default"/>
      </w:rPr>
    </w:lvl>
    <w:lvl w:ilvl="1" w:tplc="3B2C7082">
      <w:start w:val="1"/>
      <w:numFmt w:val="bullet"/>
      <w:lvlText w:val="o"/>
      <w:lvlJc w:val="left"/>
      <w:pPr>
        <w:ind w:left="1440" w:hanging="360"/>
      </w:pPr>
      <w:rPr>
        <w:rFonts w:ascii="Courier New" w:hAnsi="Courier New" w:hint="default"/>
      </w:rPr>
    </w:lvl>
    <w:lvl w:ilvl="2" w:tplc="BEB2664A">
      <w:start w:val="1"/>
      <w:numFmt w:val="bullet"/>
      <w:lvlText w:val=""/>
      <w:lvlJc w:val="left"/>
      <w:pPr>
        <w:ind w:left="2160" w:hanging="360"/>
      </w:pPr>
      <w:rPr>
        <w:rFonts w:ascii="Wingdings" w:hAnsi="Wingdings" w:hint="default"/>
      </w:rPr>
    </w:lvl>
    <w:lvl w:ilvl="3" w:tplc="B4AA7F8A">
      <w:start w:val="1"/>
      <w:numFmt w:val="bullet"/>
      <w:lvlText w:val=""/>
      <w:lvlJc w:val="left"/>
      <w:pPr>
        <w:ind w:left="2880" w:hanging="360"/>
      </w:pPr>
      <w:rPr>
        <w:rFonts w:ascii="Symbol" w:hAnsi="Symbol" w:hint="default"/>
      </w:rPr>
    </w:lvl>
    <w:lvl w:ilvl="4" w:tplc="533458BC">
      <w:start w:val="1"/>
      <w:numFmt w:val="bullet"/>
      <w:lvlText w:val="o"/>
      <w:lvlJc w:val="left"/>
      <w:pPr>
        <w:ind w:left="3600" w:hanging="360"/>
      </w:pPr>
      <w:rPr>
        <w:rFonts w:ascii="Courier New" w:hAnsi="Courier New" w:hint="default"/>
      </w:rPr>
    </w:lvl>
    <w:lvl w:ilvl="5" w:tplc="B58654E6">
      <w:start w:val="1"/>
      <w:numFmt w:val="bullet"/>
      <w:lvlText w:val=""/>
      <w:lvlJc w:val="left"/>
      <w:pPr>
        <w:ind w:left="4320" w:hanging="360"/>
      </w:pPr>
      <w:rPr>
        <w:rFonts w:ascii="Wingdings" w:hAnsi="Wingdings" w:hint="default"/>
      </w:rPr>
    </w:lvl>
    <w:lvl w:ilvl="6" w:tplc="7B32AF78">
      <w:start w:val="1"/>
      <w:numFmt w:val="bullet"/>
      <w:lvlText w:val=""/>
      <w:lvlJc w:val="left"/>
      <w:pPr>
        <w:ind w:left="5040" w:hanging="360"/>
      </w:pPr>
      <w:rPr>
        <w:rFonts w:ascii="Symbol" w:hAnsi="Symbol" w:hint="default"/>
      </w:rPr>
    </w:lvl>
    <w:lvl w:ilvl="7" w:tplc="0644A0A6">
      <w:start w:val="1"/>
      <w:numFmt w:val="bullet"/>
      <w:lvlText w:val="o"/>
      <w:lvlJc w:val="left"/>
      <w:pPr>
        <w:ind w:left="5760" w:hanging="360"/>
      </w:pPr>
      <w:rPr>
        <w:rFonts w:ascii="Courier New" w:hAnsi="Courier New" w:hint="default"/>
      </w:rPr>
    </w:lvl>
    <w:lvl w:ilvl="8" w:tplc="AEAA531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4582526">
    <w:abstractNumId w:val="11"/>
  </w:num>
  <w:num w:numId="2" w16cid:durableId="162168642">
    <w:abstractNumId w:val="12"/>
  </w:num>
  <w:num w:numId="3" w16cid:durableId="1776948167">
    <w:abstractNumId w:val="1"/>
  </w:num>
  <w:num w:numId="4" w16cid:durableId="1458766156">
    <w:abstractNumId w:val="3"/>
  </w:num>
  <w:num w:numId="5" w16cid:durableId="24522014">
    <w:abstractNumId w:val="15"/>
  </w:num>
  <w:num w:numId="6" w16cid:durableId="142286905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19F1"/>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85C86"/>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B2612"/>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2A95"/>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1705</Words>
  <Characters>9720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ISMIHAN BOZYIGIT</cp:lastModifiedBy>
  <cp:revision>2</cp:revision>
  <dcterms:created xsi:type="dcterms:W3CDTF">2025-12-13T16:18:00Z</dcterms:created>
  <dcterms:modified xsi:type="dcterms:W3CDTF">2025-12-13T16:18:00Z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