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F6DE54" w14:textId="6F857D9C" w:rsidR="00CC3DB8" w:rsidRPr="00CC3DB8" w:rsidRDefault="00CC3DB8">
      <w:pPr>
        <w:rPr>
          <w:b/>
          <w:bCs/>
          <w:u w:val="single"/>
        </w:rPr>
      </w:pPr>
      <w:r w:rsidRPr="00CC3DB8">
        <w:rPr>
          <w:b/>
          <w:bCs/>
          <w:u w:val="single"/>
        </w:rPr>
        <w:t>Section One - Report</w:t>
      </w:r>
    </w:p>
    <w:p w14:paraId="6042FE4D" w14:textId="334858A5" w:rsidR="001824EB" w:rsidRPr="00931E61" w:rsidRDefault="00E45D60">
      <w:pPr>
        <w:rPr>
          <w:b/>
          <w:bCs/>
        </w:rPr>
      </w:pPr>
      <w:r>
        <w:rPr>
          <w:b/>
          <w:bCs/>
        </w:rPr>
        <w:t xml:space="preserve">AC 1.1 </w:t>
      </w:r>
    </w:p>
    <w:p w14:paraId="1B25CCE8" w14:textId="6F017AB0" w:rsidR="00136EF3" w:rsidRDefault="00A01E19">
      <w:r w:rsidRPr="00931E61">
        <w:t xml:space="preserve">Evidence-based practice </w:t>
      </w:r>
      <w:r w:rsidR="003F646E" w:rsidRPr="00931E61">
        <w:t xml:space="preserve">(EBP) </w:t>
      </w:r>
      <w:r w:rsidRPr="00931E61">
        <w:t xml:space="preserve">in the context of human resources (HR) is the concept of using </w:t>
      </w:r>
      <w:r w:rsidR="00A371F8" w:rsidRPr="00931E61">
        <w:t>multiple types of</w:t>
      </w:r>
      <w:r w:rsidRPr="00931E61">
        <w:t xml:space="preserve"> high-quality evidence in order to make </w:t>
      </w:r>
      <w:r w:rsidR="00EE7270">
        <w:t xml:space="preserve">informed </w:t>
      </w:r>
      <w:r w:rsidRPr="00931E61">
        <w:t>decisions (Rousseau &amp; Barends, 2011</w:t>
      </w:r>
      <w:r w:rsidR="00307DC7" w:rsidRPr="00931E61">
        <w:t>; Rousseau &amp; Briner, 2014</w:t>
      </w:r>
      <w:r w:rsidRPr="00931E61">
        <w:t>).</w:t>
      </w:r>
      <w:r w:rsidR="005E446E" w:rsidRPr="00931E61">
        <w:t xml:space="preserve"> </w:t>
      </w:r>
    </w:p>
    <w:p w14:paraId="3BCC39B2" w14:textId="14EE6EC4" w:rsidR="00B84BCC" w:rsidRDefault="003937E1">
      <w:r>
        <w:t>The</w:t>
      </w:r>
      <w:r w:rsidR="00B84BCC">
        <w:t xml:space="preserve"> six steps to EBP </w:t>
      </w:r>
      <w:r>
        <w:t xml:space="preserve">are generally followed </w:t>
      </w:r>
      <w:r w:rsidR="00583A18">
        <w:t>when making decisions</w:t>
      </w:r>
      <w:r>
        <w:t xml:space="preserve"> </w:t>
      </w:r>
      <w:r w:rsidR="00B84BCC">
        <w:t xml:space="preserve">(CIPD, 2023). As highlighted in the diagram below, the six steps implementing actions to turn your problem into an answerable question, before searching for and analysing relevant data. </w:t>
      </w:r>
      <w:r>
        <w:t>This</w:t>
      </w:r>
      <w:r w:rsidR="00B84BCC">
        <w:t xml:space="preserve"> data to make evidence-based decisions, before assessing the impact of the EBP.</w:t>
      </w:r>
    </w:p>
    <w:p w14:paraId="7B31B261" w14:textId="3C95304B" w:rsidR="00C6219A" w:rsidRDefault="00C6219A">
      <w:r>
        <w:rPr>
          <w:noProof/>
        </w:rPr>
        <w:drawing>
          <wp:inline distT="0" distB="0" distL="0" distR="0" wp14:anchorId="426A8D3B" wp14:editId="0CB8DE10">
            <wp:extent cx="2647563" cy="2631882"/>
            <wp:effectExtent l="0" t="0" r="635" b="0"/>
            <wp:docPr id="1910264578" name="Picture 1" descr="A diagram of steps to a successful approa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264578" name="Picture 1" descr="A diagram of steps to a successful approach&#10;&#10;Description automatically generated with medium confidenc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199" t="14987" r="7181" b="9851"/>
                    <a:stretch/>
                  </pic:blipFill>
                  <pic:spPr bwMode="auto">
                    <a:xfrm>
                      <a:off x="0" y="0"/>
                      <a:ext cx="2653915" cy="2638196"/>
                    </a:xfrm>
                    <a:prstGeom prst="rect">
                      <a:avLst/>
                    </a:prstGeom>
                    <a:noFill/>
                    <a:ln>
                      <a:noFill/>
                    </a:ln>
                    <a:extLst>
                      <a:ext uri="{53640926-AAD7-44D8-BBD7-CCE9431645EC}">
                        <a14:shadowObscured xmlns:a14="http://schemas.microsoft.com/office/drawing/2010/main"/>
                      </a:ext>
                    </a:extLst>
                  </pic:spPr>
                </pic:pic>
              </a:graphicData>
            </a:graphic>
          </wp:inline>
        </w:drawing>
      </w:r>
    </w:p>
    <w:p w14:paraId="495EBFA8" w14:textId="4B8964B7" w:rsidR="00C6219A" w:rsidRPr="00931E61" w:rsidRDefault="00C6219A">
      <w:r>
        <w:t>(CIPD, 2023)</w:t>
      </w:r>
    </w:p>
    <w:p w14:paraId="7675D078" w14:textId="77777777" w:rsidR="005912F7" w:rsidRDefault="00C6219A">
      <w:r>
        <w:t>T</w:t>
      </w:r>
      <w:r w:rsidR="001637D7" w:rsidRPr="00931E61">
        <w:t>here are four evidence sources</w:t>
      </w:r>
      <w:r w:rsidR="003937E1">
        <w:t xml:space="preserve"> to consider</w:t>
      </w:r>
      <w:r w:rsidR="001637D7" w:rsidRPr="00931E61">
        <w:t xml:space="preserve">: </w:t>
      </w:r>
      <w:r w:rsidR="002402F2" w:rsidRPr="00931E61">
        <w:t xml:space="preserve">scientific evidence; organisational evidence; </w:t>
      </w:r>
      <w:r w:rsidR="003C080B" w:rsidRPr="00931E61">
        <w:t xml:space="preserve">stakeholder evidence </w:t>
      </w:r>
      <w:r w:rsidR="00A535DF" w:rsidRPr="00931E61">
        <w:t xml:space="preserve">and expert opinion </w:t>
      </w:r>
      <w:r w:rsidR="003C080B" w:rsidRPr="00931E61">
        <w:t xml:space="preserve">(Barends, Rousseau &amp; Briner, 2014). </w:t>
      </w:r>
    </w:p>
    <w:p w14:paraId="74CB31A6" w14:textId="34E85BC4" w:rsidR="001357F7" w:rsidRDefault="005912F7">
      <w:r>
        <w:t>E</w:t>
      </w:r>
      <w:r w:rsidR="007629DD">
        <w:t>vidence that is readily available should be considered for practicality</w:t>
      </w:r>
      <w:r w:rsidR="00162171">
        <w:t xml:space="preserve">, </w:t>
      </w:r>
      <w:r w:rsidR="00D07ADD">
        <w:t>in terms of saving time and resources</w:t>
      </w:r>
      <w:r w:rsidR="00943D90">
        <w:t xml:space="preserve"> (CIPD, 2023</w:t>
      </w:r>
      <w:r w:rsidR="00262815">
        <w:t xml:space="preserve">; </w:t>
      </w:r>
      <w:r w:rsidR="003F2F56">
        <w:t xml:space="preserve">Gill, 2018; </w:t>
      </w:r>
      <w:r w:rsidR="00262815">
        <w:t>Taylor &amp; Woodham, 2022</w:t>
      </w:r>
      <w:r w:rsidR="00943D90">
        <w:t>).</w:t>
      </w:r>
      <w:r w:rsidR="0086169E">
        <w:t xml:space="preserve"> </w:t>
      </w:r>
      <w:r w:rsidR="00D07ADD">
        <w:t>Scientific</w:t>
      </w:r>
      <w:r w:rsidR="0086169E">
        <w:t xml:space="preserve"> evidence is arguably the most </w:t>
      </w:r>
      <w:r w:rsidR="00895758">
        <w:t>time-effective</w:t>
      </w:r>
      <w:r w:rsidR="0086169E">
        <w:t xml:space="preserve"> source as it is </w:t>
      </w:r>
      <w:r w:rsidR="001C1020">
        <w:t>data that already exists through literature</w:t>
      </w:r>
      <w:r w:rsidR="00DE47A7">
        <w:t xml:space="preserve"> and can therefore save </w:t>
      </w:r>
      <w:r w:rsidR="000320C3">
        <w:t>time.</w:t>
      </w:r>
      <w:r w:rsidR="001C1020">
        <w:t xml:space="preserve"> </w:t>
      </w:r>
      <w:r w:rsidR="000320C3">
        <w:t>H</w:t>
      </w:r>
      <w:r w:rsidR="001C1020">
        <w:t>owever</w:t>
      </w:r>
      <w:r w:rsidR="000320C3">
        <w:t>,</w:t>
      </w:r>
      <w:r w:rsidR="001C1020">
        <w:t xml:space="preserve"> </w:t>
      </w:r>
      <w:r w:rsidR="000320C3">
        <w:t xml:space="preserve">this form of data </w:t>
      </w:r>
      <w:r w:rsidR="00C57C98">
        <w:t>is not always free</w:t>
      </w:r>
      <w:r w:rsidR="0066558B">
        <w:t xml:space="preserve"> (Taylor &amp; Woodham, 2022). </w:t>
      </w:r>
    </w:p>
    <w:p w14:paraId="5F4892E4" w14:textId="1C0CECA1" w:rsidR="00FB34BA" w:rsidRDefault="0066558B">
      <w:r>
        <w:t>Organisational data</w:t>
      </w:r>
      <w:r w:rsidR="009B2E70">
        <w:t xml:space="preserve"> </w:t>
      </w:r>
      <w:r w:rsidR="00E17230">
        <w:t>either exists already</w:t>
      </w:r>
      <w:r w:rsidR="0094687D">
        <w:t xml:space="preserve"> from previous </w:t>
      </w:r>
      <w:r w:rsidR="00E17230">
        <w:t>company research</w:t>
      </w:r>
      <w:r w:rsidR="0094687D">
        <w:t xml:space="preserve">, or </w:t>
      </w:r>
      <w:r w:rsidR="00B0484D">
        <w:t>can</w:t>
      </w:r>
      <w:r w:rsidR="0094687D">
        <w:t xml:space="preserve"> be collected by for the purpose </w:t>
      </w:r>
      <w:r w:rsidR="00332B43">
        <w:t>of a current issue</w:t>
      </w:r>
      <w:r w:rsidR="00E9759F">
        <w:t xml:space="preserve"> – both options making this data highly relevant to the organisation (CIPD, 2024; Taylor &amp; Woodham, 2022).</w:t>
      </w:r>
    </w:p>
    <w:p w14:paraId="1BB8D238" w14:textId="6FB179C6" w:rsidR="004A529E" w:rsidRDefault="004A529E">
      <w:r>
        <w:t xml:space="preserve">Another </w:t>
      </w:r>
      <w:r w:rsidR="00F124EC">
        <w:t xml:space="preserve">source that ensures relevance is stakeholder evidence, for example </w:t>
      </w:r>
      <w:r w:rsidR="002B117C">
        <w:t xml:space="preserve">getting </w:t>
      </w:r>
      <w:r w:rsidR="00F124EC">
        <w:t>employees</w:t>
      </w:r>
      <w:r w:rsidR="002B117C">
        <w:t xml:space="preserve">’ opinions </w:t>
      </w:r>
      <w:r w:rsidR="00F124EC">
        <w:t>regarding an organisation decision (CIPD, 2023).</w:t>
      </w:r>
      <w:r w:rsidR="002931BF">
        <w:t xml:space="preserve"> Stakeholders </w:t>
      </w:r>
      <w:r w:rsidR="00F74B9C">
        <w:t>are</w:t>
      </w:r>
      <w:r w:rsidR="00E63531">
        <w:t xml:space="preserve"> impact</w:t>
      </w:r>
      <w:r w:rsidR="00DA5F1B">
        <w:t>ed</w:t>
      </w:r>
      <w:r w:rsidR="00E63531">
        <w:t xml:space="preserve"> </w:t>
      </w:r>
      <w:r w:rsidR="00F74B9C">
        <w:t>directly by decisions</w:t>
      </w:r>
      <w:r w:rsidR="00E63531">
        <w:t xml:space="preserve">, so it’s vital to </w:t>
      </w:r>
      <w:r w:rsidR="00BC2BB2">
        <w:t>consider them</w:t>
      </w:r>
      <w:r w:rsidR="00087706">
        <w:t xml:space="preserve"> (Westerman </w:t>
      </w:r>
      <w:r w:rsidR="00087706">
        <w:rPr>
          <w:i/>
          <w:iCs/>
        </w:rPr>
        <w:t>et al</w:t>
      </w:r>
      <w:r w:rsidR="00087706">
        <w:t>., 2020)</w:t>
      </w:r>
      <w:r w:rsidR="00E63531">
        <w:t xml:space="preserve">. </w:t>
      </w:r>
      <w:r w:rsidR="00060D86">
        <w:t xml:space="preserve">However, it’s important to consider a stakeholder’s rationale </w:t>
      </w:r>
      <w:r w:rsidR="00BC2BB2">
        <w:t>and its impact on information they share</w:t>
      </w:r>
      <w:r w:rsidR="0080687C">
        <w:t xml:space="preserve"> (Kujala </w:t>
      </w:r>
      <w:r w:rsidR="0080687C">
        <w:rPr>
          <w:i/>
          <w:iCs/>
        </w:rPr>
        <w:t>et al</w:t>
      </w:r>
      <w:r w:rsidR="0080687C">
        <w:t>., 2022).</w:t>
      </w:r>
    </w:p>
    <w:p w14:paraId="71B4CA86" w14:textId="324AA7BB" w:rsidR="007015A8" w:rsidRDefault="00570871">
      <w:r w:rsidRPr="00570871">
        <w:t xml:space="preserve">Within Barod, </w:t>
      </w:r>
      <w:r>
        <w:t xml:space="preserve">stakeholder evidence is often </w:t>
      </w:r>
      <w:r w:rsidR="00480B45">
        <w:t>considered</w:t>
      </w:r>
      <w:r>
        <w:t xml:space="preserve"> before making decisions, </w:t>
      </w:r>
      <w:r w:rsidR="00480B45">
        <w:t>for example when</w:t>
      </w:r>
      <w:r>
        <w:t xml:space="preserve"> asking employees for their opinions </w:t>
      </w:r>
      <w:r w:rsidR="00480B45">
        <w:t>on</w:t>
      </w:r>
      <w:r>
        <w:t xml:space="preserve"> policies and practices before </w:t>
      </w:r>
      <w:r w:rsidR="00480B45">
        <w:t>final sign off</w:t>
      </w:r>
      <w:r w:rsidR="007015A8">
        <w:t xml:space="preserve"> </w:t>
      </w:r>
      <w:r w:rsidR="00D50D3D">
        <w:t>(</w:t>
      </w:r>
      <w:r w:rsidR="00356C45">
        <w:t>Barod</w:t>
      </w:r>
      <w:r w:rsidR="00D50D3D">
        <w:t xml:space="preserve">, </w:t>
      </w:r>
      <w:r w:rsidR="00356C45">
        <w:t>2024)</w:t>
      </w:r>
      <w:r w:rsidR="00B40C0D">
        <w:t xml:space="preserve">. </w:t>
      </w:r>
    </w:p>
    <w:p w14:paraId="4B617148" w14:textId="535BDDD4" w:rsidR="008D6061" w:rsidRDefault="007015A8">
      <w:r>
        <w:lastRenderedPageBreak/>
        <w:t>Additionally</w:t>
      </w:r>
      <w:r w:rsidR="007C0881">
        <w:t>, the organisation sends out a</w:t>
      </w:r>
      <w:r>
        <w:t>n annual</w:t>
      </w:r>
      <w:r w:rsidR="007C0881">
        <w:t xml:space="preserve"> staff survey to gain insight into employees’ opinion</w:t>
      </w:r>
      <w:r w:rsidR="005156C5">
        <w:t>s</w:t>
      </w:r>
      <w:r w:rsidR="007C0881">
        <w:t xml:space="preserve">, which is then followed by a CEO Roadshow – where the </w:t>
      </w:r>
      <w:r w:rsidR="005156C5">
        <w:t>leadership</w:t>
      </w:r>
      <w:r w:rsidR="007C0881">
        <w:t xml:space="preserve"> team visit the individual offices to feed back on the results of the survey, discussing </w:t>
      </w:r>
      <w:r w:rsidR="00B2063E">
        <w:t>actions</w:t>
      </w:r>
      <w:r w:rsidR="0033273C">
        <w:t xml:space="preserve"> (Barod, 2021)</w:t>
      </w:r>
      <w:r w:rsidR="007C0881">
        <w:t>.</w:t>
      </w:r>
      <w:r w:rsidR="00C66893">
        <w:t xml:space="preserve"> </w:t>
      </w:r>
      <w:r w:rsidR="00804844">
        <w:t>Th</w:t>
      </w:r>
      <w:r w:rsidR="000334D1">
        <w:t xml:space="preserve">e </w:t>
      </w:r>
      <w:r w:rsidR="00804844">
        <w:t>collection</w:t>
      </w:r>
      <w:r w:rsidR="000334D1">
        <w:t xml:space="preserve"> of th</w:t>
      </w:r>
      <w:r w:rsidR="00804844">
        <w:t xml:space="preserve">is </w:t>
      </w:r>
      <w:r w:rsidR="007D465B">
        <w:t>stakeholder/organisational data</w:t>
      </w:r>
      <w:r w:rsidR="00804844">
        <w:t xml:space="preserve"> has </w:t>
      </w:r>
      <w:r w:rsidR="00B03494">
        <w:t>had a clear positive impact, evident in the</w:t>
      </w:r>
      <w:r w:rsidR="00B2063E">
        <w:t xml:space="preserve"> </w:t>
      </w:r>
      <w:r w:rsidR="00B03494">
        <w:t>survey</w:t>
      </w:r>
      <w:r w:rsidR="00B2063E">
        <w:t xml:space="preserve"> results</w:t>
      </w:r>
      <w:r w:rsidR="00B03494">
        <w:t xml:space="preserve"> (Barod, 2021).</w:t>
      </w:r>
      <w:r w:rsidR="00CB71BD">
        <w:t xml:space="preserve"> </w:t>
      </w:r>
      <w:r w:rsidR="008D6061">
        <w:t>Similar practice is a great way to start implementing EBP into your work</w:t>
      </w:r>
      <w:r w:rsidR="00493393">
        <w:t xml:space="preserve">, as it shows you are considering what’s best for </w:t>
      </w:r>
      <w:r w:rsidR="00432E56">
        <w:t xml:space="preserve">all stakeholders </w:t>
      </w:r>
      <w:r w:rsidR="00432E56">
        <w:t xml:space="preserve">(de Gama </w:t>
      </w:r>
      <w:r w:rsidR="00432E56">
        <w:rPr>
          <w:i/>
          <w:iCs/>
        </w:rPr>
        <w:t>et al</w:t>
      </w:r>
      <w:r w:rsidR="00432E56">
        <w:t>., 2012).</w:t>
      </w:r>
    </w:p>
    <w:p w14:paraId="44412B60" w14:textId="763C186F" w:rsidR="004A0C4D" w:rsidRDefault="00CB71BD">
      <w:r>
        <w:t xml:space="preserve">The survey has likely been so successful due to </w:t>
      </w:r>
      <w:r w:rsidR="00B2063E">
        <w:t>its</w:t>
      </w:r>
      <w:r>
        <w:t xml:space="preserve"> questionnaire </w:t>
      </w:r>
      <w:r w:rsidR="00B2063E">
        <w:t>format</w:t>
      </w:r>
      <w:r>
        <w:t xml:space="preserve">, allowing </w:t>
      </w:r>
      <w:r w:rsidR="004D0D1B">
        <w:t xml:space="preserve">all employees the opportunity to share their thoughts </w:t>
      </w:r>
      <w:r w:rsidR="007B43FE">
        <w:t>quickly and easily</w:t>
      </w:r>
      <w:r w:rsidR="004D0D1B">
        <w:t xml:space="preserve"> (Patten, 2016)</w:t>
      </w:r>
      <w:r w:rsidR="00E66D36">
        <w:t xml:space="preserve"> </w:t>
      </w:r>
      <w:r>
        <w:t xml:space="preserve">. However, </w:t>
      </w:r>
      <w:r w:rsidR="00952FCB">
        <w:t>it is less likely all candidates will respond</w:t>
      </w:r>
      <w:r w:rsidR="003F1134">
        <w:t xml:space="preserve"> to questionnaires</w:t>
      </w:r>
      <w:r w:rsidR="00952FCB">
        <w:t xml:space="preserve"> – thus impacting the validity of a study </w:t>
      </w:r>
      <w:r w:rsidR="00C34AAF">
        <w:t xml:space="preserve">(Cohen, Manion </w:t>
      </w:r>
      <w:r w:rsidR="003E3D0E">
        <w:t>&amp;</w:t>
      </w:r>
      <w:r w:rsidR="00C34AAF">
        <w:t xml:space="preserve"> Morrison, 2018). This is often proven in Barod’s staff surveys, where response rate </w:t>
      </w:r>
      <w:r w:rsidR="000F75EE">
        <w:t xml:space="preserve">can be as </w:t>
      </w:r>
      <w:r w:rsidR="00C34AAF">
        <w:t>low</w:t>
      </w:r>
      <w:r w:rsidR="000F75EE">
        <w:t xml:space="preserve"> as 50%</w:t>
      </w:r>
      <w:r w:rsidR="00C34AAF">
        <w:t>.</w:t>
      </w:r>
    </w:p>
    <w:p w14:paraId="42240E7D" w14:textId="77777777" w:rsidR="001F1F54" w:rsidRPr="0080687C" w:rsidRDefault="001F1F54" w:rsidP="001F1F54">
      <w:r>
        <w:t>The final evidence source is expert opinion – evidence from professionals in the field (CIPD, 2023). This method within EBP is vital as it allows the trialled and tested results that others in the field have had to be considered.</w:t>
      </w:r>
    </w:p>
    <w:p w14:paraId="5DADF9BB" w14:textId="711103A4" w:rsidR="00AF0F64" w:rsidRDefault="00206DD1" w:rsidP="004D3EB8">
      <w:r>
        <w:t>Research</w:t>
      </w:r>
      <w:r w:rsidR="004D7C5A">
        <w:t xml:space="preserve"> </w:t>
      </w:r>
      <w:r w:rsidR="004D3EB8">
        <w:t xml:space="preserve">shows </w:t>
      </w:r>
      <w:r>
        <w:t>EBP</w:t>
      </w:r>
      <w:r w:rsidR="004D3EB8">
        <w:t xml:space="preserve"> is not being implemented as widely as required. Bezzina </w:t>
      </w:r>
      <w:r w:rsidR="004D3EB8">
        <w:rPr>
          <w:i/>
          <w:iCs/>
        </w:rPr>
        <w:t>et al</w:t>
      </w:r>
      <w:r w:rsidR="004D3EB8">
        <w:t>.’s (</w:t>
      </w:r>
      <w:r w:rsidR="00AF0F64">
        <w:t>2017) study of 300 HR practitioners revealed this</w:t>
      </w:r>
      <w:r w:rsidR="0051654F">
        <w:t xml:space="preserve">, where HRMs were found to be more likely to base decisions on personal experience </w:t>
      </w:r>
      <w:r w:rsidR="00046EC6">
        <w:t>over EBP</w:t>
      </w:r>
      <w:r w:rsidR="00DF5645">
        <w:t>.</w:t>
      </w:r>
      <w:r w:rsidR="00325833">
        <w:t xml:space="preserve"> McNett</w:t>
      </w:r>
      <w:r w:rsidR="00D35687">
        <w:t xml:space="preserve">, Tucker &amp; Melnyk (2021) further support these findings, </w:t>
      </w:r>
      <w:r w:rsidR="0098192B">
        <w:t xml:space="preserve">highlighting the ongoing need for </w:t>
      </w:r>
      <w:r w:rsidR="00EF2E4D">
        <w:t xml:space="preserve">evidence to be used in practice, thus bridging the ‘research-practice gap’ </w:t>
      </w:r>
      <w:r w:rsidR="00A9754B">
        <w:t>(Bartunek &amp; Rynes, 2014).</w:t>
      </w:r>
    </w:p>
    <w:p w14:paraId="755C3C01" w14:textId="54B537EE" w:rsidR="0057110C" w:rsidRPr="00280983" w:rsidRDefault="003871B8">
      <w:r>
        <w:t xml:space="preserve">This could be because of </w:t>
      </w:r>
      <w:r w:rsidR="004364B8" w:rsidRPr="00931E61">
        <w:t>the cost and time</w:t>
      </w:r>
      <w:r w:rsidR="000247DE" w:rsidRPr="00931E61">
        <w:t xml:space="preserve"> </w:t>
      </w:r>
      <w:r w:rsidR="00E46854">
        <w:t>implications</w:t>
      </w:r>
      <w:r w:rsidR="000247DE" w:rsidRPr="00931E61">
        <w:t xml:space="preserve"> of HRMs </w:t>
      </w:r>
      <w:r w:rsidR="008E674C" w:rsidRPr="00931E61">
        <w:t>conducting full studies when decisions need to be made</w:t>
      </w:r>
      <w:r w:rsidR="00E46854">
        <w:t>. This</w:t>
      </w:r>
      <w:r w:rsidR="008E674C" w:rsidRPr="00931E61">
        <w:t xml:space="preserve"> is particularly the case when you consider </w:t>
      </w:r>
      <w:r w:rsidR="00E46854">
        <w:t xml:space="preserve">that </w:t>
      </w:r>
      <w:r w:rsidR="001709B5" w:rsidRPr="00931E61">
        <w:t>relevant (scientific) data is not always available</w:t>
      </w:r>
      <w:r w:rsidR="00E46854">
        <w:t xml:space="preserve">, requiring </w:t>
      </w:r>
      <w:r w:rsidR="00205FDA" w:rsidRPr="00931E61">
        <w:t xml:space="preserve">HRMs to gather </w:t>
      </w:r>
      <w:r w:rsidR="00E46854">
        <w:t>their own</w:t>
      </w:r>
      <w:r w:rsidR="00205FDA" w:rsidRPr="00931E61">
        <w:t xml:space="preserve"> evidence</w:t>
      </w:r>
      <w:r w:rsidR="00B97806" w:rsidRPr="00931E61">
        <w:t xml:space="preserve"> (Barends, Rousseau &amp; Briner, 2014; </w:t>
      </w:r>
      <w:r w:rsidR="00AB367D" w:rsidRPr="00931E61">
        <w:t>Briner &amp; Rousseau</w:t>
      </w:r>
      <w:r w:rsidR="00AB367D">
        <w:t xml:space="preserve">, 2011; </w:t>
      </w:r>
      <w:r w:rsidR="00B97806">
        <w:t>Gill, 2018)</w:t>
      </w:r>
      <w:r w:rsidR="00AB367D">
        <w:t xml:space="preserve">. </w:t>
      </w:r>
      <w:r w:rsidR="00E46854">
        <w:t>This</w:t>
      </w:r>
      <w:r w:rsidR="00AB367D">
        <w:t xml:space="preserve"> leads to </w:t>
      </w:r>
      <w:r w:rsidR="00EF13DF">
        <w:t xml:space="preserve">secondary data </w:t>
      </w:r>
      <w:r w:rsidR="00E46854">
        <w:t>being</w:t>
      </w:r>
      <w:r w:rsidR="00EF13DF">
        <w:t xml:space="preserve"> less readily available for other professionals to use</w:t>
      </w:r>
      <w:r w:rsidR="00A61D9A">
        <w:t xml:space="preserve"> (Briner &amp; Rousseau</w:t>
      </w:r>
      <w:r w:rsidR="00046EC6">
        <w:t>, 2011</w:t>
      </w:r>
      <w:r w:rsidR="00A61D9A">
        <w:t xml:space="preserve">). This </w:t>
      </w:r>
      <w:r w:rsidR="00046EC6">
        <w:t>then</w:t>
      </w:r>
      <w:r w:rsidR="00A61D9A">
        <w:t xml:space="preserve"> leav</w:t>
      </w:r>
      <w:r w:rsidR="00B7528F">
        <w:t>es</w:t>
      </w:r>
      <w:r w:rsidR="00A61D9A">
        <w:t xml:space="preserve"> HRMs with</w:t>
      </w:r>
      <w:r w:rsidR="00DF6976">
        <w:t xml:space="preserve"> academic literature as evidence, </w:t>
      </w:r>
      <w:r w:rsidR="00DF6976" w:rsidRPr="00280983">
        <w:t>which is not always relevant to the</w:t>
      </w:r>
      <w:r w:rsidR="00046EC6" w:rsidRPr="00280983">
        <w:t>ir</w:t>
      </w:r>
      <w:r w:rsidR="00DF6976" w:rsidRPr="00280983">
        <w:t xml:space="preserve"> workplace (George, 2014).</w:t>
      </w:r>
    </w:p>
    <w:p w14:paraId="7B7CB7F0" w14:textId="3C9EB13C" w:rsidR="001824EB" w:rsidRDefault="00E45D60">
      <w:pPr>
        <w:rPr>
          <w:b/>
          <w:bCs/>
        </w:rPr>
      </w:pPr>
      <w:r>
        <w:rPr>
          <w:b/>
          <w:bCs/>
        </w:rPr>
        <w:t>AC 1.2</w:t>
      </w:r>
    </w:p>
    <w:p w14:paraId="699BCE28" w14:textId="2E9C451A" w:rsidR="00553C56" w:rsidRDefault="00A01DD8">
      <w:r>
        <w:t>The</w:t>
      </w:r>
      <w:r w:rsidR="00553C56">
        <w:t xml:space="preserve"> first </w:t>
      </w:r>
      <w:r w:rsidR="00574E13">
        <w:t>steps</w:t>
      </w:r>
      <w:r w:rsidR="00553C56">
        <w:t xml:space="preserve"> towards </w:t>
      </w:r>
      <w:r w:rsidR="00C025FB">
        <w:t xml:space="preserve">EBP </w:t>
      </w:r>
      <w:r w:rsidR="00574E13">
        <w:t>are</w:t>
      </w:r>
      <w:r w:rsidR="00553C56">
        <w:t xml:space="preserve"> correctly </w:t>
      </w:r>
      <w:r w:rsidR="00F53315">
        <w:t xml:space="preserve">identifying an issue, challenge or opportunity that requires action or change </w:t>
      </w:r>
      <w:r w:rsidR="00574E13">
        <w:t>and collecting</w:t>
      </w:r>
      <w:r w:rsidR="00126971">
        <w:t xml:space="preserve"> evidence to support it </w:t>
      </w:r>
      <w:r w:rsidR="00B7528F">
        <w:t xml:space="preserve">– Steps 1 and 2 in </w:t>
      </w:r>
      <w:r w:rsidR="005F3E90">
        <w:t xml:space="preserve">Barends, Rousseau and Briner’s (2014) model </w:t>
      </w:r>
      <w:r w:rsidR="00F53315">
        <w:t xml:space="preserve">(Stannard, 2021). </w:t>
      </w:r>
      <w:r w:rsidR="0028482F">
        <w:t xml:space="preserve">The function of </w:t>
      </w:r>
      <w:r w:rsidR="00C237AB">
        <w:t>these stages are</w:t>
      </w:r>
      <w:r w:rsidR="0028482F">
        <w:t xml:space="preserve"> to identify the problem which needs solving using evidence, considering the ideal solution/outcome (Barends &amp; Rouss</w:t>
      </w:r>
      <w:r w:rsidR="00AF6D7B">
        <w:t>eau, 2018).</w:t>
      </w:r>
    </w:p>
    <w:p w14:paraId="0D405E70" w14:textId="77777777" w:rsidR="00196D38" w:rsidRDefault="00AF6D7B">
      <w:r>
        <w:t xml:space="preserve">In </w:t>
      </w:r>
      <w:r w:rsidR="000D59C9">
        <w:t>HR</w:t>
      </w:r>
      <w:r>
        <w:t>, there are a number of popular tools for analysing issues, challenges and opportunities within an organisation – such as PESTLE and Porter’s Five Forces</w:t>
      </w:r>
      <w:r w:rsidR="00F15B65">
        <w:t xml:space="preserve"> (Porter, 1979; Reding, 2023). </w:t>
      </w:r>
    </w:p>
    <w:p w14:paraId="6CC62881" w14:textId="038CF353" w:rsidR="00AF6D7B" w:rsidRDefault="00F15B65">
      <w:r>
        <w:t xml:space="preserve">Arguably, one of the most commonly used tool is SWOT </w:t>
      </w:r>
      <w:r w:rsidR="00E91270">
        <w:t>a</w:t>
      </w:r>
      <w:r>
        <w:t>nalysis</w:t>
      </w:r>
      <w:r w:rsidR="00196D38">
        <w:t xml:space="preserve"> (</w:t>
      </w:r>
      <w:r w:rsidR="003226F7">
        <w:t xml:space="preserve">du Toit, 2016; </w:t>
      </w:r>
      <w:r w:rsidR="00196D38">
        <w:t>Fehringer, Hohhof &amp; Jo</w:t>
      </w:r>
      <w:r w:rsidR="003226F7">
        <w:t>hnson, 2006).</w:t>
      </w:r>
      <w:r w:rsidR="00DE4CB7">
        <w:t xml:space="preserve"> </w:t>
      </w:r>
    </w:p>
    <w:p w14:paraId="4242C059" w14:textId="6F738C96" w:rsidR="001544D3" w:rsidRPr="00200C9C" w:rsidRDefault="001544D3">
      <w:r w:rsidRPr="00200C9C">
        <w:t>SWOT analysis</w:t>
      </w:r>
      <w:r w:rsidR="00E91270" w:rsidRPr="00200C9C">
        <w:t xml:space="preserve"> is a tool which has been used since as far back as the 1960s and stands for strengths, weaknesses, opportunities and threats (</w:t>
      </w:r>
      <w:r w:rsidR="00F57851" w:rsidRPr="00200C9C">
        <w:t xml:space="preserve">CIPD, 2014; </w:t>
      </w:r>
      <w:proofErr w:type="spellStart"/>
      <w:r w:rsidR="00E91270" w:rsidRPr="00200C9C">
        <w:t>Phadermrod</w:t>
      </w:r>
      <w:proofErr w:type="spellEnd"/>
      <w:r w:rsidR="00E91270" w:rsidRPr="00200C9C">
        <w:t>, Crowder &amp; Wills, 2019</w:t>
      </w:r>
      <w:r w:rsidR="00F57851" w:rsidRPr="00200C9C">
        <w:t>).</w:t>
      </w:r>
      <w:r w:rsidR="00174453" w:rsidRPr="00200C9C">
        <w:t xml:space="preserve"> The four aspects </w:t>
      </w:r>
      <w:r w:rsidR="00B42C1A">
        <w:t xml:space="preserve">are </w:t>
      </w:r>
      <w:r w:rsidR="00A5223E" w:rsidRPr="00200C9C">
        <w:t xml:space="preserve">used to guide analysis of an organisation’s resources and environment (Samejima </w:t>
      </w:r>
      <w:r w:rsidR="00A5223E" w:rsidRPr="00200C9C">
        <w:rPr>
          <w:i/>
          <w:iCs/>
        </w:rPr>
        <w:t>et al</w:t>
      </w:r>
      <w:r w:rsidR="00A5223E" w:rsidRPr="00200C9C">
        <w:t>., 2006).</w:t>
      </w:r>
      <w:r w:rsidR="00174453" w:rsidRPr="00200C9C">
        <w:t xml:space="preserve"> </w:t>
      </w:r>
    </w:p>
    <w:p w14:paraId="3AD77418" w14:textId="6A744ACE" w:rsidR="00B74BAC" w:rsidRDefault="00A5223E">
      <w:r w:rsidRPr="00200C9C">
        <w:t xml:space="preserve">SWOT analysis is widely appraised for </w:t>
      </w:r>
      <w:r w:rsidR="00B42C1A" w:rsidRPr="00200C9C">
        <w:t>its</w:t>
      </w:r>
      <w:r w:rsidRPr="00200C9C">
        <w:t xml:space="preserve"> simplicity, something which has clearly maintained </w:t>
      </w:r>
      <w:proofErr w:type="spellStart"/>
      <w:r w:rsidRPr="00200C9C">
        <w:t>it’s</w:t>
      </w:r>
      <w:proofErr w:type="spellEnd"/>
      <w:r w:rsidRPr="00200C9C">
        <w:t xml:space="preserve"> popularity since it was originally used in the 1960s (Piercy &amp; Giles, 1989; </w:t>
      </w:r>
      <w:proofErr w:type="spellStart"/>
      <w:r w:rsidRPr="00200C9C">
        <w:t>Puyt</w:t>
      </w:r>
      <w:proofErr w:type="spellEnd"/>
      <w:r w:rsidRPr="00200C9C">
        <w:t xml:space="preserve">, Lie &amp; </w:t>
      </w:r>
      <w:proofErr w:type="spellStart"/>
      <w:r w:rsidRPr="00200C9C">
        <w:t>Wilderom</w:t>
      </w:r>
      <w:proofErr w:type="spellEnd"/>
      <w:r w:rsidRPr="00200C9C">
        <w:t xml:space="preserve">, </w:t>
      </w:r>
      <w:r w:rsidRPr="00200C9C">
        <w:lastRenderedPageBreak/>
        <w:t xml:space="preserve">2023; Wilson &amp; Gilligan, 2005). </w:t>
      </w:r>
      <w:r w:rsidR="00076224">
        <w:t xml:space="preserve">The simplicity of SWOT means it is </w:t>
      </w:r>
      <w:r w:rsidR="00D4770F">
        <w:t xml:space="preserve">flexible and can be applied to many settings. It </w:t>
      </w:r>
      <w:r w:rsidR="00D67C42">
        <w:t xml:space="preserve">can also be a </w:t>
      </w:r>
      <w:r w:rsidR="00076224">
        <w:t>highly cost-effective tool, as it can be implemented by anyone without need for consultation</w:t>
      </w:r>
      <w:r w:rsidR="007C7864">
        <w:t xml:space="preserve"> (Leigh, 2009).</w:t>
      </w:r>
    </w:p>
    <w:p w14:paraId="7A96334B" w14:textId="18EC8C5C" w:rsidR="005C6979" w:rsidRPr="00200C9C" w:rsidRDefault="00FE3FDC">
      <w:r w:rsidRPr="00200C9C">
        <w:t>Despite its praise, SWOT</w:t>
      </w:r>
      <w:r w:rsidR="0038118D" w:rsidRPr="00200C9C">
        <w:t xml:space="preserve">, like all tools, has some limitations. </w:t>
      </w:r>
      <w:r w:rsidR="00010BC5" w:rsidRPr="00200C9C">
        <w:t xml:space="preserve">For example, SWOT </w:t>
      </w:r>
      <w:r w:rsidR="004D601D">
        <w:t>has been critiqued</w:t>
      </w:r>
      <w:r w:rsidR="00010BC5" w:rsidRPr="00200C9C">
        <w:t xml:space="preserve"> for </w:t>
      </w:r>
      <w:r w:rsidR="008C24BA" w:rsidRPr="00200C9C">
        <w:t xml:space="preserve">focussing solely on the organisation’s point of view, rather than encouraging </w:t>
      </w:r>
      <w:r w:rsidR="00B83334" w:rsidRPr="00200C9C">
        <w:t>professionals to evaluate through the eyes of staff/customers (Piercy &amp; Giles, 1989; Wilson &amp; Gilligan, 2005).</w:t>
      </w:r>
      <w:r w:rsidR="004F58B6" w:rsidRPr="00200C9C">
        <w:t xml:space="preserve"> </w:t>
      </w:r>
      <w:r w:rsidR="00E12FE2">
        <w:t>However</w:t>
      </w:r>
      <w:r w:rsidR="004F58B6" w:rsidRPr="00200C9C">
        <w:t>, like with other analysis tools, SWOT is only effective if actions are implemented as a follow up of the review</w:t>
      </w:r>
      <w:r w:rsidR="00215C39" w:rsidRPr="00200C9C">
        <w:t xml:space="preserve"> (Gurl, 2017).</w:t>
      </w:r>
      <w:r w:rsidR="00DD0582">
        <w:t xml:space="preserve"> However, </w:t>
      </w:r>
      <w:r w:rsidR="003F1134">
        <w:t>as</w:t>
      </w:r>
      <w:r w:rsidR="00DD0582">
        <w:t xml:space="preserve"> a user-friendly tool </w:t>
      </w:r>
      <w:r w:rsidR="003D0E51">
        <w:t xml:space="preserve">to </w:t>
      </w:r>
      <w:r w:rsidR="003630C9">
        <w:t>analyse issues, SWOT is a strong place to start</w:t>
      </w:r>
      <w:r w:rsidR="00496D86">
        <w:t>.</w:t>
      </w:r>
    </w:p>
    <w:p w14:paraId="79BE810C" w14:textId="0313DBA5" w:rsidR="00961E31" w:rsidRPr="009E1558" w:rsidRDefault="007E31BA">
      <w:r w:rsidRPr="00200C9C">
        <w:t>A range of analysis methods are available to sample data within an organisation</w:t>
      </w:r>
      <w:r w:rsidR="009210BF" w:rsidRPr="00200C9C">
        <w:t xml:space="preserve"> – one of which being conducting interviews with stakeholders/employees (Rousseau &amp; Briner, 2014).</w:t>
      </w:r>
      <w:r w:rsidR="006D656A" w:rsidRPr="00200C9C">
        <w:t xml:space="preserve"> Interviews can be an extremely useful way of collecting data, as they allow for the interviewer </w:t>
      </w:r>
      <w:r w:rsidR="0024180E" w:rsidRPr="00200C9C">
        <w:t xml:space="preserve">to ensure they gain the information they set out to (Taylor &amp; Bogdan, 1984). </w:t>
      </w:r>
      <w:r w:rsidR="004104CA" w:rsidRPr="00200C9C">
        <w:t xml:space="preserve">They allow for conversation to be </w:t>
      </w:r>
      <w:r w:rsidR="00B83CC7">
        <w:t>redirected</w:t>
      </w:r>
      <w:r w:rsidR="004104CA" w:rsidRPr="00200C9C">
        <w:t xml:space="preserve"> if the planned questions/conversation starters are not </w:t>
      </w:r>
      <w:r w:rsidR="00C67E55" w:rsidRPr="00200C9C">
        <w:t>extracting the correct information</w:t>
      </w:r>
      <w:r w:rsidR="00267605" w:rsidRPr="00200C9C">
        <w:t xml:space="preserve"> (Cohen, Manion &amp; Morrison, 2018). This means, although interviews can be time consuming</w:t>
      </w:r>
      <w:r w:rsidR="007A7BF9" w:rsidRPr="00200C9C">
        <w:t xml:space="preserve"> </w:t>
      </w:r>
      <w:r w:rsidR="00267605" w:rsidRPr="00200C9C">
        <w:t>in comparison to</w:t>
      </w:r>
      <w:r w:rsidR="007A7BF9" w:rsidRPr="00200C9C">
        <w:t xml:space="preserve"> methods such as</w:t>
      </w:r>
      <w:r w:rsidR="00267605" w:rsidRPr="00200C9C">
        <w:t xml:space="preserve"> questionnaires</w:t>
      </w:r>
      <w:r w:rsidR="00B83CC7">
        <w:t xml:space="preserve"> (particularly when conducting interviews with employees, meaning time out of work)</w:t>
      </w:r>
      <w:r w:rsidR="007A7BF9" w:rsidRPr="00200C9C">
        <w:t>, the additional time pays off in the end as the data collected can be far richer</w:t>
      </w:r>
      <w:r w:rsidR="00135E2D" w:rsidRPr="00200C9C">
        <w:t xml:space="preserve"> (Kallio </w:t>
      </w:r>
      <w:r w:rsidR="00135E2D" w:rsidRPr="00200C9C">
        <w:rPr>
          <w:i/>
          <w:iCs/>
        </w:rPr>
        <w:t>et al</w:t>
      </w:r>
      <w:r w:rsidR="00135E2D" w:rsidRPr="00200C9C">
        <w:t>., 2016).</w:t>
      </w:r>
      <w:r w:rsidR="009E1558" w:rsidRPr="00200C9C">
        <w:t xml:space="preserve"> </w:t>
      </w:r>
      <w:r w:rsidR="00E12FE2">
        <w:t>T</w:t>
      </w:r>
      <w:r w:rsidR="009E1558" w:rsidRPr="00200C9C">
        <w:t xml:space="preserve">he benefits discussed here do refer specifically to </w:t>
      </w:r>
      <w:r w:rsidR="009E1558" w:rsidRPr="00200C9C">
        <w:rPr>
          <w:i/>
          <w:iCs/>
        </w:rPr>
        <w:t xml:space="preserve">semi-structured </w:t>
      </w:r>
      <w:r w:rsidR="009E1558" w:rsidRPr="00200C9C">
        <w:t>interviews</w:t>
      </w:r>
      <w:r w:rsidR="00E56375" w:rsidRPr="00200C9C">
        <w:t xml:space="preserve"> – as it’s this type that gives interviewers the freedom to make on the spot changes </w:t>
      </w:r>
      <w:r w:rsidR="00CD4623" w:rsidRPr="00200C9C">
        <w:t>(Cohen, Manion &amp; Morrison, 2018).</w:t>
      </w:r>
      <w:r w:rsidR="007B7B18">
        <w:t xml:space="preserve"> However, specifically in terms of conducting interviews with employees, researchers must ensure interviews are conducted in a private room within the workplace, similar to in Miyata, Arai </w:t>
      </w:r>
      <w:r w:rsidR="00ED2229">
        <w:t>&amp;</w:t>
      </w:r>
      <w:r w:rsidR="007B7B18">
        <w:t xml:space="preserve"> Suga’s (2014) workplace research. This </w:t>
      </w:r>
      <w:r w:rsidR="004E3017">
        <w:t>maintains the privacy of employees who are participating in a study.</w:t>
      </w:r>
    </w:p>
    <w:p w14:paraId="0A1FD3C9" w14:textId="407D6C61" w:rsidR="001824EB" w:rsidRDefault="00E45D60">
      <w:pPr>
        <w:rPr>
          <w:b/>
          <w:bCs/>
        </w:rPr>
      </w:pPr>
      <w:r>
        <w:rPr>
          <w:b/>
          <w:bCs/>
        </w:rPr>
        <w:t>AC 1.3</w:t>
      </w:r>
    </w:p>
    <w:p w14:paraId="0495482F" w14:textId="748586E7" w:rsidR="00485BA5" w:rsidRDefault="0087544B">
      <w:r>
        <w:t>Critical thinking</w:t>
      </w:r>
      <w:r w:rsidR="00B577A0">
        <w:t xml:space="preserve"> is vital to ensure </w:t>
      </w:r>
      <w:r w:rsidR="008D173C">
        <w:t xml:space="preserve">EBP is constructed using objective and rational thinking. </w:t>
      </w:r>
      <w:r>
        <w:t>This means</w:t>
      </w:r>
      <w:r w:rsidR="008D173C">
        <w:t xml:space="preserve"> that decisions made by HRMs are based </w:t>
      </w:r>
      <w:r w:rsidR="00DC245F">
        <w:t>entirely on the evidence collected</w:t>
      </w:r>
      <w:r w:rsidR="002B1CA3">
        <w:t xml:space="preserve">, truth and fact </w:t>
      </w:r>
      <w:r w:rsidR="00C30A15">
        <w:t>(Howlett &amp; Coburn, 2019).</w:t>
      </w:r>
      <w:r w:rsidR="00485BA5" w:rsidRPr="00485BA5">
        <w:t xml:space="preserve"> </w:t>
      </w:r>
      <w:r w:rsidR="002B1CA3">
        <w:t>For</w:t>
      </w:r>
      <w:r w:rsidR="00CD5EBC">
        <w:t xml:space="preserve"> professionals to make these decisions, it’s vital any evidence used is critically</w:t>
      </w:r>
      <w:r w:rsidR="00EC5BF0">
        <w:t xml:space="preserve"> reviewed for suitability and legitimacy – as encouraged in Step 3 of Barends, Rousseau and Briner’s </w:t>
      </w:r>
      <w:r w:rsidR="002B121F">
        <w:t>(2014) model.</w:t>
      </w:r>
    </w:p>
    <w:p w14:paraId="718F0F12" w14:textId="7D4EF05F" w:rsidR="002B121F" w:rsidRDefault="007B305D">
      <w:r>
        <w:t xml:space="preserve">A major principle of critical thinking is ensuring validity, </w:t>
      </w:r>
      <w:r w:rsidR="00CF59E5">
        <w:t>meaning to ensure that sources used are authentic and reliable</w:t>
      </w:r>
      <w:r w:rsidR="00C25381">
        <w:t xml:space="preserve">, so </w:t>
      </w:r>
      <w:r w:rsidR="007E294C">
        <w:t>results can be trusted</w:t>
      </w:r>
      <w:r w:rsidR="00CF59E5">
        <w:t xml:space="preserve"> </w:t>
      </w:r>
      <w:r w:rsidR="00FE30B3">
        <w:t>(</w:t>
      </w:r>
      <w:r w:rsidR="007E294C">
        <w:t>Bans-</w:t>
      </w:r>
      <w:proofErr w:type="spellStart"/>
      <w:r w:rsidR="007E294C">
        <w:t>Akutey</w:t>
      </w:r>
      <w:proofErr w:type="spellEnd"/>
      <w:r w:rsidR="00B171C5">
        <w:t xml:space="preserve"> &amp; Tiimub, 2021; </w:t>
      </w:r>
      <w:r w:rsidR="009B7596">
        <w:t xml:space="preserve">Cottrell, 2023; </w:t>
      </w:r>
      <w:r w:rsidR="00FE30B3">
        <w:t>Taylor &amp; Woodhams, 2022</w:t>
      </w:r>
      <w:r w:rsidR="009B7596">
        <w:t>)</w:t>
      </w:r>
      <w:r w:rsidR="00F93DA6">
        <w:t xml:space="preserve">. The first step towards </w:t>
      </w:r>
      <w:r w:rsidR="00D877C0">
        <w:t>this is to consider where data is coming from</w:t>
      </w:r>
      <w:r w:rsidR="00B73855">
        <w:t xml:space="preserve"> and </w:t>
      </w:r>
      <w:r w:rsidR="00C929D7">
        <w:t xml:space="preserve">whether those who have collected or published the </w:t>
      </w:r>
      <w:r w:rsidR="001C5278">
        <w:t>information (when using secondary data)</w:t>
      </w:r>
      <w:r w:rsidR="00C929D7">
        <w:t xml:space="preserve"> </w:t>
      </w:r>
      <w:r w:rsidR="004A4A95">
        <w:t>have an agenda – political or personal (Taylor &amp; Woodhams, 2022)</w:t>
      </w:r>
      <w:r w:rsidR="00786BC6">
        <w:t xml:space="preserve">. </w:t>
      </w:r>
      <w:r w:rsidR="00B73855">
        <w:t xml:space="preserve">Personal agenda </w:t>
      </w:r>
      <w:r w:rsidR="004A34F9">
        <w:t>must also be considered when collecting organisational</w:t>
      </w:r>
      <w:r w:rsidR="001C5278">
        <w:t xml:space="preserve"> or stakeholder data</w:t>
      </w:r>
      <w:r w:rsidR="00916264">
        <w:t>, as it’s vital to consider whether employees may</w:t>
      </w:r>
      <w:r w:rsidR="000D4A19">
        <w:t xml:space="preserve"> be inclined to share opinions rather than facts </w:t>
      </w:r>
      <w:r w:rsidR="008C7689">
        <w:t xml:space="preserve">in order to sway practice in their favour. For example, </w:t>
      </w:r>
      <w:r w:rsidR="0041784E">
        <w:t xml:space="preserve">Barod are currently reviewing their Agile Working Policy, with many employees wanting to have more freedom to work from home. It’s therefore likely they would </w:t>
      </w:r>
      <w:r w:rsidR="007054B5">
        <w:t xml:space="preserve">feed back that they believe staff are </w:t>
      </w:r>
      <w:r w:rsidR="007054B5" w:rsidRPr="007054B5">
        <w:rPr>
          <w:i/>
          <w:iCs/>
        </w:rPr>
        <w:t>more</w:t>
      </w:r>
      <w:r w:rsidR="007054B5">
        <w:t xml:space="preserve"> productive when working when from home</w:t>
      </w:r>
      <w:r w:rsidR="00D028F2">
        <w:t>, even if this isn’t the case, in order to influence the change they are hoping for.</w:t>
      </w:r>
      <w:r w:rsidR="002F0A4C">
        <w:t xml:space="preserve"> This is supported by </w:t>
      </w:r>
      <w:r w:rsidR="0037691E">
        <w:t xml:space="preserve">McCaul </w:t>
      </w:r>
      <w:r w:rsidR="00ED2229">
        <w:t>&amp;</w:t>
      </w:r>
      <w:r w:rsidR="0037691E">
        <w:t xml:space="preserve"> Wand’s (2018) findings that </w:t>
      </w:r>
      <w:r w:rsidR="00875CAC">
        <w:t>participants are not opposed to putting their own interests above the results of a study.</w:t>
      </w:r>
    </w:p>
    <w:p w14:paraId="7CA24335" w14:textId="5379412F" w:rsidR="009629C6" w:rsidRDefault="009629C6">
      <w:r>
        <w:lastRenderedPageBreak/>
        <w:t xml:space="preserve">One </w:t>
      </w:r>
      <w:r w:rsidR="0050725A">
        <w:t>way</w:t>
      </w:r>
      <w:r w:rsidR="00641323">
        <w:t xml:space="preserve"> to maximise </w:t>
      </w:r>
      <w:r w:rsidR="007A28E0">
        <w:t xml:space="preserve">legitimacy of data used </w:t>
      </w:r>
      <w:r w:rsidR="0034617D">
        <w:t xml:space="preserve">and validate results </w:t>
      </w:r>
      <w:r w:rsidR="007A28E0">
        <w:t xml:space="preserve">is </w:t>
      </w:r>
      <w:r w:rsidR="0050725A">
        <w:t xml:space="preserve">through </w:t>
      </w:r>
      <w:r w:rsidR="007A28E0">
        <w:t>triangulat</w:t>
      </w:r>
      <w:r w:rsidR="00FB5992">
        <w:t>ion</w:t>
      </w:r>
      <w:r w:rsidR="007E3AFA">
        <w:t xml:space="preserve"> – meaning to use multiple research sources in order to increase the validity of decisions made</w:t>
      </w:r>
      <w:r w:rsidR="001727CD">
        <w:t xml:space="preserve"> (Bans-</w:t>
      </w:r>
      <w:proofErr w:type="spellStart"/>
      <w:r w:rsidR="001727CD">
        <w:t>Akutey</w:t>
      </w:r>
      <w:proofErr w:type="spellEnd"/>
      <w:r w:rsidR="001727CD">
        <w:t xml:space="preserve"> &amp; Tiimub</w:t>
      </w:r>
      <w:r w:rsidR="00AD25B4">
        <w:t>, 2021; Social Sciences Research Laboratories, 2018).</w:t>
      </w:r>
    </w:p>
    <w:p w14:paraId="2A9206E1" w14:textId="6A486D84" w:rsidR="001824EB" w:rsidRDefault="00E45D60">
      <w:pPr>
        <w:rPr>
          <w:b/>
          <w:bCs/>
        </w:rPr>
      </w:pPr>
      <w:r>
        <w:rPr>
          <w:b/>
          <w:bCs/>
        </w:rPr>
        <w:t>AC 1.4</w:t>
      </w:r>
    </w:p>
    <w:p w14:paraId="5C3776FD" w14:textId="37B26A94" w:rsidR="00E64B4E" w:rsidRDefault="00F80152">
      <w:r>
        <w:t>When</w:t>
      </w:r>
      <w:r w:rsidR="00A85635">
        <w:t xml:space="preserve"> a question has been asked and evidence has been collected, critiqued and analysed, it is time for </w:t>
      </w:r>
      <w:r w:rsidR="00E64B4E">
        <w:t xml:space="preserve">to apply the evidence to decision making – Step 5 of Barends, Rousseau </w:t>
      </w:r>
      <w:r w:rsidR="00ED2229">
        <w:t>&amp;</w:t>
      </w:r>
      <w:r w:rsidR="00E64B4E">
        <w:t xml:space="preserve"> Briner’s (2014) six-step evaluation model.</w:t>
      </w:r>
    </w:p>
    <w:p w14:paraId="5BE4677C" w14:textId="3BC6B802" w:rsidR="00C6488F" w:rsidRDefault="005272F8">
      <w:r>
        <w:t xml:space="preserve">One </w:t>
      </w:r>
      <w:r w:rsidR="00A83663">
        <w:t xml:space="preserve">highly-regarded decision-making process within </w:t>
      </w:r>
      <w:r w:rsidR="0005739A">
        <w:t xml:space="preserve">the professional world is De Bono’s Six Thinking Hats, which </w:t>
      </w:r>
      <w:r w:rsidR="00A05ED8">
        <w:t>has been in use since 1985 (</w:t>
      </w:r>
      <w:proofErr w:type="spellStart"/>
      <w:r w:rsidR="00A05ED8">
        <w:t>BiteSize</w:t>
      </w:r>
      <w:proofErr w:type="spellEnd"/>
      <w:r w:rsidR="00A05ED8">
        <w:t xml:space="preserve"> Learning, 2024</w:t>
      </w:r>
      <w:r w:rsidR="007A7CFC">
        <w:t>; De Bono</w:t>
      </w:r>
      <w:r w:rsidR="00F368EF">
        <w:t>, 2009</w:t>
      </w:r>
      <w:r w:rsidR="00A05ED8">
        <w:t>).</w:t>
      </w:r>
      <w:r w:rsidR="00D24243">
        <w:t xml:space="preserve"> </w:t>
      </w:r>
      <w:r w:rsidR="004170DA">
        <w:t>In</w:t>
      </w:r>
      <w:r w:rsidR="009019C9">
        <w:t xml:space="preserve"> De Bono’s concept</w:t>
      </w:r>
      <w:r w:rsidR="004170DA">
        <w:t>,</w:t>
      </w:r>
      <w:r w:rsidR="009019C9">
        <w:t xml:space="preserve"> there are six coloured hats, each of which represents a different way of considering a </w:t>
      </w:r>
      <w:r w:rsidR="001178DB">
        <w:t>problem or situation</w:t>
      </w:r>
      <w:r w:rsidR="00D31A56">
        <w:t xml:space="preserve"> (Payette &amp; Barnes, 2017).</w:t>
      </w:r>
      <w:r w:rsidR="001178DB">
        <w:t xml:space="preserve"> The process encourages thinking about something in </w:t>
      </w:r>
      <w:proofErr w:type="spellStart"/>
      <w:r w:rsidR="00D31A56">
        <w:t>mutliple</w:t>
      </w:r>
      <w:proofErr w:type="spellEnd"/>
      <w:r w:rsidR="005D3B90">
        <w:t xml:space="preserve"> ways: through a positive lens (yellow hat), a negative lens (black hat), a creative lens</w:t>
      </w:r>
      <w:r w:rsidR="00D07B79">
        <w:t xml:space="preserve"> (green hat), an emotional lens (red hat) and a fact-driven lens (white hat). </w:t>
      </w:r>
      <w:r w:rsidR="00A1233C">
        <w:t xml:space="preserve">These perspectives can be divided between a group where </w:t>
      </w:r>
      <w:r w:rsidR="00956763">
        <w:t>each</w:t>
      </w:r>
      <w:r w:rsidR="00A1233C">
        <w:t xml:space="preserve"> person focuses on one </w:t>
      </w:r>
      <w:r w:rsidR="00930A55">
        <w:t>‘hat’, or the tool can be used by one person who wants to ensure they are considering all angles (Payette &amp; Barnes, 2017).</w:t>
      </w:r>
      <w:r w:rsidR="003E508F">
        <w:t xml:space="preserve"> </w:t>
      </w:r>
      <w:r w:rsidR="00956763">
        <w:t xml:space="preserve">The tool is therefore extremely useful when making unbiased decisions within people practice. </w:t>
      </w:r>
      <w:r w:rsidR="00D07B79">
        <w:t xml:space="preserve">The sixth hat (blue) </w:t>
      </w:r>
      <w:r w:rsidR="00A1233C">
        <w:t xml:space="preserve">is then responsible for managing </w:t>
      </w:r>
      <w:r w:rsidR="003E508F">
        <w:t xml:space="preserve">the process and ensuring all hats are considered and that a conclusion is made. This aspect of the process </w:t>
      </w:r>
      <w:r w:rsidR="00180088">
        <w:t xml:space="preserve">would be more suited in a group setting, as one individual (the blue hat) </w:t>
      </w:r>
      <w:r w:rsidR="00BA7457">
        <w:t>c</w:t>
      </w:r>
      <w:r w:rsidR="00180088">
        <w:t>ould act as a mediator.</w:t>
      </w:r>
    </w:p>
    <w:p w14:paraId="634091AA" w14:textId="22DB392B" w:rsidR="00A05ED8" w:rsidRDefault="00C6488F">
      <w:r>
        <w:t>It</w:t>
      </w:r>
      <w:r w:rsidR="0029629D">
        <w:t xml:space="preserve"> is worth mentioning </w:t>
      </w:r>
      <w:r>
        <w:t>this process is still</w:t>
      </w:r>
      <w:r w:rsidR="0029629D">
        <w:t xml:space="preserve"> regularly used by professionals, </w:t>
      </w:r>
      <w:r w:rsidR="00A0045A">
        <w:t>including in</w:t>
      </w:r>
      <w:r w:rsidR="00272AB2">
        <w:t xml:space="preserve"> healthcare settings such as</w:t>
      </w:r>
      <w:r w:rsidR="0036249F">
        <w:t xml:space="preserve"> </w:t>
      </w:r>
      <w:r w:rsidR="00611E9D" w:rsidRPr="0036249F">
        <w:t>Wu</w:t>
      </w:r>
      <w:r w:rsidR="00611E9D">
        <w:t xml:space="preserve"> </w:t>
      </w:r>
      <w:r w:rsidR="00611E9D">
        <w:rPr>
          <w:i/>
          <w:iCs/>
        </w:rPr>
        <w:t>et al</w:t>
      </w:r>
      <w:r w:rsidR="00272AB2">
        <w:t>.’s (</w:t>
      </w:r>
      <w:r w:rsidR="0036249F">
        <w:t>2024)</w:t>
      </w:r>
      <w:r w:rsidR="00272AB2">
        <w:t xml:space="preserve"> study with medicine students, where the </w:t>
      </w:r>
      <w:r w:rsidR="00743A68">
        <w:t>tool was found to allow students to self-reflect quickly and eff</w:t>
      </w:r>
      <w:r w:rsidR="005F55D5">
        <w:t>ectively.</w:t>
      </w:r>
    </w:p>
    <w:p w14:paraId="55668591" w14:textId="127D27CC" w:rsidR="00B7692B" w:rsidRDefault="00B7692B">
      <w:r>
        <w:t xml:space="preserve">Another </w:t>
      </w:r>
      <w:r w:rsidR="00CA467D">
        <w:t>decision making method is the Deming Wheel – which is also known as the PDCA Cycle (Plan, Do, Check, Act).</w:t>
      </w:r>
      <w:r w:rsidR="00297961">
        <w:t xml:space="preserve"> The concept of this tool is to ensure </w:t>
      </w:r>
      <w:r w:rsidR="002B1ACD">
        <w:t>changes and improvements are continuous, in line with evaluation</w:t>
      </w:r>
      <w:r w:rsidR="00652B9A">
        <w:t xml:space="preserve"> (</w:t>
      </w:r>
      <w:proofErr w:type="spellStart"/>
      <w:r w:rsidR="00652B9A">
        <w:t>Platje</w:t>
      </w:r>
      <w:proofErr w:type="spellEnd"/>
      <w:r w:rsidR="00652B9A">
        <w:t xml:space="preserve"> &amp; Wadman, 1998)</w:t>
      </w:r>
      <w:r w:rsidR="002B1ACD">
        <w:t>.</w:t>
      </w:r>
    </w:p>
    <w:p w14:paraId="220A4AAE" w14:textId="58867BEA" w:rsidR="00FE105B" w:rsidRDefault="00997404">
      <w:r>
        <w:t xml:space="preserve">The Deming Wheel can be extremely beneficial as it encourages constant small changes, all of which are reviewed and then </w:t>
      </w:r>
      <w:r w:rsidR="00061A00">
        <w:t>acted upon again – whether the results were positive or negative.</w:t>
      </w:r>
      <w:r w:rsidR="0018334D">
        <w:t xml:space="preserve"> This method can be extremely useful when making larger organisational changes, as </w:t>
      </w:r>
      <w:r w:rsidR="00096237">
        <w:t xml:space="preserve">they can be implemented in smaller steps to maintain control and </w:t>
      </w:r>
      <w:r w:rsidR="00FC4419">
        <w:t>review impact</w:t>
      </w:r>
      <w:r w:rsidR="00EE515C">
        <w:t xml:space="preserve"> (Aggarwal, 2020</w:t>
      </w:r>
      <w:r w:rsidR="007B2D54">
        <w:t>; Willis, 2023</w:t>
      </w:r>
      <w:r w:rsidR="00EE515C">
        <w:t>)</w:t>
      </w:r>
      <w:r w:rsidR="00FC4419">
        <w:t>.</w:t>
      </w:r>
      <w:r w:rsidR="00FE105B">
        <w:t xml:space="preserve"> The method, however, may not be the best option for when</w:t>
      </w:r>
      <w:r w:rsidR="00AA67D8">
        <w:t xml:space="preserve"> </w:t>
      </w:r>
      <w:r w:rsidR="003F1134">
        <w:t>quick decisions are needed</w:t>
      </w:r>
      <w:r w:rsidR="00AA67D8">
        <w:t xml:space="preserve">, as it does require constant </w:t>
      </w:r>
      <w:r w:rsidR="00135C70">
        <w:t>new actions and decisions</w:t>
      </w:r>
      <w:r w:rsidR="007B2D54">
        <w:t xml:space="preserve"> (</w:t>
      </w:r>
      <w:proofErr w:type="spellStart"/>
      <w:r w:rsidR="007B2D54">
        <w:t>Platje</w:t>
      </w:r>
      <w:proofErr w:type="spellEnd"/>
      <w:r w:rsidR="007B2D54">
        <w:t xml:space="preserve"> &amp; Wadman, 1998)</w:t>
      </w:r>
      <w:r w:rsidR="00135C70">
        <w:t>.</w:t>
      </w:r>
    </w:p>
    <w:p w14:paraId="4CF73B5B" w14:textId="6DADBE97" w:rsidR="005272F8" w:rsidRDefault="00BF7E44">
      <w:r>
        <w:t xml:space="preserve">The final decision making method we are going to explore is </w:t>
      </w:r>
      <w:r w:rsidR="00095268">
        <w:t>Kepner-Tregoe. This highly-acclaimed method involves</w:t>
      </w:r>
      <w:r w:rsidR="007F3584">
        <w:t xml:space="preserve"> analysing a situation, defining what the problem is and what has caused it, exploring a range of </w:t>
      </w:r>
      <w:r w:rsidR="00F744E5">
        <w:t xml:space="preserve">alternative options/solutions in terms of potential risks and finally deciding on the best option </w:t>
      </w:r>
      <w:r w:rsidR="00871B03">
        <w:t>and ensuring actions are implemented to reduce proposed risks</w:t>
      </w:r>
      <w:r w:rsidR="00FD0176">
        <w:t xml:space="preserve"> (Parker &amp; Moseley, 2008)</w:t>
      </w:r>
      <w:r w:rsidR="00871B03">
        <w:t>.</w:t>
      </w:r>
      <w:r w:rsidR="006B1C7B">
        <w:t xml:space="preserve"> This method is extremely popular within organisations as it encourages professionals to pre-empt </w:t>
      </w:r>
      <w:r w:rsidR="005B392C">
        <w:t>problems that may arise, however this expectedly means that the method can be time-consuming</w:t>
      </w:r>
      <w:r w:rsidR="003A28A2">
        <w:t xml:space="preserve"> (Hall, 2013)</w:t>
      </w:r>
      <w:r w:rsidR="00FD0176">
        <w:t>.</w:t>
      </w:r>
      <w:r w:rsidR="00095268">
        <w:t xml:space="preserve"> </w:t>
      </w:r>
    </w:p>
    <w:p w14:paraId="5501DBC7" w14:textId="03BAAB3F" w:rsidR="001824EB" w:rsidRDefault="00E45D60">
      <w:pPr>
        <w:rPr>
          <w:b/>
          <w:bCs/>
        </w:rPr>
      </w:pPr>
      <w:r>
        <w:rPr>
          <w:b/>
          <w:bCs/>
        </w:rPr>
        <w:t>AC 1.5</w:t>
      </w:r>
    </w:p>
    <w:p w14:paraId="54ECD946" w14:textId="3A4CB559" w:rsidR="00FD1DD4" w:rsidRDefault="00FD1DD4">
      <w:r w:rsidRPr="00FD1DD4">
        <w:t>One ethi</w:t>
      </w:r>
      <w:r>
        <w:t xml:space="preserve">cal perspective is </w:t>
      </w:r>
      <w:r w:rsidR="006D49AC">
        <w:t>Kant’s (1785) d</w:t>
      </w:r>
      <w:r>
        <w:t>eontological theory</w:t>
      </w:r>
      <w:r w:rsidR="007022F1">
        <w:t xml:space="preserve"> (which focuses on rights, duties and fairness)</w:t>
      </w:r>
      <w:r w:rsidR="00C70BB7">
        <w:t>, which</w:t>
      </w:r>
      <w:r w:rsidR="001A7F2C">
        <w:t xml:space="preserve"> </w:t>
      </w:r>
      <w:r w:rsidR="00C70BB7">
        <w:t>suggests that all decisions should be made with the sole consideration of what is morally correc</w:t>
      </w:r>
      <w:r w:rsidR="00DB0EBA">
        <w:t>t – rather than considering the impact a decision can have (Regoli, 2019)</w:t>
      </w:r>
      <w:r w:rsidR="00A80A9A">
        <w:t xml:space="preserve">. This theory is acclaimed for </w:t>
      </w:r>
      <w:r w:rsidR="00710DEA">
        <w:t>its</w:t>
      </w:r>
      <w:r w:rsidR="00A80A9A">
        <w:t xml:space="preserve"> simplicity </w:t>
      </w:r>
      <w:r w:rsidR="00FB1617">
        <w:t>and the certainty that it provides (</w:t>
      </w:r>
      <w:proofErr w:type="spellStart"/>
      <w:r w:rsidR="00DF1546">
        <w:t>Ombanda</w:t>
      </w:r>
      <w:proofErr w:type="spellEnd"/>
      <w:r w:rsidR="00DF1546">
        <w:t xml:space="preserve"> &amp; </w:t>
      </w:r>
      <w:proofErr w:type="spellStart"/>
      <w:r w:rsidR="00DF1546">
        <w:lastRenderedPageBreak/>
        <w:t>K’Obonvo</w:t>
      </w:r>
      <w:proofErr w:type="spellEnd"/>
      <w:r w:rsidR="00DF1546">
        <w:t>, 2019; Regoli, 2019).</w:t>
      </w:r>
      <w:r w:rsidR="00E40C0D">
        <w:t xml:space="preserve"> However, deontology does not allow</w:t>
      </w:r>
      <w:r w:rsidR="00291DDA">
        <w:t xml:space="preserve"> for any exceptions to rules when making decisions, meaning that it arguably does not have consideration for individuals involved in scenarios and reasoning as to why something as happened (Regoli, 2019).</w:t>
      </w:r>
      <w:r w:rsidR="00E02A6D">
        <w:t xml:space="preserve"> </w:t>
      </w:r>
    </w:p>
    <w:p w14:paraId="771D5B68" w14:textId="41064F44" w:rsidR="006864B9" w:rsidRDefault="006864B9">
      <w:r>
        <w:t>Moving on, utilitarianism theory is arguably the opposite to deontology as it encourages decision making to be based on the consequences</w:t>
      </w:r>
      <w:r w:rsidR="00681312">
        <w:t xml:space="preserve"> (working to focus on the wellbeing of those involved)</w:t>
      </w:r>
      <w:r w:rsidR="002C30CE">
        <w:t>. Ut</w:t>
      </w:r>
      <w:r w:rsidR="00CD7B47">
        <w:t xml:space="preserve">ilitarianism is appraised for </w:t>
      </w:r>
      <w:proofErr w:type="spellStart"/>
      <w:r w:rsidR="00CD7B47">
        <w:t>it’s</w:t>
      </w:r>
      <w:proofErr w:type="spellEnd"/>
      <w:r w:rsidR="00CD7B47">
        <w:t xml:space="preserve"> consideration of all individuals that may be impacted by a decision</w:t>
      </w:r>
      <w:r w:rsidR="00352145">
        <w:t xml:space="preserve"> – something which can be key when making decisions within an organisation where there are numerous stakeholders, from clients/customers to staff.</w:t>
      </w:r>
      <w:r w:rsidR="005E4E54">
        <w:t xml:space="preserve"> Morally, however, it can be argued that utilitarianism may rely on immoral decisions in order to </w:t>
      </w:r>
      <w:r w:rsidR="009F4E78">
        <w:t>consider everyone involved</w:t>
      </w:r>
      <w:r w:rsidR="0061303F">
        <w:t>.</w:t>
      </w:r>
      <w:r w:rsidR="007A6253">
        <w:t xml:space="preserve"> An example of a utilitarian decision in organisations is setting up an employee of the month award – something which would have positive consequences </w:t>
      </w:r>
      <w:r w:rsidR="00F90E26">
        <w:t xml:space="preserve">in terms of someone achieving the award, </w:t>
      </w:r>
      <w:r w:rsidR="007A6253">
        <w:t xml:space="preserve">but </w:t>
      </w:r>
      <w:r w:rsidR="00F90E26">
        <w:t>may necessarily cause some employees stress in trying (and failing) to win the award themselves</w:t>
      </w:r>
      <w:r w:rsidR="00774349">
        <w:t xml:space="preserve"> (</w:t>
      </w:r>
      <w:proofErr w:type="spellStart"/>
      <w:r w:rsidR="00774349">
        <w:t>Klikauer</w:t>
      </w:r>
      <w:proofErr w:type="spellEnd"/>
      <w:r w:rsidR="00774349">
        <w:t>, 2014)</w:t>
      </w:r>
      <w:r w:rsidR="00F90E26">
        <w:t>.</w:t>
      </w:r>
    </w:p>
    <w:p w14:paraId="1667451C" w14:textId="4F2CDA52" w:rsidR="00361E73" w:rsidRDefault="00361E73">
      <w:r>
        <w:t>The final theory to be considered is Equity theory, which is based on fairness</w:t>
      </w:r>
      <w:r w:rsidR="003C324F">
        <w:t xml:space="preserve"> over merit</w:t>
      </w:r>
      <w:r w:rsidR="00770FB0">
        <w:t xml:space="preserve"> (Shi &amp; Shaw, 2024)</w:t>
      </w:r>
      <w:r w:rsidR="001060C4">
        <w:t>.</w:t>
      </w:r>
      <w:r w:rsidR="00643579">
        <w:t xml:space="preserve"> As a workplace example, </w:t>
      </w:r>
      <w:r w:rsidR="00EE4CE4">
        <w:t xml:space="preserve">this would mean all employees are paid equally </w:t>
      </w:r>
      <w:r w:rsidR="00696520">
        <w:t xml:space="preserve">for equal distribution of tasks. However, possible </w:t>
      </w:r>
      <w:r w:rsidR="003F1134">
        <w:t>issues</w:t>
      </w:r>
      <w:r w:rsidR="00696520">
        <w:t xml:space="preserve"> could arise here if employees who are paid equally do not put in equal effort – causing the harder working individual to </w:t>
      </w:r>
      <w:r w:rsidR="00E804FF">
        <w:t>lose motivation, as they feel they would be rewarded at the same level for doing less work.</w:t>
      </w:r>
    </w:p>
    <w:p w14:paraId="40BF1062" w14:textId="3BC64404" w:rsidR="001824EB" w:rsidRDefault="00E45D60">
      <w:pPr>
        <w:rPr>
          <w:b/>
          <w:bCs/>
        </w:rPr>
      </w:pPr>
      <w:r>
        <w:rPr>
          <w:b/>
          <w:bCs/>
        </w:rPr>
        <w:t>AC 3.1</w:t>
      </w:r>
    </w:p>
    <w:p w14:paraId="399C0EB8" w14:textId="5388BE8E" w:rsidR="00770889" w:rsidRDefault="00770889">
      <w:r>
        <w:t>Performance management</w:t>
      </w:r>
      <w:r w:rsidR="004D0FB6">
        <w:t xml:space="preserve"> is vital when in HRM as it ensures good quality performance is maintained by staff, and allows managers to make decisions </w:t>
      </w:r>
      <w:r w:rsidR="000E7A83">
        <w:t xml:space="preserve">related to rewards, career progression and disciplinary action based on </w:t>
      </w:r>
      <w:r w:rsidR="00592F24">
        <w:t xml:space="preserve">evidence of </w:t>
      </w:r>
      <w:r w:rsidR="00DD3EF9">
        <w:t>employees’ work (Gifford, 2020).</w:t>
      </w:r>
      <w:r w:rsidR="00E15B43">
        <w:t xml:space="preserve"> </w:t>
      </w:r>
    </w:p>
    <w:p w14:paraId="24B35294" w14:textId="77777777" w:rsidR="00A43556" w:rsidRDefault="00E55C0D">
      <w:r>
        <w:t xml:space="preserve">One example of a financial method for measuring performance </w:t>
      </w:r>
      <w:r w:rsidR="008E1DC6">
        <w:t xml:space="preserve">is cash flow. Measuring cash flow involves </w:t>
      </w:r>
      <w:r w:rsidR="0046768E">
        <w:t>reviewing the inflow and outflow of money into the organisation and considering the profits and losses (Chartered Global Management Accountant, 2013).</w:t>
      </w:r>
      <w:r w:rsidR="00380E4D">
        <w:t xml:space="preserve"> Monitoring cash flow</w:t>
      </w:r>
      <w:r w:rsidR="00917E47">
        <w:t xml:space="preserve">, along with other </w:t>
      </w:r>
      <w:r w:rsidR="00707123">
        <w:t xml:space="preserve">qualitative </w:t>
      </w:r>
      <w:r w:rsidR="00917E47">
        <w:t xml:space="preserve">financial measurements, is extremely important as the majority of businesses would be unable to </w:t>
      </w:r>
      <w:r w:rsidR="00CB7E61">
        <w:t xml:space="preserve">continue without profits (Gibson, 2023). </w:t>
      </w:r>
    </w:p>
    <w:p w14:paraId="1ECF07D8" w14:textId="718A1ACA" w:rsidR="00E55C0D" w:rsidRDefault="00E12FE2">
      <w:r>
        <w:t>A</w:t>
      </w:r>
      <w:r w:rsidR="00707123">
        <w:t xml:space="preserve">lthough </w:t>
      </w:r>
      <w:r w:rsidR="00F80152">
        <w:t>all organisations require money</w:t>
      </w:r>
      <w:r w:rsidR="00707123">
        <w:t xml:space="preserve">, profits are not necessarily the driving point for third sector organisations </w:t>
      </w:r>
      <w:r w:rsidR="00552C69">
        <w:t>and the sole use of cash flow as a performance measure ignores the non-financial value of a service</w:t>
      </w:r>
      <w:r w:rsidR="002D19AE">
        <w:t xml:space="preserve"> (Taylor &amp; Woodhams, 2022).</w:t>
      </w:r>
    </w:p>
    <w:p w14:paraId="293A4CB3" w14:textId="06C0625F" w:rsidR="00380E4D" w:rsidRPr="00A17F38" w:rsidRDefault="00BF2951">
      <w:r>
        <w:t xml:space="preserve">This therefore introduces the importance of non-financial performance measures, such as customer/client feedback. </w:t>
      </w:r>
      <w:r w:rsidR="00626065">
        <w:t xml:space="preserve">Patel’s (2018) work found that 92% of the general public would choose a business or service based on the recommendations of friends/family. </w:t>
      </w:r>
      <w:r w:rsidR="000B011C">
        <w:t xml:space="preserve">It’s therefore vital to measure how customers/clients feel about an organisation, so management can </w:t>
      </w:r>
      <w:r w:rsidR="008A4EEA">
        <w:t xml:space="preserve">determine what is going </w:t>
      </w:r>
      <w:r w:rsidR="008A4EEA" w:rsidRPr="003F790A">
        <w:t>well and where improvements can be made to increase customer satisfaction</w:t>
      </w:r>
      <w:r w:rsidR="00F3516E" w:rsidRPr="003F790A">
        <w:t xml:space="preserve"> (Patel, 2018)</w:t>
      </w:r>
      <w:r w:rsidR="008A4EEA" w:rsidRPr="003F790A">
        <w:t xml:space="preserve">. This method is equally as important in the third sector, particularly </w:t>
      </w:r>
      <w:r w:rsidR="00F3516E" w:rsidRPr="003F790A">
        <w:t>in self-referral services such as Barod.</w:t>
      </w:r>
      <w:r w:rsidR="00C915F9" w:rsidRPr="003F790A">
        <w:t xml:space="preserve"> However, it should be recognised that many of the general public are more likely to review a service if they have had a bad experience than </w:t>
      </w:r>
      <w:r w:rsidR="00C516DD" w:rsidRPr="003F790A">
        <w:t xml:space="preserve">good, so feedback </w:t>
      </w:r>
      <w:r w:rsidR="0078726A" w:rsidRPr="003F790A">
        <w:t>cannot</w:t>
      </w:r>
      <w:r w:rsidR="00C516DD" w:rsidRPr="003F790A">
        <w:t xml:space="preserve"> always be solely reliable</w:t>
      </w:r>
      <w:r w:rsidR="003546F5" w:rsidRPr="003F790A">
        <w:t xml:space="preserve"> (Allard, Dunn &amp; White, 2020)</w:t>
      </w:r>
      <w:r w:rsidR="00C516DD" w:rsidRPr="003F790A">
        <w:t>. Similarly to</w:t>
      </w:r>
      <w:r w:rsidR="00C516DD">
        <w:t xml:space="preserve"> </w:t>
      </w:r>
      <w:r w:rsidR="00B91FFB">
        <w:t>with critical thinking, it’s therefore important to use a range of performance measurement tools (financial and non-financial) to gain a clear picture</w:t>
      </w:r>
      <w:r w:rsidR="00FD0EE9">
        <w:t xml:space="preserve"> (Bans-</w:t>
      </w:r>
      <w:proofErr w:type="spellStart"/>
      <w:r w:rsidR="00FD0EE9">
        <w:t>Akutey</w:t>
      </w:r>
      <w:proofErr w:type="spellEnd"/>
      <w:r w:rsidR="00FD0EE9">
        <w:t xml:space="preserve"> &amp; Tiimub, 2021; Social Sciences </w:t>
      </w:r>
      <w:r w:rsidR="00FD0EE9" w:rsidRPr="00A17F38">
        <w:t>Research Laboratories, 2018).</w:t>
      </w:r>
    </w:p>
    <w:p w14:paraId="51920915" w14:textId="77777777" w:rsidR="00E45D60" w:rsidRDefault="00E45D60">
      <w:pPr>
        <w:rPr>
          <w:b/>
          <w:bCs/>
        </w:rPr>
      </w:pPr>
    </w:p>
    <w:p w14:paraId="4507164D" w14:textId="52098076" w:rsidR="001824EB" w:rsidRDefault="00E45D60">
      <w:pPr>
        <w:rPr>
          <w:b/>
          <w:bCs/>
        </w:rPr>
      </w:pPr>
      <w:r>
        <w:rPr>
          <w:b/>
          <w:bCs/>
        </w:rPr>
        <w:lastRenderedPageBreak/>
        <w:t>AC 3.2</w:t>
      </w:r>
    </w:p>
    <w:p w14:paraId="19103930" w14:textId="35416E6C" w:rsidR="007639F6" w:rsidRDefault="007675F0">
      <w:r>
        <w:t xml:space="preserve">The work of people practices within an organisation is extremely important and can impact morale, </w:t>
      </w:r>
      <w:r w:rsidR="00B90096">
        <w:t xml:space="preserve">as well as productivity and even </w:t>
      </w:r>
      <w:r w:rsidR="00D7602C">
        <w:t>financ</w:t>
      </w:r>
      <w:r w:rsidR="00606717">
        <w:t>es</w:t>
      </w:r>
      <w:r w:rsidR="00D7602C">
        <w:t>. This is visible in</w:t>
      </w:r>
      <w:r w:rsidR="00B90096">
        <w:t xml:space="preserve"> North’s (2008)</w:t>
      </w:r>
      <w:r w:rsidR="00D7602C">
        <w:t xml:space="preserve"> case study of Citigroup, a company</w:t>
      </w:r>
      <w:r w:rsidR="00995431">
        <w:t xml:space="preserve"> which promotes employee health and wellbeing. </w:t>
      </w:r>
      <w:r w:rsidR="0023339D">
        <w:t xml:space="preserve">The organisation offer </w:t>
      </w:r>
      <w:r w:rsidR="002C5101">
        <w:t>onsite</w:t>
      </w:r>
      <w:r w:rsidR="0023339D">
        <w:t xml:space="preserve"> medical professionals, as well as rest rooms (often used by breastfeeding mothers)</w:t>
      </w:r>
      <w:r w:rsidR="003A6B26">
        <w:t xml:space="preserve"> and fitness classes in the on-site gym. As a result </w:t>
      </w:r>
      <w:r w:rsidR="00150176">
        <w:t>of the practice of the HRMs within Citigroup, the organisation have seen a decrease in absence</w:t>
      </w:r>
      <w:r w:rsidR="00E149D1">
        <w:t xml:space="preserve"> and a high maternity leave return rate (North, 2008; Taylor &amp; Woodhams, 2022).</w:t>
      </w:r>
      <w:r w:rsidR="001C32B3">
        <w:t xml:space="preserve"> This case study is a highly important example of how value</w:t>
      </w:r>
      <w:r w:rsidR="00606717">
        <w:t xml:space="preserve"> can be added</w:t>
      </w:r>
      <w:r w:rsidR="001C32B3">
        <w:t xml:space="preserve"> in an organisation – by considering the needs of staff, which </w:t>
      </w:r>
      <w:r w:rsidR="005C26A8">
        <w:t>therefore positively impacts the company.</w:t>
      </w:r>
    </w:p>
    <w:p w14:paraId="41E13324" w14:textId="1D8A7D2D" w:rsidR="00472462" w:rsidRDefault="00472462">
      <w:r>
        <w:t xml:space="preserve">It is extremely important to measure </w:t>
      </w:r>
      <w:r w:rsidR="0042102B">
        <w:t>the value HRM is having on an organisation</w:t>
      </w:r>
      <w:r w:rsidR="00616E0D">
        <w:t xml:space="preserve">, to ensure that the employment </w:t>
      </w:r>
      <w:r w:rsidR="00C1142C">
        <w:t xml:space="preserve">of human resources staff is </w:t>
      </w:r>
      <w:r w:rsidR="00157CB5">
        <w:t>cost and time efficient</w:t>
      </w:r>
      <w:r w:rsidR="00771EA1">
        <w:t xml:space="preserve"> and to identify any further needs for strategic change</w:t>
      </w:r>
      <w:r w:rsidR="00E90B7C">
        <w:t xml:space="preserve"> (</w:t>
      </w:r>
      <w:r w:rsidR="00D46051">
        <w:t xml:space="preserve">Personnel Today, 2012; </w:t>
      </w:r>
      <w:r w:rsidR="00E90B7C">
        <w:t>Taylor &amp;</w:t>
      </w:r>
      <w:r w:rsidR="00D46051">
        <w:t xml:space="preserve"> </w:t>
      </w:r>
      <w:r w:rsidR="00E90B7C">
        <w:t>Woodhams, 2022</w:t>
      </w:r>
      <w:r w:rsidR="00D46051">
        <w:t>)</w:t>
      </w:r>
      <w:r w:rsidR="00771EA1">
        <w:t xml:space="preserve">. In terms of measuring the impact of people practices within organisations, there are numerous </w:t>
      </w:r>
      <w:r w:rsidR="00EB7363">
        <w:t>methods available.</w:t>
      </w:r>
    </w:p>
    <w:p w14:paraId="6D9390E8" w14:textId="1117CFA3" w:rsidR="008657AB" w:rsidRDefault="00EB7363">
      <w:r>
        <w:t>One possibility is the measurement of staff satisfaction</w:t>
      </w:r>
      <w:r w:rsidR="00526D73">
        <w:t xml:space="preserve"> using surve</w:t>
      </w:r>
      <w:r w:rsidR="00E73565">
        <w:t>ys</w:t>
      </w:r>
      <w:r w:rsidR="00A406AB">
        <w:t>, something which Barod do on an annual basis (Barod, 2021).</w:t>
      </w:r>
      <w:r w:rsidR="0013485C">
        <w:t xml:space="preserve"> </w:t>
      </w:r>
      <w:r w:rsidR="00A406AB">
        <w:t>Surveys</w:t>
      </w:r>
      <w:r w:rsidR="0013485C">
        <w:t xml:space="preserve"> can be </w:t>
      </w:r>
      <w:r w:rsidR="00BA56F8">
        <w:t xml:space="preserve">extremely beneficial as </w:t>
      </w:r>
      <w:r w:rsidR="00A406AB">
        <w:t>they’re</w:t>
      </w:r>
      <w:r w:rsidR="00BA56F8">
        <w:t xml:space="preserve"> a cost-effective way of accessing real time feedback from staff on any changes that have been implemented by </w:t>
      </w:r>
      <w:r w:rsidR="008657AB">
        <w:t>an organisation, along with information on any changes that need to be implemented</w:t>
      </w:r>
      <w:r w:rsidR="00117825">
        <w:t xml:space="preserve"> (</w:t>
      </w:r>
      <w:r w:rsidR="000100A4">
        <w:t xml:space="preserve">Barod, 2021; de Waal, 2014; </w:t>
      </w:r>
      <w:r w:rsidR="00117825">
        <w:t>Patten, 2016)</w:t>
      </w:r>
      <w:r w:rsidR="008657AB">
        <w:t>.</w:t>
      </w:r>
      <w:r w:rsidR="008914DC">
        <w:t xml:space="preserve"> However, when using surveys there is always the risk of </w:t>
      </w:r>
      <w:r w:rsidR="003723DC">
        <w:t>low responses (Cohen, Manion &amp; Morrison, 2018). In the context of measuring value, this coul</w:t>
      </w:r>
      <w:r w:rsidR="004E43F0">
        <w:t>d get in the way of getting a clear picture of how employee’s feel.</w:t>
      </w:r>
    </w:p>
    <w:p w14:paraId="4090BA46" w14:textId="10737F26" w:rsidR="00EB7363" w:rsidRDefault="008657AB">
      <w:r>
        <w:t xml:space="preserve">Staff surveys can also show employees their organisation cares about them, however this </w:t>
      </w:r>
      <w:r w:rsidR="00E9456C">
        <w:t>is only the case if feedback from surveys is acted on – as feedback being ignored can lead to employees feeling undervalued and disrespected</w:t>
      </w:r>
      <w:r w:rsidR="000100A4">
        <w:t xml:space="preserve"> (de Waal, 2014)</w:t>
      </w:r>
      <w:r w:rsidR="00E9456C">
        <w:t>.</w:t>
      </w:r>
      <w:r w:rsidR="008B6833">
        <w:t xml:space="preserve"> </w:t>
      </w:r>
    </w:p>
    <w:p w14:paraId="04956208" w14:textId="311F896D" w:rsidR="005B47D3" w:rsidRDefault="005B47D3">
      <w:r>
        <w:t xml:space="preserve">Another way of monitoring the impact of people practice within an organisation is by looking at </w:t>
      </w:r>
      <w:r w:rsidR="002035EE">
        <w:t>talent</w:t>
      </w:r>
      <w:r>
        <w:t xml:space="preserve"> retention </w:t>
      </w:r>
      <w:r w:rsidR="002035EE">
        <w:t>– data related to how long employees stay in an organisation for and why they leave</w:t>
      </w:r>
      <w:r w:rsidR="00886792">
        <w:t>.</w:t>
      </w:r>
      <w:r w:rsidR="0013753E">
        <w:t xml:space="preserve"> </w:t>
      </w:r>
      <w:proofErr w:type="spellStart"/>
      <w:r w:rsidR="0013753E">
        <w:t>Kontoghiorghes</w:t>
      </w:r>
      <w:proofErr w:type="spellEnd"/>
      <w:r w:rsidR="0013753E">
        <w:t xml:space="preserve"> </w:t>
      </w:r>
      <w:r w:rsidR="00ED2229">
        <w:t>&amp;</w:t>
      </w:r>
      <w:r w:rsidR="0013753E">
        <w:t xml:space="preserve"> Frangou’s (2009) study of </w:t>
      </w:r>
      <w:r w:rsidR="00B221B1">
        <w:t xml:space="preserve">197 employees found there is strong correlation between talent retention and an organisation’s performance </w:t>
      </w:r>
      <w:r w:rsidR="00DD02B8">
        <w:t>and, therefore, the quality of an organisation’s people management.</w:t>
      </w:r>
      <w:r w:rsidR="005C729B">
        <w:t xml:space="preserve"> Although this study is over ten years old, its findings are supported by numerous similar studies, such as Pandita and Ray’s (2018) research, thus increasing the validity of this point.</w:t>
      </w:r>
    </w:p>
    <w:p w14:paraId="6E62ABD5" w14:textId="78843C24" w:rsidR="001C2F5B" w:rsidRDefault="00E12FE2">
      <w:r>
        <w:t>Despite</w:t>
      </w:r>
      <w:r w:rsidR="001C2F5B">
        <w:t xml:space="preserve"> the clear links between talent retention and people management, </w:t>
      </w:r>
      <w:r w:rsidR="00D70D98">
        <w:t xml:space="preserve">an employee’s reason for leaving an organisation is not always related to the company’s HR </w:t>
      </w:r>
      <w:r w:rsidR="00195845">
        <w:t>practices – so it cannot be used solely as a measurement tool (Kamalaveni, Ramesh &amp; Vetrivel, 2019).</w:t>
      </w:r>
    </w:p>
    <w:p w14:paraId="54E83CCC" w14:textId="77777777" w:rsidR="007A42C7" w:rsidRDefault="007A42C7"/>
    <w:p w14:paraId="383A4067" w14:textId="7399B2B1" w:rsidR="007A42C7" w:rsidRPr="007A42C7" w:rsidRDefault="007A42C7">
      <w:pPr>
        <w:rPr>
          <w:b/>
          <w:bCs/>
        </w:rPr>
      </w:pPr>
      <w:r>
        <w:rPr>
          <w:b/>
          <w:bCs/>
        </w:rPr>
        <w:t>Word count – 3,</w:t>
      </w:r>
      <w:r w:rsidR="00E45D60">
        <w:rPr>
          <w:b/>
          <w:bCs/>
        </w:rPr>
        <w:t>005</w:t>
      </w:r>
    </w:p>
    <w:p w14:paraId="2B4C1198" w14:textId="77777777" w:rsidR="00AB0307" w:rsidRPr="00AB0307" w:rsidRDefault="00DE1E16">
      <w:pPr>
        <w:rPr>
          <w:b/>
          <w:bCs/>
          <w:u w:val="single"/>
        </w:rPr>
      </w:pPr>
      <w:r>
        <w:br w:type="page"/>
      </w:r>
      <w:r w:rsidR="00CC3DB8" w:rsidRPr="00AB0307">
        <w:rPr>
          <w:b/>
          <w:bCs/>
          <w:u w:val="single"/>
        </w:rPr>
        <w:lastRenderedPageBreak/>
        <w:t>Section Two – Quantitative and qualitative analysis review</w:t>
      </w:r>
    </w:p>
    <w:p w14:paraId="204BB2C9" w14:textId="77777777" w:rsidR="00AB0307" w:rsidRPr="00AB0307" w:rsidRDefault="00AB0307" w:rsidP="00AB0307">
      <w:pPr>
        <w:rPr>
          <w:b/>
          <w:bCs/>
          <w:u w:val="single"/>
        </w:rPr>
      </w:pPr>
      <w:r w:rsidRPr="00AB0307">
        <w:rPr>
          <w:b/>
          <w:bCs/>
          <w:u w:val="single"/>
        </w:rPr>
        <w:t>Table 1</w:t>
      </w:r>
    </w:p>
    <w:p w14:paraId="13169633" w14:textId="77777777" w:rsidR="00AB0307" w:rsidRPr="00AB0307" w:rsidRDefault="00AB0307" w:rsidP="00AB0307">
      <w:pPr>
        <w:pStyle w:val="ListParagraph"/>
        <w:numPr>
          <w:ilvl w:val="0"/>
          <w:numId w:val="4"/>
        </w:numPr>
        <w:rPr>
          <w:b/>
          <w:bCs/>
        </w:rPr>
      </w:pPr>
      <w:r w:rsidRPr="00AB0307">
        <w:rPr>
          <w:b/>
          <w:bCs/>
        </w:rPr>
        <w:t>Percentage of each gender by type.</w:t>
      </w:r>
    </w:p>
    <w:p w14:paraId="648CD973" w14:textId="77777777" w:rsidR="00AB0307" w:rsidRPr="00AB0307" w:rsidRDefault="00AB0307" w:rsidP="00AB0307">
      <w:pPr>
        <w:rPr>
          <w:b/>
          <w:bCs/>
        </w:rPr>
      </w:pPr>
      <w:r w:rsidRPr="00AB0307">
        <w:rPr>
          <w:noProof/>
        </w:rPr>
        <w:drawing>
          <wp:inline distT="0" distB="0" distL="0" distR="0" wp14:anchorId="0AEFB5D0" wp14:editId="291E9A0C">
            <wp:extent cx="3680460" cy="2186940"/>
            <wp:effectExtent l="0" t="0" r="15240" b="3810"/>
            <wp:docPr id="413839553" name="Chart 1" descr="Chart type: Clustered Bar. Percentage distribution of 'Gender'&#10;&#10;Description automatically generated">
              <a:extLst xmlns:a="http://schemas.openxmlformats.org/drawingml/2006/main">
                <a:ext uri="{FF2B5EF4-FFF2-40B4-BE49-F238E27FC236}">
                  <a16:creationId xmlns:a16="http://schemas.microsoft.com/office/drawing/2014/main" id="{74958620-F6D9-F86C-00FF-41A8488199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A7EF017" w14:textId="77777777" w:rsidR="00AB0307" w:rsidRPr="00AB0307" w:rsidRDefault="00AB0307" w:rsidP="00AB0307">
      <w:r w:rsidRPr="00AB0307">
        <w:t>The pie chart shows that numbers of male and female employees are relatively equal, which is in line with GOV.UK (2023) statistics of the UK population. The chart then shows that 1% of employees identified as non-binary. UK statistics of non-binary people are less available, as this information is less accessible – therefore it’s unclear on how representative the organisation is (Monro, 2019). Either way, with understanding of LGTBQ+ communities ever evolving, it’s recommended that the organisation increases its understanding of how to support those identifying as non-binary – both in recruitment and during employment. One possible action is to implement an LGBTQ+ working group within the organisation, in order to develop a culture of diversity and to support employees who feel represented by LGBTQ+ (CIPD, 2024).</w:t>
      </w:r>
    </w:p>
    <w:p w14:paraId="42CD57A1" w14:textId="0E3047BB" w:rsidR="00AB0307" w:rsidRPr="00AB0307" w:rsidRDefault="00AB0307" w:rsidP="00AB0307">
      <w:r w:rsidRPr="00AB0307">
        <w:t xml:space="preserve">When implementing a working group, </w:t>
      </w:r>
      <w:r w:rsidR="00E12FE2">
        <w:t>there will be an</w:t>
      </w:r>
      <w:r w:rsidRPr="00AB0307">
        <w:t xml:space="preserve"> impact on staff productivity – as some of members’ time would be used attending groups (Kozlowski, 2018). However, an LGTBQ+ working group could counteract this risk for members as their increased sense of belonging is likely to have a positive impact on productivity (Kozlowski, 2018).</w:t>
      </w:r>
    </w:p>
    <w:p w14:paraId="5AA79AF2" w14:textId="77777777" w:rsidR="00AB0307" w:rsidRPr="00AB0307" w:rsidRDefault="00AB0307" w:rsidP="00AB0307">
      <w:pPr>
        <w:rPr>
          <w:b/>
          <w:bCs/>
        </w:rPr>
      </w:pPr>
      <w:r w:rsidRPr="00AB0307">
        <w:rPr>
          <w:b/>
          <w:bCs/>
        </w:rPr>
        <w:br w:type="page"/>
      </w:r>
    </w:p>
    <w:p w14:paraId="6AF01F7C" w14:textId="77777777" w:rsidR="00AB0307" w:rsidRPr="00AB0307" w:rsidRDefault="00AB0307" w:rsidP="00AB0307">
      <w:pPr>
        <w:pStyle w:val="ListParagraph"/>
        <w:numPr>
          <w:ilvl w:val="0"/>
          <w:numId w:val="4"/>
        </w:numPr>
        <w:rPr>
          <w:b/>
          <w:bCs/>
        </w:rPr>
      </w:pPr>
      <w:r w:rsidRPr="00AB0307">
        <w:rPr>
          <w:noProof/>
        </w:rPr>
        <w:lastRenderedPageBreak/>
        <w:drawing>
          <wp:anchor distT="0" distB="0" distL="114300" distR="114300" simplePos="0" relativeHeight="251656192" behindDoc="0" locked="0" layoutInCell="1" allowOverlap="1" wp14:anchorId="16087BA7" wp14:editId="5E7C7F79">
            <wp:simplePos x="0" y="0"/>
            <wp:positionH relativeFrom="column">
              <wp:posOffset>-829310</wp:posOffset>
            </wp:positionH>
            <wp:positionV relativeFrom="page">
              <wp:posOffset>1117600</wp:posOffset>
            </wp:positionV>
            <wp:extent cx="7406005" cy="2808605"/>
            <wp:effectExtent l="0" t="0" r="4445" b="0"/>
            <wp:wrapSquare wrapText="bothSides"/>
            <wp:docPr id="1145280965"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80965" name="Picture 1" descr="A graph with different colored ba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406005" cy="2808605"/>
                    </a:xfrm>
                    <a:prstGeom prst="rect">
                      <a:avLst/>
                    </a:prstGeom>
                  </pic:spPr>
                </pic:pic>
              </a:graphicData>
            </a:graphic>
            <wp14:sizeRelH relativeFrom="page">
              <wp14:pctWidth>0</wp14:pctWidth>
            </wp14:sizeRelH>
            <wp14:sizeRelV relativeFrom="page">
              <wp14:pctHeight>0</wp14:pctHeight>
            </wp14:sizeRelV>
          </wp:anchor>
        </w:drawing>
      </w:r>
      <w:r w:rsidRPr="00AB0307">
        <w:rPr>
          <w:b/>
          <w:bCs/>
        </w:rPr>
        <w:t>Ethnicity as a percentage per team.</w:t>
      </w:r>
    </w:p>
    <w:p w14:paraId="18F4D5A1" w14:textId="77777777" w:rsidR="00AB0307" w:rsidRPr="00AB0307" w:rsidRDefault="00AB0307" w:rsidP="00AB0307">
      <w:pPr>
        <w:rPr>
          <w:b/>
          <w:bCs/>
        </w:rPr>
      </w:pPr>
    </w:p>
    <w:p w14:paraId="03B44574" w14:textId="77777777" w:rsidR="00AB0307" w:rsidRPr="00AB0307" w:rsidRDefault="00AB0307" w:rsidP="00AB0307">
      <w:r w:rsidRPr="00AB0307">
        <w:t>The bar chart shows that over 50% of each team are White British, with an average of 87% White British make up across all teams. This is higher than the UK average in 2021 (Office for National Statistics, 2022). Furthermore, some teams are made up entirely of White British employees.</w:t>
      </w:r>
    </w:p>
    <w:p w14:paraId="35D91CF4" w14:textId="77777777" w:rsidR="00AB0307" w:rsidRPr="00AB0307" w:rsidRDefault="00AB0307" w:rsidP="00AB0307">
      <w:r w:rsidRPr="00AB0307">
        <w:t>It is recommended that the organisation work to attract and retain a more ethnically diverse talent pool – particularly exploring the following areas, where there is an average of less than 1% make up across teams: Asian (Bangladesh); Chinese; Mixed (Other); Pakistani and White Irish. One way that the organisation can work towards this goal is my ensuring recruitment is non-bias – starting by ensuring marketing materials are inclusive and representative of a wide range of backgrounds and utilising ‘blind shortlisting’ to eliminate unconscious bias (CIPD, 2023). The latter could pose the potential risk of overlooking career progression within an organisation as internal applicants may not necessarily be identified and shortlisted, however ultimately it would give all candidates an equal chance and ensure that the best candidates are selected purely based on applications.</w:t>
      </w:r>
    </w:p>
    <w:p w14:paraId="65387DC0" w14:textId="77777777" w:rsidR="00AB0307" w:rsidRPr="00AB0307" w:rsidRDefault="00AB0307" w:rsidP="00AB0307">
      <w:pPr>
        <w:rPr>
          <w:b/>
          <w:bCs/>
        </w:rPr>
      </w:pPr>
      <w:r w:rsidRPr="00AB0307">
        <w:rPr>
          <w:b/>
          <w:bCs/>
        </w:rPr>
        <w:br w:type="page"/>
      </w:r>
    </w:p>
    <w:p w14:paraId="433D2908" w14:textId="77777777" w:rsidR="00AB0307" w:rsidRPr="00AB0307" w:rsidRDefault="00AB0307" w:rsidP="00AB0307">
      <w:pPr>
        <w:pStyle w:val="ListParagraph"/>
        <w:numPr>
          <w:ilvl w:val="0"/>
          <w:numId w:val="4"/>
        </w:numPr>
        <w:spacing w:after="0" w:line="240" w:lineRule="auto"/>
        <w:rPr>
          <w:b/>
          <w:bCs/>
        </w:rPr>
      </w:pPr>
      <w:r w:rsidRPr="00AB0307">
        <w:rPr>
          <w:b/>
          <w:bCs/>
        </w:rPr>
        <w:lastRenderedPageBreak/>
        <w:t xml:space="preserve">Disability percentage as an organisational whole and by teams. </w:t>
      </w:r>
    </w:p>
    <w:p w14:paraId="1C5C0288" w14:textId="77777777" w:rsidR="00AB0307" w:rsidRPr="00AB0307" w:rsidRDefault="00AB0307" w:rsidP="00AB0307">
      <w:pPr>
        <w:spacing w:after="0" w:line="240" w:lineRule="auto"/>
        <w:rPr>
          <w:b/>
          <w:bCs/>
        </w:rPr>
      </w:pPr>
      <w:r w:rsidRPr="00AB0307">
        <w:rPr>
          <w:noProof/>
        </w:rPr>
        <w:drawing>
          <wp:inline distT="0" distB="0" distL="0" distR="0" wp14:anchorId="69331B92" wp14:editId="68B5AF57">
            <wp:extent cx="3105150" cy="1847850"/>
            <wp:effectExtent l="0" t="0" r="0" b="0"/>
            <wp:docPr id="1838635106" name="Chart 1">
              <a:extLst xmlns:a="http://schemas.openxmlformats.org/drawingml/2006/main">
                <a:ext uri="{FF2B5EF4-FFF2-40B4-BE49-F238E27FC236}">
                  <a16:creationId xmlns:a16="http://schemas.microsoft.com/office/drawing/2014/main" id="{83A2E2F6-A4BA-F88B-BE43-B65C222687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0D9E118" w14:textId="77777777" w:rsidR="00AB0307" w:rsidRPr="00AB0307" w:rsidRDefault="00AB0307" w:rsidP="00AB0307">
      <w:pPr>
        <w:spacing w:after="0" w:line="240" w:lineRule="auto"/>
        <w:rPr>
          <w:b/>
          <w:bCs/>
        </w:rPr>
      </w:pPr>
      <w:r w:rsidRPr="00AB0307">
        <w:rPr>
          <w:noProof/>
        </w:rPr>
        <w:drawing>
          <wp:inline distT="0" distB="0" distL="0" distR="0" wp14:anchorId="1D148DC0" wp14:editId="388EBCDE">
            <wp:extent cx="6454140" cy="4076700"/>
            <wp:effectExtent l="0" t="0" r="0" b="0"/>
            <wp:docPr id="1394701678" name="Chart 1">
              <a:extLst xmlns:a="http://schemas.openxmlformats.org/drawingml/2006/main">
                <a:ext uri="{FF2B5EF4-FFF2-40B4-BE49-F238E27FC236}">
                  <a16:creationId xmlns:a16="http://schemas.microsoft.com/office/drawing/2014/main" id="{3215533F-E8FA-0854-5EC8-26617EF1B9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19D065A" w14:textId="77777777" w:rsidR="00AB0307" w:rsidRPr="00AB0307" w:rsidRDefault="00AB0307" w:rsidP="00AB0307">
      <w:pPr>
        <w:rPr>
          <w:b/>
          <w:bCs/>
        </w:rPr>
      </w:pPr>
    </w:p>
    <w:p w14:paraId="500959C0" w14:textId="77777777" w:rsidR="00AB0307" w:rsidRPr="00AB0307" w:rsidRDefault="00AB0307" w:rsidP="00AB0307">
      <w:pPr>
        <w:rPr>
          <w:b/>
          <w:bCs/>
        </w:rPr>
      </w:pPr>
      <w:r w:rsidRPr="00AB0307">
        <w:t>The pie chart shows that 8% of employees had a disability, less than half of the UK statistic of 17.8% (Waddington, 2023). The teams that are most diverse (and in line with statistics) are Customer Services, People Services, Finance and IT. It is recommended that the organisation works to diversify their workforce in all other teams, particularly Supported Housing, Business Services, Directors and Regeneration – where there are more than 5 employees, none of whom have a disability. It is recommended that recruitment is reviewed with an aim of being more inclusive, for example by ensuring that reasonable adjustments are offered to candidates throughout the process, making the organisation a more accessible workplace for people with disabilities (CIPD, 2022). The employer should consider the financial implications of this, as it is legally their responsibility to pay for any reasonable adjustments (</w:t>
      </w:r>
      <w:proofErr w:type="spellStart"/>
      <w:r w:rsidRPr="00AB0307">
        <w:t>Acas</w:t>
      </w:r>
      <w:proofErr w:type="spellEnd"/>
      <w:r w:rsidRPr="00AB0307">
        <w:t>, 2022). However, in most cases, candidates only require minor and cost-free changes to the process.</w:t>
      </w:r>
      <w:r w:rsidRPr="00AB0307">
        <w:rPr>
          <w:b/>
          <w:bCs/>
        </w:rPr>
        <w:br w:type="page"/>
      </w:r>
    </w:p>
    <w:p w14:paraId="11C4F74A" w14:textId="77777777" w:rsidR="00AB0307" w:rsidRPr="00AB0307" w:rsidRDefault="00AB0307" w:rsidP="00AB0307">
      <w:pPr>
        <w:pStyle w:val="ListParagraph"/>
        <w:numPr>
          <w:ilvl w:val="0"/>
          <w:numId w:val="4"/>
        </w:numPr>
        <w:spacing w:after="0" w:line="240" w:lineRule="auto"/>
        <w:rPr>
          <w:b/>
          <w:bCs/>
        </w:rPr>
      </w:pPr>
      <w:r w:rsidRPr="00AB0307">
        <w:rPr>
          <w:b/>
          <w:bCs/>
        </w:rPr>
        <w:lastRenderedPageBreak/>
        <w:t>Salary difference across genders.</w:t>
      </w:r>
    </w:p>
    <w:p w14:paraId="4C4F91DF" w14:textId="77777777" w:rsidR="00AB0307" w:rsidRPr="00AB0307" w:rsidRDefault="00AB0307" w:rsidP="00AB0307">
      <w:pPr>
        <w:pStyle w:val="NormalWeb"/>
        <w:shd w:val="clear" w:color="auto" w:fill="FFFFFF"/>
        <w:spacing w:before="0" w:beforeAutospacing="0" w:after="0" w:afterAutospacing="0" w:line="480" w:lineRule="atLeast"/>
        <w:ind w:left="720"/>
        <w:rPr>
          <w:rFonts w:ascii="Open Sans" w:hAnsi="Open Sans" w:cs="Open Sans"/>
          <w:color w:val="323132"/>
          <w:sz w:val="22"/>
          <w:szCs w:val="22"/>
        </w:rPr>
      </w:pPr>
      <w:r w:rsidRPr="00AB0307">
        <w:rPr>
          <w:noProof/>
          <w:sz w:val="22"/>
          <w:szCs w:val="22"/>
        </w:rPr>
        <w:drawing>
          <wp:inline distT="0" distB="0" distL="0" distR="0" wp14:anchorId="56F05A60" wp14:editId="5DC80AE3">
            <wp:extent cx="4019550" cy="2169795"/>
            <wp:effectExtent l="0" t="0" r="0" b="1905"/>
            <wp:docPr id="1541319854"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319854" name="Picture 1" descr="A graph with different colored bars&#10;&#10;Description automatically generated"/>
                    <pic:cNvPicPr/>
                  </pic:nvPicPr>
                  <pic:blipFill rotWithShape="1">
                    <a:blip r:embed="rId14"/>
                    <a:srcRect t="10666"/>
                    <a:stretch/>
                  </pic:blipFill>
                  <pic:spPr bwMode="auto">
                    <a:xfrm>
                      <a:off x="0" y="0"/>
                      <a:ext cx="4019550" cy="2169795"/>
                    </a:xfrm>
                    <a:prstGeom prst="rect">
                      <a:avLst/>
                    </a:prstGeom>
                    <a:ln>
                      <a:noFill/>
                    </a:ln>
                    <a:extLst>
                      <a:ext uri="{53640926-AAD7-44D8-BBD7-CCE9431645EC}">
                        <a14:shadowObscured xmlns:a14="http://schemas.microsoft.com/office/drawing/2010/main"/>
                      </a:ext>
                    </a:extLst>
                  </pic:spPr>
                </pic:pic>
              </a:graphicData>
            </a:graphic>
          </wp:inline>
        </w:drawing>
      </w:r>
    </w:p>
    <w:p w14:paraId="239BF680" w14:textId="77777777" w:rsidR="00AB0307" w:rsidRPr="00AB0307" w:rsidRDefault="00AB0307" w:rsidP="00AB0307">
      <w:pPr>
        <w:pStyle w:val="NormalWeb"/>
        <w:shd w:val="clear" w:color="auto" w:fill="FFFFFF"/>
        <w:spacing w:before="0" w:beforeAutospacing="0" w:after="0" w:afterAutospacing="0" w:line="22" w:lineRule="atLeast"/>
        <w:rPr>
          <w:rFonts w:asciiTheme="minorHAnsi" w:hAnsiTheme="minorHAnsi" w:cs="Open Sans"/>
          <w:color w:val="323132"/>
          <w:sz w:val="22"/>
          <w:szCs w:val="22"/>
        </w:rPr>
      </w:pPr>
      <w:r w:rsidRPr="00AB0307">
        <w:rPr>
          <w:rFonts w:asciiTheme="minorHAnsi" w:hAnsiTheme="minorHAnsi" w:cs="Open Sans"/>
          <w:color w:val="323132"/>
          <w:sz w:val="22"/>
          <w:szCs w:val="22"/>
        </w:rPr>
        <w:t>The chart shows that the average salary across the organisation for male vs female employees are somewhat equal, with the average salary for non-binary employees sitting at over £10,000 less. When looking closely at the job roles of the two non-binary employees, the data is explained as both employees are on entry-level vacancies. The organisation therefore needs to focus more on diversifying the gender of their senior staff. Supporting and recruiting LGBTQ+ employees into leadership roles ensures previously underrepresented voices can start to be part of bigger decisions, which would then likely attract further diversity (Parsons, 2024). Like with any career progression work, there would likely be financial implications of putting focus into this – particularly in terms of training costs (Sissons, 2020).</w:t>
      </w:r>
    </w:p>
    <w:p w14:paraId="314C41DA" w14:textId="77777777" w:rsidR="00AB0307" w:rsidRPr="00AB0307" w:rsidRDefault="00AB0307" w:rsidP="00AB0307">
      <w:pPr>
        <w:pStyle w:val="NormalWeb"/>
        <w:shd w:val="clear" w:color="auto" w:fill="FFFFFF"/>
        <w:spacing w:before="0" w:beforeAutospacing="0" w:after="0" w:afterAutospacing="0" w:line="22" w:lineRule="atLeast"/>
        <w:rPr>
          <w:rFonts w:asciiTheme="minorHAnsi" w:hAnsiTheme="minorHAnsi" w:cs="Open Sans"/>
          <w:color w:val="323132"/>
          <w:sz w:val="22"/>
          <w:szCs w:val="22"/>
        </w:rPr>
      </w:pPr>
    </w:p>
    <w:p w14:paraId="55870842" w14:textId="77777777" w:rsidR="00AB0307" w:rsidRPr="00AB0307" w:rsidRDefault="00AB0307" w:rsidP="00AB0307">
      <w:pPr>
        <w:pStyle w:val="NormalWeb"/>
        <w:shd w:val="clear" w:color="auto" w:fill="FFFFFF"/>
        <w:spacing w:before="0" w:beforeAutospacing="0" w:after="0" w:afterAutospacing="0" w:line="22" w:lineRule="atLeast"/>
        <w:rPr>
          <w:rFonts w:asciiTheme="minorHAnsi" w:hAnsiTheme="minorHAnsi" w:cs="Open Sans"/>
          <w:color w:val="323132"/>
          <w:sz w:val="22"/>
          <w:szCs w:val="22"/>
        </w:rPr>
      </w:pPr>
      <w:r w:rsidRPr="00AB0307">
        <w:rPr>
          <w:rFonts w:asciiTheme="minorHAnsi" w:hAnsiTheme="minorHAnsi" w:cs="Open Sans"/>
          <w:color w:val="323132"/>
          <w:sz w:val="22"/>
          <w:szCs w:val="22"/>
        </w:rPr>
        <w:t>When looking at specific job roles and salaries, the most concerning information is that the team leader of the Green Spaces team (a female) is being paid the same salary as the (male) operatives of the same team. This suggests that females in the organisation are not being paid appropriately for leadership roles, supported by statistics of the gender pay gap (CIPD, 2024). It is therefore recommended that the organisation work with external parties to conduct a pay review, ensuring that there are clear pay scales which are based on job role over gender. Short term, this may have cost implications as (as seen in the data) there are employees who would require a pay rise to ensure pay equality. However, the long term benefits would outweigh this as, if they were to continue with unfair pay scales, the organisation would gain a negative reputation.</w:t>
      </w:r>
    </w:p>
    <w:p w14:paraId="3854B16E" w14:textId="77777777" w:rsidR="00AB0307" w:rsidRPr="00AB0307" w:rsidRDefault="00AB0307" w:rsidP="00AB0307">
      <w:pPr>
        <w:pStyle w:val="NormalWeb"/>
        <w:shd w:val="clear" w:color="auto" w:fill="FFFFFF"/>
        <w:spacing w:before="0" w:beforeAutospacing="0" w:after="0" w:afterAutospacing="0" w:line="480" w:lineRule="atLeast"/>
        <w:ind w:left="720"/>
        <w:rPr>
          <w:rFonts w:ascii="Open Sans" w:hAnsi="Open Sans" w:cs="Open Sans"/>
          <w:color w:val="323132"/>
          <w:sz w:val="22"/>
          <w:szCs w:val="22"/>
        </w:rPr>
      </w:pPr>
    </w:p>
    <w:p w14:paraId="2427A08E" w14:textId="77777777" w:rsidR="00AB0307" w:rsidRPr="00AB0307" w:rsidRDefault="00AB0307" w:rsidP="00AB0307">
      <w:pPr>
        <w:spacing w:after="0" w:line="240" w:lineRule="auto"/>
        <w:rPr>
          <w:b/>
          <w:bCs/>
        </w:rPr>
      </w:pPr>
    </w:p>
    <w:p w14:paraId="1F472807" w14:textId="77777777" w:rsidR="00AB0307" w:rsidRPr="00AB0307" w:rsidRDefault="00AB0307" w:rsidP="00AB0307">
      <w:pPr>
        <w:rPr>
          <w:b/>
          <w:bCs/>
        </w:rPr>
      </w:pPr>
      <w:r w:rsidRPr="00AB0307">
        <w:rPr>
          <w:b/>
          <w:bCs/>
        </w:rPr>
        <w:br w:type="page"/>
      </w:r>
    </w:p>
    <w:p w14:paraId="07D7501D" w14:textId="77777777" w:rsidR="00AB0307" w:rsidRPr="00AB0307" w:rsidRDefault="00AB0307" w:rsidP="00AB0307">
      <w:pPr>
        <w:pStyle w:val="ListParagraph"/>
        <w:numPr>
          <w:ilvl w:val="0"/>
          <w:numId w:val="4"/>
        </w:numPr>
        <w:spacing w:after="0" w:line="240" w:lineRule="auto"/>
        <w:rPr>
          <w:b/>
          <w:bCs/>
        </w:rPr>
      </w:pPr>
      <w:r w:rsidRPr="00AB0307">
        <w:rPr>
          <w:b/>
          <w:bCs/>
        </w:rPr>
        <w:lastRenderedPageBreak/>
        <w:t>Overall average salary paid by the organisation.</w:t>
      </w:r>
    </w:p>
    <w:p w14:paraId="6A292B85" w14:textId="77777777" w:rsidR="00AB0307" w:rsidRPr="00AB0307" w:rsidRDefault="00AB0307" w:rsidP="00AB0307">
      <w:r w:rsidRPr="00AB0307">
        <w:t>The organisations average salary is £31,757.50, almost £3,000 less than the UK average, as of 2023 (Clark, 2023). It is therefore recommended, as highlighted in the previous question, that the organisation conduct a pay review to ensure that they are meeting the UK average for salaries. This is therefore likely to mean that the organisation needs to increase the salaries of its employees, in order to increase their average. This will unarguably have a financial impact, as wages would need to be raised significantly to meet the UK average. However, the positive implications of implementing an organisation-wide pay review are unmatched – the change will likely see huge benefits in terms of staff productivity, morale, and recruitment (Breza, Kaur &amp; Shamdasani, 2018).</w:t>
      </w:r>
    </w:p>
    <w:p w14:paraId="487775FE" w14:textId="77777777" w:rsidR="00AB0307" w:rsidRPr="00AB0307" w:rsidRDefault="00AB0307" w:rsidP="00AB0307">
      <w:pPr>
        <w:rPr>
          <w:rStyle w:val="Hyperlink"/>
        </w:rPr>
      </w:pPr>
    </w:p>
    <w:p w14:paraId="29F66199" w14:textId="77777777" w:rsidR="00AB0307" w:rsidRPr="00AB0307" w:rsidRDefault="00AB0307" w:rsidP="00AB0307">
      <w:pPr>
        <w:rPr>
          <w:rStyle w:val="Hyperlink"/>
        </w:rPr>
      </w:pPr>
    </w:p>
    <w:p w14:paraId="6C0AF9A1" w14:textId="77777777" w:rsidR="00AB0307" w:rsidRPr="00AB0307" w:rsidRDefault="00AB0307" w:rsidP="00AB0307">
      <w:pPr>
        <w:rPr>
          <w:rStyle w:val="Hyperlink"/>
        </w:rPr>
      </w:pPr>
    </w:p>
    <w:p w14:paraId="7C178787" w14:textId="77777777" w:rsidR="00AB0307" w:rsidRPr="00AB0307" w:rsidRDefault="00AB0307" w:rsidP="00AB0307">
      <w:pPr>
        <w:rPr>
          <w:rStyle w:val="Hyperlink"/>
        </w:rPr>
      </w:pPr>
    </w:p>
    <w:p w14:paraId="2DB73191" w14:textId="77777777" w:rsidR="00AB0307" w:rsidRPr="00AB0307" w:rsidRDefault="00AB0307" w:rsidP="00AB0307">
      <w:pPr>
        <w:rPr>
          <w:rStyle w:val="Hyperlink"/>
        </w:rPr>
      </w:pPr>
    </w:p>
    <w:p w14:paraId="67F55453" w14:textId="77777777" w:rsidR="00AB0307" w:rsidRPr="00AB0307" w:rsidRDefault="00AB0307" w:rsidP="00AB0307">
      <w:pPr>
        <w:rPr>
          <w:rStyle w:val="Hyperlink"/>
        </w:rPr>
      </w:pPr>
    </w:p>
    <w:p w14:paraId="49B0ED63" w14:textId="77777777" w:rsidR="00AB0307" w:rsidRPr="00AB0307" w:rsidRDefault="00AB0307" w:rsidP="00AB0307">
      <w:pPr>
        <w:rPr>
          <w:rStyle w:val="Hyperlink"/>
        </w:rPr>
      </w:pPr>
    </w:p>
    <w:p w14:paraId="238FC4C3" w14:textId="77777777" w:rsidR="00AB0307" w:rsidRPr="00AB0307" w:rsidRDefault="00AB0307" w:rsidP="00AB0307">
      <w:pPr>
        <w:rPr>
          <w:rStyle w:val="Hyperlink"/>
        </w:rPr>
      </w:pPr>
    </w:p>
    <w:p w14:paraId="548E2CAC" w14:textId="3855CA35" w:rsidR="00AB0307" w:rsidRPr="00AB0307" w:rsidRDefault="00AB0307" w:rsidP="00AB0307">
      <w:pPr>
        <w:rPr>
          <w:color w:val="467886" w:themeColor="hyperlink"/>
          <w:u w:val="single"/>
        </w:rPr>
      </w:pPr>
      <w:r w:rsidRPr="00AB0307">
        <w:rPr>
          <w:rStyle w:val="Hyperlink"/>
        </w:rPr>
        <w:br w:type="page"/>
      </w:r>
      <w:r w:rsidRPr="00AB0307">
        <w:rPr>
          <w:b/>
          <w:bCs/>
          <w:u w:val="single"/>
        </w:rPr>
        <w:lastRenderedPageBreak/>
        <w:t>Section Two</w:t>
      </w:r>
    </w:p>
    <w:p w14:paraId="6D54B319" w14:textId="77777777" w:rsidR="00AB0307" w:rsidRPr="00AB0307" w:rsidRDefault="00AB0307" w:rsidP="00AB0307">
      <w:pPr>
        <w:rPr>
          <w:color w:val="0000FF"/>
          <w:u w:val="single"/>
        </w:rPr>
      </w:pPr>
      <w:r w:rsidRPr="00AB0307">
        <w:rPr>
          <w:noProof/>
        </w:rPr>
        <w:drawing>
          <wp:anchor distT="0" distB="0" distL="114300" distR="114300" simplePos="0" relativeHeight="251658240" behindDoc="0" locked="0" layoutInCell="1" allowOverlap="1" wp14:anchorId="5E568386" wp14:editId="38009C73">
            <wp:simplePos x="0" y="0"/>
            <wp:positionH relativeFrom="column">
              <wp:posOffset>-753110</wp:posOffset>
            </wp:positionH>
            <wp:positionV relativeFrom="page">
              <wp:posOffset>1738630</wp:posOffset>
            </wp:positionV>
            <wp:extent cx="7247890" cy="3505200"/>
            <wp:effectExtent l="0" t="0" r="0" b="0"/>
            <wp:wrapSquare wrapText="bothSides"/>
            <wp:docPr id="1134446903" name="Picture 1" descr="A graph with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446903" name="Picture 1" descr="A graph with different colored line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7247890" cy="3505200"/>
                    </a:xfrm>
                    <a:prstGeom prst="rect">
                      <a:avLst/>
                    </a:prstGeom>
                  </pic:spPr>
                </pic:pic>
              </a:graphicData>
            </a:graphic>
            <wp14:sizeRelH relativeFrom="page">
              <wp14:pctWidth>0</wp14:pctWidth>
            </wp14:sizeRelH>
            <wp14:sizeRelV relativeFrom="page">
              <wp14:pctHeight>0</wp14:pctHeight>
            </wp14:sizeRelV>
          </wp:anchor>
        </w:drawing>
      </w:r>
      <w:r w:rsidRPr="00AB0307">
        <w:rPr>
          <w:b/>
          <w:bCs/>
          <w:u w:val="single"/>
        </w:rPr>
        <w:t>Table 1</w:t>
      </w:r>
    </w:p>
    <w:p w14:paraId="6567C682" w14:textId="77777777" w:rsidR="00AB0307" w:rsidRPr="00AB0307" w:rsidRDefault="00AB0307" w:rsidP="00AB0307"/>
    <w:p w14:paraId="59374FF4" w14:textId="77777777" w:rsidR="00AB0307" w:rsidRPr="00AB0307" w:rsidRDefault="00AB0307" w:rsidP="00AB0307">
      <w:pPr>
        <w:rPr>
          <w:rFonts w:cs="Arial"/>
          <w:color w:val="222222"/>
          <w:shd w:val="clear" w:color="auto" w:fill="FFFFFF"/>
        </w:rPr>
      </w:pPr>
      <w:r w:rsidRPr="00AB0307">
        <w:t xml:space="preserve">The data shows that, for many of the questions, there seems to be a split between employees agreeing and disagreeing. This would lead to the belief that there is split in colleagues who agree with home working and those who disagree. This is supported by research, with findings suggesting that there is a split in opinions, often with older employees feeling more negatively about home </w:t>
      </w:r>
      <w:r w:rsidRPr="00AB0307">
        <w:rPr>
          <w:rFonts w:cs="Arial"/>
        </w:rPr>
        <w:t>working (</w:t>
      </w:r>
      <w:proofErr w:type="spellStart"/>
      <w:r w:rsidRPr="00AB0307">
        <w:rPr>
          <w:rFonts w:cs="Arial"/>
          <w:color w:val="222222"/>
          <w:shd w:val="clear" w:color="auto" w:fill="FFFFFF"/>
        </w:rPr>
        <w:t>Raišienė</w:t>
      </w:r>
      <w:proofErr w:type="spellEnd"/>
      <w:r w:rsidRPr="00AB0307">
        <w:rPr>
          <w:rFonts w:cs="Arial"/>
          <w:color w:val="222222"/>
          <w:shd w:val="clear" w:color="auto" w:fill="FFFFFF"/>
        </w:rPr>
        <w:t xml:space="preserve"> </w:t>
      </w:r>
      <w:r w:rsidRPr="00AB0307">
        <w:rPr>
          <w:rFonts w:cs="Arial"/>
          <w:i/>
          <w:iCs/>
          <w:color w:val="222222"/>
          <w:shd w:val="clear" w:color="auto" w:fill="FFFFFF"/>
        </w:rPr>
        <w:t>et al</w:t>
      </w:r>
      <w:r w:rsidRPr="00AB0307">
        <w:rPr>
          <w:rFonts w:cs="Arial"/>
          <w:color w:val="222222"/>
          <w:shd w:val="clear" w:color="auto" w:fill="FFFFFF"/>
        </w:rPr>
        <w:t>., 2020). Other findings stand out are that over 80% of employees feel less stressed when away from their workplace, and over 50% feel that hybrid working supports their well-being.</w:t>
      </w:r>
    </w:p>
    <w:p w14:paraId="3A031E9B" w14:textId="77777777" w:rsidR="00AB0307" w:rsidRDefault="00AB0307" w:rsidP="00AB0307">
      <w:pPr>
        <w:rPr>
          <w:rFonts w:cs="Arial"/>
          <w:color w:val="222222"/>
          <w:shd w:val="clear" w:color="auto" w:fill="FFFFFF"/>
        </w:rPr>
      </w:pPr>
      <w:r w:rsidRPr="00AB0307">
        <w:rPr>
          <w:rFonts w:cs="Arial"/>
          <w:color w:val="222222"/>
          <w:shd w:val="clear" w:color="auto" w:fill="FFFFFF"/>
        </w:rPr>
        <w:t>It is therefore important to conduct a follow up study in order to collect some qualitative data discussing why colleagues feel this way and whether something within the work setting is causing stress. If the organisation has a goal of wanting employees to spend more time in the workplace, it’s recommended that wellbeing initiatives are implemented – such as monthly wellbeing time for employees (CIPD, 2023). Implementing this will have a direct impact on working time, however prioritising the wellbeing of staff will in turn increase morale and productivity (Isham, Mair &amp; Jackson, 2020).</w:t>
      </w:r>
    </w:p>
    <w:p w14:paraId="0D00004F" w14:textId="77777777" w:rsidR="007A42C7" w:rsidRDefault="007A42C7" w:rsidP="00AB0307">
      <w:pPr>
        <w:rPr>
          <w:rFonts w:cs="Arial"/>
          <w:color w:val="222222"/>
          <w:shd w:val="clear" w:color="auto" w:fill="FFFFFF"/>
        </w:rPr>
      </w:pPr>
    </w:p>
    <w:p w14:paraId="4F4291F2" w14:textId="1AAAB609" w:rsidR="007A42C7" w:rsidRPr="007A42C7" w:rsidRDefault="007A42C7" w:rsidP="00AB0307">
      <w:pPr>
        <w:rPr>
          <w:b/>
          <w:bCs/>
        </w:rPr>
      </w:pPr>
      <w:r>
        <w:rPr>
          <w:rFonts w:cs="Arial"/>
          <w:b/>
          <w:bCs/>
          <w:color w:val="222222"/>
          <w:shd w:val="clear" w:color="auto" w:fill="FFFFFF"/>
        </w:rPr>
        <w:t>Word count – 1,143</w:t>
      </w:r>
    </w:p>
    <w:p w14:paraId="24B9E76B" w14:textId="77777777" w:rsidR="00AB0307" w:rsidRPr="00AB0307" w:rsidRDefault="00AB0307" w:rsidP="00AB0307"/>
    <w:p w14:paraId="75C8A994" w14:textId="77777777" w:rsidR="00316F56" w:rsidRDefault="00316F56">
      <w:pPr>
        <w:rPr>
          <w:b/>
          <w:bCs/>
          <w:u w:val="single"/>
        </w:rPr>
      </w:pPr>
      <w:r>
        <w:rPr>
          <w:b/>
          <w:bCs/>
          <w:u w:val="single"/>
        </w:rPr>
        <w:br w:type="page"/>
      </w:r>
    </w:p>
    <w:p w14:paraId="1F170CFD" w14:textId="4B256CB8" w:rsidR="001824EB" w:rsidRPr="00F31AEA" w:rsidRDefault="00A01E19">
      <w:pPr>
        <w:rPr>
          <w:b/>
          <w:bCs/>
          <w:u w:val="single"/>
        </w:rPr>
      </w:pPr>
      <w:r w:rsidRPr="00F31AEA">
        <w:rPr>
          <w:b/>
          <w:bCs/>
          <w:u w:val="single"/>
        </w:rPr>
        <w:lastRenderedPageBreak/>
        <w:t>References</w:t>
      </w:r>
    </w:p>
    <w:p w14:paraId="11DD1DA8" w14:textId="77777777" w:rsidR="00F31AEA" w:rsidRPr="00F31AEA" w:rsidRDefault="00F31AEA" w:rsidP="00F31AEA">
      <w:pPr>
        <w:ind w:left="360"/>
        <w:rPr>
          <w:rFonts w:cs="Arial"/>
          <w:shd w:val="clear" w:color="auto" w:fill="FFFFFF"/>
        </w:rPr>
      </w:pPr>
      <w:proofErr w:type="spellStart"/>
      <w:r w:rsidRPr="00F31AEA">
        <w:rPr>
          <w:rFonts w:cs="Arial"/>
          <w:shd w:val="clear" w:color="auto" w:fill="FFFFFF"/>
        </w:rPr>
        <w:t>Abdolvand</w:t>
      </w:r>
      <w:proofErr w:type="spellEnd"/>
      <w:r w:rsidRPr="00F31AEA">
        <w:rPr>
          <w:rFonts w:cs="Arial"/>
          <w:shd w:val="clear" w:color="auto" w:fill="FFFFFF"/>
        </w:rPr>
        <w:t xml:space="preserve">, N., </w:t>
      </w:r>
      <w:proofErr w:type="spellStart"/>
      <w:r w:rsidRPr="00F31AEA">
        <w:rPr>
          <w:rFonts w:cs="Arial"/>
          <w:shd w:val="clear" w:color="auto" w:fill="FFFFFF"/>
        </w:rPr>
        <w:t>Albadvi</w:t>
      </w:r>
      <w:proofErr w:type="spellEnd"/>
      <w:r w:rsidRPr="00F31AEA">
        <w:rPr>
          <w:rFonts w:cs="Arial"/>
          <w:shd w:val="clear" w:color="auto" w:fill="FFFFFF"/>
        </w:rPr>
        <w:t xml:space="preserve">, A., &amp; </w:t>
      </w:r>
      <w:proofErr w:type="spellStart"/>
      <w:r w:rsidRPr="00F31AEA">
        <w:rPr>
          <w:rFonts w:cs="Arial"/>
          <w:shd w:val="clear" w:color="auto" w:fill="FFFFFF"/>
        </w:rPr>
        <w:t>Aghdasi</w:t>
      </w:r>
      <w:proofErr w:type="spellEnd"/>
      <w:r w:rsidRPr="00F31AEA">
        <w:rPr>
          <w:rFonts w:cs="Arial"/>
          <w:shd w:val="clear" w:color="auto" w:fill="FFFFFF"/>
        </w:rPr>
        <w:t>, M. (2015). Performance management using a value-based customer-</w:t>
      </w:r>
      <w:proofErr w:type="spellStart"/>
      <w:r w:rsidRPr="00F31AEA">
        <w:rPr>
          <w:rFonts w:cs="Arial"/>
          <w:shd w:val="clear" w:color="auto" w:fill="FFFFFF"/>
        </w:rPr>
        <w:t>centered</w:t>
      </w:r>
      <w:proofErr w:type="spellEnd"/>
      <w:r w:rsidRPr="00F31AEA">
        <w:rPr>
          <w:rFonts w:cs="Arial"/>
          <w:shd w:val="clear" w:color="auto" w:fill="FFFFFF"/>
        </w:rPr>
        <w:t xml:space="preserve"> model. </w:t>
      </w:r>
      <w:r w:rsidRPr="00F31AEA">
        <w:rPr>
          <w:rFonts w:cs="Arial"/>
          <w:i/>
          <w:iCs/>
          <w:shd w:val="clear" w:color="auto" w:fill="FFFFFF"/>
        </w:rPr>
        <w:t>International Journal of Production Research</w:t>
      </w:r>
      <w:r w:rsidRPr="00F31AEA">
        <w:rPr>
          <w:rFonts w:cs="Arial"/>
          <w:shd w:val="clear" w:color="auto" w:fill="FFFFFF"/>
        </w:rPr>
        <w:t>, </w:t>
      </w:r>
      <w:r w:rsidRPr="00F31AEA">
        <w:rPr>
          <w:rFonts w:cs="Arial"/>
          <w:i/>
          <w:iCs/>
          <w:shd w:val="clear" w:color="auto" w:fill="FFFFFF"/>
        </w:rPr>
        <w:t>53</w:t>
      </w:r>
      <w:r w:rsidRPr="00F31AEA">
        <w:rPr>
          <w:rFonts w:cs="Arial"/>
          <w:shd w:val="clear" w:color="auto" w:fill="FFFFFF"/>
        </w:rPr>
        <w:t>(18), pp.5472-5483.</w:t>
      </w:r>
    </w:p>
    <w:p w14:paraId="6AC77664"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proofErr w:type="spellStart"/>
      <w:r w:rsidRPr="00F31AEA">
        <w:rPr>
          <w:rFonts w:asciiTheme="minorHAnsi" w:hAnsiTheme="minorHAnsi"/>
          <w:sz w:val="22"/>
          <w:szCs w:val="22"/>
        </w:rPr>
        <w:t>Acas</w:t>
      </w:r>
      <w:proofErr w:type="spellEnd"/>
      <w:r w:rsidRPr="00F31AEA">
        <w:rPr>
          <w:rFonts w:asciiTheme="minorHAnsi" w:hAnsiTheme="minorHAnsi"/>
          <w:sz w:val="22"/>
          <w:szCs w:val="22"/>
        </w:rPr>
        <w:t xml:space="preserve">. (2022). </w:t>
      </w:r>
      <w:r w:rsidRPr="00F31AEA">
        <w:rPr>
          <w:rFonts w:asciiTheme="minorHAnsi" w:hAnsiTheme="minorHAnsi"/>
          <w:i/>
          <w:iCs/>
          <w:sz w:val="22"/>
          <w:szCs w:val="22"/>
        </w:rPr>
        <w:t xml:space="preserve">What reasonable adjustments are – reasonable adjustments at work. </w:t>
      </w:r>
      <w:r w:rsidRPr="00F31AEA">
        <w:rPr>
          <w:rFonts w:asciiTheme="minorHAnsi" w:hAnsiTheme="minorHAnsi"/>
          <w:sz w:val="22"/>
          <w:szCs w:val="22"/>
        </w:rPr>
        <w:t>Available at: https://www.acas.org.uk/reasonable-adjustments (Accessed: 11 June 2024).</w:t>
      </w:r>
    </w:p>
    <w:p w14:paraId="0115DBA9" w14:textId="77777777" w:rsidR="00F31AEA" w:rsidRPr="00F31AEA" w:rsidRDefault="00F31AEA" w:rsidP="00F31AEA">
      <w:pPr>
        <w:ind w:left="360"/>
      </w:pPr>
      <w:r w:rsidRPr="00F31AEA">
        <w:rPr>
          <w:rFonts w:cs="Arial"/>
          <w:shd w:val="clear" w:color="auto" w:fill="FFFFFF"/>
        </w:rPr>
        <w:t>Aggarwal, A. K. (2020). Using Deming's cycle for improvement in a course: A case study. </w:t>
      </w:r>
      <w:r w:rsidRPr="00F31AEA">
        <w:rPr>
          <w:rFonts w:cs="Arial"/>
          <w:i/>
          <w:iCs/>
          <w:shd w:val="clear" w:color="auto" w:fill="FFFFFF"/>
        </w:rPr>
        <w:t>International Journal of Web-Based Learning and Teaching Technologies (IJWLTT)</w:t>
      </w:r>
      <w:r w:rsidRPr="00F31AEA">
        <w:rPr>
          <w:rFonts w:cs="Arial"/>
          <w:shd w:val="clear" w:color="auto" w:fill="FFFFFF"/>
        </w:rPr>
        <w:t>, </w:t>
      </w:r>
      <w:r w:rsidRPr="00F31AEA">
        <w:rPr>
          <w:rFonts w:cs="Arial"/>
          <w:i/>
          <w:iCs/>
          <w:shd w:val="clear" w:color="auto" w:fill="FFFFFF"/>
        </w:rPr>
        <w:t>15</w:t>
      </w:r>
      <w:r w:rsidRPr="00F31AEA">
        <w:rPr>
          <w:rFonts w:cs="Arial"/>
          <w:shd w:val="clear" w:color="auto" w:fill="FFFFFF"/>
        </w:rPr>
        <w:t>(3), pp.31-45.</w:t>
      </w:r>
    </w:p>
    <w:p w14:paraId="3E98834A" w14:textId="77777777" w:rsidR="00F31AEA" w:rsidRPr="00F31AEA" w:rsidRDefault="00F31AEA" w:rsidP="00F31AEA">
      <w:pPr>
        <w:ind w:left="360"/>
      </w:pPr>
      <w:r w:rsidRPr="00F31AEA">
        <w:rPr>
          <w:rFonts w:cs="Arial"/>
          <w:shd w:val="clear" w:color="auto" w:fill="FFFFFF"/>
        </w:rPr>
        <w:t>Allard, T., Dunn, L. H., &amp; White, K. (2020). Negative reviews, positive impact: Consumer empathetic responding to unfair word of mouth. </w:t>
      </w:r>
      <w:r w:rsidRPr="00F31AEA">
        <w:rPr>
          <w:rFonts w:cs="Arial"/>
          <w:i/>
          <w:iCs/>
          <w:shd w:val="clear" w:color="auto" w:fill="FFFFFF"/>
        </w:rPr>
        <w:t>Journal of Marketing</w:t>
      </w:r>
      <w:r w:rsidRPr="00F31AEA">
        <w:rPr>
          <w:rFonts w:cs="Arial"/>
          <w:shd w:val="clear" w:color="auto" w:fill="FFFFFF"/>
        </w:rPr>
        <w:t>, </w:t>
      </w:r>
      <w:r w:rsidRPr="00F31AEA">
        <w:rPr>
          <w:rFonts w:cs="Arial"/>
          <w:i/>
          <w:iCs/>
          <w:shd w:val="clear" w:color="auto" w:fill="FFFFFF"/>
        </w:rPr>
        <w:t>84</w:t>
      </w:r>
      <w:r w:rsidRPr="00F31AEA">
        <w:rPr>
          <w:rFonts w:cs="Arial"/>
          <w:shd w:val="clear" w:color="auto" w:fill="FFFFFF"/>
        </w:rPr>
        <w:t>(4), pp.86-108.</w:t>
      </w:r>
    </w:p>
    <w:p w14:paraId="7BF17DC1" w14:textId="77777777" w:rsidR="00F31AEA" w:rsidRPr="00F31AEA" w:rsidRDefault="00F31AEA" w:rsidP="00F31AEA">
      <w:pPr>
        <w:ind w:left="360"/>
        <w:rPr>
          <w:lang w:val="fr-FR"/>
        </w:rPr>
      </w:pPr>
      <w:r w:rsidRPr="00F31AEA">
        <w:rPr>
          <w:rFonts w:cs="Arial"/>
          <w:shd w:val="clear" w:color="auto" w:fill="FFFFFF"/>
        </w:rPr>
        <w:t>Barends, E., &amp; Rousseau, D. M. (2018). </w:t>
      </w:r>
      <w:r w:rsidRPr="00F31AEA">
        <w:rPr>
          <w:rFonts w:cs="Arial"/>
          <w:i/>
          <w:iCs/>
          <w:shd w:val="clear" w:color="auto" w:fill="FFFFFF"/>
        </w:rPr>
        <w:t>Evidence-based management: How to use evidence to make better organizational decisions</w:t>
      </w:r>
      <w:r w:rsidRPr="00F31AEA">
        <w:rPr>
          <w:rFonts w:cs="Arial"/>
          <w:shd w:val="clear" w:color="auto" w:fill="FFFFFF"/>
        </w:rPr>
        <w:t xml:space="preserve">. </w:t>
      </w:r>
      <w:proofErr w:type="spellStart"/>
      <w:r w:rsidRPr="00F31AEA">
        <w:rPr>
          <w:rFonts w:cs="Arial"/>
          <w:shd w:val="clear" w:color="auto" w:fill="FFFFFF"/>
          <w:lang w:val="fr-FR"/>
        </w:rPr>
        <w:t>Kogan</w:t>
      </w:r>
      <w:proofErr w:type="spellEnd"/>
      <w:r w:rsidRPr="00F31AEA">
        <w:rPr>
          <w:rFonts w:cs="Arial"/>
          <w:shd w:val="clear" w:color="auto" w:fill="FFFFFF"/>
          <w:lang w:val="fr-FR"/>
        </w:rPr>
        <w:t xml:space="preserve"> Page Publishers.</w:t>
      </w:r>
    </w:p>
    <w:p w14:paraId="7A72528A" w14:textId="77777777" w:rsidR="00F31AEA" w:rsidRPr="00F31AEA" w:rsidRDefault="00F31AEA" w:rsidP="00F31AEA">
      <w:pPr>
        <w:ind w:left="360"/>
        <w:rPr>
          <w:rFonts w:cs="Arial"/>
          <w:shd w:val="clear" w:color="auto" w:fill="FFFFFF"/>
        </w:rPr>
      </w:pPr>
      <w:r w:rsidRPr="00F31AEA">
        <w:rPr>
          <w:rFonts w:cs="Arial"/>
          <w:shd w:val="clear" w:color="auto" w:fill="FFFFFF"/>
        </w:rPr>
        <w:t xml:space="preserve">Barod. (2021). </w:t>
      </w:r>
      <w:r w:rsidRPr="00F31AEA">
        <w:rPr>
          <w:rFonts w:cs="Arial"/>
          <w:i/>
          <w:iCs/>
          <w:shd w:val="clear" w:color="auto" w:fill="FFFFFF"/>
        </w:rPr>
        <w:t>Staff Survey</w:t>
      </w:r>
      <w:r w:rsidRPr="00F31AEA">
        <w:rPr>
          <w:rFonts w:cs="Arial"/>
          <w:shd w:val="clear" w:color="auto" w:fill="FFFFFF"/>
        </w:rPr>
        <w:t xml:space="preserve">. Unpublished internal company document. </w:t>
      </w:r>
    </w:p>
    <w:p w14:paraId="0ED57B09" w14:textId="77777777" w:rsidR="00F31AEA" w:rsidRPr="00F31AEA" w:rsidRDefault="00F31AEA" w:rsidP="00F31AEA">
      <w:pPr>
        <w:ind w:left="360"/>
        <w:rPr>
          <w:rFonts w:cs="Arial"/>
          <w:shd w:val="clear" w:color="auto" w:fill="FFFFFF"/>
        </w:rPr>
      </w:pPr>
      <w:r w:rsidRPr="00F31AEA">
        <w:rPr>
          <w:rFonts w:cs="Arial"/>
          <w:shd w:val="clear" w:color="auto" w:fill="FFFFFF"/>
        </w:rPr>
        <w:t xml:space="preserve">Barod. (2024). </w:t>
      </w:r>
      <w:r w:rsidRPr="00F31AEA">
        <w:rPr>
          <w:rFonts w:cs="Arial"/>
          <w:i/>
          <w:iCs/>
          <w:shd w:val="clear" w:color="auto" w:fill="FFFFFF"/>
        </w:rPr>
        <w:t>People Strategy</w:t>
      </w:r>
      <w:r w:rsidRPr="00F31AEA">
        <w:rPr>
          <w:rFonts w:cs="Arial"/>
          <w:shd w:val="clear" w:color="auto" w:fill="FFFFFF"/>
        </w:rPr>
        <w:t>. Unpublished internal company document.</w:t>
      </w:r>
    </w:p>
    <w:p w14:paraId="2EDDC856" w14:textId="77777777" w:rsidR="00F31AEA" w:rsidRPr="00F31AEA" w:rsidRDefault="00F31AEA" w:rsidP="00F31AEA">
      <w:pPr>
        <w:ind w:left="360"/>
        <w:rPr>
          <w:rFonts w:cs="Arial"/>
          <w:shd w:val="clear" w:color="auto" w:fill="FFFFFF"/>
        </w:rPr>
      </w:pPr>
      <w:r w:rsidRPr="00F31AEA">
        <w:rPr>
          <w:lang w:val="pl-PL"/>
        </w:rPr>
        <w:t xml:space="preserve">Bartunek, J. M., &amp; Rynes, S. L. (2014). </w:t>
      </w:r>
      <w:r w:rsidRPr="00F31AEA">
        <w:t xml:space="preserve">Academics and practitioners are alike and unlike: The paradoxes of academic-practitioner relationships. </w:t>
      </w:r>
      <w:r w:rsidRPr="00F31AEA">
        <w:rPr>
          <w:i/>
          <w:iCs/>
        </w:rPr>
        <w:t>Journal of Management</w:t>
      </w:r>
      <w:r w:rsidRPr="00F31AEA">
        <w:t>, 40(5), pp.1181–1201.</w:t>
      </w:r>
    </w:p>
    <w:p w14:paraId="0D5B4A56" w14:textId="77777777" w:rsidR="00F31AEA" w:rsidRPr="00F31AEA" w:rsidRDefault="00F31AEA" w:rsidP="00F31AEA">
      <w:pPr>
        <w:ind w:left="360"/>
        <w:rPr>
          <w:rFonts w:cs="Arial"/>
          <w:shd w:val="clear" w:color="auto" w:fill="FFFFFF"/>
        </w:rPr>
      </w:pPr>
      <w:r w:rsidRPr="00F31AEA">
        <w:rPr>
          <w:rFonts w:cs="Arial"/>
          <w:shd w:val="clear" w:color="auto" w:fill="FFFFFF"/>
        </w:rPr>
        <w:t>Berry, S., Trochmann, M. B., &amp; Millesen, J. L. (2024). Putting the humanity back into public human resources management: A narrative inquiry analysis of public service in the time of COVID-19. </w:t>
      </w:r>
      <w:r w:rsidRPr="00F31AEA">
        <w:rPr>
          <w:rFonts w:cs="Arial"/>
          <w:i/>
          <w:iCs/>
          <w:shd w:val="clear" w:color="auto" w:fill="FFFFFF"/>
        </w:rPr>
        <w:t>Review of Public Personnel Administration</w:t>
      </w:r>
      <w:r w:rsidRPr="00F31AEA">
        <w:rPr>
          <w:rFonts w:cs="Arial"/>
          <w:shd w:val="clear" w:color="auto" w:fill="FFFFFF"/>
        </w:rPr>
        <w:t>, </w:t>
      </w:r>
      <w:r w:rsidRPr="00F31AEA">
        <w:rPr>
          <w:rFonts w:cs="Arial"/>
          <w:i/>
          <w:iCs/>
          <w:shd w:val="clear" w:color="auto" w:fill="FFFFFF"/>
        </w:rPr>
        <w:t>44</w:t>
      </w:r>
      <w:r w:rsidRPr="00F31AEA">
        <w:rPr>
          <w:rFonts w:cs="Arial"/>
          <w:shd w:val="clear" w:color="auto" w:fill="FFFFFF"/>
        </w:rPr>
        <w:t>(1), pp.8-31.</w:t>
      </w:r>
    </w:p>
    <w:p w14:paraId="023F7679" w14:textId="77777777" w:rsidR="00F31AEA" w:rsidRPr="00F31AEA" w:rsidRDefault="00F31AEA" w:rsidP="00F31AEA">
      <w:pPr>
        <w:ind w:left="360"/>
        <w:rPr>
          <w:shd w:val="clear" w:color="auto" w:fill="FFFFFF"/>
        </w:rPr>
      </w:pPr>
      <w:r w:rsidRPr="00F31AEA">
        <w:rPr>
          <w:shd w:val="clear" w:color="auto" w:fill="FFFFFF"/>
        </w:rPr>
        <w:t>Bezzina, F. </w:t>
      </w:r>
      <w:r w:rsidRPr="00F31AEA">
        <w:rPr>
          <w:i/>
          <w:iCs/>
          <w:shd w:val="clear" w:color="auto" w:fill="FFFFFF"/>
        </w:rPr>
        <w:t>et al.</w:t>
      </w:r>
      <w:r w:rsidRPr="00F31AEA">
        <w:rPr>
          <w:shd w:val="clear" w:color="auto" w:fill="FFFFFF"/>
        </w:rPr>
        <w:t> (2017). Evidence-based human resource management practices in three EU developing member states: Can managers tell truth from fallacy? </w:t>
      </w:r>
      <w:r w:rsidRPr="00F31AEA">
        <w:rPr>
          <w:i/>
          <w:iCs/>
          <w:shd w:val="clear" w:color="auto" w:fill="FFFFFF"/>
        </w:rPr>
        <w:t>European management journal</w:t>
      </w:r>
      <w:r w:rsidRPr="00F31AEA">
        <w:rPr>
          <w:shd w:val="clear" w:color="auto" w:fill="FFFFFF"/>
        </w:rPr>
        <w:t xml:space="preserve">, 35(5), pp.688–700. </w:t>
      </w:r>
    </w:p>
    <w:p w14:paraId="57B0C065"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sz w:val="22"/>
          <w:szCs w:val="22"/>
          <w:shd w:val="clear" w:color="auto" w:fill="FFFFFF"/>
        </w:rPr>
        <w:t xml:space="preserve">Bitesize Learning. (2024). </w:t>
      </w:r>
      <w:r w:rsidRPr="00F31AEA">
        <w:rPr>
          <w:rFonts w:asciiTheme="minorHAnsi" w:hAnsiTheme="minorHAnsi"/>
          <w:i/>
          <w:iCs/>
          <w:sz w:val="22"/>
          <w:szCs w:val="22"/>
          <w:shd w:val="clear" w:color="auto" w:fill="FFFFFF"/>
        </w:rPr>
        <w:t xml:space="preserve">How to use the six thinking hats technique. </w:t>
      </w:r>
      <w:r w:rsidRPr="00F31AEA">
        <w:rPr>
          <w:rFonts w:asciiTheme="minorHAnsi" w:hAnsiTheme="minorHAnsi"/>
          <w:sz w:val="22"/>
          <w:szCs w:val="22"/>
          <w:shd w:val="clear" w:color="auto" w:fill="FFFFFF"/>
        </w:rPr>
        <w:t xml:space="preserve">Available at: </w:t>
      </w:r>
      <w:r w:rsidRPr="00F31AEA">
        <w:rPr>
          <w:rFonts w:asciiTheme="minorHAnsi" w:hAnsiTheme="minorHAnsi"/>
          <w:sz w:val="22"/>
          <w:szCs w:val="22"/>
        </w:rPr>
        <w:t xml:space="preserve">https://www.bitesizelearning.co.uk/resources/six-thinking-hats-technique (Accessed: 13 May 2024). </w:t>
      </w:r>
    </w:p>
    <w:p w14:paraId="32D1C4A0"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Breza, E., Kaur, S., &amp; Shamdasani, Y. (2018). The morale effects of pay inequality. </w:t>
      </w:r>
      <w:r w:rsidRPr="00F31AEA">
        <w:rPr>
          <w:rFonts w:asciiTheme="minorHAnsi" w:hAnsiTheme="minorHAnsi" w:cs="Arial"/>
          <w:i/>
          <w:iCs/>
          <w:sz w:val="22"/>
          <w:szCs w:val="22"/>
          <w:shd w:val="clear" w:color="auto" w:fill="FFFFFF"/>
        </w:rPr>
        <w:t>The Quarterly Journal of Economics</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133</w:t>
      </w:r>
      <w:r w:rsidRPr="00F31AEA">
        <w:rPr>
          <w:rFonts w:asciiTheme="minorHAnsi" w:hAnsiTheme="minorHAnsi" w:cs="Arial"/>
          <w:sz w:val="22"/>
          <w:szCs w:val="22"/>
          <w:shd w:val="clear" w:color="auto" w:fill="FFFFFF"/>
        </w:rPr>
        <w:t>(2), pp.611-663.</w:t>
      </w:r>
    </w:p>
    <w:p w14:paraId="3471081D" w14:textId="77777777" w:rsidR="00F31AEA" w:rsidRPr="00F31AEA" w:rsidRDefault="00F31AEA" w:rsidP="00F31AEA">
      <w:pPr>
        <w:ind w:left="360"/>
        <w:rPr>
          <w:rFonts w:cs="Arial"/>
          <w:shd w:val="clear" w:color="auto" w:fill="FFFFFF"/>
        </w:rPr>
      </w:pPr>
      <w:proofErr w:type="spellStart"/>
      <w:r w:rsidRPr="00F31AEA">
        <w:rPr>
          <w:rFonts w:cs="Arial"/>
          <w:shd w:val="clear" w:color="auto" w:fill="FFFFFF"/>
          <w:lang w:val="fr-FR"/>
        </w:rPr>
        <w:t>Briner</w:t>
      </w:r>
      <w:proofErr w:type="spellEnd"/>
      <w:r w:rsidRPr="00F31AEA">
        <w:rPr>
          <w:rFonts w:cs="Arial"/>
          <w:shd w:val="clear" w:color="auto" w:fill="FFFFFF"/>
          <w:lang w:val="fr-FR"/>
        </w:rPr>
        <w:t xml:space="preserve">, R. B., &amp; Rousseau, D. M. (2011). </w:t>
      </w:r>
      <w:r w:rsidRPr="00F31AEA">
        <w:rPr>
          <w:rFonts w:cs="Arial"/>
          <w:shd w:val="clear" w:color="auto" w:fill="FFFFFF"/>
        </w:rPr>
        <w:t>Evidence-based I–O psychology: Not there yet. </w:t>
      </w:r>
      <w:r w:rsidRPr="00F31AEA">
        <w:rPr>
          <w:rFonts w:cs="Arial"/>
          <w:i/>
          <w:iCs/>
          <w:shd w:val="clear" w:color="auto" w:fill="FFFFFF"/>
        </w:rPr>
        <w:t>Industrial and Organizational Psychology</w:t>
      </w:r>
      <w:r w:rsidRPr="00F31AEA">
        <w:rPr>
          <w:rFonts w:cs="Arial"/>
          <w:shd w:val="clear" w:color="auto" w:fill="FFFFFF"/>
        </w:rPr>
        <w:t>, </w:t>
      </w:r>
      <w:r w:rsidRPr="00F31AEA">
        <w:rPr>
          <w:rFonts w:cs="Arial"/>
          <w:i/>
          <w:iCs/>
          <w:shd w:val="clear" w:color="auto" w:fill="FFFFFF"/>
        </w:rPr>
        <w:t>4</w:t>
      </w:r>
      <w:r w:rsidRPr="00F31AEA">
        <w:rPr>
          <w:rFonts w:cs="Arial"/>
          <w:shd w:val="clear" w:color="auto" w:fill="FFFFFF"/>
        </w:rPr>
        <w:t>(1), pp.3-22.</w:t>
      </w:r>
    </w:p>
    <w:p w14:paraId="6F512024" w14:textId="77777777" w:rsidR="00F31AEA" w:rsidRPr="00F31AEA" w:rsidRDefault="00F31AEA" w:rsidP="00F31AEA">
      <w:pPr>
        <w:spacing w:after="0" w:line="240" w:lineRule="auto"/>
        <w:ind w:left="360"/>
        <w:rPr>
          <w:rFonts w:eastAsia="Times New Roman" w:cs="Arial"/>
          <w:kern w:val="0"/>
          <w:lang w:eastAsia="en-GB"/>
          <w14:ligatures w14:val="none"/>
        </w:rPr>
      </w:pPr>
      <w:r w:rsidRPr="00F31AEA">
        <w:rPr>
          <w:rFonts w:eastAsia="Times New Roman" w:cs="Arial"/>
          <w:kern w:val="0"/>
          <w:lang w:eastAsia="en-GB"/>
          <w14:ligatures w14:val="none"/>
        </w:rPr>
        <w:t>Cesário, F. J. S. (2015). Employees perceptions of the importance of human resources management practices. </w:t>
      </w:r>
      <w:r w:rsidRPr="00F31AEA">
        <w:rPr>
          <w:rFonts w:eastAsia="Times New Roman" w:cs="Arial"/>
          <w:i/>
          <w:iCs/>
          <w:kern w:val="0"/>
          <w:lang w:eastAsia="en-GB"/>
          <w14:ligatures w14:val="none"/>
        </w:rPr>
        <w:t>Research Journal of Business Management</w:t>
      </w:r>
      <w:r w:rsidRPr="00F31AEA">
        <w:rPr>
          <w:rFonts w:eastAsia="Times New Roman" w:cs="Arial"/>
          <w:kern w:val="0"/>
          <w:lang w:eastAsia="en-GB"/>
          <w14:ligatures w14:val="none"/>
        </w:rPr>
        <w:t>, </w:t>
      </w:r>
      <w:r w:rsidRPr="00F31AEA">
        <w:rPr>
          <w:rFonts w:eastAsia="Times New Roman" w:cs="Arial"/>
          <w:i/>
          <w:iCs/>
          <w:kern w:val="0"/>
          <w:lang w:eastAsia="en-GB"/>
          <w14:ligatures w14:val="none"/>
        </w:rPr>
        <w:t>9</w:t>
      </w:r>
      <w:r w:rsidRPr="00F31AEA">
        <w:rPr>
          <w:rFonts w:eastAsia="Times New Roman" w:cs="Arial"/>
          <w:kern w:val="0"/>
          <w:lang w:eastAsia="en-GB"/>
          <w14:ligatures w14:val="none"/>
        </w:rPr>
        <w:t>, pp.470-479.</w:t>
      </w:r>
    </w:p>
    <w:p w14:paraId="164AFC97" w14:textId="77777777" w:rsidR="00F31AEA" w:rsidRPr="00F31AEA" w:rsidRDefault="00F31AEA" w:rsidP="00F31AEA">
      <w:pPr>
        <w:spacing w:after="0" w:line="240" w:lineRule="auto"/>
        <w:ind w:left="360"/>
        <w:rPr>
          <w:rFonts w:eastAsia="Times New Roman" w:cs="Arial"/>
          <w:kern w:val="0"/>
          <w:lang w:eastAsia="en-GB"/>
          <w14:ligatures w14:val="none"/>
        </w:rPr>
      </w:pPr>
    </w:p>
    <w:p w14:paraId="55C8FBE7" w14:textId="77777777" w:rsidR="00F31AEA" w:rsidRPr="00F31AEA" w:rsidRDefault="00F31AEA" w:rsidP="00F31AEA">
      <w:pPr>
        <w:ind w:left="360"/>
        <w:rPr>
          <w:rFonts w:cs="Arial"/>
          <w:shd w:val="clear" w:color="auto" w:fill="FFFFFF"/>
        </w:rPr>
      </w:pPr>
      <w:r w:rsidRPr="00F31AEA">
        <w:rPr>
          <w:rFonts w:cs="Arial"/>
          <w:shd w:val="clear" w:color="auto" w:fill="FFFFFF"/>
        </w:rPr>
        <w:t xml:space="preserve">Chandrakumar, C., </w:t>
      </w:r>
      <w:proofErr w:type="spellStart"/>
      <w:r w:rsidRPr="00F31AEA">
        <w:rPr>
          <w:rFonts w:cs="Arial"/>
          <w:shd w:val="clear" w:color="auto" w:fill="FFFFFF"/>
        </w:rPr>
        <w:t>Jeyanthinathasarma</w:t>
      </w:r>
      <w:proofErr w:type="spellEnd"/>
      <w:r w:rsidRPr="00F31AEA">
        <w:rPr>
          <w:rFonts w:cs="Arial"/>
          <w:shd w:val="clear" w:color="auto" w:fill="FFFFFF"/>
        </w:rPr>
        <w:t xml:space="preserve">, G., </w:t>
      </w:r>
      <w:proofErr w:type="spellStart"/>
      <w:r w:rsidRPr="00F31AEA">
        <w:rPr>
          <w:rFonts w:cs="Arial"/>
          <w:shd w:val="clear" w:color="auto" w:fill="FFFFFF"/>
        </w:rPr>
        <w:t>Kulatunga</w:t>
      </w:r>
      <w:proofErr w:type="spellEnd"/>
      <w:r w:rsidRPr="00F31AEA">
        <w:rPr>
          <w:rFonts w:cs="Arial"/>
          <w:shd w:val="clear" w:color="auto" w:fill="FFFFFF"/>
        </w:rPr>
        <w:t xml:space="preserve">, A. K., Kesavan, R. A., &amp; Chandrakumar, C. (2015). Detrimental effects of poor human resources management: Case study from Sri Lanka. </w:t>
      </w:r>
      <w:r w:rsidRPr="00F31AEA">
        <w:rPr>
          <w:rFonts w:cs="Arial"/>
          <w:i/>
          <w:iCs/>
          <w:shd w:val="clear" w:color="auto" w:fill="FFFFFF"/>
        </w:rPr>
        <w:t xml:space="preserve">International Conference on Industrial Engineering and Operations Management (IEOM), </w:t>
      </w:r>
      <w:r w:rsidRPr="00F31AEA">
        <w:rPr>
          <w:rFonts w:cs="Arial"/>
          <w:shd w:val="clear" w:color="auto" w:fill="FFFFFF"/>
        </w:rPr>
        <w:t>pp.1-7.</w:t>
      </w:r>
    </w:p>
    <w:p w14:paraId="1A74BEF6" w14:textId="77777777" w:rsidR="00F31AEA" w:rsidRPr="00F31AEA" w:rsidRDefault="00F31AEA" w:rsidP="00F31AEA">
      <w:pPr>
        <w:ind w:left="360"/>
      </w:pPr>
      <w:r w:rsidRPr="00F31AEA">
        <w:lastRenderedPageBreak/>
        <w:t xml:space="preserve">Chartered Global Management Accountant. (2013). </w:t>
      </w:r>
      <w:r w:rsidRPr="00F31AEA">
        <w:rPr>
          <w:i/>
          <w:iCs/>
        </w:rPr>
        <w:t xml:space="preserve">Essential tools for management accountants. </w:t>
      </w:r>
      <w:r w:rsidRPr="00F31AEA">
        <w:t xml:space="preserve">Available at: https://www.cgma.org/content/dam/cgma/resources/tools/essential-tools/downloadabledocuments/essential-tools-for-management-accountants.pdf (Accessed 13 June 2024). </w:t>
      </w:r>
    </w:p>
    <w:p w14:paraId="0BCEA861" w14:textId="77777777" w:rsidR="00F31AEA" w:rsidRPr="00F31AEA" w:rsidRDefault="00F31AEA" w:rsidP="00F31AEA">
      <w:pPr>
        <w:ind w:left="360"/>
      </w:pPr>
      <w:r w:rsidRPr="00F31AEA">
        <w:t xml:space="preserve">CIPD. (2023). </w:t>
      </w:r>
      <w:r w:rsidRPr="00F31AEA">
        <w:rPr>
          <w:i/>
          <w:iCs/>
        </w:rPr>
        <w:t xml:space="preserve">Evidence-based practice for effective decision-making: Factsheets. </w:t>
      </w:r>
      <w:r w:rsidRPr="00F31AEA">
        <w:t>Available at: https://www.cipd.org/uk/knowledge/factsheets/evidence-based-practice-factsheet/#what-evidence-should-we-use (Accessed: 14 May 2024).</w:t>
      </w:r>
    </w:p>
    <w:p w14:paraId="121E4FE2" w14:textId="77777777" w:rsidR="00F31AEA" w:rsidRPr="00F31AEA" w:rsidRDefault="00F31AEA" w:rsidP="00F31AEA">
      <w:pPr>
        <w:ind w:left="360"/>
      </w:pPr>
      <w:r w:rsidRPr="00F31AEA">
        <w:t xml:space="preserve">CIPD. (2023). </w:t>
      </w:r>
      <w:r w:rsidRPr="00F31AEA">
        <w:rPr>
          <w:i/>
          <w:iCs/>
        </w:rPr>
        <w:t xml:space="preserve">Race Inclusion in the Workplace. </w:t>
      </w:r>
      <w:r w:rsidRPr="00F31AEA">
        <w:t xml:space="preserve">Available at: </w:t>
      </w:r>
      <w:hyperlink r:id="rId16" w:history="1">
        <w:r w:rsidRPr="00F31AEA">
          <w:rPr>
            <w:rStyle w:val="Hyperlink"/>
            <w:color w:val="auto"/>
          </w:rPr>
          <w:t>Race inclusion in the workplace | CIPD</w:t>
        </w:r>
      </w:hyperlink>
      <w:r w:rsidRPr="00F31AEA">
        <w:t xml:space="preserve"> (Accessed 10 June 2024).</w:t>
      </w:r>
    </w:p>
    <w:p w14:paraId="2FEB3EE2" w14:textId="77777777" w:rsidR="00F31AEA" w:rsidRPr="00F31AEA" w:rsidRDefault="00F31AEA" w:rsidP="00F31AEA">
      <w:pPr>
        <w:ind w:left="360"/>
      </w:pPr>
      <w:r w:rsidRPr="00F31AEA">
        <w:t xml:space="preserve">CIPD. (2023). </w:t>
      </w:r>
      <w:r w:rsidRPr="00F31AEA">
        <w:rPr>
          <w:i/>
          <w:iCs/>
        </w:rPr>
        <w:t xml:space="preserve">Wellbeing at Work. </w:t>
      </w:r>
      <w:r w:rsidRPr="00F31AEA">
        <w:t xml:space="preserve">Available at: </w:t>
      </w:r>
      <w:hyperlink r:id="rId17" w:anchor="a-holistic-approach-to-wellbeing" w:history="1">
        <w:r w:rsidRPr="00F31AEA">
          <w:rPr>
            <w:rStyle w:val="Hyperlink"/>
            <w:color w:val="auto"/>
          </w:rPr>
          <w:t>Wellbeing at Work | Factsheets | CIPD</w:t>
        </w:r>
      </w:hyperlink>
      <w:r w:rsidRPr="00F31AEA">
        <w:t xml:space="preserve"> (Accessed 10 June 2024).</w:t>
      </w:r>
    </w:p>
    <w:p w14:paraId="6ED83D44"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CIPD. (2024). </w:t>
      </w:r>
      <w:r w:rsidRPr="00F31AEA">
        <w:rPr>
          <w:rFonts w:asciiTheme="minorHAnsi" w:hAnsiTheme="minorHAnsi"/>
          <w:i/>
          <w:iCs/>
          <w:sz w:val="22"/>
          <w:szCs w:val="22"/>
        </w:rPr>
        <w:t>Gender pay gap reporting: Understand what it is, if you need to report and why</w:t>
      </w:r>
      <w:r w:rsidRPr="00F31AEA">
        <w:rPr>
          <w:rFonts w:asciiTheme="minorHAnsi" w:hAnsiTheme="minorHAnsi"/>
          <w:sz w:val="22"/>
          <w:szCs w:val="22"/>
        </w:rPr>
        <w:t>. Available at: https://www.cipd.org/uk/knowledge/guides/what-is-the-gender-pay-gap?_gl=1 (Accessed 11 June 2024).</w:t>
      </w:r>
    </w:p>
    <w:p w14:paraId="78B33962"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CIPD. (2024). </w:t>
      </w:r>
      <w:r w:rsidRPr="00F31AEA">
        <w:rPr>
          <w:rFonts w:asciiTheme="minorHAnsi" w:hAnsiTheme="minorHAnsi"/>
          <w:i/>
          <w:iCs/>
          <w:sz w:val="22"/>
          <w:szCs w:val="22"/>
        </w:rPr>
        <w:t xml:space="preserve">People analytics: CIPD viewpoint. </w:t>
      </w:r>
      <w:r w:rsidRPr="00F31AEA">
        <w:rPr>
          <w:rFonts w:asciiTheme="minorHAnsi" w:hAnsiTheme="minorHAnsi"/>
          <w:sz w:val="22"/>
          <w:szCs w:val="22"/>
        </w:rPr>
        <w:t xml:space="preserve">Available at: </w:t>
      </w:r>
      <w:hyperlink r:id="rId18" w:history="1">
        <w:r w:rsidRPr="00F31AEA">
          <w:rPr>
            <w:rStyle w:val="Hyperlink"/>
            <w:rFonts w:asciiTheme="minorHAnsi" w:eastAsiaTheme="majorEastAsia" w:hAnsiTheme="minorHAnsi"/>
            <w:color w:val="auto"/>
            <w:sz w:val="22"/>
            <w:szCs w:val="22"/>
          </w:rPr>
          <w:t>People analytics | CIPD Viewpoint | CIPD</w:t>
        </w:r>
      </w:hyperlink>
      <w:r w:rsidRPr="00F31AEA">
        <w:rPr>
          <w:rFonts w:asciiTheme="minorHAnsi" w:hAnsiTheme="minorHAnsi"/>
          <w:sz w:val="22"/>
          <w:szCs w:val="22"/>
        </w:rPr>
        <w:t xml:space="preserve"> (Accessed: 14 May 2024).</w:t>
      </w:r>
    </w:p>
    <w:p w14:paraId="0EAD6329"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CIPD. (2024). </w:t>
      </w:r>
      <w:r w:rsidRPr="00F31AEA">
        <w:rPr>
          <w:rFonts w:asciiTheme="minorHAnsi" w:hAnsiTheme="minorHAnsi"/>
          <w:i/>
          <w:iCs/>
          <w:sz w:val="22"/>
          <w:szCs w:val="22"/>
        </w:rPr>
        <w:t xml:space="preserve">SWOT analysis: Factsheets. </w:t>
      </w:r>
      <w:r w:rsidRPr="00F31AEA">
        <w:rPr>
          <w:rFonts w:asciiTheme="minorHAnsi" w:hAnsiTheme="minorHAnsi"/>
          <w:sz w:val="22"/>
          <w:szCs w:val="22"/>
        </w:rPr>
        <w:t>Available at: https://www.cipd.org/uk/knowledge/factsheets/swot-analysis-factsheet/ (Accessed: 10 May 2024).</w:t>
      </w:r>
    </w:p>
    <w:p w14:paraId="2CC1C76E"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CIPD. (2024). </w:t>
      </w:r>
      <w:r w:rsidRPr="00F31AEA">
        <w:rPr>
          <w:rFonts w:asciiTheme="minorHAnsi" w:hAnsiTheme="minorHAnsi"/>
          <w:i/>
          <w:iCs/>
          <w:sz w:val="22"/>
          <w:szCs w:val="22"/>
        </w:rPr>
        <w:t xml:space="preserve">Transgender and non-binary equality, diversity and inclusion in the workplace. </w:t>
      </w:r>
      <w:r w:rsidRPr="00F31AEA">
        <w:rPr>
          <w:rFonts w:asciiTheme="minorHAnsi" w:hAnsiTheme="minorHAnsi"/>
          <w:sz w:val="22"/>
          <w:szCs w:val="22"/>
        </w:rPr>
        <w:t>Available at: https://www.cipd.org/uk/knowledge/guides/transgender-non-binary/  (Accessed: 11 June 2024).</w:t>
      </w:r>
    </w:p>
    <w:p w14:paraId="210C8EE5"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Clark, D. (2023). </w:t>
      </w:r>
      <w:r w:rsidRPr="00F31AEA">
        <w:rPr>
          <w:rFonts w:asciiTheme="minorHAnsi" w:hAnsiTheme="minorHAnsi"/>
          <w:i/>
          <w:iCs/>
          <w:sz w:val="22"/>
          <w:szCs w:val="22"/>
        </w:rPr>
        <w:t>Topic: Earnings and wages in the UK</w:t>
      </w:r>
      <w:r w:rsidRPr="00F31AEA">
        <w:rPr>
          <w:rFonts w:asciiTheme="minorHAnsi" w:hAnsiTheme="minorHAnsi"/>
          <w:sz w:val="22"/>
          <w:szCs w:val="22"/>
        </w:rPr>
        <w:t xml:space="preserve">. Available at: </w:t>
      </w:r>
      <w:hyperlink r:id="rId19" w:history="1">
        <w:r w:rsidRPr="00F31AEA">
          <w:rPr>
            <w:rStyle w:val="Hyperlink"/>
            <w:rFonts w:asciiTheme="minorHAnsi" w:hAnsiTheme="minorHAnsi"/>
            <w:color w:val="auto"/>
            <w:sz w:val="22"/>
            <w:szCs w:val="22"/>
          </w:rPr>
          <w:t>https://www.statista.com/topics/3850/wages-and-salaries-in-the-uk/</w:t>
        </w:r>
      </w:hyperlink>
      <w:r w:rsidRPr="00F31AEA">
        <w:rPr>
          <w:rFonts w:asciiTheme="minorHAnsi" w:hAnsiTheme="minorHAnsi"/>
          <w:sz w:val="22"/>
          <w:szCs w:val="22"/>
        </w:rPr>
        <w:t xml:space="preserve"> (Accessed 4 June 2024).</w:t>
      </w:r>
    </w:p>
    <w:p w14:paraId="79D2A90D" w14:textId="77777777" w:rsidR="00F31AEA" w:rsidRPr="00F31AEA" w:rsidRDefault="00F31AEA" w:rsidP="00F31AEA">
      <w:pPr>
        <w:spacing w:line="360" w:lineRule="auto"/>
        <w:ind w:left="360"/>
        <w:rPr>
          <w:rFonts w:cs="Arial"/>
          <w:shd w:val="clear" w:color="auto" w:fill="FFFFFF"/>
        </w:rPr>
      </w:pPr>
      <w:r w:rsidRPr="00F31AEA">
        <w:rPr>
          <w:rFonts w:cs="Arial"/>
          <w:shd w:val="clear" w:color="auto" w:fill="FFFFFF"/>
        </w:rPr>
        <w:t xml:space="preserve">Cohen, L., Manion, L., and Morrison, K. (2018). </w:t>
      </w:r>
      <w:r w:rsidRPr="00F31AEA">
        <w:rPr>
          <w:rFonts w:cs="Arial"/>
          <w:i/>
          <w:iCs/>
          <w:shd w:val="clear" w:color="auto" w:fill="FFFFFF"/>
        </w:rPr>
        <w:t>Research methods in education</w:t>
      </w:r>
      <w:r w:rsidRPr="00F31AEA">
        <w:rPr>
          <w:rFonts w:cs="Arial"/>
          <w:shd w:val="clear" w:color="auto" w:fill="FFFFFF"/>
        </w:rPr>
        <w:t>. Routledge.</w:t>
      </w:r>
    </w:p>
    <w:p w14:paraId="21AC4AF7" w14:textId="77777777" w:rsidR="00F31AEA" w:rsidRPr="00F31AEA" w:rsidRDefault="00F31AEA" w:rsidP="00F31AEA">
      <w:pPr>
        <w:shd w:val="clear" w:color="auto" w:fill="FFFFFF"/>
        <w:spacing w:line="240" w:lineRule="auto"/>
        <w:ind w:left="360"/>
        <w:rPr>
          <w:rFonts w:eastAsia="Times New Roman" w:cs="Times New Roman"/>
          <w:kern w:val="0"/>
          <w:lang w:eastAsia="en-GB"/>
          <w14:ligatures w14:val="none"/>
        </w:rPr>
      </w:pPr>
      <w:r w:rsidRPr="00F31AEA">
        <w:rPr>
          <w:rFonts w:eastAsia="Times New Roman" w:cs="Times New Roman"/>
          <w:kern w:val="0"/>
          <w:lang w:eastAsia="en-GB"/>
          <w14:ligatures w14:val="none"/>
        </w:rPr>
        <w:t>Cottrell, S. (2023). </w:t>
      </w:r>
      <w:r w:rsidRPr="00F31AEA">
        <w:rPr>
          <w:rFonts w:eastAsia="Times New Roman" w:cs="Times New Roman"/>
          <w:i/>
          <w:iCs/>
          <w:kern w:val="0"/>
          <w:lang w:eastAsia="en-GB"/>
          <w14:ligatures w14:val="none"/>
        </w:rPr>
        <w:t>Critical thinking skills</w:t>
      </w:r>
      <w:r w:rsidRPr="00F31AEA">
        <w:rPr>
          <w:rFonts w:ascii="Arial" w:eastAsia="Times New Roman" w:hAnsi="Arial" w:cs="Arial"/>
          <w:i/>
          <w:iCs/>
          <w:kern w:val="0"/>
          <w:lang w:eastAsia="en-GB"/>
          <w14:ligatures w14:val="none"/>
        </w:rPr>
        <w:t> </w:t>
      </w:r>
      <w:r w:rsidRPr="00F31AEA">
        <w:rPr>
          <w:rFonts w:eastAsia="Times New Roman" w:cs="Times New Roman"/>
          <w:i/>
          <w:iCs/>
          <w:kern w:val="0"/>
          <w:lang w:eastAsia="en-GB"/>
          <w14:ligatures w14:val="none"/>
        </w:rPr>
        <w:t>: effective analysis, argument and reflection</w:t>
      </w:r>
      <w:r w:rsidRPr="00F31AEA">
        <w:rPr>
          <w:rFonts w:eastAsia="Times New Roman" w:cs="Times New Roman"/>
          <w:kern w:val="0"/>
          <w:lang w:eastAsia="en-GB"/>
          <w14:ligatures w14:val="none"/>
        </w:rPr>
        <w:t>. 4th edition. London: Bloomsbury Academic.</w:t>
      </w:r>
    </w:p>
    <w:p w14:paraId="69C4A74A" w14:textId="77777777" w:rsidR="00F31AEA" w:rsidRPr="00F31AEA" w:rsidRDefault="00F31AEA" w:rsidP="00F31AEA">
      <w:pPr>
        <w:shd w:val="clear" w:color="auto" w:fill="FFFFFF"/>
        <w:spacing w:after="0" w:line="480" w:lineRule="auto"/>
        <w:ind w:left="360"/>
        <w:rPr>
          <w:rFonts w:eastAsia="Times New Roman" w:cs="Times New Roman"/>
          <w:kern w:val="0"/>
          <w:lang w:eastAsia="en-GB"/>
          <w14:ligatures w14:val="none"/>
        </w:rPr>
      </w:pPr>
      <w:r w:rsidRPr="00F31AEA">
        <w:rPr>
          <w:rFonts w:eastAsia="Times New Roman" w:cs="Times New Roman"/>
          <w:kern w:val="0"/>
          <w:lang w:eastAsia="en-GB"/>
          <w14:ligatures w14:val="none"/>
        </w:rPr>
        <w:t>De Bono, E. (2009). </w:t>
      </w:r>
      <w:r w:rsidRPr="00F31AEA">
        <w:rPr>
          <w:rFonts w:eastAsia="Times New Roman" w:cs="Times New Roman"/>
          <w:i/>
          <w:iCs/>
          <w:kern w:val="0"/>
          <w:lang w:eastAsia="en-GB"/>
          <w14:ligatures w14:val="none"/>
        </w:rPr>
        <w:t>Six thinking hats</w:t>
      </w:r>
      <w:r w:rsidRPr="00F31AEA">
        <w:rPr>
          <w:rFonts w:eastAsia="Times New Roman" w:cs="Times New Roman"/>
          <w:kern w:val="0"/>
          <w:lang w:eastAsia="en-GB"/>
          <w14:ligatures w14:val="none"/>
        </w:rPr>
        <w:t> (Rev. and updated ed.). Penguin.</w:t>
      </w:r>
    </w:p>
    <w:p w14:paraId="3852BF9D" w14:textId="77777777" w:rsidR="00F31AEA" w:rsidRPr="00F31AEA" w:rsidRDefault="00F31AEA" w:rsidP="00F31AEA">
      <w:pPr>
        <w:ind w:left="360"/>
      </w:pPr>
      <w:r w:rsidRPr="00F31AEA">
        <w:t xml:space="preserve">de Gama, N., McKenna, S., &amp; Peticca-Harris, A. (2012). An alternative approach to ethical HRM through the discourse and lived experiences of HR professionals. </w:t>
      </w:r>
      <w:r w:rsidRPr="00F31AEA">
        <w:rPr>
          <w:i/>
          <w:iCs/>
        </w:rPr>
        <w:t>Journal of Business Ethics</w:t>
      </w:r>
      <w:r w:rsidRPr="00F31AEA">
        <w:t xml:space="preserve">, 111(1), pp.97–108. </w:t>
      </w:r>
    </w:p>
    <w:p w14:paraId="598DBBEE" w14:textId="77777777" w:rsidR="00F31AEA" w:rsidRPr="00F31AEA" w:rsidRDefault="00F31AEA" w:rsidP="00F31AEA">
      <w:pPr>
        <w:ind w:left="360"/>
      </w:pPr>
      <w:r w:rsidRPr="00F31AEA">
        <w:lastRenderedPageBreak/>
        <w:t xml:space="preserve">du Toit, A. (2016). Using environmental scanning to collect strategic information: A South African survey. </w:t>
      </w:r>
      <w:r w:rsidRPr="00F31AEA">
        <w:rPr>
          <w:i/>
          <w:iCs/>
        </w:rPr>
        <w:t>International Journal of Information Management</w:t>
      </w:r>
      <w:r w:rsidRPr="00F31AEA">
        <w:t>, 36, pp.16–24.</w:t>
      </w:r>
    </w:p>
    <w:p w14:paraId="2D6F87C2" w14:textId="77777777" w:rsidR="00F31AEA" w:rsidRPr="00F31AEA" w:rsidRDefault="00F31AEA" w:rsidP="00F31AEA">
      <w:pPr>
        <w:ind w:left="360"/>
      </w:pPr>
      <w:r w:rsidRPr="00F31AEA">
        <w:t>Fehringer, D., Hohhof, B., &amp; Johnson, T. (2006). State of the art: Competitive intelligence. Washington: Competitive Intelligence Foundation.</w:t>
      </w:r>
    </w:p>
    <w:p w14:paraId="2AB7DF57" w14:textId="77777777" w:rsidR="00F31AEA" w:rsidRPr="00F31AEA" w:rsidRDefault="00F31AEA" w:rsidP="00F31AEA">
      <w:pPr>
        <w:ind w:left="360"/>
      </w:pPr>
      <w:r w:rsidRPr="00F31AEA">
        <w:rPr>
          <w:rFonts w:cs="Arial"/>
          <w:shd w:val="clear" w:color="auto" w:fill="FFFFFF"/>
        </w:rPr>
        <w:t>George, G. (2014). Rethinking management scholarship. </w:t>
      </w:r>
      <w:r w:rsidRPr="00F31AEA">
        <w:rPr>
          <w:rFonts w:cs="Arial"/>
          <w:i/>
          <w:iCs/>
          <w:shd w:val="clear" w:color="auto" w:fill="FFFFFF"/>
        </w:rPr>
        <w:t>Academy of management Journal</w:t>
      </w:r>
      <w:r w:rsidRPr="00F31AEA">
        <w:rPr>
          <w:rFonts w:cs="Arial"/>
          <w:shd w:val="clear" w:color="auto" w:fill="FFFFFF"/>
        </w:rPr>
        <w:t>, </w:t>
      </w:r>
      <w:r w:rsidRPr="00F31AEA">
        <w:rPr>
          <w:rFonts w:cs="Arial"/>
          <w:i/>
          <w:iCs/>
          <w:shd w:val="clear" w:color="auto" w:fill="FFFFFF"/>
        </w:rPr>
        <w:t>57</w:t>
      </w:r>
      <w:r w:rsidRPr="00F31AEA">
        <w:rPr>
          <w:rFonts w:cs="Arial"/>
          <w:shd w:val="clear" w:color="auto" w:fill="FFFFFF"/>
        </w:rPr>
        <w:t>(1), pp.1-6.</w:t>
      </w:r>
    </w:p>
    <w:p w14:paraId="6AFFD97B"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sz w:val="22"/>
          <w:szCs w:val="22"/>
        </w:rPr>
        <w:t xml:space="preserve">Gibson, K. (2023). </w:t>
      </w:r>
      <w:r w:rsidRPr="00F31AEA">
        <w:rPr>
          <w:rFonts w:asciiTheme="minorHAnsi" w:hAnsiTheme="minorHAnsi"/>
          <w:i/>
          <w:iCs/>
          <w:sz w:val="22"/>
          <w:szCs w:val="22"/>
        </w:rPr>
        <w:t>How to measure your business performance: HBS online</w:t>
      </w:r>
      <w:r w:rsidRPr="00F31AEA">
        <w:rPr>
          <w:rFonts w:asciiTheme="minorHAnsi" w:hAnsiTheme="minorHAnsi"/>
          <w:sz w:val="22"/>
          <w:szCs w:val="22"/>
        </w:rPr>
        <w:t xml:space="preserve">, </w:t>
      </w:r>
      <w:r w:rsidRPr="00F31AEA">
        <w:rPr>
          <w:rFonts w:asciiTheme="minorHAnsi" w:hAnsiTheme="minorHAnsi"/>
          <w:i/>
          <w:iCs/>
          <w:sz w:val="22"/>
          <w:szCs w:val="22"/>
        </w:rPr>
        <w:t>Business Insights Blog</w:t>
      </w:r>
      <w:r w:rsidRPr="00F31AEA">
        <w:rPr>
          <w:rFonts w:asciiTheme="minorHAnsi" w:hAnsiTheme="minorHAnsi"/>
          <w:sz w:val="22"/>
          <w:szCs w:val="22"/>
        </w:rPr>
        <w:t xml:space="preserve">. Available at: https://online.hbs.edu/blog/post/business-performance-measurement (Accessed: 06 June 2024). </w:t>
      </w:r>
    </w:p>
    <w:p w14:paraId="74472B75" w14:textId="77777777" w:rsidR="00F31AEA" w:rsidRPr="00F31AEA" w:rsidRDefault="00F31AEA" w:rsidP="00F31AEA">
      <w:pPr>
        <w:ind w:left="360"/>
        <w:rPr>
          <w:spacing w:val="2"/>
          <w:shd w:val="clear" w:color="auto" w:fill="FFFFFF"/>
        </w:rPr>
      </w:pPr>
      <w:r w:rsidRPr="00F31AEA">
        <w:rPr>
          <w:spacing w:val="2"/>
          <w:shd w:val="clear" w:color="auto" w:fill="FFFFFF"/>
        </w:rPr>
        <w:t>Gifford, J. (2020). </w:t>
      </w:r>
      <w:r w:rsidRPr="00F31AEA">
        <w:rPr>
          <w:rStyle w:val="Emphasis"/>
          <w:spacing w:val="2"/>
          <w:shd w:val="clear" w:color="auto" w:fill="FFFFFF"/>
        </w:rPr>
        <w:t>Performance Management | Factsheets</w:t>
      </w:r>
      <w:r w:rsidRPr="00F31AEA">
        <w:rPr>
          <w:spacing w:val="2"/>
          <w:shd w:val="clear" w:color="auto" w:fill="FFFFFF"/>
        </w:rPr>
        <w:t>. CIPD. Available at: </w:t>
      </w:r>
      <w:hyperlink r:id="rId20" w:anchor="gref" w:tgtFrame="_blank" w:history="1">
        <w:r w:rsidRPr="00F31AEA">
          <w:rPr>
            <w:rStyle w:val="Hyperlink"/>
            <w:color w:val="auto"/>
            <w:spacing w:val="2"/>
            <w:shd w:val="clear" w:color="auto" w:fill="FFFFFF"/>
          </w:rPr>
          <w:t>https://www.cipd.co.uk/knowledge/fundamentals/people/performance/factsheet#gref</w:t>
        </w:r>
      </w:hyperlink>
      <w:r w:rsidRPr="00F31AEA">
        <w:rPr>
          <w:spacing w:val="2"/>
          <w:shd w:val="clear" w:color="auto" w:fill="FFFFFF"/>
        </w:rPr>
        <w:t> (Accessed 06 June 2024).</w:t>
      </w:r>
    </w:p>
    <w:p w14:paraId="695B175F" w14:textId="77777777" w:rsidR="00F31AEA" w:rsidRPr="00F31AEA" w:rsidRDefault="00F31AEA" w:rsidP="00F31AEA">
      <w:pPr>
        <w:ind w:left="360"/>
        <w:rPr>
          <w:shd w:val="clear" w:color="auto" w:fill="FFFFFF"/>
        </w:rPr>
      </w:pPr>
      <w:r w:rsidRPr="00F31AEA">
        <w:rPr>
          <w:shd w:val="clear" w:color="auto" w:fill="FFFFFF"/>
        </w:rPr>
        <w:t>Gill, C. (2018). Don’t know, don’t care: An exploration of evidence based knowledge and practice in human resource management. </w:t>
      </w:r>
      <w:r w:rsidRPr="00F31AEA">
        <w:rPr>
          <w:i/>
          <w:iCs/>
          <w:shd w:val="clear" w:color="auto" w:fill="FFFFFF"/>
        </w:rPr>
        <w:t>Human resource management review</w:t>
      </w:r>
      <w:r w:rsidRPr="00F31AEA">
        <w:rPr>
          <w:shd w:val="clear" w:color="auto" w:fill="FFFFFF"/>
        </w:rPr>
        <w:t>, 28(2), pp. 103–115.</w:t>
      </w:r>
    </w:p>
    <w:p w14:paraId="669C78B1"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i/>
          <w:iCs/>
          <w:sz w:val="22"/>
          <w:szCs w:val="22"/>
        </w:rPr>
        <w:t>GOV.UK.</w:t>
      </w:r>
      <w:r w:rsidRPr="00F31AEA">
        <w:rPr>
          <w:rFonts w:asciiTheme="minorHAnsi" w:hAnsiTheme="minorHAnsi"/>
          <w:sz w:val="22"/>
          <w:szCs w:val="22"/>
        </w:rPr>
        <w:t xml:space="preserve"> (2023). Male and female populations.</w:t>
      </w:r>
      <w:r w:rsidRPr="00F31AEA">
        <w:rPr>
          <w:rFonts w:asciiTheme="minorHAnsi" w:hAnsiTheme="minorHAnsi"/>
          <w:i/>
          <w:iCs/>
          <w:sz w:val="22"/>
          <w:szCs w:val="22"/>
        </w:rPr>
        <w:t xml:space="preserve"> Ethnicity facts and figures</w:t>
      </w:r>
      <w:r w:rsidRPr="00F31AEA">
        <w:rPr>
          <w:rFonts w:asciiTheme="minorHAnsi" w:hAnsiTheme="minorHAnsi"/>
          <w:sz w:val="22"/>
          <w:szCs w:val="22"/>
        </w:rPr>
        <w:t xml:space="preserve">. Available at: https://www.ethnicity-facts-figures.service.gov.uk/uk-population-by-ethnicity/demographics/male-and-female-populations/latest/#main-facts-and-figures (Accessed: 11 June 2024). </w:t>
      </w:r>
    </w:p>
    <w:p w14:paraId="1BCF0EB2" w14:textId="77777777" w:rsidR="00F31AEA" w:rsidRPr="00F31AEA" w:rsidRDefault="00F31AEA" w:rsidP="00F31AEA">
      <w:pPr>
        <w:rPr>
          <w:rFonts w:cs="Open Sans"/>
          <w:shd w:val="clear" w:color="auto" w:fill="FFFFFF"/>
        </w:rPr>
      </w:pPr>
    </w:p>
    <w:p w14:paraId="717387D2" w14:textId="77777777" w:rsidR="00F31AEA" w:rsidRPr="00F31AEA" w:rsidRDefault="00F31AEA" w:rsidP="00F31AEA">
      <w:pPr>
        <w:ind w:left="360"/>
        <w:rPr>
          <w:rFonts w:cs="Arial"/>
          <w:shd w:val="clear" w:color="auto" w:fill="FFFFFF"/>
        </w:rPr>
      </w:pPr>
      <w:r w:rsidRPr="00F31AEA">
        <w:rPr>
          <w:rFonts w:cs="Arial"/>
          <w:shd w:val="clear" w:color="auto" w:fill="FFFFFF"/>
        </w:rPr>
        <w:t>Gurl, E. (2017). SWOT analysis: A theoretical review.</w:t>
      </w:r>
    </w:p>
    <w:p w14:paraId="782E763A" w14:textId="77777777" w:rsidR="00F31AEA" w:rsidRPr="00F31AEA" w:rsidRDefault="00F31AEA" w:rsidP="00F31AEA">
      <w:pPr>
        <w:ind w:left="360"/>
        <w:rPr>
          <w:rFonts w:cs="Arial"/>
          <w:shd w:val="clear" w:color="auto" w:fill="FFFFFF"/>
        </w:rPr>
      </w:pPr>
      <w:r w:rsidRPr="00F31AEA">
        <w:rPr>
          <w:rFonts w:cs="Arial"/>
          <w:shd w:val="clear" w:color="auto" w:fill="FFFFFF"/>
        </w:rPr>
        <w:t>Hall, H. W. (2013). </w:t>
      </w:r>
      <w:r w:rsidRPr="00F31AEA">
        <w:rPr>
          <w:rFonts w:cs="Arial"/>
          <w:i/>
          <w:iCs/>
          <w:shd w:val="clear" w:color="auto" w:fill="FFFFFF"/>
        </w:rPr>
        <w:t>A case study of the use of the Kepner-Tregoe method of problem solving and decision making</w:t>
      </w:r>
      <w:r w:rsidRPr="00F31AEA">
        <w:rPr>
          <w:rFonts w:cs="Arial"/>
          <w:shd w:val="clear" w:color="auto" w:fill="FFFFFF"/>
        </w:rPr>
        <w:t> (Doctoral dissertation).</w:t>
      </w:r>
    </w:p>
    <w:p w14:paraId="297A817D"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i/>
          <w:iCs/>
          <w:sz w:val="22"/>
          <w:szCs w:val="22"/>
        </w:rPr>
        <w:t>How to use the six thinking hats technique</w:t>
      </w:r>
      <w:r w:rsidRPr="00F31AEA">
        <w:rPr>
          <w:rFonts w:asciiTheme="minorHAnsi" w:hAnsiTheme="minorHAnsi"/>
          <w:sz w:val="22"/>
          <w:szCs w:val="22"/>
        </w:rPr>
        <w:t xml:space="preserve"> (2024). </w:t>
      </w:r>
      <w:proofErr w:type="spellStart"/>
      <w:r w:rsidRPr="00F31AEA">
        <w:rPr>
          <w:rFonts w:asciiTheme="minorHAnsi" w:hAnsiTheme="minorHAnsi"/>
          <w:i/>
          <w:iCs/>
          <w:sz w:val="22"/>
          <w:szCs w:val="22"/>
        </w:rPr>
        <w:t>BiteSize</w:t>
      </w:r>
      <w:proofErr w:type="spellEnd"/>
      <w:r w:rsidRPr="00F31AEA">
        <w:rPr>
          <w:rFonts w:asciiTheme="minorHAnsi" w:hAnsiTheme="minorHAnsi"/>
          <w:i/>
          <w:iCs/>
          <w:sz w:val="22"/>
          <w:szCs w:val="22"/>
        </w:rPr>
        <w:t xml:space="preserve"> Learning</w:t>
      </w:r>
      <w:r w:rsidRPr="00F31AEA">
        <w:rPr>
          <w:rFonts w:asciiTheme="minorHAnsi" w:hAnsiTheme="minorHAnsi"/>
          <w:sz w:val="22"/>
          <w:szCs w:val="22"/>
        </w:rPr>
        <w:t xml:space="preserve">. Available at: https://www.bitesizelearning.co.uk/resources/six-thinking-hats-technique (Accessed: 13 May 2024). </w:t>
      </w:r>
    </w:p>
    <w:p w14:paraId="5BC659F9"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sz w:val="22"/>
          <w:szCs w:val="22"/>
        </w:rPr>
        <w:t xml:space="preserve">Howlett, W. and Coburn, T. (2019). </w:t>
      </w:r>
      <w:r w:rsidRPr="00F31AEA">
        <w:rPr>
          <w:rFonts w:asciiTheme="minorHAnsi" w:hAnsiTheme="minorHAnsi"/>
          <w:i/>
          <w:iCs/>
          <w:sz w:val="22"/>
          <w:szCs w:val="22"/>
        </w:rPr>
        <w:t>Critical thinking: Podcast</w:t>
      </w:r>
      <w:r w:rsidRPr="00F31AEA">
        <w:rPr>
          <w:rFonts w:asciiTheme="minorHAnsi" w:hAnsiTheme="minorHAnsi"/>
          <w:sz w:val="22"/>
          <w:szCs w:val="22"/>
        </w:rPr>
        <w:t xml:space="preserve">, </w:t>
      </w:r>
      <w:r w:rsidRPr="00F31AEA">
        <w:rPr>
          <w:rFonts w:asciiTheme="minorHAnsi" w:hAnsiTheme="minorHAnsi"/>
          <w:i/>
          <w:iCs/>
          <w:sz w:val="22"/>
          <w:szCs w:val="22"/>
        </w:rPr>
        <w:t>CIPD</w:t>
      </w:r>
      <w:r w:rsidRPr="00F31AEA">
        <w:rPr>
          <w:rFonts w:asciiTheme="minorHAnsi" w:hAnsiTheme="minorHAnsi"/>
          <w:sz w:val="22"/>
          <w:szCs w:val="22"/>
        </w:rPr>
        <w:t xml:space="preserve">. Available at: https://www.cipd.org/uk/knowledge/podcasts/critical-thinking/ (Accessed: 06 June 2024). </w:t>
      </w:r>
    </w:p>
    <w:p w14:paraId="63767CD2"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i/>
          <w:iCs/>
          <w:sz w:val="22"/>
          <w:szCs w:val="22"/>
        </w:rPr>
        <w:t>Inclusive recruitment: Guide for employers</w:t>
      </w:r>
      <w:r w:rsidRPr="00F31AEA">
        <w:rPr>
          <w:rFonts w:asciiTheme="minorHAnsi" w:hAnsiTheme="minorHAnsi"/>
          <w:sz w:val="22"/>
          <w:szCs w:val="22"/>
        </w:rPr>
        <w:t xml:space="preserve"> (2022). </w:t>
      </w:r>
      <w:r w:rsidRPr="00F31AEA">
        <w:rPr>
          <w:rFonts w:asciiTheme="minorHAnsi" w:hAnsiTheme="minorHAnsi"/>
          <w:i/>
          <w:iCs/>
          <w:sz w:val="22"/>
          <w:szCs w:val="22"/>
        </w:rPr>
        <w:t>CIPD</w:t>
      </w:r>
      <w:r w:rsidRPr="00F31AEA">
        <w:rPr>
          <w:rFonts w:asciiTheme="minorHAnsi" w:hAnsiTheme="minorHAnsi"/>
          <w:sz w:val="22"/>
          <w:szCs w:val="22"/>
        </w:rPr>
        <w:t xml:space="preserve">. Available at: https://www.cipd.org/uk/knowledge/guides/inclusive-employers/ (Accessed: 11 June 2024). </w:t>
      </w:r>
    </w:p>
    <w:p w14:paraId="539F7C8C"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Isham, A., Mair, S., &amp; Jackson, T. (2020). Wellbeing and productivity: a review of the literature.</w:t>
      </w:r>
    </w:p>
    <w:p w14:paraId="2879F528" w14:textId="77777777" w:rsidR="00F31AEA" w:rsidRPr="00F31AEA" w:rsidRDefault="00F31AEA" w:rsidP="00F31AEA">
      <w:pPr>
        <w:spacing w:line="360" w:lineRule="auto"/>
        <w:ind w:left="360"/>
        <w:rPr>
          <w:rFonts w:cs="Arial"/>
          <w:shd w:val="clear" w:color="auto" w:fill="FFFFFF"/>
        </w:rPr>
      </w:pPr>
      <w:r w:rsidRPr="00F31AEA">
        <w:rPr>
          <w:rFonts w:cs="Arial"/>
          <w:shd w:val="clear" w:color="auto" w:fill="FFFFFF"/>
        </w:rPr>
        <w:t>Kallio, H., Pietilä, A. M., Johnson, M., and Kangasniemi, M. (2016). Systematic methodological review: developing a framework for a qualitative semi</w:t>
      </w:r>
      <w:r w:rsidRPr="00F31AEA">
        <w:rPr>
          <w:rFonts w:ascii="Cambria Math" w:hAnsi="Cambria Math" w:cs="Cambria Math"/>
          <w:shd w:val="clear" w:color="auto" w:fill="FFFFFF"/>
        </w:rPr>
        <w:t>‐</w:t>
      </w:r>
      <w:r w:rsidRPr="00F31AEA">
        <w:rPr>
          <w:rFonts w:cs="Arial"/>
          <w:shd w:val="clear" w:color="auto" w:fill="FFFFFF"/>
        </w:rPr>
        <w:t xml:space="preserve">structured interview guide. </w:t>
      </w:r>
      <w:r w:rsidRPr="00F31AEA">
        <w:rPr>
          <w:rFonts w:cs="Arial"/>
          <w:i/>
          <w:iCs/>
        </w:rPr>
        <w:t>Journal of advanced nursing</w:t>
      </w:r>
      <w:r w:rsidRPr="00F31AEA">
        <w:rPr>
          <w:rFonts w:cs="Arial"/>
          <w:shd w:val="clear" w:color="auto" w:fill="FFFFFF"/>
        </w:rPr>
        <w:t>, </w:t>
      </w:r>
      <w:r w:rsidRPr="00F31AEA">
        <w:rPr>
          <w:rFonts w:cs="Arial"/>
          <w:iCs/>
        </w:rPr>
        <w:t>72</w:t>
      </w:r>
      <w:r w:rsidRPr="00F31AEA">
        <w:rPr>
          <w:rFonts w:cs="Arial"/>
          <w:shd w:val="clear" w:color="auto" w:fill="FFFFFF"/>
        </w:rPr>
        <w:t>(12), pp.2954-2965.</w:t>
      </w:r>
    </w:p>
    <w:p w14:paraId="69BEC164" w14:textId="77777777" w:rsidR="00F31AEA" w:rsidRPr="00F31AEA" w:rsidRDefault="00F31AEA" w:rsidP="00F31AEA">
      <w:pPr>
        <w:ind w:left="360"/>
      </w:pPr>
      <w:r w:rsidRPr="00F31AEA">
        <w:rPr>
          <w:rFonts w:cs="Arial"/>
          <w:shd w:val="clear" w:color="auto" w:fill="FFFFFF"/>
        </w:rPr>
        <w:lastRenderedPageBreak/>
        <w:t>Kamalaveni, M., Ramesh, S., &amp; Vetrivel, T. (2019). A review of literature on employee retention. </w:t>
      </w:r>
      <w:r w:rsidRPr="00F31AEA">
        <w:rPr>
          <w:rFonts w:cs="Arial"/>
          <w:i/>
          <w:iCs/>
          <w:shd w:val="clear" w:color="auto" w:fill="FFFFFF"/>
        </w:rPr>
        <w:t>International Journal of Innovative Research in Management Studies (IJIRMS)</w:t>
      </w:r>
      <w:r w:rsidRPr="00F31AEA">
        <w:rPr>
          <w:rFonts w:cs="Arial"/>
          <w:shd w:val="clear" w:color="auto" w:fill="FFFFFF"/>
        </w:rPr>
        <w:t>, </w:t>
      </w:r>
      <w:r w:rsidRPr="00F31AEA">
        <w:rPr>
          <w:rFonts w:cs="Arial"/>
          <w:i/>
          <w:iCs/>
          <w:shd w:val="clear" w:color="auto" w:fill="FFFFFF"/>
        </w:rPr>
        <w:t>4</w:t>
      </w:r>
      <w:r w:rsidRPr="00F31AEA">
        <w:rPr>
          <w:rFonts w:cs="Arial"/>
          <w:shd w:val="clear" w:color="auto" w:fill="FFFFFF"/>
        </w:rPr>
        <w:t>(4), pp.1-10.</w:t>
      </w:r>
    </w:p>
    <w:p w14:paraId="560E0C91" w14:textId="77777777" w:rsidR="00F31AEA" w:rsidRPr="00F31AEA" w:rsidRDefault="00F31AEA" w:rsidP="00F31AEA">
      <w:pPr>
        <w:pStyle w:val="NormalWeb"/>
        <w:ind w:left="360"/>
        <w:rPr>
          <w:rFonts w:asciiTheme="minorHAnsi" w:hAnsiTheme="minorHAnsi"/>
          <w:i/>
          <w:iCs/>
          <w:sz w:val="22"/>
          <w:szCs w:val="22"/>
        </w:rPr>
      </w:pPr>
      <w:proofErr w:type="spellStart"/>
      <w:r w:rsidRPr="00F31AEA">
        <w:rPr>
          <w:rFonts w:asciiTheme="minorHAnsi" w:hAnsiTheme="minorHAnsi" w:cs="Arial"/>
          <w:sz w:val="22"/>
          <w:szCs w:val="22"/>
          <w:shd w:val="clear" w:color="auto" w:fill="FFFFFF"/>
        </w:rPr>
        <w:t>Klikauer</w:t>
      </w:r>
      <w:proofErr w:type="spellEnd"/>
      <w:r w:rsidRPr="00F31AEA">
        <w:rPr>
          <w:rFonts w:asciiTheme="minorHAnsi" w:hAnsiTheme="minorHAnsi" w:cs="Arial"/>
          <w:sz w:val="22"/>
          <w:szCs w:val="22"/>
          <w:shd w:val="clear" w:color="auto" w:fill="FFFFFF"/>
        </w:rPr>
        <w:t>, T. (2014). </w:t>
      </w:r>
      <w:r w:rsidRPr="00F31AEA">
        <w:rPr>
          <w:rFonts w:asciiTheme="minorHAnsi" w:hAnsiTheme="minorHAnsi" w:cs="Arial"/>
          <w:i/>
          <w:iCs/>
          <w:sz w:val="22"/>
          <w:szCs w:val="22"/>
          <w:shd w:val="clear" w:color="auto" w:fill="FFFFFF"/>
        </w:rPr>
        <w:t>Seven moralities of human resource management</w:t>
      </w:r>
      <w:r w:rsidRPr="00F31AEA">
        <w:rPr>
          <w:rFonts w:asciiTheme="minorHAnsi" w:hAnsiTheme="minorHAnsi" w:cs="Arial"/>
          <w:sz w:val="22"/>
          <w:szCs w:val="22"/>
          <w:shd w:val="clear" w:color="auto" w:fill="FFFFFF"/>
        </w:rPr>
        <w:t>. Springer.</w:t>
      </w:r>
    </w:p>
    <w:p w14:paraId="7404FE73" w14:textId="77777777" w:rsidR="00F31AEA" w:rsidRPr="00F31AEA" w:rsidRDefault="00F31AEA" w:rsidP="00F31AEA">
      <w:pPr>
        <w:ind w:left="360"/>
      </w:pPr>
      <w:proofErr w:type="spellStart"/>
      <w:r w:rsidRPr="00F31AEA">
        <w:rPr>
          <w:rFonts w:cs="Arial"/>
          <w:shd w:val="clear" w:color="auto" w:fill="FFFFFF"/>
        </w:rPr>
        <w:t>Kontoghiorghes</w:t>
      </w:r>
      <w:proofErr w:type="spellEnd"/>
      <w:r w:rsidRPr="00F31AEA">
        <w:rPr>
          <w:rFonts w:cs="Arial"/>
          <w:shd w:val="clear" w:color="auto" w:fill="FFFFFF"/>
        </w:rPr>
        <w:t>, C., &amp; Frangou, K. (2009). The association between talent retention, antecedent factors, and consequent organizational performance. </w:t>
      </w:r>
      <w:r w:rsidRPr="00F31AEA">
        <w:rPr>
          <w:rFonts w:cs="Arial"/>
          <w:i/>
          <w:iCs/>
          <w:shd w:val="clear" w:color="auto" w:fill="FFFFFF"/>
        </w:rPr>
        <w:t>SAM Advanced Management Journal</w:t>
      </w:r>
      <w:r w:rsidRPr="00F31AEA">
        <w:rPr>
          <w:rFonts w:cs="Arial"/>
          <w:shd w:val="clear" w:color="auto" w:fill="FFFFFF"/>
        </w:rPr>
        <w:t>, </w:t>
      </w:r>
      <w:r w:rsidRPr="00F31AEA">
        <w:rPr>
          <w:rFonts w:cs="Arial"/>
          <w:i/>
          <w:iCs/>
          <w:shd w:val="clear" w:color="auto" w:fill="FFFFFF"/>
        </w:rPr>
        <w:t>74</w:t>
      </w:r>
      <w:r w:rsidRPr="00F31AEA">
        <w:rPr>
          <w:rFonts w:cs="Arial"/>
          <w:shd w:val="clear" w:color="auto" w:fill="FFFFFF"/>
        </w:rPr>
        <w:t>(1), p.29.</w:t>
      </w:r>
    </w:p>
    <w:p w14:paraId="7EA27191" w14:textId="77777777" w:rsidR="00F31AEA" w:rsidRPr="00F31AEA" w:rsidRDefault="00F31AEA" w:rsidP="00F31AEA">
      <w:pPr>
        <w:pStyle w:val="NormalWeb"/>
        <w:ind w:left="360"/>
        <w:rPr>
          <w:rFonts w:asciiTheme="minorHAnsi" w:hAnsiTheme="minorHAnsi"/>
          <w:i/>
          <w:iCs/>
          <w:sz w:val="22"/>
          <w:szCs w:val="22"/>
        </w:rPr>
      </w:pPr>
      <w:r w:rsidRPr="00F31AEA">
        <w:rPr>
          <w:rFonts w:asciiTheme="minorHAnsi" w:hAnsiTheme="minorHAnsi" w:cs="Arial"/>
          <w:sz w:val="22"/>
          <w:szCs w:val="22"/>
          <w:shd w:val="clear" w:color="auto" w:fill="FFFFFF"/>
        </w:rPr>
        <w:t>Kozlowski, S. W. (2018). Enhancing the effectiveness of work groups and teams: A reflection. </w:t>
      </w:r>
      <w:r w:rsidRPr="00F31AEA">
        <w:rPr>
          <w:rFonts w:asciiTheme="minorHAnsi" w:hAnsiTheme="minorHAnsi" w:cs="Arial"/>
          <w:i/>
          <w:iCs/>
          <w:sz w:val="22"/>
          <w:szCs w:val="22"/>
          <w:shd w:val="clear" w:color="auto" w:fill="FFFFFF"/>
        </w:rPr>
        <w:t>Perspectives on Psychological Science</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13</w:t>
      </w:r>
      <w:r w:rsidRPr="00F31AEA">
        <w:rPr>
          <w:rFonts w:asciiTheme="minorHAnsi" w:hAnsiTheme="minorHAnsi" w:cs="Arial"/>
          <w:sz w:val="22"/>
          <w:szCs w:val="22"/>
          <w:shd w:val="clear" w:color="auto" w:fill="FFFFFF"/>
        </w:rPr>
        <w:t>(2), pp.205-212.</w:t>
      </w:r>
    </w:p>
    <w:p w14:paraId="38EBC82E"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Kujala, J., Sachs, S., Leinonen, H., Heikkinen, A., &amp; Laude, D. (2022). Stakeholder engagement: Past, present, and future. </w:t>
      </w:r>
      <w:r w:rsidRPr="00F31AEA">
        <w:rPr>
          <w:rFonts w:asciiTheme="minorHAnsi" w:hAnsiTheme="minorHAnsi" w:cs="Arial"/>
          <w:i/>
          <w:iCs/>
          <w:sz w:val="22"/>
          <w:szCs w:val="22"/>
          <w:shd w:val="clear" w:color="auto" w:fill="FFFFFF"/>
        </w:rPr>
        <w:t>Business &amp; Society</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61</w:t>
      </w:r>
      <w:r w:rsidRPr="00F31AEA">
        <w:rPr>
          <w:rFonts w:asciiTheme="minorHAnsi" w:hAnsiTheme="minorHAnsi" w:cs="Arial"/>
          <w:sz w:val="22"/>
          <w:szCs w:val="22"/>
          <w:shd w:val="clear" w:color="auto" w:fill="FFFFFF"/>
        </w:rPr>
        <w:t>(5), pp.1136-1196.</w:t>
      </w:r>
    </w:p>
    <w:p w14:paraId="486B53F8"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Leigh, D. (2009). SWOT analysis. </w:t>
      </w:r>
      <w:r w:rsidRPr="00F31AEA">
        <w:rPr>
          <w:rFonts w:asciiTheme="minorHAnsi" w:hAnsiTheme="minorHAnsi" w:cs="Arial"/>
          <w:i/>
          <w:iCs/>
          <w:sz w:val="22"/>
          <w:szCs w:val="22"/>
          <w:shd w:val="clear" w:color="auto" w:fill="FFFFFF"/>
        </w:rPr>
        <w:t>Handbook of Improving Performance in the Workplace: Volumes 1</w:t>
      </w:r>
      <w:r w:rsidRPr="00F31AEA">
        <w:rPr>
          <w:rFonts w:ascii="Cambria Math" w:hAnsi="Cambria Math" w:cs="Cambria Math"/>
          <w:i/>
          <w:iCs/>
          <w:sz w:val="22"/>
          <w:szCs w:val="22"/>
          <w:shd w:val="clear" w:color="auto" w:fill="FFFFFF"/>
        </w:rPr>
        <w:t>‐</w:t>
      </w:r>
      <w:r w:rsidRPr="00F31AEA">
        <w:rPr>
          <w:rFonts w:asciiTheme="minorHAnsi" w:hAnsiTheme="minorHAnsi" w:cs="Arial"/>
          <w:i/>
          <w:iCs/>
          <w:sz w:val="22"/>
          <w:szCs w:val="22"/>
          <w:shd w:val="clear" w:color="auto" w:fill="FFFFFF"/>
        </w:rPr>
        <w:t>3</w:t>
      </w:r>
      <w:r w:rsidRPr="00F31AEA">
        <w:rPr>
          <w:rFonts w:asciiTheme="minorHAnsi" w:hAnsiTheme="minorHAnsi" w:cs="Arial"/>
          <w:sz w:val="22"/>
          <w:szCs w:val="22"/>
          <w:shd w:val="clear" w:color="auto" w:fill="FFFFFF"/>
        </w:rPr>
        <w:t>, pp.115-140.</w:t>
      </w:r>
    </w:p>
    <w:p w14:paraId="588120F7"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cs="Arial"/>
          <w:sz w:val="22"/>
          <w:szCs w:val="22"/>
          <w:shd w:val="clear" w:color="auto" w:fill="FFFFFF"/>
        </w:rPr>
        <w:t>McCaul, M. E., &amp; Wand, G. S. (2018). Detecting deception in our research participants: are your participants who you think they are?. </w:t>
      </w:r>
      <w:r w:rsidRPr="00F31AEA">
        <w:rPr>
          <w:rFonts w:asciiTheme="minorHAnsi" w:hAnsiTheme="minorHAnsi" w:cs="Arial"/>
          <w:i/>
          <w:iCs/>
          <w:sz w:val="22"/>
          <w:szCs w:val="22"/>
          <w:shd w:val="clear" w:color="auto" w:fill="FFFFFF"/>
        </w:rPr>
        <w:t>Alcoholism: Clinical and Experimental Research</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42</w:t>
      </w:r>
      <w:r w:rsidRPr="00F31AEA">
        <w:rPr>
          <w:rFonts w:asciiTheme="minorHAnsi" w:hAnsiTheme="minorHAnsi" w:cs="Arial"/>
          <w:sz w:val="22"/>
          <w:szCs w:val="22"/>
          <w:shd w:val="clear" w:color="auto" w:fill="FFFFFF"/>
        </w:rPr>
        <w:t>(2), PP.230-237.</w:t>
      </w:r>
    </w:p>
    <w:p w14:paraId="6CDA95B2" w14:textId="77777777" w:rsidR="00F31AEA" w:rsidRPr="00F31AEA" w:rsidRDefault="00F31AEA" w:rsidP="00F31AEA">
      <w:pPr>
        <w:ind w:left="360"/>
        <w:rPr>
          <w:shd w:val="clear" w:color="auto" w:fill="FFFFFF"/>
        </w:rPr>
      </w:pPr>
      <w:r w:rsidRPr="00F31AEA">
        <w:rPr>
          <w:shd w:val="clear" w:color="auto" w:fill="FFFFFF"/>
        </w:rPr>
        <w:t>McNett, M., Tucker, S. and Melnyk, B.M. (2021). Evidence</w:t>
      </w:r>
      <w:r w:rsidRPr="00F31AEA">
        <w:rPr>
          <w:rFonts w:ascii="Cambria Math" w:hAnsi="Cambria Math" w:cs="Cambria Math"/>
          <w:shd w:val="clear" w:color="auto" w:fill="FFFFFF"/>
        </w:rPr>
        <w:t>‐</w:t>
      </w:r>
      <w:r w:rsidRPr="00F31AEA">
        <w:rPr>
          <w:shd w:val="clear" w:color="auto" w:fill="FFFFFF"/>
        </w:rPr>
        <w:t>Based Practice Requires Evidence</w:t>
      </w:r>
      <w:r w:rsidRPr="00F31AEA">
        <w:rPr>
          <w:rFonts w:ascii="Cambria Math" w:hAnsi="Cambria Math" w:cs="Cambria Math"/>
          <w:shd w:val="clear" w:color="auto" w:fill="FFFFFF"/>
        </w:rPr>
        <w:t>‐</w:t>
      </w:r>
      <w:r w:rsidRPr="00F31AEA">
        <w:rPr>
          <w:shd w:val="clear" w:color="auto" w:fill="FFFFFF"/>
        </w:rPr>
        <w:t>Based Implementation. </w:t>
      </w:r>
      <w:r w:rsidRPr="00F31AEA">
        <w:rPr>
          <w:i/>
          <w:iCs/>
          <w:shd w:val="clear" w:color="auto" w:fill="FFFFFF"/>
        </w:rPr>
        <w:t>Worldviews on evidence-based nursing</w:t>
      </w:r>
      <w:r w:rsidRPr="00F31AEA">
        <w:rPr>
          <w:shd w:val="clear" w:color="auto" w:fill="FFFFFF"/>
        </w:rPr>
        <w:t xml:space="preserve">, 18(2), pp.74–75. </w:t>
      </w:r>
    </w:p>
    <w:p w14:paraId="18ADB212" w14:textId="77777777" w:rsidR="00F31AEA" w:rsidRPr="00F31AEA" w:rsidRDefault="00F31AEA" w:rsidP="00F31AEA">
      <w:pPr>
        <w:ind w:left="360"/>
        <w:rPr>
          <w:shd w:val="clear" w:color="auto" w:fill="FFFFFF"/>
        </w:rPr>
      </w:pPr>
      <w:r w:rsidRPr="00F31AEA">
        <w:rPr>
          <w:rFonts w:cs="Arial"/>
          <w:shd w:val="clear" w:color="auto" w:fill="FFFFFF"/>
        </w:rPr>
        <w:t xml:space="preserve">Miyata, C., Arai, H., &amp; Suga, S. (2014). Nurse manager’s recognition </w:t>
      </w:r>
      <w:proofErr w:type="spellStart"/>
      <w:r w:rsidRPr="00F31AEA">
        <w:rPr>
          <w:rFonts w:cs="Arial"/>
          <w:shd w:val="clear" w:color="auto" w:fill="FFFFFF"/>
        </w:rPr>
        <w:t>behavior</w:t>
      </w:r>
      <w:proofErr w:type="spellEnd"/>
      <w:r w:rsidRPr="00F31AEA">
        <w:rPr>
          <w:rFonts w:cs="Arial"/>
          <w:shd w:val="clear" w:color="auto" w:fill="FFFFFF"/>
        </w:rPr>
        <w:t xml:space="preserve"> with staff nurses in Japan-based on semi-structured interviews. </w:t>
      </w:r>
      <w:r w:rsidRPr="00F31AEA">
        <w:rPr>
          <w:rFonts w:cs="Arial"/>
          <w:i/>
          <w:iCs/>
          <w:shd w:val="clear" w:color="auto" w:fill="FFFFFF"/>
        </w:rPr>
        <w:t>Open Journal of Nursing.</w:t>
      </w:r>
    </w:p>
    <w:p w14:paraId="5A951F4D"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Monro, S. (2019). Non-binary and genderqueer: An overview of the field. </w:t>
      </w:r>
      <w:r w:rsidRPr="00F31AEA">
        <w:rPr>
          <w:rFonts w:asciiTheme="minorHAnsi" w:hAnsiTheme="minorHAnsi" w:cs="Arial"/>
          <w:i/>
          <w:iCs/>
          <w:sz w:val="22"/>
          <w:szCs w:val="22"/>
          <w:shd w:val="clear" w:color="auto" w:fill="FFFFFF"/>
        </w:rPr>
        <w:t>International Journal of Transgenderism</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20</w:t>
      </w:r>
      <w:r w:rsidRPr="00F31AEA">
        <w:rPr>
          <w:rFonts w:asciiTheme="minorHAnsi" w:hAnsiTheme="minorHAnsi" w:cs="Arial"/>
          <w:sz w:val="22"/>
          <w:szCs w:val="22"/>
          <w:shd w:val="clear" w:color="auto" w:fill="FFFFFF"/>
        </w:rPr>
        <w:t>(2-3), pp.126-131.</w:t>
      </w:r>
    </w:p>
    <w:p w14:paraId="25DEA0BF"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Office for National Statistics (2022). </w:t>
      </w:r>
      <w:r w:rsidRPr="00F31AEA">
        <w:rPr>
          <w:rFonts w:asciiTheme="minorHAnsi" w:hAnsiTheme="minorHAnsi"/>
          <w:i/>
          <w:iCs/>
          <w:sz w:val="22"/>
          <w:szCs w:val="22"/>
        </w:rPr>
        <w:t>Population of England and Wales</w:t>
      </w:r>
      <w:r w:rsidRPr="00F31AEA">
        <w:rPr>
          <w:rFonts w:asciiTheme="minorHAnsi" w:hAnsiTheme="minorHAnsi"/>
          <w:sz w:val="22"/>
          <w:szCs w:val="22"/>
        </w:rPr>
        <w:t>. GOV.UK. Available at: https://www.ethnicity-facts-figures.service.gov.uk/uk-population-by-ethnicity/national-and-regional-populations/population-of-england-and-wales/latest/ (Accessed 12 Jun. 2024).</w:t>
      </w:r>
    </w:p>
    <w:p w14:paraId="68C975B5" w14:textId="77777777" w:rsidR="00F31AEA" w:rsidRPr="00F31AEA" w:rsidRDefault="00F31AEA" w:rsidP="00F31AEA">
      <w:pPr>
        <w:ind w:left="360"/>
        <w:rPr>
          <w:rFonts w:eastAsia="Times New Roman" w:cs="Arial"/>
          <w:kern w:val="0"/>
          <w:lang w:eastAsia="en-GB"/>
          <w14:ligatures w14:val="none"/>
        </w:rPr>
      </w:pPr>
      <w:proofErr w:type="spellStart"/>
      <w:r w:rsidRPr="00F31AEA">
        <w:rPr>
          <w:rFonts w:eastAsia="Times New Roman" w:cs="Arial"/>
          <w:kern w:val="0"/>
          <w:lang w:eastAsia="en-GB"/>
          <w14:ligatures w14:val="none"/>
        </w:rPr>
        <w:t>Ombanda</w:t>
      </w:r>
      <w:proofErr w:type="spellEnd"/>
      <w:r w:rsidRPr="00F31AEA">
        <w:rPr>
          <w:rFonts w:eastAsia="Times New Roman" w:cs="Arial"/>
          <w:kern w:val="0"/>
          <w:lang w:eastAsia="en-GB"/>
          <w14:ligatures w14:val="none"/>
        </w:rPr>
        <w:t xml:space="preserve">, P. O., &amp; </w:t>
      </w:r>
      <w:proofErr w:type="spellStart"/>
      <w:r w:rsidRPr="00F31AEA">
        <w:rPr>
          <w:rFonts w:eastAsia="Times New Roman" w:cs="Arial"/>
          <w:kern w:val="0"/>
          <w:lang w:eastAsia="en-GB"/>
          <w14:ligatures w14:val="none"/>
        </w:rPr>
        <w:t>K’Obonyo</w:t>
      </w:r>
      <w:proofErr w:type="spellEnd"/>
      <w:r w:rsidRPr="00F31AEA">
        <w:rPr>
          <w:rFonts w:eastAsia="Times New Roman" w:cs="Arial"/>
          <w:kern w:val="0"/>
          <w:lang w:eastAsia="en-GB"/>
          <w14:ligatures w14:val="none"/>
        </w:rPr>
        <w:t>, P. (2019). Critical analysis of ethics in human resource management and employee performance. </w:t>
      </w:r>
      <w:r w:rsidRPr="00F31AEA">
        <w:rPr>
          <w:rFonts w:eastAsia="Times New Roman" w:cs="Arial"/>
          <w:i/>
          <w:iCs/>
          <w:kern w:val="0"/>
          <w:lang w:eastAsia="en-GB"/>
          <w14:ligatures w14:val="none"/>
        </w:rPr>
        <w:t xml:space="preserve">Int. J. Sci. Res. </w:t>
      </w:r>
      <w:proofErr w:type="spellStart"/>
      <w:r w:rsidRPr="00F31AEA">
        <w:rPr>
          <w:rFonts w:eastAsia="Times New Roman" w:cs="Arial"/>
          <w:i/>
          <w:iCs/>
          <w:kern w:val="0"/>
          <w:lang w:eastAsia="en-GB"/>
          <w14:ligatures w14:val="none"/>
        </w:rPr>
        <w:t>Publ</w:t>
      </w:r>
      <w:proofErr w:type="spellEnd"/>
      <w:r w:rsidRPr="00F31AEA">
        <w:rPr>
          <w:rFonts w:eastAsia="Times New Roman" w:cs="Arial"/>
          <w:kern w:val="0"/>
          <w:lang w:eastAsia="en-GB"/>
          <w14:ligatures w14:val="none"/>
        </w:rPr>
        <w:t>, </w:t>
      </w:r>
      <w:r w:rsidRPr="00F31AEA">
        <w:rPr>
          <w:rFonts w:eastAsia="Times New Roman" w:cs="Arial"/>
          <w:i/>
          <w:iCs/>
          <w:kern w:val="0"/>
          <w:lang w:eastAsia="en-GB"/>
          <w14:ligatures w14:val="none"/>
        </w:rPr>
        <w:t>9</w:t>
      </w:r>
      <w:r w:rsidRPr="00F31AEA">
        <w:rPr>
          <w:rFonts w:eastAsia="Times New Roman" w:cs="Arial"/>
          <w:kern w:val="0"/>
          <w:lang w:eastAsia="en-GB"/>
          <w14:ligatures w14:val="none"/>
        </w:rPr>
        <w:t>, pp.580-595.</w:t>
      </w:r>
    </w:p>
    <w:p w14:paraId="13B5950C" w14:textId="77777777" w:rsidR="00F31AEA" w:rsidRPr="00F31AEA" w:rsidRDefault="00F31AEA" w:rsidP="00F31AEA">
      <w:pPr>
        <w:ind w:left="360"/>
      </w:pPr>
      <w:r w:rsidRPr="00F31AEA">
        <w:rPr>
          <w:rFonts w:cs="Arial"/>
          <w:shd w:val="clear" w:color="auto" w:fill="FFFFFF"/>
        </w:rPr>
        <w:t>Pandita, D., &amp; Ray, S. (2018). Talent management and employee engagement–a meta-analysis of their impact on talent retention. </w:t>
      </w:r>
      <w:r w:rsidRPr="00F31AEA">
        <w:rPr>
          <w:rFonts w:cs="Arial"/>
          <w:i/>
          <w:iCs/>
          <w:shd w:val="clear" w:color="auto" w:fill="FFFFFF"/>
        </w:rPr>
        <w:t>Industrial and Commercial Training</w:t>
      </w:r>
      <w:r w:rsidRPr="00F31AEA">
        <w:rPr>
          <w:rFonts w:cs="Arial"/>
          <w:shd w:val="clear" w:color="auto" w:fill="FFFFFF"/>
        </w:rPr>
        <w:t>, </w:t>
      </w:r>
      <w:r w:rsidRPr="00F31AEA">
        <w:rPr>
          <w:rFonts w:cs="Arial"/>
          <w:i/>
          <w:iCs/>
          <w:shd w:val="clear" w:color="auto" w:fill="FFFFFF"/>
        </w:rPr>
        <w:t>50</w:t>
      </w:r>
      <w:r w:rsidRPr="00F31AEA">
        <w:rPr>
          <w:rFonts w:cs="Arial"/>
          <w:shd w:val="clear" w:color="auto" w:fill="FFFFFF"/>
        </w:rPr>
        <w:t>(4), pp.185-199.</w:t>
      </w:r>
    </w:p>
    <w:p w14:paraId="38239D3D" w14:textId="77777777" w:rsidR="00F31AEA" w:rsidRPr="00F31AEA" w:rsidRDefault="00F31AEA" w:rsidP="00F31AEA">
      <w:pPr>
        <w:ind w:left="360"/>
        <w:rPr>
          <w:rFonts w:cs="Arial"/>
          <w:shd w:val="clear" w:color="auto" w:fill="FFFFFF"/>
        </w:rPr>
      </w:pPr>
      <w:r w:rsidRPr="00F31AEA">
        <w:rPr>
          <w:rFonts w:cs="Arial"/>
          <w:shd w:val="clear" w:color="auto" w:fill="FFFFFF"/>
        </w:rPr>
        <w:t>Parker, J. S., &amp; Moseley, J. D. (2008). Kepner-</w:t>
      </w:r>
      <w:proofErr w:type="spellStart"/>
      <w:r w:rsidRPr="00F31AEA">
        <w:rPr>
          <w:rFonts w:cs="Arial"/>
          <w:shd w:val="clear" w:color="auto" w:fill="FFFFFF"/>
        </w:rPr>
        <w:t>tregoe</w:t>
      </w:r>
      <w:proofErr w:type="spellEnd"/>
      <w:r w:rsidRPr="00F31AEA">
        <w:rPr>
          <w:rFonts w:cs="Arial"/>
          <w:shd w:val="clear" w:color="auto" w:fill="FFFFFF"/>
        </w:rPr>
        <w:t xml:space="preserve"> decision analysis as a tool to aid route selection. </w:t>
      </w:r>
      <w:proofErr w:type="spellStart"/>
      <w:r w:rsidRPr="00F31AEA">
        <w:rPr>
          <w:rFonts w:cs="Arial"/>
          <w:shd w:val="clear" w:color="auto" w:fill="FFFFFF"/>
        </w:rPr>
        <w:t>part</w:t>
      </w:r>
      <w:proofErr w:type="spellEnd"/>
      <w:r w:rsidRPr="00F31AEA">
        <w:rPr>
          <w:rFonts w:cs="Arial"/>
          <w:shd w:val="clear" w:color="auto" w:fill="FFFFFF"/>
        </w:rPr>
        <w:t xml:space="preserve"> 1. </w:t>
      </w:r>
      <w:r w:rsidRPr="00F31AEA">
        <w:rPr>
          <w:rFonts w:cs="Arial"/>
          <w:i/>
          <w:iCs/>
          <w:shd w:val="clear" w:color="auto" w:fill="FFFFFF"/>
        </w:rPr>
        <w:t>Organic Process Research &amp; Development</w:t>
      </w:r>
      <w:r w:rsidRPr="00F31AEA">
        <w:rPr>
          <w:rFonts w:cs="Arial"/>
          <w:shd w:val="clear" w:color="auto" w:fill="FFFFFF"/>
        </w:rPr>
        <w:t>, </w:t>
      </w:r>
      <w:r w:rsidRPr="00F31AEA">
        <w:rPr>
          <w:rFonts w:cs="Arial"/>
          <w:i/>
          <w:iCs/>
          <w:shd w:val="clear" w:color="auto" w:fill="FFFFFF"/>
        </w:rPr>
        <w:t>12</w:t>
      </w:r>
      <w:r w:rsidRPr="00F31AEA">
        <w:rPr>
          <w:rFonts w:cs="Arial"/>
          <w:shd w:val="clear" w:color="auto" w:fill="FFFFFF"/>
        </w:rPr>
        <w:t>(6), pp.1041-1043.</w:t>
      </w:r>
    </w:p>
    <w:p w14:paraId="4954099F" w14:textId="77777777" w:rsidR="00F31AEA" w:rsidRPr="00F31AEA" w:rsidRDefault="00F31AEA" w:rsidP="00F31AEA">
      <w:pPr>
        <w:ind w:left="360"/>
        <w:rPr>
          <w:shd w:val="clear" w:color="auto" w:fill="FFFFFF"/>
        </w:rPr>
      </w:pPr>
      <w:r w:rsidRPr="00F31AEA">
        <w:rPr>
          <w:shd w:val="clear" w:color="auto" w:fill="FFFFFF"/>
        </w:rPr>
        <w:lastRenderedPageBreak/>
        <w:t xml:space="preserve">Parsons, L. (2024) </w:t>
      </w:r>
      <w:r w:rsidRPr="00F31AEA">
        <w:rPr>
          <w:i/>
          <w:iCs/>
          <w:shd w:val="clear" w:color="auto" w:fill="FFFFFF"/>
        </w:rPr>
        <w:t>LGBTQ+ Leadership: How to Honor Your Identity in the Workplace</w:t>
      </w:r>
      <w:r w:rsidRPr="00F31AEA">
        <w:rPr>
          <w:shd w:val="clear" w:color="auto" w:fill="FFFFFF"/>
        </w:rPr>
        <w:t xml:space="preserve">. Available at: </w:t>
      </w:r>
      <w:hyperlink r:id="rId21" w:history="1">
        <w:r w:rsidRPr="00F31AEA">
          <w:rPr>
            <w:rStyle w:val="Hyperlink"/>
            <w:color w:val="auto"/>
          </w:rPr>
          <w:t>LGBTQ+ Leadership: How to Honor Your Identity in the Workplace  - Professional &amp; Executive Development | Harvard DCE</w:t>
        </w:r>
      </w:hyperlink>
      <w:r w:rsidRPr="00F31AEA">
        <w:t xml:space="preserve"> (Accessed on 12 June 2024).</w:t>
      </w:r>
    </w:p>
    <w:p w14:paraId="3801F825" w14:textId="77777777" w:rsidR="00F31AEA" w:rsidRPr="00F31AEA" w:rsidRDefault="00F31AEA" w:rsidP="00F31AEA">
      <w:pPr>
        <w:ind w:left="360"/>
        <w:rPr>
          <w:rFonts w:cs="Arial"/>
          <w:shd w:val="clear" w:color="auto" w:fill="FFFFFF"/>
        </w:rPr>
      </w:pPr>
      <w:r w:rsidRPr="00F31AEA">
        <w:rPr>
          <w:rFonts w:cs="Arial"/>
          <w:shd w:val="clear" w:color="auto" w:fill="FFFFFF"/>
        </w:rPr>
        <w:t>Patel, N. (2018). The benefits and importance of customer satisfaction. </w:t>
      </w:r>
    </w:p>
    <w:p w14:paraId="3E99860C" w14:textId="77777777" w:rsidR="00F31AEA" w:rsidRPr="00F31AEA" w:rsidRDefault="00F31AEA" w:rsidP="00F31AEA">
      <w:pPr>
        <w:spacing w:line="360" w:lineRule="auto"/>
        <w:ind w:left="360"/>
        <w:rPr>
          <w:rFonts w:cs="Arial"/>
          <w:shd w:val="clear" w:color="auto" w:fill="FFFFFF"/>
        </w:rPr>
      </w:pPr>
      <w:r w:rsidRPr="00F31AEA">
        <w:rPr>
          <w:rFonts w:cs="Arial"/>
          <w:shd w:val="clear" w:color="auto" w:fill="FFFFFF"/>
        </w:rPr>
        <w:t>Patten, M. L. (2016). </w:t>
      </w:r>
      <w:r w:rsidRPr="00F31AEA">
        <w:rPr>
          <w:rFonts w:cs="Arial"/>
          <w:iCs/>
        </w:rPr>
        <w:t>Questionnaire research: A practical guide</w:t>
      </w:r>
      <w:r w:rsidRPr="00F31AEA">
        <w:rPr>
          <w:rFonts w:cs="Arial"/>
          <w:shd w:val="clear" w:color="auto" w:fill="FFFFFF"/>
        </w:rPr>
        <w:t>. Routledge.</w:t>
      </w:r>
    </w:p>
    <w:p w14:paraId="22B855B3" w14:textId="77777777" w:rsidR="00F31AEA" w:rsidRPr="00F31AEA" w:rsidRDefault="00F31AEA" w:rsidP="00F31AEA">
      <w:pPr>
        <w:shd w:val="clear" w:color="auto" w:fill="FFFFFF"/>
        <w:spacing w:line="240" w:lineRule="auto"/>
        <w:ind w:left="360"/>
        <w:rPr>
          <w:rFonts w:eastAsia="Times New Roman" w:cs="Times New Roman"/>
          <w:kern w:val="0"/>
          <w:lang w:eastAsia="en-GB"/>
          <w14:ligatures w14:val="none"/>
        </w:rPr>
      </w:pPr>
      <w:r w:rsidRPr="00F31AEA">
        <w:rPr>
          <w:rFonts w:eastAsia="Times New Roman" w:cs="Times New Roman"/>
          <w:kern w:val="0"/>
          <w:lang w:eastAsia="en-GB"/>
          <w14:ligatures w14:val="none"/>
        </w:rPr>
        <w:t>Payette, P. and Barnes, B. (2017). Teaching for Critical Thinking: Edward de Bono’s Six Thinking Hats. </w:t>
      </w:r>
      <w:r w:rsidRPr="00F31AEA">
        <w:rPr>
          <w:rFonts w:eastAsia="Times New Roman" w:cs="Times New Roman"/>
          <w:i/>
          <w:iCs/>
          <w:kern w:val="0"/>
          <w:lang w:eastAsia="en-GB"/>
          <w14:ligatures w14:val="none"/>
        </w:rPr>
        <w:t>The National teaching &amp; learning forum</w:t>
      </w:r>
      <w:r w:rsidRPr="00F31AEA">
        <w:rPr>
          <w:rFonts w:eastAsia="Times New Roman" w:cs="Times New Roman"/>
          <w:kern w:val="0"/>
          <w:lang w:eastAsia="en-GB"/>
          <w14:ligatures w14:val="none"/>
        </w:rPr>
        <w:t xml:space="preserve">, 26(3), pp.8–10. </w:t>
      </w:r>
    </w:p>
    <w:p w14:paraId="14BC779E" w14:textId="77777777" w:rsidR="00F31AEA" w:rsidRPr="00F31AEA" w:rsidRDefault="00F31AEA" w:rsidP="00F31AEA">
      <w:pPr>
        <w:ind w:left="360"/>
        <w:rPr>
          <w:shd w:val="clear" w:color="auto" w:fill="FFFFFF"/>
        </w:rPr>
      </w:pPr>
      <w:r w:rsidRPr="00F31AEA">
        <w:rPr>
          <w:shd w:val="clear" w:color="auto" w:fill="FFFFFF"/>
        </w:rPr>
        <w:t xml:space="preserve">Personnel Today. (2013). </w:t>
      </w:r>
      <w:r w:rsidRPr="00F31AEA">
        <w:rPr>
          <w:i/>
          <w:iCs/>
          <w:shd w:val="clear" w:color="auto" w:fill="FFFFFF"/>
        </w:rPr>
        <w:t>How can HR prove it really adds value?</w:t>
      </w:r>
      <w:r w:rsidRPr="00F31AEA">
        <w:rPr>
          <w:shd w:val="clear" w:color="auto" w:fill="FFFFFF"/>
        </w:rPr>
        <w:t xml:space="preserve"> Available at: </w:t>
      </w:r>
      <w:hyperlink r:id="rId22" w:history="1">
        <w:r w:rsidRPr="00F31AEA">
          <w:rPr>
            <w:rStyle w:val="Hyperlink"/>
            <w:color w:val="auto"/>
          </w:rPr>
          <w:t>How can HR prove it really adds value? - Personnel Today</w:t>
        </w:r>
      </w:hyperlink>
      <w:r w:rsidRPr="00F31AEA">
        <w:t xml:space="preserve"> (Accessed on 04 June 2024).</w:t>
      </w:r>
    </w:p>
    <w:p w14:paraId="1D4595BC" w14:textId="77777777" w:rsidR="00F31AEA" w:rsidRPr="00F31AEA" w:rsidRDefault="00F31AEA" w:rsidP="00F31AEA">
      <w:pPr>
        <w:shd w:val="clear" w:color="auto" w:fill="FFFFFF"/>
        <w:spacing w:after="240" w:line="240" w:lineRule="auto"/>
        <w:ind w:left="360"/>
        <w:rPr>
          <w:rFonts w:eastAsia="Times New Roman" w:cs="Times New Roman"/>
          <w:kern w:val="0"/>
          <w:lang w:eastAsia="en-GB"/>
          <w14:ligatures w14:val="none"/>
        </w:rPr>
      </w:pPr>
      <w:proofErr w:type="spellStart"/>
      <w:r w:rsidRPr="00F31AEA">
        <w:rPr>
          <w:rFonts w:eastAsia="Times New Roman" w:cs="Times New Roman"/>
          <w:kern w:val="0"/>
          <w:lang w:eastAsia="en-GB"/>
          <w14:ligatures w14:val="none"/>
        </w:rPr>
        <w:t>Phadermrod</w:t>
      </w:r>
      <w:proofErr w:type="spellEnd"/>
      <w:r w:rsidRPr="00F31AEA">
        <w:rPr>
          <w:rFonts w:eastAsia="Times New Roman" w:cs="Times New Roman"/>
          <w:kern w:val="0"/>
          <w:lang w:eastAsia="en-GB"/>
          <w14:ligatures w14:val="none"/>
        </w:rPr>
        <w:t>, B., Crowder, R.M. and Wills, G.B. (2019). Importance-Performance Analysis based SWOT analysis’. </w:t>
      </w:r>
      <w:r w:rsidRPr="00F31AEA">
        <w:rPr>
          <w:rFonts w:eastAsia="Times New Roman" w:cs="Times New Roman"/>
          <w:i/>
          <w:iCs/>
          <w:kern w:val="0"/>
          <w:lang w:eastAsia="en-GB"/>
          <w14:ligatures w14:val="none"/>
        </w:rPr>
        <w:t>International journal of information management</w:t>
      </w:r>
      <w:r w:rsidRPr="00F31AEA">
        <w:rPr>
          <w:rFonts w:eastAsia="Times New Roman" w:cs="Times New Roman"/>
          <w:kern w:val="0"/>
          <w:lang w:eastAsia="en-GB"/>
          <w14:ligatures w14:val="none"/>
        </w:rPr>
        <w:t xml:space="preserve">, 44, pp.194–203. </w:t>
      </w:r>
    </w:p>
    <w:p w14:paraId="118DFCA8" w14:textId="77777777" w:rsidR="00F31AEA" w:rsidRPr="00F31AEA" w:rsidRDefault="00F31AEA" w:rsidP="00F31AEA">
      <w:pPr>
        <w:ind w:left="360"/>
        <w:rPr>
          <w:rFonts w:cs="Arial"/>
          <w:shd w:val="clear" w:color="auto" w:fill="EAF9EC"/>
        </w:rPr>
      </w:pPr>
      <w:proofErr w:type="spellStart"/>
      <w:r w:rsidRPr="00F31AEA">
        <w:rPr>
          <w:rFonts w:cs="Arial"/>
          <w:shd w:val="clear" w:color="auto" w:fill="FFFFFF"/>
        </w:rPr>
        <w:t>Platje</w:t>
      </w:r>
      <w:proofErr w:type="spellEnd"/>
      <w:r w:rsidRPr="00F31AEA">
        <w:rPr>
          <w:rFonts w:cs="Arial"/>
          <w:shd w:val="clear" w:color="auto" w:fill="FFFFFF"/>
        </w:rPr>
        <w:t xml:space="preserve">, A., &amp; Wadman, S. (1998). From Plan-Do-Check-Action to PIDCAM: the further evolution of the </w:t>
      </w:r>
      <w:proofErr w:type="spellStart"/>
      <w:r w:rsidRPr="00F31AEA">
        <w:rPr>
          <w:rFonts w:cs="Arial"/>
          <w:shd w:val="clear" w:color="auto" w:fill="FFFFFF"/>
        </w:rPr>
        <w:t>deming</w:t>
      </w:r>
      <w:proofErr w:type="spellEnd"/>
      <w:r w:rsidRPr="00F31AEA">
        <w:rPr>
          <w:rFonts w:cs="Arial"/>
          <w:shd w:val="clear" w:color="auto" w:fill="FFFFFF"/>
        </w:rPr>
        <w:t>-wheel. </w:t>
      </w:r>
      <w:r w:rsidRPr="00F31AEA">
        <w:rPr>
          <w:rFonts w:cs="Arial"/>
          <w:i/>
          <w:iCs/>
          <w:shd w:val="clear" w:color="auto" w:fill="FFFFFF"/>
        </w:rPr>
        <w:t>International Journal of Project Management</w:t>
      </w:r>
      <w:r w:rsidRPr="00F31AEA">
        <w:rPr>
          <w:rFonts w:cs="Arial"/>
          <w:shd w:val="clear" w:color="auto" w:fill="FFFFFF"/>
        </w:rPr>
        <w:t>, </w:t>
      </w:r>
      <w:r w:rsidRPr="00F31AEA">
        <w:rPr>
          <w:rFonts w:cs="Arial"/>
          <w:i/>
          <w:iCs/>
          <w:shd w:val="clear" w:color="auto" w:fill="FFFFFF"/>
        </w:rPr>
        <w:t>16</w:t>
      </w:r>
      <w:r w:rsidRPr="00F31AEA">
        <w:rPr>
          <w:rFonts w:cs="Arial"/>
          <w:shd w:val="clear" w:color="auto" w:fill="FFFFFF"/>
        </w:rPr>
        <w:t>(4), pp.201-208.</w:t>
      </w:r>
    </w:p>
    <w:p w14:paraId="0F2264B8" w14:textId="77777777" w:rsidR="00F31AEA" w:rsidRPr="00F31AEA" w:rsidRDefault="00F31AEA" w:rsidP="00F31AEA">
      <w:pPr>
        <w:ind w:left="360"/>
        <w:rPr>
          <w:rFonts w:cs="Arial"/>
          <w:shd w:val="clear" w:color="auto" w:fill="FFFFFF"/>
        </w:rPr>
      </w:pPr>
      <w:r w:rsidRPr="00F31AEA">
        <w:rPr>
          <w:rFonts w:cs="Arial"/>
          <w:shd w:val="clear" w:color="auto" w:fill="FFFFFF"/>
        </w:rPr>
        <w:t>Porter, M. E. (1979). HBR. </w:t>
      </w:r>
      <w:r w:rsidRPr="00F31AEA">
        <w:rPr>
          <w:rFonts w:cs="Arial"/>
          <w:i/>
          <w:iCs/>
          <w:shd w:val="clear" w:color="auto" w:fill="FFFFFF"/>
        </w:rPr>
        <w:t>Harvard Business Review</w:t>
      </w:r>
      <w:r w:rsidRPr="00F31AEA">
        <w:rPr>
          <w:rFonts w:cs="Arial"/>
          <w:shd w:val="clear" w:color="auto" w:fill="FFFFFF"/>
        </w:rPr>
        <w:t>.</w:t>
      </w:r>
    </w:p>
    <w:p w14:paraId="357E9659" w14:textId="77777777" w:rsidR="00F31AEA" w:rsidRPr="00F31AEA" w:rsidRDefault="00F31AEA" w:rsidP="00F31AEA">
      <w:pPr>
        <w:ind w:left="360"/>
      </w:pPr>
      <w:proofErr w:type="spellStart"/>
      <w:r w:rsidRPr="00F31AEA">
        <w:rPr>
          <w:rFonts w:cs="Arial"/>
          <w:shd w:val="clear" w:color="auto" w:fill="FFFFFF"/>
          <w:lang w:val="de-DE"/>
        </w:rPr>
        <w:t>Puyt</w:t>
      </w:r>
      <w:proofErr w:type="spellEnd"/>
      <w:r w:rsidRPr="00F31AEA">
        <w:rPr>
          <w:rFonts w:cs="Arial"/>
          <w:shd w:val="clear" w:color="auto" w:fill="FFFFFF"/>
          <w:lang w:val="de-DE"/>
        </w:rPr>
        <w:t xml:space="preserve">, R. W., </w:t>
      </w:r>
      <w:proofErr w:type="spellStart"/>
      <w:r w:rsidRPr="00F31AEA">
        <w:rPr>
          <w:rFonts w:cs="Arial"/>
          <w:shd w:val="clear" w:color="auto" w:fill="FFFFFF"/>
          <w:lang w:val="de-DE"/>
        </w:rPr>
        <w:t>Lie</w:t>
      </w:r>
      <w:proofErr w:type="spellEnd"/>
      <w:r w:rsidRPr="00F31AEA">
        <w:rPr>
          <w:rFonts w:cs="Arial"/>
          <w:shd w:val="clear" w:color="auto" w:fill="FFFFFF"/>
          <w:lang w:val="de-DE"/>
        </w:rPr>
        <w:t xml:space="preserve">, F. B., &amp; </w:t>
      </w:r>
      <w:proofErr w:type="spellStart"/>
      <w:r w:rsidRPr="00F31AEA">
        <w:rPr>
          <w:rFonts w:cs="Arial"/>
          <w:shd w:val="clear" w:color="auto" w:fill="FFFFFF"/>
          <w:lang w:val="de-DE"/>
        </w:rPr>
        <w:t>Wilderom</w:t>
      </w:r>
      <w:proofErr w:type="spellEnd"/>
      <w:r w:rsidRPr="00F31AEA">
        <w:rPr>
          <w:rFonts w:cs="Arial"/>
          <w:shd w:val="clear" w:color="auto" w:fill="FFFFFF"/>
          <w:lang w:val="de-DE"/>
        </w:rPr>
        <w:t xml:space="preserve">, C. P. (2023). </w:t>
      </w:r>
      <w:r w:rsidRPr="00F31AEA">
        <w:rPr>
          <w:rFonts w:cs="Arial"/>
          <w:shd w:val="clear" w:color="auto" w:fill="FFFFFF"/>
        </w:rPr>
        <w:t>The origins of SWOT analysis. </w:t>
      </w:r>
      <w:r w:rsidRPr="00F31AEA">
        <w:rPr>
          <w:rFonts w:cs="Arial"/>
          <w:i/>
          <w:iCs/>
          <w:shd w:val="clear" w:color="auto" w:fill="FFFFFF"/>
        </w:rPr>
        <w:t>Long Range Planning</w:t>
      </w:r>
      <w:r w:rsidRPr="00F31AEA">
        <w:rPr>
          <w:rFonts w:cs="Arial"/>
          <w:shd w:val="clear" w:color="auto" w:fill="FFFFFF"/>
        </w:rPr>
        <w:t>, </w:t>
      </w:r>
      <w:r w:rsidRPr="00F31AEA">
        <w:rPr>
          <w:rFonts w:cs="Arial"/>
          <w:i/>
          <w:iCs/>
          <w:shd w:val="clear" w:color="auto" w:fill="FFFFFF"/>
        </w:rPr>
        <w:t>56</w:t>
      </w:r>
      <w:r w:rsidRPr="00F31AEA">
        <w:rPr>
          <w:rFonts w:cs="Arial"/>
          <w:shd w:val="clear" w:color="auto" w:fill="FFFFFF"/>
        </w:rPr>
        <w:t>(3).</w:t>
      </w:r>
    </w:p>
    <w:p w14:paraId="545AB450" w14:textId="77777777" w:rsidR="00F31AEA" w:rsidRPr="00F31AEA" w:rsidRDefault="00F31AEA" w:rsidP="00F31AEA">
      <w:pPr>
        <w:pStyle w:val="NormalWeb"/>
        <w:spacing w:before="0" w:beforeAutospacing="0" w:after="240" w:afterAutospacing="0" w:line="360" w:lineRule="auto"/>
        <w:ind w:left="360"/>
        <w:rPr>
          <w:rFonts w:asciiTheme="minorHAnsi" w:hAnsiTheme="minorHAnsi" w:cs="Arial"/>
          <w:sz w:val="22"/>
          <w:szCs w:val="22"/>
          <w:shd w:val="clear" w:color="auto" w:fill="FFFFFF"/>
        </w:rPr>
      </w:pPr>
      <w:proofErr w:type="spellStart"/>
      <w:r w:rsidRPr="00F31AEA">
        <w:rPr>
          <w:rFonts w:asciiTheme="minorHAnsi" w:hAnsiTheme="minorHAnsi" w:cs="Arial"/>
          <w:sz w:val="22"/>
          <w:szCs w:val="22"/>
          <w:shd w:val="clear" w:color="auto" w:fill="FFFFFF"/>
        </w:rPr>
        <w:t>Raišienė</w:t>
      </w:r>
      <w:proofErr w:type="spellEnd"/>
      <w:r w:rsidRPr="00F31AEA">
        <w:rPr>
          <w:rFonts w:asciiTheme="minorHAnsi" w:hAnsiTheme="minorHAnsi" w:cs="Arial"/>
          <w:sz w:val="22"/>
          <w:szCs w:val="22"/>
          <w:shd w:val="clear" w:color="auto" w:fill="FFFFFF"/>
        </w:rPr>
        <w:t xml:space="preserve">, A. G., Rapuano, V., </w:t>
      </w:r>
      <w:proofErr w:type="spellStart"/>
      <w:r w:rsidRPr="00F31AEA">
        <w:rPr>
          <w:rFonts w:asciiTheme="minorHAnsi" w:hAnsiTheme="minorHAnsi" w:cs="Arial"/>
          <w:sz w:val="22"/>
          <w:szCs w:val="22"/>
          <w:shd w:val="clear" w:color="auto" w:fill="FFFFFF"/>
        </w:rPr>
        <w:t>Varkulevičiūtė</w:t>
      </w:r>
      <w:proofErr w:type="spellEnd"/>
      <w:r w:rsidRPr="00F31AEA">
        <w:rPr>
          <w:rFonts w:asciiTheme="minorHAnsi" w:hAnsiTheme="minorHAnsi" w:cs="Arial"/>
          <w:sz w:val="22"/>
          <w:szCs w:val="22"/>
          <w:shd w:val="clear" w:color="auto" w:fill="FFFFFF"/>
        </w:rPr>
        <w:t xml:space="preserve">, K., &amp; </w:t>
      </w:r>
      <w:proofErr w:type="spellStart"/>
      <w:r w:rsidRPr="00F31AEA">
        <w:rPr>
          <w:rFonts w:asciiTheme="minorHAnsi" w:hAnsiTheme="minorHAnsi" w:cs="Arial"/>
          <w:sz w:val="22"/>
          <w:szCs w:val="22"/>
          <w:shd w:val="clear" w:color="auto" w:fill="FFFFFF"/>
        </w:rPr>
        <w:t>Stachová</w:t>
      </w:r>
      <w:proofErr w:type="spellEnd"/>
      <w:r w:rsidRPr="00F31AEA">
        <w:rPr>
          <w:rFonts w:asciiTheme="minorHAnsi" w:hAnsiTheme="minorHAnsi" w:cs="Arial"/>
          <w:sz w:val="22"/>
          <w:szCs w:val="22"/>
          <w:shd w:val="clear" w:color="auto" w:fill="FFFFFF"/>
        </w:rPr>
        <w:t>, K. (2020). Working from home—Who is happy? A survey of Lithuania’s employees during the COVID-19 quarantine period. </w:t>
      </w:r>
      <w:r w:rsidRPr="00F31AEA">
        <w:rPr>
          <w:rFonts w:asciiTheme="minorHAnsi" w:hAnsiTheme="minorHAnsi" w:cs="Arial"/>
          <w:i/>
          <w:iCs/>
          <w:sz w:val="22"/>
          <w:szCs w:val="22"/>
          <w:shd w:val="clear" w:color="auto" w:fill="FFFFFF"/>
        </w:rPr>
        <w:t>Sustainability</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12</w:t>
      </w:r>
      <w:r w:rsidRPr="00F31AEA">
        <w:rPr>
          <w:rFonts w:asciiTheme="minorHAnsi" w:hAnsiTheme="minorHAnsi" w:cs="Arial"/>
          <w:sz w:val="22"/>
          <w:szCs w:val="22"/>
          <w:shd w:val="clear" w:color="auto" w:fill="FFFFFF"/>
        </w:rPr>
        <w:t>(13).</w:t>
      </w:r>
    </w:p>
    <w:p w14:paraId="36C4550D"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Reding, A. (2023). </w:t>
      </w:r>
      <w:r w:rsidRPr="00F31AEA">
        <w:rPr>
          <w:rFonts w:asciiTheme="minorHAnsi" w:hAnsiTheme="minorHAnsi"/>
          <w:i/>
          <w:iCs/>
          <w:sz w:val="22"/>
          <w:szCs w:val="22"/>
        </w:rPr>
        <w:t xml:space="preserve">What is PESTLE Analysis? </w:t>
      </w:r>
      <w:r w:rsidRPr="00F31AEA">
        <w:rPr>
          <w:rFonts w:asciiTheme="minorHAnsi" w:hAnsiTheme="minorHAnsi"/>
          <w:sz w:val="22"/>
          <w:szCs w:val="22"/>
        </w:rPr>
        <w:t xml:space="preserve">Available at: </w:t>
      </w:r>
      <w:hyperlink r:id="rId23" w:history="1">
        <w:r w:rsidRPr="00F31AEA">
          <w:rPr>
            <w:rStyle w:val="Hyperlink"/>
            <w:rFonts w:asciiTheme="minorHAnsi" w:hAnsiTheme="minorHAnsi"/>
            <w:color w:val="auto"/>
            <w:sz w:val="22"/>
            <w:szCs w:val="22"/>
          </w:rPr>
          <w:t>https://cpdonline.co.uk/knowledege-base/business/pestle-analysis/</w:t>
        </w:r>
      </w:hyperlink>
      <w:r w:rsidRPr="00F31AEA">
        <w:rPr>
          <w:rFonts w:asciiTheme="minorHAnsi" w:hAnsiTheme="minorHAnsi"/>
          <w:sz w:val="22"/>
          <w:szCs w:val="22"/>
        </w:rPr>
        <w:t xml:space="preserve"> (Accessed 10 May 2024).</w:t>
      </w:r>
    </w:p>
    <w:p w14:paraId="24FFB475" w14:textId="77777777" w:rsidR="00F31AEA" w:rsidRPr="00F31AEA" w:rsidRDefault="00F31AEA" w:rsidP="00F31AEA">
      <w:pPr>
        <w:ind w:left="360"/>
        <w:rPr>
          <w:b/>
          <w:bCs/>
        </w:rPr>
      </w:pPr>
      <w:r w:rsidRPr="00F31AEA">
        <w:rPr>
          <w:shd w:val="clear" w:color="auto" w:fill="FFFFFF"/>
        </w:rPr>
        <w:t>Regoli, N. (2019). </w:t>
      </w:r>
      <w:r w:rsidRPr="00F31AEA">
        <w:rPr>
          <w:rStyle w:val="Emphasis"/>
          <w:shd w:val="clear" w:color="auto" w:fill="FFFFFF"/>
        </w:rPr>
        <w:t>12 Pros and Cons of Deontological Ethics</w:t>
      </w:r>
      <w:r w:rsidRPr="00F31AEA">
        <w:rPr>
          <w:shd w:val="clear" w:color="auto" w:fill="FFFFFF"/>
        </w:rPr>
        <w:t xml:space="preserve">. </w:t>
      </w:r>
      <w:proofErr w:type="spellStart"/>
      <w:r w:rsidRPr="00F31AEA">
        <w:rPr>
          <w:shd w:val="clear" w:color="auto" w:fill="FFFFFF"/>
        </w:rPr>
        <w:t>ConnectUS</w:t>
      </w:r>
      <w:proofErr w:type="spellEnd"/>
      <w:r w:rsidRPr="00F31AEA">
        <w:rPr>
          <w:shd w:val="clear" w:color="auto" w:fill="FFFFFF"/>
        </w:rPr>
        <w:t>. Available at: https://connectusfund.org/12-pros-and-cons-of-deontological-ethics (Accessed 9 June 2024).</w:t>
      </w:r>
    </w:p>
    <w:p w14:paraId="00BAB317" w14:textId="77777777" w:rsidR="00F31AEA" w:rsidRPr="00F31AEA" w:rsidRDefault="00F31AEA" w:rsidP="00F31AEA">
      <w:pPr>
        <w:ind w:left="360"/>
        <w:rPr>
          <w:rFonts w:cs="Arial"/>
          <w:shd w:val="clear" w:color="auto" w:fill="FFFFFF"/>
        </w:rPr>
      </w:pPr>
      <w:r w:rsidRPr="00F31AEA">
        <w:rPr>
          <w:rFonts w:cs="Arial"/>
          <w:shd w:val="clear" w:color="auto" w:fill="FFFFFF"/>
          <w:lang w:val="fr-FR"/>
        </w:rPr>
        <w:t xml:space="preserve">Rousseau, D. M., &amp; </w:t>
      </w:r>
      <w:proofErr w:type="spellStart"/>
      <w:r w:rsidRPr="00F31AEA">
        <w:rPr>
          <w:rFonts w:cs="Arial"/>
          <w:shd w:val="clear" w:color="auto" w:fill="FFFFFF"/>
          <w:lang w:val="fr-FR"/>
        </w:rPr>
        <w:t>Barends</w:t>
      </w:r>
      <w:proofErr w:type="spellEnd"/>
      <w:r w:rsidRPr="00F31AEA">
        <w:rPr>
          <w:rFonts w:cs="Arial"/>
          <w:shd w:val="clear" w:color="auto" w:fill="FFFFFF"/>
          <w:lang w:val="fr-FR"/>
        </w:rPr>
        <w:t xml:space="preserve">, E. G. (2011). </w:t>
      </w:r>
      <w:r w:rsidRPr="00F31AEA">
        <w:rPr>
          <w:rFonts w:cs="Arial"/>
          <w:shd w:val="clear" w:color="auto" w:fill="FFFFFF"/>
        </w:rPr>
        <w:t>Becoming an evidence</w:t>
      </w:r>
      <w:r w:rsidRPr="00F31AEA">
        <w:rPr>
          <w:rFonts w:ascii="Cambria Math" w:hAnsi="Cambria Math" w:cs="Cambria Math"/>
          <w:shd w:val="clear" w:color="auto" w:fill="FFFFFF"/>
        </w:rPr>
        <w:t>‐</w:t>
      </w:r>
      <w:r w:rsidRPr="00F31AEA">
        <w:rPr>
          <w:rFonts w:cs="Arial"/>
          <w:shd w:val="clear" w:color="auto" w:fill="FFFFFF"/>
        </w:rPr>
        <w:t>based HR practitioner. </w:t>
      </w:r>
      <w:r w:rsidRPr="00F31AEA">
        <w:rPr>
          <w:rFonts w:cs="Arial"/>
          <w:i/>
          <w:iCs/>
          <w:shd w:val="clear" w:color="auto" w:fill="FFFFFF"/>
        </w:rPr>
        <w:t>Human Resource Management Journal</w:t>
      </w:r>
      <w:r w:rsidRPr="00F31AEA">
        <w:rPr>
          <w:rFonts w:cs="Arial"/>
          <w:shd w:val="clear" w:color="auto" w:fill="FFFFFF"/>
        </w:rPr>
        <w:t>, </w:t>
      </w:r>
      <w:r w:rsidRPr="00F31AEA">
        <w:rPr>
          <w:rFonts w:cs="Arial"/>
          <w:i/>
          <w:iCs/>
          <w:shd w:val="clear" w:color="auto" w:fill="FFFFFF"/>
        </w:rPr>
        <w:t>21</w:t>
      </w:r>
      <w:r w:rsidRPr="00F31AEA">
        <w:rPr>
          <w:rFonts w:cs="Arial"/>
          <w:shd w:val="clear" w:color="auto" w:fill="FFFFFF"/>
        </w:rPr>
        <w:t>(3), pp.221-235.</w:t>
      </w:r>
    </w:p>
    <w:p w14:paraId="157530E1" w14:textId="77777777" w:rsidR="00F31AEA" w:rsidRPr="00F31AEA" w:rsidRDefault="00F31AEA" w:rsidP="00F31AEA">
      <w:pPr>
        <w:ind w:left="360"/>
        <w:rPr>
          <w:rFonts w:cs="Arial"/>
          <w:shd w:val="clear" w:color="auto" w:fill="FFFFFF"/>
        </w:rPr>
      </w:pPr>
      <w:r w:rsidRPr="00F31AEA">
        <w:t>Samejima, M., Shimizu, Y., Akiyoshi, M., &amp; Komoda, N. (2006). SWOT analysis support tool for verification of business strategy. In IEEE international conference on computational cybernetics, pp. 1–4.</w:t>
      </w:r>
    </w:p>
    <w:p w14:paraId="4BE0F211"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cs="Arial"/>
          <w:sz w:val="22"/>
          <w:szCs w:val="22"/>
          <w:shd w:val="clear" w:color="auto" w:fill="FFFFFF"/>
        </w:rPr>
        <w:t xml:space="preserve">Shi, S., &amp; Shaw, J. D. (2024). Edward Elgar </w:t>
      </w:r>
      <w:proofErr w:type="spellStart"/>
      <w:r w:rsidRPr="00F31AEA">
        <w:rPr>
          <w:rFonts w:asciiTheme="minorHAnsi" w:hAnsiTheme="minorHAnsi" w:cs="Arial"/>
          <w:sz w:val="22"/>
          <w:szCs w:val="22"/>
          <w:shd w:val="clear" w:color="auto" w:fill="FFFFFF"/>
        </w:rPr>
        <w:t>Publishing.Equity</w:t>
      </w:r>
      <w:proofErr w:type="spellEnd"/>
      <w:r w:rsidRPr="00F31AEA">
        <w:rPr>
          <w:rFonts w:asciiTheme="minorHAnsi" w:hAnsiTheme="minorHAnsi" w:cs="Arial"/>
          <w:sz w:val="22"/>
          <w:szCs w:val="22"/>
          <w:shd w:val="clear" w:color="auto" w:fill="FFFFFF"/>
        </w:rPr>
        <w:t xml:space="preserve"> theory. </w:t>
      </w:r>
      <w:r w:rsidRPr="00F31AEA">
        <w:rPr>
          <w:rFonts w:asciiTheme="minorHAnsi" w:hAnsiTheme="minorHAnsi" w:cs="Arial"/>
          <w:i/>
          <w:iCs/>
          <w:sz w:val="22"/>
          <w:szCs w:val="22"/>
          <w:shd w:val="clear" w:color="auto" w:fill="FFFFFF"/>
        </w:rPr>
        <w:t xml:space="preserve">A Guide to Key Theories for Human Resource Management Research, </w:t>
      </w:r>
      <w:r w:rsidRPr="00F31AEA">
        <w:rPr>
          <w:rFonts w:asciiTheme="minorHAnsi" w:hAnsiTheme="minorHAnsi" w:cs="Arial"/>
          <w:sz w:val="22"/>
          <w:szCs w:val="22"/>
          <w:shd w:val="clear" w:color="auto" w:fill="FFFFFF"/>
        </w:rPr>
        <w:t xml:space="preserve">pp. 80-85. </w:t>
      </w:r>
    </w:p>
    <w:p w14:paraId="0FB362B6" w14:textId="77777777" w:rsidR="00F31AEA" w:rsidRPr="00F31AEA" w:rsidRDefault="00F31AEA" w:rsidP="00F31AEA">
      <w:pPr>
        <w:pStyle w:val="NormalWeb"/>
        <w:ind w:left="360"/>
        <w:rPr>
          <w:rFonts w:asciiTheme="minorHAnsi" w:hAnsiTheme="minorHAnsi"/>
          <w:i/>
          <w:iCs/>
          <w:sz w:val="22"/>
          <w:szCs w:val="22"/>
        </w:rPr>
      </w:pPr>
      <w:r w:rsidRPr="00F31AEA">
        <w:rPr>
          <w:rFonts w:asciiTheme="minorHAnsi" w:hAnsiTheme="minorHAnsi" w:cs="Open Sans"/>
          <w:sz w:val="22"/>
          <w:szCs w:val="22"/>
          <w:shd w:val="clear" w:color="auto" w:fill="FFFFFF"/>
        </w:rPr>
        <w:t xml:space="preserve">Stannard, D. (2021). </w:t>
      </w:r>
      <w:r w:rsidRPr="00F31AEA">
        <w:rPr>
          <w:rFonts w:asciiTheme="minorHAnsi" w:hAnsiTheme="minorHAnsi" w:cs="Open Sans"/>
          <w:i/>
          <w:iCs/>
          <w:sz w:val="22"/>
          <w:szCs w:val="22"/>
          <w:shd w:val="clear" w:color="auto" w:fill="FFFFFF"/>
        </w:rPr>
        <w:t>Problem Identification: The First Step in Evidence-Based Practice.</w:t>
      </w:r>
      <w:r w:rsidRPr="00F31AEA">
        <w:rPr>
          <w:rFonts w:asciiTheme="minorHAnsi" w:hAnsiTheme="minorHAnsi" w:cs="Open Sans"/>
          <w:sz w:val="22"/>
          <w:szCs w:val="22"/>
          <w:shd w:val="clear" w:color="auto" w:fill="FFFFFF"/>
        </w:rPr>
        <w:t xml:space="preserve"> AORN J, 113: pp.377-378. </w:t>
      </w:r>
      <w:r w:rsidRPr="00F31AEA">
        <w:rPr>
          <w:rFonts w:asciiTheme="minorHAnsi" w:hAnsiTheme="minorHAnsi"/>
          <w:i/>
          <w:iCs/>
          <w:sz w:val="22"/>
          <w:szCs w:val="22"/>
        </w:rPr>
        <w:t xml:space="preserve"> </w:t>
      </w:r>
    </w:p>
    <w:p w14:paraId="6FDEAAE5" w14:textId="77777777" w:rsidR="00F31AEA" w:rsidRPr="00F31AEA" w:rsidRDefault="00F31AEA" w:rsidP="00F31AEA">
      <w:pPr>
        <w:shd w:val="clear" w:color="auto" w:fill="FFFFFF"/>
        <w:spacing w:line="240" w:lineRule="auto"/>
        <w:ind w:left="360"/>
        <w:rPr>
          <w:rFonts w:eastAsia="Times New Roman" w:cs="Times New Roman"/>
          <w:kern w:val="0"/>
          <w:lang w:eastAsia="en-GB"/>
          <w14:ligatures w14:val="none"/>
        </w:rPr>
      </w:pPr>
      <w:r w:rsidRPr="00F31AEA">
        <w:rPr>
          <w:rFonts w:eastAsia="Times New Roman" w:cs="Times New Roman"/>
          <w:kern w:val="0"/>
          <w:lang w:eastAsia="en-GB"/>
          <w14:ligatures w14:val="none"/>
        </w:rPr>
        <w:lastRenderedPageBreak/>
        <w:t>Taylor, S. and Woodhams, C. (2022). </w:t>
      </w:r>
      <w:r w:rsidRPr="00F31AEA">
        <w:rPr>
          <w:rFonts w:eastAsia="Times New Roman" w:cs="Times New Roman"/>
          <w:i/>
          <w:iCs/>
          <w:kern w:val="0"/>
          <w:lang w:eastAsia="en-GB"/>
          <w14:ligatures w14:val="none"/>
        </w:rPr>
        <w:t>Studying human resource management</w:t>
      </w:r>
      <w:r w:rsidRPr="00F31AEA">
        <w:rPr>
          <w:rFonts w:ascii="Arial" w:eastAsia="Times New Roman" w:hAnsi="Arial" w:cs="Arial"/>
          <w:i/>
          <w:iCs/>
          <w:kern w:val="0"/>
          <w:lang w:eastAsia="en-GB"/>
          <w14:ligatures w14:val="none"/>
        </w:rPr>
        <w:t> </w:t>
      </w:r>
      <w:r w:rsidRPr="00F31AEA">
        <w:rPr>
          <w:rFonts w:eastAsia="Times New Roman" w:cs="Times New Roman"/>
          <w:i/>
          <w:iCs/>
          <w:kern w:val="0"/>
          <w:lang w:eastAsia="en-GB"/>
          <w14:ligatures w14:val="none"/>
        </w:rPr>
        <w:t>: a guide to the study, context and practice of HR</w:t>
      </w:r>
      <w:r w:rsidRPr="00F31AEA">
        <w:rPr>
          <w:rFonts w:eastAsia="Times New Roman" w:cs="Times New Roman"/>
          <w:kern w:val="0"/>
          <w:lang w:eastAsia="en-GB"/>
          <w14:ligatures w14:val="none"/>
        </w:rPr>
        <w:t xml:space="preserve">. Third edition. London: </w:t>
      </w:r>
      <w:proofErr w:type="spellStart"/>
      <w:r w:rsidRPr="00F31AEA">
        <w:rPr>
          <w:rFonts w:eastAsia="Times New Roman" w:cs="Times New Roman"/>
          <w:kern w:val="0"/>
          <w:lang w:eastAsia="en-GB"/>
          <w14:ligatures w14:val="none"/>
        </w:rPr>
        <w:t>KoganPage</w:t>
      </w:r>
      <w:proofErr w:type="spellEnd"/>
      <w:r w:rsidRPr="00F31AEA">
        <w:rPr>
          <w:rFonts w:eastAsia="Times New Roman" w:cs="Times New Roman"/>
          <w:kern w:val="0"/>
          <w:lang w:eastAsia="en-GB"/>
          <w14:ligatures w14:val="none"/>
        </w:rPr>
        <w:t>.</w:t>
      </w:r>
    </w:p>
    <w:p w14:paraId="4C4EF7AB" w14:textId="77777777" w:rsidR="00F31AEA" w:rsidRPr="00F31AEA" w:rsidRDefault="00F31AEA" w:rsidP="00F31AEA">
      <w:pPr>
        <w:spacing w:line="360" w:lineRule="auto"/>
        <w:ind w:left="360"/>
        <w:rPr>
          <w:rFonts w:cs="Arial"/>
        </w:rPr>
      </w:pPr>
      <w:r w:rsidRPr="00F31AEA">
        <w:rPr>
          <w:rFonts w:cs="Arial"/>
          <w:shd w:val="clear" w:color="auto" w:fill="FFFFFF"/>
        </w:rPr>
        <w:t xml:space="preserve">Taylor, S. J., and Bogdan, R. (1984). </w:t>
      </w:r>
      <w:r w:rsidRPr="00F31AEA">
        <w:rPr>
          <w:rFonts w:cs="Arial"/>
          <w:i/>
          <w:iCs/>
          <w:shd w:val="clear" w:color="auto" w:fill="FFFFFF"/>
        </w:rPr>
        <w:t>Introduction to qualitative research methods: The search for meaning</w:t>
      </w:r>
      <w:r w:rsidRPr="00F31AEA">
        <w:rPr>
          <w:rFonts w:cs="Arial"/>
          <w:shd w:val="clear" w:color="auto" w:fill="FFFFFF"/>
        </w:rPr>
        <w:t>.</w:t>
      </w:r>
    </w:p>
    <w:p w14:paraId="0C804B4B" w14:textId="77777777" w:rsidR="00F31AEA" w:rsidRPr="00F31AEA" w:rsidRDefault="00F31AEA" w:rsidP="00F31AEA">
      <w:pPr>
        <w:pStyle w:val="NormalWeb"/>
        <w:ind w:left="360"/>
        <w:rPr>
          <w:rFonts w:asciiTheme="minorHAnsi" w:hAnsiTheme="minorHAnsi"/>
          <w:sz w:val="22"/>
          <w:szCs w:val="22"/>
          <w:shd w:val="clear" w:color="auto" w:fill="FFFFFF"/>
        </w:rPr>
      </w:pPr>
      <w:proofErr w:type="spellStart"/>
      <w:r w:rsidRPr="00F31AEA">
        <w:rPr>
          <w:rFonts w:asciiTheme="minorHAnsi" w:hAnsiTheme="minorHAnsi"/>
          <w:sz w:val="22"/>
          <w:szCs w:val="22"/>
          <w:shd w:val="clear" w:color="auto" w:fill="FFFFFF"/>
        </w:rPr>
        <w:t>Vedawala</w:t>
      </w:r>
      <w:proofErr w:type="spellEnd"/>
      <w:r w:rsidRPr="00F31AEA">
        <w:rPr>
          <w:rFonts w:asciiTheme="minorHAnsi" w:hAnsiTheme="minorHAnsi"/>
          <w:sz w:val="22"/>
          <w:szCs w:val="22"/>
          <w:shd w:val="clear" w:color="auto" w:fill="FFFFFF"/>
        </w:rPr>
        <w:t>, N.P. </w:t>
      </w:r>
      <w:r w:rsidRPr="00F31AEA">
        <w:rPr>
          <w:rFonts w:asciiTheme="minorHAnsi" w:hAnsiTheme="minorHAnsi"/>
          <w:i/>
          <w:iCs/>
          <w:sz w:val="22"/>
          <w:szCs w:val="22"/>
          <w:shd w:val="clear" w:color="auto" w:fill="FFFFFF"/>
        </w:rPr>
        <w:t>et al.</w:t>
      </w:r>
      <w:r w:rsidRPr="00F31AEA">
        <w:rPr>
          <w:rFonts w:asciiTheme="minorHAnsi" w:hAnsiTheme="minorHAnsi"/>
          <w:sz w:val="22"/>
          <w:szCs w:val="22"/>
          <w:shd w:val="clear" w:color="auto" w:fill="FFFFFF"/>
        </w:rPr>
        <w:t> (2024). Six Thinking Hats model of learning—Creative teaching method in physiotherapy—A pilot study, </w:t>
      </w:r>
      <w:r w:rsidRPr="00F31AEA">
        <w:rPr>
          <w:rFonts w:asciiTheme="minorHAnsi" w:hAnsiTheme="minorHAnsi"/>
          <w:i/>
          <w:iCs/>
          <w:sz w:val="22"/>
          <w:szCs w:val="22"/>
          <w:shd w:val="clear" w:color="auto" w:fill="FFFFFF"/>
        </w:rPr>
        <w:t>Journal of Education and Health Promotion</w:t>
      </w:r>
      <w:r w:rsidRPr="00F31AEA">
        <w:rPr>
          <w:rFonts w:asciiTheme="minorHAnsi" w:hAnsiTheme="minorHAnsi"/>
          <w:sz w:val="22"/>
          <w:szCs w:val="22"/>
          <w:shd w:val="clear" w:color="auto" w:fill="FFFFFF"/>
        </w:rPr>
        <w:t xml:space="preserve">, 13(1), pp.24–24. </w:t>
      </w:r>
    </w:p>
    <w:p w14:paraId="30D52C80"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sz w:val="22"/>
          <w:szCs w:val="22"/>
        </w:rPr>
        <w:t xml:space="preserve">Waddington, B. (2023). </w:t>
      </w:r>
      <w:r w:rsidRPr="00F31AEA">
        <w:rPr>
          <w:rFonts w:asciiTheme="minorHAnsi" w:hAnsiTheme="minorHAnsi"/>
          <w:i/>
          <w:iCs/>
          <w:sz w:val="22"/>
          <w:szCs w:val="22"/>
        </w:rPr>
        <w:t>Disability, England and Wales: Census 2021</w:t>
      </w:r>
      <w:r w:rsidRPr="00F31AEA">
        <w:rPr>
          <w:rFonts w:asciiTheme="minorHAnsi" w:hAnsiTheme="minorHAnsi"/>
          <w:sz w:val="22"/>
          <w:szCs w:val="22"/>
        </w:rPr>
        <w:t xml:space="preserve">, </w:t>
      </w:r>
      <w:r w:rsidRPr="00F31AEA">
        <w:rPr>
          <w:rFonts w:asciiTheme="minorHAnsi" w:hAnsiTheme="minorHAnsi"/>
          <w:i/>
          <w:iCs/>
          <w:sz w:val="22"/>
          <w:szCs w:val="22"/>
        </w:rPr>
        <w:t>Disability, England and Wales - Office for National Statistics</w:t>
      </w:r>
      <w:r w:rsidRPr="00F31AEA">
        <w:rPr>
          <w:rFonts w:asciiTheme="minorHAnsi" w:hAnsiTheme="minorHAnsi"/>
          <w:sz w:val="22"/>
          <w:szCs w:val="22"/>
        </w:rPr>
        <w:t xml:space="preserve">. Available at: https://www.ons.gov.uk/peoplepopulationandcommunity/healthandsocialcare/healthandwellbeing/bulletins/disabilityenglandandwales/census2021#disability-england-and-wales (Accessed: 11 June 2024). </w:t>
      </w:r>
    </w:p>
    <w:p w14:paraId="7D190370"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Westerman, J. W., Rao, M. B., Vanka, S., &amp; Gupta, M. (2020). Sustainable human resource management and the triple bottom line: Multi-stakeholder strategies, concepts, and engagement. </w:t>
      </w:r>
      <w:r w:rsidRPr="00F31AEA">
        <w:rPr>
          <w:rFonts w:asciiTheme="minorHAnsi" w:hAnsiTheme="minorHAnsi" w:cs="Arial"/>
          <w:i/>
          <w:iCs/>
          <w:sz w:val="22"/>
          <w:szCs w:val="22"/>
          <w:shd w:val="clear" w:color="auto" w:fill="FFFFFF"/>
        </w:rPr>
        <w:t>Human Resource Management Review</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30</w:t>
      </w:r>
      <w:r w:rsidRPr="00F31AEA">
        <w:rPr>
          <w:rFonts w:asciiTheme="minorHAnsi" w:hAnsiTheme="minorHAnsi" w:cs="Arial"/>
          <w:sz w:val="22"/>
          <w:szCs w:val="22"/>
          <w:shd w:val="clear" w:color="auto" w:fill="FFFFFF"/>
        </w:rPr>
        <w:t>(3).</w:t>
      </w:r>
    </w:p>
    <w:p w14:paraId="43A5D0D4"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cs="Arial"/>
          <w:sz w:val="22"/>
          <w:szCs w:val="22"/>
          <w:shd w:val="clear" w:color="auto" w:fill="FFFFFF"/>
        </w:rPr>
        <w:t>Willis, J. (2023). </w:t>
      </w:r>
      <w:r w:rsidRPr="00F31AEA">
        <w:rPr>
          <w:rFonts w:asciiTheme="minorHAnsi" w:hAnsiTheme="minorHAnsi" w:cs="Arial"/>
          <w:i/>
          <w:iCs/>
          <w:sz w:val="22"/>
          <w:szCs w:val="22"/>
          <w:shd w:val="clear" w:color="auto" w:fill="FFFFFF"/>
        </w:rPr>
        <w:t>Deming's Journey to Profound Knowledge: How Deming Helped Win a War, Altered the Face of Industry, and Holds the Key to Our Future</w:t>
      </w:r>
      <w:r w:rsidRPr="00F31AEA">
        <w:rPr>
          <w:rFonts w:asciiTheme="minorHAnsi" w:hAnsiTheme="minorHAnsi" w:cs="Arial"/>
          <w:sz w:val="22"/>
          <w:szCs w:val="22"/>
          <w:shd w:val="clear" w:color="auto" w:fill="FFFFFF"/>
        </w:rPr>
        <w:t>. IT Revolution.</w:t>
      </w:r>
    </w:p>
    <w:p w14:paraId="4B4939A5"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sz w:val="22"/>
          <w:szCs w:val="22"/>
          <w:shd w:val="clear" w:color="auto" w:fill="FFFFFF"/>
        </w:rPr>
        <w:t>Wu, D. </w:t>
      </w:r>
      <w:r w:rsidRPr="00F31AEA">
        <w:rPr>
          <w:rFonts w:asciiTheme="minorHAnsi" w:hAnsiTheme="minorHAnsi"/>
          <w:i/>
          <w:iCs/>
          <w:sz w:val="22"/>
          <w:szCs w:val="22"/>
          <w:shd w:val="clear" w:color="auto" w:fill="FFFFFF"/>
        </w:rPr>
        <w:t>et al.</w:t>
      </w:r>
      <w:r w:rsidRPr="00F31AEA">
        <w:rPr>
          <w:rFonts w:asciiTheme="minorHAnsi" w:hAnsiTheme="minorHAnsi"/>
          <w:sz w:val="22"/>
          <w:szCs w:val="22"/>
          <w:shd w:val="clear" w:color="auto" w:fill="FFFFFF"/>
        </w:rPr>
        <w:t> (2024). Integrating Six Thinking Hats into problem-based learning pathophysiology curriculum, </w:t>
      </w:r>
      <w:r w:rsidRPr="00F31AEA">
        <w:rPr>
          <w:rFonts w:asciiTheme="minorHAnsi" w:hAnsiTheme="minorHAnsi"/>
          <w:i/>
          <w:iCs/>
          <w:sz w:val="22"/>
          <w:szCs w:val="22"/>
          <w:shd w:val="clear" w:color="auto" w:fill="FFFFFF"/>
        </w:rPr>
        <w:t>Medical education.</w:t>
      </w:r>
    </w:p>
    <w:p w14:paraId="3073717C" w14:textId="77777777" w:rsidR="00485E99" w:rsidRPr="00F31AEA" w:rsidRDefault="00485E99" w:rsidP="007A2F76"/>
    <w:sectPr w:rsidR="00485E99" w:rsidRPr="00F31A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53410"/>
    <w:multiLevelType w:val="hybridMultilevel"/>
    <w:tmpl w:val="244AA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56BCD"/>
    <w:multiLevelType w:val="hybridMultilevel"/>
    <w:tmpl w:val="C6A89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966323"/>
    <w:multiLevelType w:val="hybridMultilevel"/>
    <w:tmpl w:val="8C40FE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786A9A"/>
    <w:multiLevelType w:val="hybridMultilevel"/>
    <w:tmpl w:val="C77ED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F05B04"/>
    <w:multiLevelType w:val="hybridMultilevel"/>
    <w:tmpl w:val="E4C28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BC598C"/>
    <w:multiLevelType w:val="multilevel"/>
    <w:tmpl w:val="21787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3332091">
    <w:abstractNumId w:val="0"/>
  </w:num>
  <w:num w:numId="2" w16cid:durableId="26301523">
    <w:abstractNumId w:val="4"/>
  </w:num>
  <w:num w:numId="3" w16cid:durableId="1986623570">
    <w:abstractNumId w:val="5"/>
  </w:num>
  <w:num w:numId="4" w16cid:durableId="1911574829">
    <w:abstractNumId w:val="2"/>
  </w:num>
  <w:num w:numId="5" w16cid:durableId="859203065">
    <w:abstractNumId w:val="3"/>
  </w:num>
  <w:num w:numId="6" w16cid:durableId="397747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4EB"/>
    <w:rsid w:val="00002751"/>
    <w:rsid w:val="000100A4"/>
    <w:rsid w:val="00010BC5"/>
    <w:rsid w:val="00011425"/>
    <w:rsid w:val="000160F1"/>
    <w:rsid w:val="000162F9"/>
    <w:rsid w:val="00021F00"/>
    <w:rsid w:val="000247DE"/>
    <w:rsid w:val="00031C8B"/>
    <w:rsid w:val="000320C3"/>
    <w:rsid w:val="000334D1"/>
    <w:rsid w:val="00036F49"/>
    <w:rsid w:val="00046353"/>
    <w:rsid w:val="00046EC6"/>
    <w:rsid w:val="0005739A"/>
    <w:rsid w:val="00060D86"/>
    <w:rsid w:val="00061A00"/>
    <w:rsid w:val="0006242F"/>
    <w:rsid w:val="00066B5F"/>
    <w:rsid w:val="00076224"/>
    <w:rsid w:val="000848E7"/>
    <w:rsid w:val="00087706"/>
    <w:rsid w:val="0009478A"/>
    <w:rsid w:val="000947A0"/>
    <w:rsid w:val="00095268"/>
    <w:rsid w:val="00096237"/>
    <w:rsid w:val="000A57D7"/>
    <w:rsid w:val="000B011C"/>
    <w:rsid w:val="000B1AE9"/>
    <w:rsid w:val="000B7009"/>
    <w:rsid w:val="000C7CF1"/>
    <w:rsid w:val="000D4783"/>
    <w:rsid w:val="000D4A19"/>
    <w:rsid w:val="000D59C9"/>
    <w:rsid w:val="000E7A83"/>
    <w:rsid w:val="000F75EE"/>
    <w:rsid w:val="00104091"/>
    <w:rsid w:val="00105731"/>
    <w:rsid w:val="001060C4"/>
    <w:rsid w:val="00117825"/>
    <w:rsid w:val="001178DB"/>
    <w:rsid w:val="00123FB4"/>
    <w:rsid w:val="00126971"/>
    <w:rsid w:val="0013485C"/>
    <w:rsid w:val="0013493F"/>
    <w:rsid w:val="00134EDD"/>
    <w:rsid w:val="001357F7"/>
    <w:rsid w:val="00135C70"/>
    <w:rsid w:val="00135E2D"/>
    <w:rsid w:val="00136EF3"/>
    <w:rsid w:val="0013753E"/>
    <w:rsid w:val="00147A2B"/>
    <w:rsid w:val="00150176"/>
    <w:rsid w:val="001544D3"/>
    <w:rsid w:val="00155C3A"/>
    <w:rsid w:val="00157CB5"/>
    <w:rsid w:val="00162171"/>
    <w:rsid w:val="001637D7"/>
    <w:rsid w:val="001709B5"/>
    <w:rsid w:val="001727CD"/>
    <w:rsid w:val="0017361C"/>
    <w:rsid w:val="00174453"/>
    <w:rsid w:val="00177A39"/>
    <w:rsid w:val="00180088"/>
    <w:rsid w:val="001824EB"/>
    <w:rsid w:val="0018334D"/>
    <w:rsid w:val="00185F53"/>
    <w:rsid w:val="00195845"/>
    <w:rsid w:val="00196D38"/>
    <w:rsid w:val="001A590C"/>
    <w:rsid w:val="001A7F2C"/>
    <w:rsid w:val="001B0B96"/>
    <w:rsid w:val="001B5C5D"/>
    <w:rsid w:val="001C1020"/>
    <w:rsid w:val="001C2F5B"/>
    <w:rsid w:val="001C32B3"/>
    <w:rsid w:val="001C5278"/>
    <w:rsid w:val="001D386B"/>
    <w:rsid w:val="001E06F8"/>
    <w:rsid w:val="001E73AC"/>
    <w:rsid w:val="001F1F54"/>
    <w:rsid w:val="001F2421"/>
    <w:rsid w:val="001F6EA1"/>
    <w:rsid w:val="00200C9C"/>
    <w:rsid w:val="002035EE"/>
    <w:rsid w:val="00205FDA"/>
    <w:rsid w:val="00206DD1"/>
    <w:rsid w:val="002109DD"/>
    <w:rsid w:val="00212F96"/>
    <w:rsid w:val="00215C39"/>
    <w:rsid w:val="002226B7"/>
    <w:rsid w:val="0023339D"/>
    <w:rsid w:val="00235628"/>
    <w:rsid w:val="002402F2"/>
    <w:rsid w:val="0024180E"/>
    <w:rsid w:val="00241CE2"/>
    <w:rsid w:val="0024218B"/>
    <w:rsid w:val="002500F1"/>
    <w:rsid w:val="00252342"/>
    <w:rsid w:val="00262815"/>
    <w:rsid w:val="00267605"/>
    <w:rsid w:val="00272AB2"/>
    <w:rsid w:val="00280983"/>
    <w:rsid w:val="0028482F"/>
    <w:rsid w:val="00291DDA"/>
    <w:rsid w:val="002931BF"/>
    <w:rsid w:val="00294ED4"/>
    <w:rsid w:val="0029629D"/>
    <w:rsid w:val="00297961"/>
    <w:rsid w:val="002B117C"/>
    <w:rsid w:val="002B121F"/>
    <w:rsid w:val="002B1ACD"/>
    <w:rsid w:val="002B1CA3"/>
    <w:rsid w:val="002B74CF"/>
    <w:rsid w:val="002C30CE"/>
    <w:rsid w:val="002C5101"/>
    <w:rsid w:val="002C54C6"/>
    <w:rsid w:val="002D19AE"/>
    <w:rsid w:val="002E5265"/>
    <w:rsid w:val="002F0A4C"/>
    <w:rsid w:val="002F1AE4"/>
    <w:rsid w:val="00307DC7"/>
    <w:rsid w:val="00316F56"/>
    <w:rsid w:val="003226F7"/>
    <w:rsid w:val="00325833"/>
    <w:rsid w:val="0033273C"/>
    <w:rsid w:val="00332B43"/>
    <w:rsid w:val="00334CE6"/>
    <w:rsid w:val="0034617D"/>
    <w:rsid w:val="00352145"/>
    <w:rsid w:val="003546F5"/>
    <w:rsid w:val="00356C45"/>
    <w:rsid w:val="00360FEB"/>
    <w:rsid w:val="00361E73"/>
    <w:rsid w:val="0036249F"/>
    <w:rsid w:val="003630C9"/>
    <w:rsid w:val="0036737B"/>
    <w:rsid w:val="003723DC"/>
    <w:rsid w:val="00372EF3"/>
    <w:rsid w:val="0037691E"/>
    <w:rsid w:val="00380E4D"/>
    <w:rsid w:val="0038118D"/>
    <w:rsid w:val="00382C98"/>
    <w:rsid w:val="003871B8"/>
    <w:rsid w:val="00390993"/>
    <w:rsid w:val="003937E1"/>
    <w:rsid w:val="003A28A2"/>
    <w:rsid w:val="003A477A"/>
    <w:rsid w:val="003A6B26"/>
    <w:rsid w:val="003B0DFB"/>
    <w:rsid w:val="003B2F9D"/>
    <w:rsid w:val="003B4479"/>
    <w:rsid w:val="003B4FBF"/>
    <w:rsid w:val="003C080B"/>
    <w:rsid w:val="003C324F"/>
    <w:rsid w:val="003D0E51"/>
    <w:rsid w:val="003D71FD"/>
    <w:rsid w:val="003E3D0E"/>
    <w:rsid w:val="003E508F"/>
    <w:rsid w:val="003F0975"/>
    <w:rsid w:val="003F1134"/>
    <w:rsid w:val="003F2F56"/>
    <w:rsid w:val="003F646E"/>
    <w:rsid w:val="003F790A"/>
    <w:rsid w:val="00400F23"/>
    <w:rsid w:val="00403C5D"/>
    <w:rsid w:val="004104CA"/>
    <w:rsid w:val="00416051"/>
    <w:rsid w:val="004170DA"/>
    <w:rsid w:val="0041784E"/>
    <w:rsid w:val="0042102B"/>
    <w:rsid w:val="0042363F"/>
    <w:rsid w:val="00432018"/>
    <w:rsid w:val="00432E56"/>
    <w:rsid w:val="004364B8"/>
    <w:rsid w:val="004419F6"/>
    <w:rsid w:val="00442352"/>
    <w:rsid w:val="0044511B"/>
    <w:rsid w:val="0046768E"/>
    <w:rsid w:val="00472462"/>
    <w:rsid w:val="00476D67"/>
    <w:rsid w:val="00480B45"/>
    <w:rsid w:val="00485BA5"/>
    <w:rsid w:val="00485E99"/>
    <w:rsid w:val="00493393"/>
    <w:rsid w:val="00496D86"/>
    <w:rsid w:val="004A0C4D"/>
    <w:rsid w:val="004A34F9"/>
    <w:rsid w:val="004A4A95"/>
    <w:rsid w:val="004A529E"/>
    <w:rsid w:val="004A779E"/>
    <w:rsid w:val="004B7A1A"/>
    <w:rsid w:val="004C09F6"/>
    <w:rsid w:val="004D0D1B"/>
    <w:rsid w:val="004D0D4B"/>
    <w:rsid w:val="004D0FB6"/>
    <w:rsid w:val="004D3EB8"/>
    <w:rsid w:val="004D5AFF"/>
    <w:rsid w:val="004D601D"/>
    <w:rsid w:val="004D7C5A"/>
    <w:rsid w:val="004E265D"/>
    <w:rsid w:val="004E2A47"/>
    <w:rsid w:val="004E3017"/>
    <w:rsid w:val="004E43F0"/>
    <w:rsid w:val="004E4FCD"/>
    <w:rsid w:val="004F35E9"/>
    <w:rsid w:val="004F58B6"/>
    <w:rsid w:val="0050725A"/>
    <w:rsid w:val="005156C5"/>
    <w:rsid w:val="0051654F"/>
    <w:rsid w:val="0052200A"/>
    <w:rsid w:val="00524656"/>
    <w:rsid w:val="00526D73"/>
    <w:rsid w:val="005272F8"/>
    <w:rsid w:val="00552C69"/>
    <w:rsid w:val="00553C56"/>
    <w:rsid w:val="00570871"/>
    <w:rsid w:val="0057110C"/>
    <w:rsid w:val="00572EFF"/>
    <w:rsid w:val="00574E13"/>
    <w:rsid w:val="00583A18"/>
    <w:rsid w:val="005912F7"/>
    <w:rsid w:val="00592F24"/>
    <w:rsid w:val="00593398"/>
    <w:rsid w:val="005A116E"/>
    <w:rsid w:val="005B392C"/>
    <w:rsid w:val="005B47D3"/>
    <w:rsid w:val="005C26A8"/>
    <w:rsid w:val="005C6979"/>
    <w:rsid w:val="005C729B"/>
    <w:rsid w:val="005D02B4"/>
    <w:rsid w:val="005D04EB"/>
    <w:rsid w:val="005D3B90"/>
    <w:rsid w:val="005E446E"/>
    <w:rsid w:val="005E4E54"/>
    <w:rsid w:val="005F3E90"/>
    <w:rsid w:val="005F55D5"/>
    <w:rsid w:val="006020DC"/>
    <w:rsid w:val="00602403"/>
    <w:rsid w:val="00606717"/>
    <w:rsid w:val="0060692C"/>
    <w:rsid w:val="00611E9D"/>
    <w:rsid w:val="0061303F"/>
    <w:rsid w:val="00616E0D"/>
    <w:rsid w:val="00617AE1"/>
    <w:rsid w:val="00626065"/>
    <w:rsid w:val="00641323"/>
    <w:rsid w:val="00643579"/>
    <w:rsid w:val="00643D06"/>
    <w:rsid w:val="006447B5"/>
    <w:rsid w:val="006502D8"/>
    <w:rsid w:val="006520D3"/>
    <w:rsid w:val="00652B9A"/>
    <w:rsid w:val="00654AE8"/>
    <w:rsid w:val="0066558B"/>
    <w:rsid w:val="00674532"/>
    <w:rsid w:val="00680217"/>
    <w:rsid w:val="006806D9"/>
    <w:rsid w:val="00681312"/>
    <w:rsid w:val="00681575"/>
    <w:rsid w:val="006864B9"/>
    <w:rsid w:val="00696520"/>
    <w:rsid w:val="006A4C82"/>
    <w:rsid w:val="006B1C7B"/>
    <w:rsid w:val="006B6C00"/>
    <w:rsid w:val="006D1AFA"/>
    <w:rsid w:val="006D49AC"/>
    <w:rsid w:val="006D656A"/>
    <w:rsid w:val="006D6EF0"/>
    <w:rsid w:val="006E7D96"/>
    <w:rsid w:val="006F1912"/>
    <w:rsid w:val="007015A8"/>
    <w:rsid w:val="007022F1"/>
    <w:rsid w:val="007047A2"/>
    <w:rsid w:val="007054B5"/>
    <w:rsid w:val="00706FDD"/>
    <w:rsid w:val="00707123"/>
    <w:rsid w:val="00710DEA"/>
    <w:rsid w:val="00716B9E"/>
    <w:rsid w:val="007316F1"/>
    <w:rsid w:val="00736028"/>
    <w:rsid w:val="00741017"/>
    <w:rsid w:val="00743A68"/>
    <w:rsid w:val="00745EE4"/>
    <w:rsid w:val="00752BCA"/>
    <w:rsid w:val="007535E9"/>
    <w:rsid w:val="007607A9"/>
    <w:rsid w:val="007629DD"/>
    <w:rsid w:val="007639F6"/>
    <w:rsid w:val="007675F0"/>
    <w:rsid w:val="00770889"/>
    <w:rsid w:val="00770FB0"/>
    <w:rsid w:val="00771EA1"/>
    <w:rsid w:val="00774349"/>
    <w:rsid w:val="00786BC6"/>
    <w:rsid w:val="0078726A"/>
    <w:rsid w:val="007958C6"/>
    <w:rsid w:val="007A28E0"/>
    <w:rsid w:val="007A2F76"/>
    <w:rsid w:val="007A310A"/>
    <w:rsid w:val="007A42C7"/>
    <w:rsid w:val="007A6253"/>
    <w:rsid w:val="007A7BF9"/>
    <w:rsid w:val="007A7CFC"/>
    <w:rsid w:val="007B0781"/>
    <w:rsid w:val="007B2D54"/>
    <w:rsid w:val="007B305D"/>
    <w:rsid w:val="007B43FE"/>
    <w:rsid w:val="007B7B18"/>
    <w:rsid w:val="007C0881"/>
    <w:rsid w:val="007C7864"/>
    <w:rsid w:val="007D1736"/>
    <w:rsid w:val="007D465B"/>
    <w:rsid w:val="007E1647"/>
    <w:rsid w:val="007E294C"/>
    <w:rsid w:val="007E31BA"/>
    <w:rsid w:val="007E3AFA"/>
    <w:rsid w:val="007E4E1F"/>
    <w:rsid w:val="007E5AF2"/>
    <w:rsid w:val="007F0791"/>
    <w:rsid w:val="007F3584"/>
    <w:rsid w:val="00804844"/>
    <w:rsid w:val="00804941"/>
    <w:rsid w:val="00804F81"/>
    <w:rsid w:val="00806827"/>
    <w:rsid w:val="0080687C"/>
    <w:rsid w:val="00813967"/>
    <w:rsid w:val="00821CA9"/>
    <w:rsid w:val="00844F28"/>
    <w:rsid w:val="00850750"/>
    <w:rsid w:val="008516DA"/>
    <w:rsid w:val="0086080D"/>
    <w:rsid w:val="0086169E"/>
    <w:rsid w:val="008657AB"/>
    <w:rsid w:val="00871B03"/>
    <w:rsid w:val="0087544B"/>
    <w:rsid w:val="00875CAC"/>
    <w:rsid w:val="008766E1"/>
    <w:rsid w:val="00882FB6"/>
    <w:rsid w:val="00886792"/>
    <w:rsid w:val="008914DC"/>
    <w:rsid w:val="00894743"/>
    <w:rsid w:val="00895758"/>
    <w:rsid w:val="008965EF"/>
    <w:rsid w:val="008A4EEA"/>
    <w:rsid w:val="008B33D3"/>
    <w:rsid w:val="008B6833"/>
    <w:rsid w:val="008B6B8A"/>
    <w:rsid w:val="008C24BA"/>
    <w:rsid w:val="008C2C2A"/>
    <w:rsid w:val="008C7316"/>
    <w:rsid w:val="008C7689"/>
    <w:rsid w:val="008D173C"/>
    <w:rsid w:val="008D6061"/>
    <w:rsid w:val="008D7B56"/>
    <w:rsid w:val="008E0AA9"/>
    <w:rsid w:val="008E1DC6"/>
    <w:rsid w:val="008E3AD5"/>
    <w:rsid w:val="008E3F1B"/>
    <w:rsid w:val="008E674C"/>
    <w:rsid w:val="009019C9"/>
    <w:rsid w:val="009078DE"/>
    <w:rsid w:val="00916264"/>
    <w:rsid w:val="00917E47"/>
    <w:rsid w:val="009210BF"/>
    <w:rsid w:val="00923C02"/>
    <w:rsid w:val="00923E79"/>
    <w:rsid w:val="00930A55"/>
    <w:rsid w:val="00931E61"/>
    <w:rsid w:val="00937F86"/>
    <w:rsid w:val="00943D90"/>
    <w:rsid w:val="0094687D"/>
    <w:rsid w:val="00947023"/>
    <w:rsid w:val="009514A6"/>
    <w:rsid w:val="00952FCB"/>
    <w:rsid w:val="00956763"/>
    <w:rsid w:val="00961E31"/>
    <w:rsid w:val="009629C6"/>
    <w:rsid w:val="009654B3"/>
    <w:rsid w:val="00976C7C"/>
    <w:rsid w:val="0098192B"/>
    <w:rsid w:val="00983C15"/>
    <w:rsid w:val="00990D67"/>
    <w:rsid w:val="00995431"/>
    <w:rsid w:val="00997404"/>
    <w:rsid w:val="009A4CF5"/>
    <w:rsid w:val="009B2E70"/>
    <w:rsid w:val="009B7596"/>
    <w:rsid w:val="009C7EF8"/>
    <w:rsid w:val="009E1558"/>
    <w:rsid w:val="009E4DE2"/>
    <w:rsid w:val="009F4E78"/>
    <w:rsid w:val="009F73CF"/>
    <w:rsid w:val="00A0045A"/>
    <w:rsid w:val="00A01DD8"/>
    <w:rsid w:val="00A01E19"/>
    <w:rsid w:val="00A05ED8"/>
    <w:rsid w:val="00A1233C"/>
    <w:rsid w:val="00A1752E"/>
    <w:rsid w:val="00A17F38"/>
    <w:rsid w:val="00A21D26"/>
    <w:rsid w:val="00A22A53"/>
    <w:rsid w:val="00A371F8"/>
    <w:rsid w:val="00A406AB"/>
    <w:rsid w:val="00A410EA"/>
    <w:rsid w:val="00A43556"/>
    <w:rsid w:val="00A507C5"/>
    <w:rsid w:val="00A5223E"/>
    <w:rsid w:val="00A535DF"/>
    <w:rsid w:val="00A5417D"/>
    <w:rsid w:val="00A61D9A"/>
    <w:rsid w:val="00A630E3"/>
    <w:rsid w:val="00A80A9A"/>
    <w:rsid w:val="00A83663"/>
    <w:rsid w:val="00A848A9"/>
    <w:rsid w:val="00A84CE4"/>
    <w:rsid w:val="00A854BE"/>
    <w:rsid w:val="00A85635"/>
    <w:rsid w:val="00A9328E"/>
    <w:rsid w:val="00A9754B"/>
    <w:rsid w:val="00AA32A1"/>
    <w:rsid w:val="00AA67D8"/>
    <w:rsid w:val="00AB0307"/>
    <w:rsid w:val="00AB284A"/>
    <w:rsid w:val="00AB367D"/>
    <w:rsid w:val="00AB5475"/>
    <w:rsid w:val="00AD0C86"/>
    <w:rsid w:val="00AD25B4"/>
    <w:rsid w:val="00AD4B97"/>
    <w:rsid w:val="00AF0F64"/>
    <w:rsid w:val="00AF6D7B"/>
    <w:rsid w:val="00B013C1"/>
    <w:rsid w:val="00B02714"/>
    <w:rsid w:val="00B03494"/>
    <w:rsid w:val="00B0484D"/>
    <w:rsid w:val="00B106C5"/>
    <w:rsid w:val="00B13893"/>
    <w:rsid w:val="00B171C5"/>
    <w:rsid w:val="00B1730D"/>
    <w:rsid w:val="00B2063E"/>
    <w:rsid w:val="00B221B1"/>
    <w:rsid w:val="00B26512"/>
    <w:rsid w:val="00B3177A"/>
    <w:rsid w:val="00B3613A"/>
    <w:rsid w:val="00B36C2E"/>
    <w:rsid w:val="00B40C0D"/>
    <w:rsid w:val="00B42C1A"/>
    <w:rsid w:val="00B51200"/>
    <w:rsid w:val="00B527EF"/>
    <w:rsid w:val="00B53174"/>
    <w:rsid w:val="00B577A0"/>
    <w:rsid w:val="00B73855"/>
    <w:rsid w:val="00B74BAC"/>
    <w:rsid w:val="00B75041"/>
    <w:rsid w:val="00B7528F"/>
    <w:rsid w:val="00B7692B"/>
    <w:rsid w:val="00B83334"/>
    <w:rsid w:val="00B83CC7"/>
    <w:rsid w:val="00B84BCC"/>
    <w:rsid w:val="00B90096"/>
    <w:rsid w:val="00B91FFB"/>
    <w:rsid w:val="00B94B48"/>
    <w:rsid w:val="00B97806"/>
    <w:rsid w:val="00BA0A80"/>
    <w:rsid w:val="00BA56F8"/>
    <w:rsid w:val="00BA7457"/>
    <w:rsid w:val="00BB16DC"/>
    <w:rsid w:val="00BB5650"/>
    <w:rsid w:val="00BC2BB2"/>
    <w:rsid w:val="00BE202D"/>
    <w:rsid w:val="00BE6DB5"/>
    <w:rsid w:val="00BF2951"/>
    <w:rsid w:val="00BF7E44"/>
    <w:rsid w:val="00C025FB"/>
    <w:rsid w:val="00C1142C"/>
    <w:rsid w:val="00C237AB"/>
    <w:rsid w:val="00C25381"/>
    <w:rsid w:val="00C30A15"/>
    <w:rsid w:val="00C34442"/>
    <w:rsid w:val="00C34AAF"/>
    <w:rsid w:val="00C516DD"/>
    <w:rsid w:val="00C566E2"/>
    <w:rsid w:val="00C57C98"/>
    <w:rsid w:val="00C60F24"/>
    <w:rsid w:val="00C6219A"/>
    <w:rsid w:val="00C6488F"/>
    <w:rsid w:val="00C66893"/>
    <w:rsid w:val="00C67E55"/>
    <w:rsid w:val="00C70BB7"/>
    <w:rsid w:val="00C72028"/>
    <w:rsid w:val="00C76F57"/>
    <w:rsid w:val="00C834B1"/>
    <w:rsid w:val="00C86B89"/>
    <w:rsid w:val="00C915F9"/>
    <w:rsid w:val="00C929D7"/>
    <w:rsid w:val="00CA1F94"/>
    <w:rsid w:val="00CA467D"/>
    <w:rsid w:val="00CB71BD"/>
    <w:rsid w:val="00CB7E61"/>
    <w:rsid w:val="00CC0354"/>
    <w:rsid w:val="00CC3DB8"/>
    <w:rsid w:val="00CD4623"/>
    <w:rsid w:val="00CD5EBC"/>
    <w:rsid w:val="00CD7B47"/>
    <w:rsid w:val="00CE1036"/>
    <w:rsid w:val="00CE56A9"/>
    <w:rsid w:val="00CF59E5"/>
    <w:rsid w:val="00D028F2"/>
    <w:rsid w:val="00D06AC7"/>
    <w:rsid w:val="00D07ADD"/>
    <w:rsid w:val="00D07B79"/>
    <w:rsid w:val="00D2395F"/>
    <w:rsid w:val="00D24243"/>
    <w:rsid w:val="00D27B0C"/>
    <w:rsid w:val="00D31A56"/>
    <w:rsid w:val="00D35687"/>
    <w:rsid w:val="00D36C5A"/>
    <w:rsid w:val="00D46051"/>
    <w:rsid w:val="00D4735E"/>
    <w:rsid w:val="00D4770F"/>
    <w:rsid w:val="00D50D3D"/>
    <w:rsid w:val="00D51980"/>
    <w:rsid w:val="00D64427"/>
    <w:rsid w:val="00D67C42"/>
    <w:rsid w:val="00D70D98"/>
    <w:rsid w:val="00D73866"/>
    <w:rsid w:val="00D742C6"/>
    <w:rsid w:val="00D75EAF"/>
    <w:rsid w:val="00D7602C"/>
    <w:rsid w:val="00D76251"/>
    <w:rsid w:val="00D77936"/>
    <w:rsid w:val="00D80CA3"/>
    <w:rsid w:val="00D85B1F"/>
    <w:rsid w:val="00D877C0"/>
    <w:rsid w:val="00D9281F"/>
    <w:rsid w:val="00DA21EC"/>
    <w:rsid w:val="00DA3038"/>
    <w:rsid w:val="00DA5F1B"/>
    <w:rsid w:val="00DB0EBA"/>
    <w:rsid w:val="00DB77E9"/>
    <w:rsid w:val="00DC1AC1"/>
    <w:rsid w:val="00DC245F"/>
    <w:rsid w:val="00DC7CD3"/>
    <w:rsid w:val="00DD005F"/>
    <w:rsid w:val="00DD02B8"/>
    <w:rsid w:val="00DD0582"/>
    <w:rsid w:val="00DD3EF9"/>
    <w:rsid w:val="00DD76DA"/>
    <w:rsid w:val="00DE1E16"/>
    <w:rsid w:val="00DE47A7"/>
    <w:rsid w:val="00DE4CB7"/>
    <w:rsid w:val="00DE7A90"/>
    <w:rsid w:val="00DF1546"/>
    <w:rsid w:val="00DF29B7"/>
    <w:rsid w:val="00DF5645"/>
    <w:rsid w:val="00DF6976"/>
    <w:rsid w:val="00E01CF7"/>
    <w:rsid w:val="00E02A6D"/>
    <w:rsid w:val="00E07BA2"/>
    <w:rsid w:val="00E12FE2"/>
    <w:rsid w:val="00E149D1"/>
    <w:rsid w:val="00E15B43"/>
    <w:rsid w:val="00E17230"/>
    <w:rsid w:val="00E25C18"/>
    <w:rsid w:val="00E32D55"/>
    <w:rsid w:val="00E40C0D"/>
    <w:rsid w:val="00E45D60"/>
    <w:rsid w:val="00E46854"/>
    <w:rsid w:val="00E55C0D"/>
    <w:rsid w:val="00E56375"/>
    <w:rsid w:val="00E63531"/>
    <w:rsid w:val="00E63A37"/>
    <w:rsid w:val="00E64B4E"/>
    <w:rsid w:val="00E66D36"/>
    <w:rsid w:val="00E73565"/>
    <w:rsid w:val="00E740DB"/>
    <w:rsid w:val="00E7667D"/>
    <w:rsid w:val="00E804FF"/>
    <w:rsid w:val="00E90B7C"/>
    <w:rsid w:val="00E91270"/>
    <w:rsid w:val="00E92CF5"/>
    <w:rsid w:val="00E9456C"/>
    <w:rsid w:val="00E96936"/>
    <w:rsid w:val="00E9759F"/>
    <w:rsid w:val="00EA1089"/>
    <w:rsid w:val="00EB7363"/>
    <w:rsid w:val="00EB7D8C"/>
    <w:rsid w:val="00EC5BF0"/>
    <w:rsid w:val="00ED2229"/>
    <w:rsid w:val="00EE4CE4"/>
    <w:rsid w:val="00EE515C"/>
    <w:rsid w:val="00EE5576"/>
    <w:rsid w:val="00EE7270"/>
    <w:rsid w:val="00EF13DF"/>
    <w:rsid w:val="00EF2E4D"/>
    <w:rsid w:val="00F05036"/>
    <w:rsid w:val="00F052DA"/>
    <w:rsid w:val="00F124EC"/>
    <w:rsid w:val="00F15B65"/>
    <w:rsid w:val="00F16154"/>
    <w:rsid w:val="00F16350"/>
    <w:rsid w:val="00F211C6"/>
    <w:rsid w:val="00F27358"/>
    <w:rsid w:val="00F31AEA"/>
    <w:rsid w:val="00F3516E"/>
    <w:rsid w:val="00F368EF"/>
    <w:rsid w:val="00F408EF"/>
    <w:rsid w:val="00F45932"/>
    <w:rsid w:val="00F53315"/>
    <w:rsid w:val="00F57851"/>
    <w:rsid w:val="00F57BB4"/>
    <w:rsid w:val="00F744E5"/>
    <w:rsid w:val="00F74B9C"/>
    <w:rsid w:val="00F80152"/>
    <w:rsid w:val="00F90E26"/>
    <w:rsid w:val="00F93DA6"/>
    <w:rsid w:val="00FA6E6C"/>
    <w:rsid w:val="00FB1617"/>
    <w:rsid w:val="00FB34BA"/>
    <w:rsid w:val="00FB5992"/>
    <w:rsid w:val="00FC4419"/>
    <w:rsid w:val="00FD0176"/>
    <w:rsid w:val="00FD0EE9"/>
    <w:rsid w:val="00FD1DD4"/>
    <w:rsid w:val="00FD579F"/>
    <w:rsid w:val="00FE105B"/>
    <w:rsid w:val="00FE30B3"/>
    <w:rsid w:val="00FE3FDC"/>
    <w:rsid w:val="00FE742E"/>
    <w:rsid w:val="00FF15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F351A"/>
  <w15:chartTrackingRefBased/>
  <w15:docId w15:val="{21409EA7-B390-400A-9925-E1CBF028C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4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24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24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4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24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24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4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4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4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4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24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24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24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24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24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4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4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4EB"/>
    <w:rPr>
      <w:rFonts w:eastAsiaTheme="majorEastAsia" w:cstheme="majorBidi"/>
      <w:color w:val="272727" w:themeColor="text1" w:themeTint="D8"/>
    </w:rPr>
  </w:style>
  <w:style w:type="paragraph" w:styleId="Title">
    <w:name w:val="Title"/>
    <w:basedOn w:val="Normal"/>
    <w:next w:val="Normal"/>
    <w:link w:val="TitleChar"/>
    <w:uiPriority w:val="10"/>
    <w:qFormat/>
    <w:rsid w:val="00182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4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4EB"/>
    <w:pPr>
      <w:spacing w:before="160"/>
      <w:jc w:val="center"/>
    </w:pPr>
    <w:rPr>
      <w:i/>
      <w:iCs/>
      <w:color w:val="404040" w:themeColor="text1" w:themeTint="BF"/>
    </w:rPr>
  </w:style>
  <w:style w:type="character" w:customStyle="1" w:styleId="QuoteChar">
    <w:name w:val="Quote Char"/>
    <w:basedOn w:val="DefaultParagraphFont"/>
    <w:link w:val="Quote"/>
    <w:uiPriority w:val="29"/>
    <w:rsid w:val="001824EB"/>
    <w:rPr>
      <w:i/>
      <w:iCs/>
      <w:color w:val="404040" w:themeColor="text1" w:themeTint="BF"/>
    </w:rPr>
  </w:style>
  <w:style w:type="paragraph" w:styleId="ListParagraph">
    <w:name w:val="List Paragraph"/>
    <w:basedOn w:val="Normal"/>
    <w:link w:val="ListParagraphChar"/>
    <w:uiPriority w:val="1"/>
    <w:qFormat/>
    <w:rsid w:val="001824EB"/>
    <w:pPr>
      <w:ind w:left="720"/>
      <w:contextualSpacing/>
    </w:pPr>
  </w:style>
  <w:style w:type="character" w:styleId="IntenseEmphasis">
    <w:name w:val="Intense Emphasis"/>
    <w:basedOn w:val="DefaultParagraphFont"/>
    <w:uiPriority w:val="21"/>
    <w:qFormat/>
    <w:rsid w:val="001824EB"/>
    <w:rPr>
      <w:i/>
      <w:iCs/>
      <w:color w:val="0F4761" w:themeColor="accent1" w:themeShade="BF"/>
    </w:rPr>
  </w:style>
  <w:style w:type="paragraph" w:styleId="IntenseQuote">
    <w:name w:val="Intense Quote"/>
    <w:basedOn w:val="Normal"/>
    <w:next w:val="Normal"/>
    <w:link w:val="IntenseQuoteChar"/>
    <w:uiPriority w:val="30"/>
    <w:qFormat/>
    <w:rsid w:val="001824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4EB"/>
    <w:rPr>
      <w:i/>
      <w:iCs/>
      <w:color w:val="0F4761" w:themeColor="accent1" w:themeShade="BF"/>
    </w:rPr>
  </w:style>
  <w:style w:type="character" w:styleId="IntenseReference">
    <w:name w:val="Intense Reference"/>
    <w:basedOn w:val="DefaultParagraphFont"/>
    <w:uiPriority w:val="32"/>
    <w:qFormat/>
    <w:rsid w:val="001824EB"/>
    <w:rPr>
      <w:b/>
      <w:bCs/>
      <w:smallCaps/>
      <w:color w:val="0F4761" w:themeColor="accent1" w:themeShade="BF"/>
      <w:spacing w:val="5"/>
    </w:rPr>
  </w:style>
  <w:style w:type="character" w:styleId="Hyperlink">
    <w:name w:val="Hyperlink"/>
    <w:basedOn w:val="DefaultParagraphFont"/>
    <w:uiPriority w:val="99"/>
    <w:unhideWhenUsed/>
    <w:rsid w:val="0057110C"/>
    <w:rPr>
      <w:color w:val="467886" w:themeColor="hyperlink"/>
      <w:u w:val="single"/>
    </w:rPr>
  </w:style>
  <w:style w:type="character" w:styleId="UnresolvedMention">
    <w:name w:val="Unresolved Mention"/>
    <w:basedOn w:val="DefaultParagraphFont"/>
    <w:uiPriority w:val="99"/>
    <w:semiHidden/>
    <w:unhideWhenUsed/>
    <w:rsid w:val="0057110C"/>
    <w:rPr>
      <w:color w:val="605E5C"/>
      <w:shd w:val="clear" w:color="auto" w:fill="E1DFDD"/>
    </w:rPr>
  </w:style>
  <w:style w:type="paragraph" w:styleId="NormalWeb">
    <w:name w:val="Normal (Web)"/>
    <w:basedOn w:val="Normal"/>
    <w:uiPriority w:val="99"/>
    <w:unhideWhenUsed/>
    <w:rsid w:val="00F578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4D7C5A"/>
    <w:rPr>
      <w:color w:val="96607D" w:themeColor="followedHyperlink"/>
      <w:u w:val="single"/>
    </w:rPr>
  </w:style>
  <w:style w:type="character" w:customStyle="1" w:styleId="anchor-text">
    <w:name w:val="anchor-text"/>
    <w:basedOn w:val="DefaultParagraphFont"/>
    <w:rsid w:val="00E7667D"/>
  </w:style>
  <w:style w:type="character" w:styleId="Emphasis">
    <w:name w:val="Emphasis"/>
    <w:basedOn w:val="DefaultParagraphFont"/>
    <w:uiPriority w:val="20"/>
    <w:qFormat/>
    <w:rsid w:val="00B02714"/>
    <w:rPr>
      <w:i/>
      <w:iCs/>
    </w:rPr>
  </w:style>
  <w:style w:type="character" w:styleId="CommentReference">
    <w:name w:val="annotation reference"/>
    <w:basedOn w:val="DefaultParagraphFont"/>
    <w:uiPriority w:val="99"/>
    <w:semiHidden/>
    <w:unhideWhenUsed/>
    <w:rsid w:val="00D80CA3"/>
    <w:rPr>
      <w:sz w:val="16"/>
      <w:szCs w:val="16"/>
    </w:rPr>
  </w:style>
  <w:style w:type="paragraph" w:styleId="CommentText">
    <w:name w:val="annotation text"/>
    <w:basedOn w:val="Normal"/>
    <w:link w:val="CommentTextChar"/>
    <w:uiPriority w:val="99"/>
    <w:unhideWhenUsed/>
    <w:rsid w:val="00D80CA3"/>
    <w:pPr>
      <w:spacing w:line="240" w:lineRule="auto"/>
    </w:pPr>
    <w:rPr>
      <w:sz w:val="20"/>
      <w:szCs w:val="20"/>
    </w:rPr>
  </w:style>
  <w:style w:type="character" w:customStyle="1" w:styleId="CommentTextChar">
    <w:name w:val="Comment Text Char"/>
    <w:basedOn w:val="DefaultParagraphFont"/>
    <w:link w:val="CommentText"/>
    <w:uiPriority w:val="99"/>
    <w:rsid w:val="00D80CA3"/>
    <w:rPr>
      <w:sz w:val="20"/>
      <w:szCs w:val="20"/>
    </w:rPr>
  </w:style>
  <w:style w:type="paragraph" w:styleId="CommentSubject">
    <w:name w:val="annotation subject"/>
    <w:basedOn w:val="CommentText"/>
    <w:next w:val="CommentText"/>
    <w:link w:val="CommentSubjectChar"/>
    <w:uiPriority w:val="99"/>
    <w:semiHidden/>
    <w:unhideWhenUsed/>
    <w:rsid w:val="00D80CA3"/>
    <w:rPr>
      <w:b/>
      <w:bCs/>
    </w:rPr>
  </w:style>
  <w:style w:type="character" w:customStyle="1" w:styleId="CommentSubjectChar">
    <w:name w:val="Comment Subject Char"/>
    <w:basedOn w:val="CommentTextChar"/>
    <w:link w:val="CommentSubject"/>
    <w:uiPriority w:val="99"/>
    <w:semiHidden/>
    <w:rsid w:val="00D80CA3"/>
    <w:rPr>
      <w:b/>
      <w:bCs/>
      <w:sz w:val="20"/>
      <w:szCs w:val="20"/>
    </w:rPr>
  </w:style>
  <w:style w:type="character" w:customStyle="1" w:styleId="ListParagraphChar">
    <w:name w:val="List Paragraph Char"/>
    <w:basedOn w:val="DefaultParagraphFont"/>
    <w:link w:val="ListParagraph"/>
    <w:uiPriority w:val="1"/>
    <w:locked/>
    <w:rsid w:val="00AB03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386912">
      <w:bodyDiv w:val="1"/>
      <w:marLeft w:val="0"/>
      <w:marRight w:val="0"/>
      <w:marTop w:val="0"/>
      <w:marBottom w:val="0"/>
      <w:divBdr>
        <w:top w:val="none" w:sz="0" w:space="0" w:color="auto"/>
        <w:left w:val="none" w:sz="0" w:space="0" w:color="auto"/>
        <w:bottom w:val="none" w:sz="0" w:space="0" w:color="auto"/>
        <w:right w:val="none" w:sz="0" w:space="0" w:color="auto"/>
      </w:divBdr>
    </w:div>
    <w:div w:id="179659559">
      <w:bodyDiv w:val="1"/>
      <w:marLeft w:val="0"/>
      <w:marRight w:val="0"/>
      <w:marTop w:val="0"/>
      <w:marBottom w:val="0"/>
      <w:divBdr>
        <w:top w:val="none" w:sz="0" w:space="0" w:color="auto"/>
        <w:left w:val="none" w:sz="0" w:space="0" w:color="auto"/>
        <w:bottom w:val="none" w:sz="0" w:space="0" w:color="auto"/>
        <w:right w:val="none" w:sz="0" w:space="0" w:color="auto"/>
      </w:divBdr>
    </w:div>
    <w:div w:id="191965892">
      <w:bodyDiv w:val="1"/>
      <w:marLeft w:val="0"/>
      <w:marRight w:val="0"/>
      <w:marTop w:val="0"/>
      <w:marBottom w:val="0"/>
      <w:divBdr>
        <w:top w:val="none" w:sz="0" w:space="0" w:color="auto"/>
        <w:left w:val="none" w:sz="0" w:space="0" w:color="auto"/>
        <w:bottom w:val="none" w:sz="0" w:space="0" w:color="auto"/>
        <w:right w:val="none" w:sz="0" w:space="0" w:color="auto"/>
      </w:divBdr>
      <w:divsChild>
        <w:div w:id="38013509">
          <w:marLeft w:val="0"/>
          <w:marRight w:val="0"/>
          <w:marTop w:val="0"/>
          <w:marBottom w:val="0"/>
          <w:divBdr>
            <w:top w:val="none" w:sz="0" w:space="0" w:color="auto"/>
            <w:left w:val="none" w:sz="0" w:space="0" w:color="auto"/>
            <w:bottom w:val="none" w:sz="0" w:space="0" w:color="auto"/>
            <w:right w:val="none" w:sz="0" w:space="0" w:color="auto"/>
          </w:divBdr>
          <w:divsChild>
            <w:div w:id="937833252">
              <w:marLeft w:val="0"/>
              <w:marRight w:val="0"/>
              <w:marTop w:val="0"/>
              <w:marBottom w:val="0"/>
              <w:divBdr>
                <w:top w:val="none" w:sz="0" w:space="0" w:color="auto"/>
                <w:left w:val="none" w:sz="0" w:space="0" w:color="auto"/>
                <w:bottom w:val="none" w:sz="0" w:space="0" w:color="auto"/>
                <w:right w:val="none" w:sz="0" w:space="0" w:color="auto"/>
              </w:divBdr>
              <w:divsChild>
                <w:div w:id="1085810175">
                  <w:marLeft w:val="0"/>
                  <w:marRight w:val="0"/>
                  <w:marTop w:val="0"/>
                  <w:marBottom w:val="0"/>
                  <w:divBdr>
                    <w:top w:val="none" w:sz="0" w:space="0" w:color="auto"/>
                    <w:left w:val="none" w:sz="0" w:space="0" w:color="auto"/>
                    <w:bottom w:val="none" w:sz="0" w:space="0" w:color="auto"/>
                    <w:right w:val="none" w:sz="0" w:space="0" w:color="auto"/>
                  </w:divBdr>
                  <w:divsChild>
                    <w:div w:id="183560674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379935507">
      <w:bodyDiv w:val="1"/>
      <w:marLeft w:val="0"/>
      <w:marRight w:val="0"/>
      <w:marTop w:val="0"/>
      <w:marBottom w:val="0"/>
      <w:divBdr>
        <w:top w:val="none" w:sz="0" w:space="0" w:color="auto"/>
        <w:left w:val="none" w:sz="0" w:space="0" w:color="auto"/>
        <w:bottom w:val="none" w:sz="0" w:space="0" w:color="auto"/>
        <w:right w:val="none" w:sz="0" w:space="0" w:color="auto"/>
      </w:divBdr>
      <w:divsChild>
        <w:div w:id="1678338336">
          <w:marLeft w:val="0"/>
          <w:marRight w:val="0"/>
          <w:marTop w:val="0"/>
          <w:marBottom w:val="0"/>
          <w:divBdr>
            <w:top w:val="none" w:sz="0" w:space="0" w:color="auto"/>
            <w:left w:val="none" w:sz="0" w:space="0" w:color="auto"/>
            <w:bottom w:val="none" w:sz="0" w:space="0" w:color="auto"/>
            <w:right w:val="none" w:sz="0" w:space="0" w:color="auto"/>
          </w:divBdr>
          <w:divsChild>
            <w:div w:id="950282395">
              <w:marLeft w:val="0"/>
              <w:marRight w:val="0"/>
              <w:marTop w:val="0"/>
              <w:marBottom w:val="0"/>
              <w:divBdr>
                <w:top w:val="none" w:sz="0" w:space="0" w:color="auto"/>
                <w:left w:val="none" w:sz="0" w:space="0" w:color="auto"/>
                <w:bottom w:val="none" w:sz="0" w:space="0" w:color="auto"/>
                <w:right w:val="none" w:sz="0" w:space="0" w:color="auto"/>
              </w:divBdr>
              <w:divsChild>
                <w:div w:id="348874881">
                  <w:marLeft w:val="0"/>
                  <w:marRight w:val="0"/>
                  <w:marTop w:val="0"/>
                  <w:marBottom w:val="0"/>
                  <w:divBdr>
                    <w:top w:val="none" w:sz="0" w:space="0" w:color="auto"/>
                    <w:left w:val="none" w:sz="0" w:space="0" w:color="auto"/>
                    <w:bottom w:val="none" w:sz="0" w:space="0" w:color="auto"/>
                    <w:right w:val="none" w:sz="0" w:space="0" w:color="auto"/>
                  </w:divBdr>
                  <w:divsChild>
                    <w:div w:id="79791736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461004481">
      <w:bodyDiv w:val="1"/>
      <w:marLeft w:val="0"/>
      <w:marRight w:val="0"/>
      <w:marTop w:val="0"/>
      <w:marBottom w:val="0"/>
      <w:divBdr>
        <w:top w:val="none" w:sz="0" w:space="0" w:color="auto"/>
        <w:left w:val="none" w:sz="0" w:space="0" w:color="auto"/>
        <w:bottom w:val="none" w:sz="0" w:space="0" w:color="auto"/>
        <w:right w:val="none" w:sz="0" w:space="0" w:color="auto"/>
      </w:divBdr>
      <w:divsChild>
        <w:div w:id="269164597">
          <w:marLeft w:val="0"/>
          <w:marRight w:val="0"/>
          <w:marTop w:val="0"/>
          <w:marBottom w:val="0"/>
          <w:divBdr>
            <w:top w:val="none" w:sz="0" w:space="0" w:color="auto"/>
            <w:left w:val="none" w:sz="0" w:space="0" w:color="auto"/>
            <w:bottom w:val="none" w:sz="0" w:space="0" w:color="auto"/>
            <w:right w:val="none" w:sz="0" w:space="0" w:color="auto"/>
          </w:divBdr>
          <w:divsChild>
            <w:div w:id="1609699546">
              <w:marLeft w:val="0"/>
              <w:marRight w:val="0"/>
              <w:marTop w:val="0"/>
              <w:marBottom w:val="0"/>
              <w:divBdr>
                <w:top w:val="none" w:sz="0" w:space="0" w:color="auto"/>
                <w:left w:val="none" w:sz="0" w:space="0" w:color="auto"/>
                <w:bottom w:val="none" w:sz="0" w:space="0" w:color="auto"/>
                <w:right w:val="none" w:sz="0" w:space="0" w:color="auto"/>
              </w:divBdr>
              <w:divsChild>
                <w:div w:id="2014138039">
                  <w:marLeft w:val="0"/>
                  <w:marRight w:val="0"/>
                  <w:marTop w:val="0"/>
                  <w:marBottom w:val="0"/>
                  <w:divBdr>
                    <w:top w:val="none" w:sz="0" w:space="0" w:color="auto"/>
                    <w:left w:val="none" w:sz="0" w:space="0" w:color="auto"/>
                    <w:bottom w:val="none" w:sz="0" w:space="0" w:color="auto"/>
                    <w:right w:val="none" w:sz="0" w:space="0" w:color="auto"/>
                  </w:divBdr>
                  <w:divsChild>
                    <w:div w:id="26701082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71617845">
      <w:bodyDiv w:val="1"/>
      <w:marLeft w:val="0"/>
      <w:marRight w:val="0"/>
      <w:marTop w:val="0"/>
      <w:marBottom w:val="0"/>
      <w:divBdr>
        <w:top w:val="none" w:sz="0" w:space="0" w:color="auto"/>
        <w:left w:val="none" w:sz="0" w:space="0" w:color="auto"/>
        <w:bottom w:val="none" w:sz="0" w:space="0" w:color="auto"/>
        <w:right w:val="none" w:sz="0" w:space="0" w:color="auto"/>
      </w:divBdr>
    </w:div>
    <w:div w:id="627050112">
      <w:bodyDiv w:val="1"/>
      <w:marLeft w:val="0"/>
      <w:marRight w:val="0"/>
      <w:marTop w:val="0"/>
      <w:marBottom w:val="0"/>
      <w:divBdr>
        <w:top w:val="none" w:sz="0" w:space="0" w:color="auto"/>
        <w:left w:val="none" w:sz="0" w:space="0" w:color="auto"/>
        <w:bottom w:val="none" w:sz="0" w:space="0" w:color="auto"/>
        <w:right w:val="none" w:sz="0" w:space="0" w:color="auto"/>
      </w:divBdr>
    </w:div>
    <w:div w:id="642538470">
      <w:bodyDiv w:val="1"/>
      <w:marLeft w:val="0"/>
      <w:marRight w:val="0"/>
      <w:marTop w:val="0"/>
      <w:marBottom w:val="0"/>
      <w:divBdr>
        <w:top w:val="none" w:sz="0" w:space="0" w:color="auto"/>
        <w:left w:val="none" w:sz="0" w:space="0" w:color="auto"/>
        <w:bottom w:val="none" w:sz="0" w:space="0" w:color="auto"/>
        <w:right w:val="none" w:sz="0" w:space="0" w:color="auto"/>
      </w:divBdr>
    </w:div>
    <w:div w:id="920984604">
      <w:bodyDiv w:val="1"/>
      <w:marLeft w:val="0"/>
      <w:marRight w:val="0"/>
      <w:marTop w:val="0"/>
      <w:marBottom w:val="0"/>
      <w:divBdr>
        <w:top w:val="none" w:sz="0" w:space="0" w:color="auto"/>
        <w:left w:val="none" w:sz="0" w:space="0" w:color="auto"/>
        <w:bottom w:val="none" w:sz="0" w:space="0" w:color="auto"/>
        <w:right w:val="none" w:sz="0" w:space="0" w:color="auto"/>
      </w:divBdr>
    </w:div>
    <w:div w:id="995691564">
      <w:bodyDiv w:val="1"/>
      <w:marLeft w:val="0"/>
      <w:marRight w:val="0"/>
      <w:marTop w:val="0"/>
      <w:marBottom w:val="0"/>
      <w:divBdr>
        <w:top w:val="none" w:sz="0" w:space="0" w:color="auto"/>
        <w:left w:val="none" w:sz="0" w:space="0" w:color="auto"/>
        <w:bottom w:val="none" w:sz="0" w:space="0" w:color="auto"/>
        <w:right w:val="none" w:sz="0" w:space="0" w:color="auto"/>
      </w:divBdr>
      <w:divsChild>
        <w:div w:id="467093956">
          <w:marLeft w:val="0"/>
          <w:marRight w:val="0"/>
          <w:marTop w:val="0"/>
          <w:marBottom w:val="0"/>
          <w:divBdr>
            <w:top w:val="none" w:sz="0" w:space="0" w:color="auto"/>
            <w:left w:val="none" w:sz="0" w:space="0" w:color="auto"/>
            <w:bottom w:val="none" w:sz="0" w:space="0" w:color="auto"/>
            <w:right w:val="none" w:sz="0" w:space="0" w:color="auto"/>
          </w:divBdr>
        </w:div>
      </w:divsChild>
    </w:div>
    <w:div w:id="1080836522">
      <w:bodyDiv w:val="1"/>
      <w:marLeft w:val="0"/>
      <w:marRight w:val="0"/>
      <w:marTop w:val="0"/>
      <w:marBottom w:val="0"/>
      <w:divBdr>
        <w:top w:val="none" w:sz="0" w:space="0" w:color="auto"/>
        <w:left w:val="none" w:sz="0" w:space="0" w:color="auto"/>
        <w:bottom w:val="none" w:sz="0" w:space="0" w:color="auto"/>
        <w:right w:val="none" w:sz="0" w:space="0" w:color="auto"/>
      </w:divBdr>
    </w:div>
    <w:div w:id="1099720216">
      <w:bodyDiv w:val="1"/>
      <w:marLeft w:val="0"/>
      <w:marRight w:val="0"/>
      <w:marTop w:val="0"/>
      <w:marBottom w:val="0"/>
      <w:divBdr>
        <w:top w:val="none" w:sz="0" w:space="0" w:color="auto"/>
        <w:left w:val="none" w:sz="0" w:space="0" w:color="auto"/>
        <w:bottom w:val="none" w:sz="0" w:space="0" w:color="auto"/>
        <w:right w:val="none" w:sz="0" w:space="0" w:color="auto"/>
      </w:divBdr>
    </w:div>
    <w:div w:id="1356351262">
      <w:bodyDiv w:val="1"/>
      <w:marLeft w:val="0"/>
      <w:marRight w:val="0"/>
      <w:marTop w:val="0"/>
      <w:marBottom w:val="0"/>
      <w:divBdr>
        <w:top w:val="none" w:sz="0" w:space="0" w:color="auto"/>
        <w:left w:val="none" w:sz="0" w:space="0" w:color="auto"/>
        <w:bottom w:val="none" w:sz="0" w:space="0" w:color="auto"/>
        <w:right w:val="none" w:sz="0" w:space="0" w:color="auto"/>
      </w:divBdr>
      <w:divsChild>
        <w:div w:id="658192427">
          <w:marLeft w:val="0"/>
          <w:marRight w:val="0"/>
          <w:marTop w:val="0"/>
          <w:marBottom w:val="0"/>
          <w:divBdr>
            <w:top w:val="none" w:sz="0" w:space="0" w:color="auto"/>
            <w:left w:val="none" w:sz="0" w:space="0" w:color="auto"/>
            <w:bottom w:val="none" w:sz="0" w:space="0" w:color="auto"/>
            <w:right w:val="none" w:sz="0" w:space="0" w:color="auto"/>
          </w:divBdr>
          <w:divsChild>
            <w:div w:id="682825243">
              <w:marLeft w:val="0"/>
              <w:marRight w:val="0"/>
              <w:marTop w:val="0"/>
              <w:marBottom w:val="0"/>
              <w:divBdr>
                <w:top w:val="none" w:sz="0" w:space="0" w:color="auto"/>
                <w:left w:val="none" w:sz="0" w:space="0" w:color="auto"/>
                <w:bottom w:val="none" w:sz="0" w:space="0" w:color="auto"/>
                <w:right w:val="none" w:sz="0" w:space="0" w:color="auto"/>
              </w:divBdr>
              <w:divsChild>
                <w:div w:id="1844661895">
                  <w:marLeft w:val="480"/>
                  <w:marRight w:val="0"/>
                  <w:marTop w:val="0"/>
                  <w:marBottom w:val="0"/>
                  <w:divBdr>
                    <w:top w:val="none" w:sz="0" w:space="0" w:color="auto"/>
                    <w:left w:val="none" w:sz="0" w:space="0" w:color="auto"/>
                    <w:bottom w:val="none" w:sz="0" w:space="0" w:color="auto"/>
                    <w:right w:val="none" w:sz="0" w:space="0" w:color="auto"/>
                  </w:divBdr>
                  <w:divsChild>
                    <w:div w:id="44146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985937">
      <w:bodyDiv w:val="1"/>
      <w:marLeft w:val="0"/>
      <w:marRight w:val="0"/>
      <w:marTop w:val="0"/>
      <w:marBottom w:val="0"/>
      <w:divBdr>
        <w:top w:val="none" w:sz="0" w:space="0" w:color="auto"/>
        <w:left w:val="none" w:sz="0" w:space="0" w:color="auto"/>
        <w:bottom w:val="none" w:sz="0" w:space="0" w:color="auto"/>
        <w:right w:val="none" w:sz="0" w:space="0" w:color="auto"/>
      </w:divBdr>
      <w:divsChild>
        <w:div w:id="1063679177">
          <w:marLeft w:val="0"/>
          <w:marRight w:val="0"/>
          <w:marTop w:val="0"/>
          <w:marBottom w:val="0"/>
          <w:divBdr>
            <w:top w:val="none" w:sz="0" w:space="0" w:color="auto"/>
            <w:left w:val="none" w:sz="0" w:space="0" w:color="auto"/>
            <w:bottom w:val="none" w:sz="0" w:space="0" w:color="auto"/>
            <w:right w:val="none" w:sz="0" w:space="0" w:color="auto"/>
          </w:divBdr>
          <w:divsChild>
            <w:div w:id="758527829">
              <w:marLeft w:val="0"/>
              <w:marRight w:val="0"/>
              <w:marTop w:val="0"/>
              <w:marBottom w:val="0"/>
              <w:divBdr>
                <w:top w:val="none" w:sz="0" w:space="0" w:color="auto"/>
                <w:left w:val="none" w:sz="0" w:space="0" w:color="auto"/>
                <w:bottom w:val="none" w:sz="0" w:space="0" w:color="auto"/>
                <w:right w:val="none" w:sz="0" w:space="0" w:color="auto"/>
              </w:divBdr>
              <w:divsChild>
                <w:div w:id="2086801967">
                  <w:marLeft w:val="0"/>
                  <w:marRight w:val="0"/>
                  <w:marTop w:val="0"/>
                  <w:marBottom w:val="0"/>
                  <w:divBdr>
                    <w:top w:val="none" w:sz="0" w:space="0" w:color="auto"/>
                    <w:left w:val="none" w:sz="0" w:space="0" w:color="auto"/>
                    <w:bottom w:val="none" w:sz="0" w:space="0" w:color="auto"/>
                    <w:right w:val="none" w:sz="0" w:space="0" w:color="auto"/>
                  </w:divBdr>
                  <w:divsChild>
                    <w:div w:id="86298519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88704866">
      <w:bodyDiv w:val="1"/>
      <w:marLeft w:val="0"/>
      <w:marRight w:val="0"/>
      <w:marTop w:val="0"/>
      <w:marBottom w:val="0"/>
      <w:divBdr>
        <w:top w:val="none" w:sz="0" w:space="0" w:color="auto"/>
        <w:left w:val="none" w:sz="0" w:space="0" w:color="auto"/>
        <w:bottom w:val="none" w:sz="0" w:space="0" w:color="auto"/>
        <w:right w:val="none" w:sz="0" w:space="0" w:color="auto"/>
      </w:divBdr>
      <w:divsChild>
        <w:div w:id="1293827282">
          <w:marLeft w:val="0"/>
          <w:marRight w:val="0"/>
          <w:marTop w:val="0"/>
          <w:marBottom w:val="0"/>
          <w:divBdr>
            <w:top w:val="none" w:sz="0" w:space="0" w:color="auto"/>
            <w:left w:val="none" w:sz="0" w:space="0" w:color="auto"/>
            <w:bottom w:val="none" w:sz="0" w:space="0" w:color="auto"/>
            <w:right w:val="none" w:sz="0" w:space="0" w:color="auto"/>
          </w:divBdr>
        </w:div>
      </w:divsChild>
    </w:div>
    <w:div w:id="2110394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hyperlink" Target="https://www.cipd.org/uk/views-and-insights/cipd-viewpoint/people-analytics/" TargetMode="External"/><Relationship Id="rId3" Type="http://schemas.openxmlformats.org/officeDocument/2006/relationships/customXml" Target="../customXml/item3.xml"/><Relationship Id="rId21" Type="http://schemas.openxmlformats.org/officeDocument/2006/relationships/hyperlink" Target="https://professional.dce.harvard.edu/blog/lgbtq-leadership-how-to-honor-your-identity-in-the-workplace/" TargetMode="Externa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www.cipd.org/uk/knowledge/factsheets/well-being-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org/uk/views-and-insights/cipd-viewpoint/race-inclusion-in-the-workplace/" TargetMode="External"/><Relationship Id="rId20" Type="http://schemas.openxmlformats.org/officeDocument/2006/relationships/hyperlink" Target="https://www.cipd.co.uk/knowledge/fundamentals/people/performance/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cpdonline.co.uk/knowledege-base/business/pestle-analysis/" TargetMode="External"/><Relationship Id="rId10" Type="http://schemas.openxmlformats.org/officeDocument/2006/relationships/chart" Target="charts/chart1.xml"/><Relationship Id="rId19" Type="http://schemas.openxmlformats.org/officeDocument/2006/relationships/hyperlink" Target="https://www.statista.com/topics/3850/wages-and-salaries-in-the-uk/"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hyperlink" Target="https://www.personneltoday.com/hr/how-can-hr-prove-it-really-adds-valu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chloe.gardner\Documents\CIPD%20Level%205\Assignment%20Section%202\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hloe.gardner\AppData\Local\Temp\MicrosoftEdgeDownloads\0d28f4ea-a236-4794-9cf5-53d83630f37d\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hloe.gardner\AppData\Local\Temp\MicrosoftEdgeDownloads\0d28f4ea-a236-4794-9cf5-53d83630f37d\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pivotSource>
    <c:name>[Worksheet table 1 Evidence Based Practice 2023.xlsx]Suggestion1!PivotTable1</c:name>
    <c:fmtId val="-1"/>
  </c:pivotSource>
  <c:chart>
    <c:title>
      <c:tx>
        <c:rich>
          <a:bodyPr rot="0" spcFirstLastPara="1" vertOverflow="ellipsis" vert="horz" wrap="square" anchor="ctr" anchorCtr="1"/>
          <a:lstStyle/>
          <a:p>
            <a:pPr>
              <a:defRPr sz="1400" b="0" i="0" u="none" strike="noStrike" kern="1200" spc="0" baseline="0">
                <a:solidFill>
                  <a:schemeClr val="tx2"/>
                </a:solidFill>
                <a:latin typeface="+mn-lt"/>
                <a:ea typeface="+mn-ea"/>
                <a:cs typeface="+mn-cs"/>
              </a:defRPr>
            </a:pPr>
            <a:r>
              <a:rPr lang="en-US"/>
              <a:t>Percentage of each gender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2"/>
              </a:solidFill>
              <a:latin typeface="+mn-lt"/>
              <a:ea typeface="+mn-ea"/>
              <a:cs typeface="+mn-cs"/>
            </a:defRPr>
          </a:pPr>
          <a:endParaRPr lang="en-US"/>
        </a:p>
      </c:txPr>
    </c:title>
    <c:autoTitleDeleted val="0"/>
    <c:pivotFmts>
      <c:pivotFmt>
        <c:idx val="0"/>
        <c:spPr>
          <a:solidFill>
            <a:schemeClr val="accent3"/>
          </a:solidFill>
          <a:ln w="19050">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3"/>
          </a:solidFill>
          <a:ln w="19050">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3">
              <a:shade val="65000"/>
            </a:schemeClr>
          </a:solidFill>
          <a:ln w="19050">
            <a:noFill/>
          </a:ln>
          <a:effectLst/>
        </c:spPr>
      </c:pivotFmt>
      <c:pivotFmt>
        <c:idx val="3"/>
        <c:spPr>
          <a:solidFill>
            <a:schemeClr val="accent3"/>
          </a:solidFill>
          <a:ln w="19050">
            <a:noFill/>
          </a:ln>
          <a:effectLst/>
        </c:spPr>
      </c:pivotFmt>
      <c:pivotFmt>
        <c:idx val="4"/>
        <c:spPr>
          <a:solidFill>
            <a:schemeClr val="accent3">
              <a:tint val="65000"/>
            </a:schemeClr>
          </a:solidFill>
          <a:ln w="19050">
            <a:noFill/>
          </a:ln>
          <a:effectLst/>
        </c:spPr>
      </c:pivotFmt>
      <c:pivotFmt>
        <c:idx val="5"/>
        <c:spPr>
          <a:solidFill>
            <a:schemeClr val="accent3"/>
          </a:solidFill>
          <a:ln w="19050">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3">
              <a:shade val="65000"/>
            </a:schemeClr>
          </a:solidFill>
          <a:ln w="19050">
            <a:noFill/>
          </a:ln>
          <a:effectLst/>
        </c:spPr>
      </c:pivotFmt>
      <c:pivotFmt>
        <c:idx val="7"/>
        <c:spPr>
          <a:solidFill>
            <a:schemeClr val="accent3"/>
          </a:solidFill>
          <a:ln w="19050">
            <a:noFill/>
          </a:ln>
          <a:effectLst/>
        </c:spPr>
      </c:pivotFmt>
      <c:pivotFmt>
        <c:idx val="8"/>
        <c:spPr>
          <a:solidFill>
            <a:schemeClr val="accent3">
              <a:tint val="65000"/>
            </a:schemeClr>
          </a:solidFill>
          <a:ln w="19050">
            <a:noFill/>
          </a:ln>
          <a:effectLst/>
        </c:spPr>
      </c:pivotFmt>
    </c:pivotFmts>
    <c:plotArea>
      <c:layout/>
      <c:pieChart>
        <c:varyColors val="1"/>
        <c:ser>
          <c:idx val="0"/>
          <c:order val="0"/>
          <c:tx>
            <c:strRef>
              <c:f>Suggestion1!$D$4</c:f>
              <c:strCache>
                <c:ptCount val="1"/>
                <c:pt idx="0">
                  <c:v>Total</c:v>
                </c:pt>
              </c:strCache>
            </c:strRef>
          </c:tx>
          <c:dPt>
            <c:idx val="0"/>
            <c:bubble3D val="0"/>
            <c:spPr>
              <a:solidFill>
                <a:schemeClr val="accent3">
                  <a:shade val="65000"/>
                </a:schemeClr>
              </a:solidFill>
              <a:ln w="19050">
                <a:solidFill>
                  <a:schemeClr val="lt1"/>
                </a:solidFill>
              </a:ln>
              <a:effectLst/>
            </c:spPr>
            <c:extLst>
              <c:ext xmlns:c16="http://schemas.microsoft.com/office/drawing/2014/chart" uri="{C3380CC4-5D6E-409C-BE32-E72D297353CC}">
                <c16:uniqueId val="{00000001-FC1B-4994-9A4B-6C9A332E7161}"/>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FC1B-4994-9A4B-6C9A332E7161}"/>
              </c:ext>
            </c:extLst>
          </c:dPt>
          <c:dPt>
            <c:idx val="2"/>
            <c:bubble3D val="0"/>
            <c:spPr>
              <a:solidFill>
                <a:schemeClr val="accent3">
                  <a:tint val="65000"/>
                </a:schemeClr>
              </a:solidFill>
              <a:ln w="19050">
                <a:solidFill>
                  <a:schemeClr val="lt1"/>
                </a:solidFill>
              </a:ln>
              <a:effectLst/>
            </c:spPr>
            <c:extLst>
              <c:ext xmlns:c16="http://schemas.microsoft.com/office/drawing/2014/chart" uri="{C3380CC4-5D6E-409C-BE32-E72D297353CC}">
                <c16:uniqueId val="{00000005-FC1B-4994-9A4B-6C9A332E7161}"/>
              </c:ext>
            </c:extLst>
          </c:dPt>
          <c:dLbls>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Suggestion1!$C$5:$C$8</c:f>
              <c:strCache>
                <c:ptCount val="3"/>
                <c:pt idx="0">
                  <c:v>Male</c:v>
                </c:pt>
                <c:pt idx="1">
                  <c:v>Female</c:v>
                </c:pt>
                <c:pt idx="2">
                  <c:v>Non-binary</c:v>
                </c:pt>
              </c:strCache>
            </c:strRef>
          </c:cat>
          <c:val>
            <c:numRef>
              <c:f>Suggestion1!$D$5:$D$8</c:f>
              <c:numCache>
                <c:formatCode>0.00%</c:formatCode>
                <c:ptCount val="3"/>
                <c:pt idx="0">
                  <c:v>0.53846153846153844</c:v>
                </c:pt>
                <c:pt idx="1">
                  <c:v>0.45384615384615384</c:v>
                </c:pt>
                <c:pt idx="2">
                  <c:v>7.6923076923076927E-3</c:v>
                </c:pt>
              </c:numCache>
            </c:numRef>
          </c:val>
          <c:extLst>
            <c:ext xmlns:c16="http://schemas.microsoft.com/office/drawing/2014/chart" uri="{C3380CC4-5D6E-409C-BE32-E72D297353CC}">
              <c16:uniqueId val="{00000006-FC1B-4994-9A4B-6C9A332E7161}"/>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2"/>
          </a:solidFill>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 percentage as an organisational whole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3">
                  <a:shade val="76000"/>
                </a:schemeClr>
              </a:solidFill>
              <a:ln w="19050">
                <a:solidFill>
                  <a:schemeClr val="lt1"/>
                </a:solidFill>
              </a:ln>
              <a:effectLst/>
            </c:spPr>
            <c:extLst>
              <c:ext xmlns:c16="http://schemas.microsoft.com/office/drawing/2014/chart" uri="{C3380CC4-5D6E-409C-BE32-E72D297353CC}">
                <c16:uniqueId val="{00000001-6231-46B4-AE87-A90508BF5FC0}"/>
              </c:ext>
            </c:extLst>
          </c:dPt>
          <c:dPt>
            <c:idx val="1"/>
            <c:bubble3D val="0"/>
            <c:spPr>
              <a:solidFill>
                <a:schemeClr val="accent3">
                  <a:tint val="77000"/>
                </a:schemeClr>
              </a:solidFill>
              <a:ln w="19050">
                <a:solidFill>
                  <a:schemeClr val="lt1"/>
                </a:solidFill>
              </a:ln>
              <a:effectLst/>
            </c:spPr>
            <c:extLst>
              <c:ext xmlns:c16="http://schemas.microsoft.com/office/drawing/2014/chart" uri="{C3380CC4-5D6E-409C-BE32-E72D297353CC}">
                <c16:uniqueId val="{00000003-6231-46B4-AE87-A90508BF5FC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'Fictional general employee data'!$K$4:$L$4</c:f>
              <c:strCache>
                <c:ptCount val="2"/>
                <c:pt idx="0">
                  <c:v>Disabled</c:v>
                </c:pt>
                <c:pt idx="1">
                  <c:v>Not disabled</c:v>
                </c:pt>
              </c:strCache>
            </c:strRef>
          </c:cat>
          <c:val>
            <c:numRef>
              <c:f>'Fictional general employee data'!$K$5:$L$5</c:f>
              <c:numCache>
                <c:formatCode>0%</c:formatCode>
                <c:ptCount val="2"/>
                <c:pt idx="0">
                  <c:v>0.08</c:v>
                </c:pt>
                <c:pt idx="1">
                  <c:v>0.92</c:v>
                </c:pt>
              </c:numCache>
            </c:numRef>
          </c:val>
          <c:extLst>
            <c:ext xmlns:c16="http://schemas.microsoft.com/office/drawing/2014/chart" uri="{C3380CC4-5D6E-409C-BE32-E72D297353CC}">
              <c16:uniqueId val="{00000004-6231-46B4-AE87-A90508BF5FC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 percentage by teams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Suggestion1!$C$4</c:f>
              <c:strCache>
                <c:ptCount val="1"/>
                <c:pt idx="0">
                  <c:v>Disabled</c:v>
                </c:pt>
              </c:strCache>
            </c:strRef>
          </c:tx>
          <c:spPr>
            <a:solidFill>
              <a:schemeClr val="accent3">
                <a:shade val="76000"/>
              </a:schemeClr>
            </a:solidFill>
            <a:ln>
              <a:noFill/>
            </a:ln>
            <a:effectLst/>
          </c:spPr>
          <c:invertIfNegative val="0"/>
          <c:cat>
            <c:strRef>
              <c:f>Suggestion1!$B$5:$B$22</c:f>
              <c:strCache>
                <c:ptCount val="18"/>
                <c:pt idx="0">
                  <c:v>Property Team</c:v>
                </c:pt>
                <c:pt idx="1">
                  <c:v>Income Team</c:v>
                </c:pt>
                <c:pt idx="2">
                  <c:v>Housing</c:v>
                </c:pt>
                <c:pt idx="3">
                  <c:v>Customer Services</c:v>
                </c:pt>
                <c:pt idx="4">
                  <c:v>Green Spaces</c:v>
                </c:pt>
                <c:pt idx="5">
                  <c:v>People Services</c:v>
                </c:pt>
                <c:pt idx="6">
                  <c:v>Supported Housing</c:v>
                </c:pt>
                <c:pt idx="7">
                  <c:v>Tenancy Team</c:v>
                </c:pt>
                <c:pt idx="8">
                  <c:v>Finance</c:v>
                </c:pt>
                <c:pt idx="9">
                  <c:v>Lettings</c:v>
                </c:pt>
                <c:pt idx="10">
                  <c:v>Business Services</c:v>
                </c:pt>
                <c:pt idx="11">
                  <c:v>IT</c:v>
                </c:pt>
                <c:pt idx="12">
                  <c:v>Community Engagement and Partnerships</c:v>
                </c:pt>
                <c:pt idx="13">
                  <c:v>Directors</c:v>
                </c:pt>
                <c:pt idx="14">
                  <c:v>Regeneration</c:v>
                </c:pt>
                <c:pt idx="15">
                  <c:v>Marketing</c:v>
                </c:pt>
                <c:pt idx="16">
                  <c:v>Governance</c:v>
                </c:pt>
                <c:pt idx="17">
                  <c:v>Facilities</c:v>
                </c:pt>
              </c:strCache>
            </c:strRef>
          </c:cat>
          <c:val>
            <c:numRef>
              <c:f>Suggestion1!$C$5:$C$22</c:f>
              <c:numCache>
                <c:formatCode>General</c:formatCode>
                <c:ptCount val="18"/>
                <c:pt idx="0">
                  <c:v>5</c:v>
                </c:pt>
                <c:pt idx="1">
                  <c:v>1</c:v>
                </c:pt>
                <c:pt idx="2">
                  <c:v>2</c:v>
                </c:pt>
                <c:pt idx="3">
                  <c:v>3</c:v>
                </c:pt>
                <c:pt idx="4">
                  <c:v>1</c:v>
                </c:pt>
                <c:pt idx="5">
                  <c:v>2</c:v>
                </c:pt>
                <c:pt idx="6">
                  <c:v>0</c:v>
                </c:pt>
                <c:pt idx="7">
                  <c:v>1</c:v>
                </c:pt>
                <c:pt idx="8">
                  <c:v>2</c:v>
                </c:pt>
                <c:pt idx="9">
                  <c:v>1</c:v>
                </c:pt>
                <c:pt idx="10">
                  <c:v>0</c:v>
                </c:pt>
                <c:pt idx="11">
                  <c:v>2</c:v>
                </c:pt>
                <c:pt idx="12">
                  <c:v>1</c:v>
                </c:pt>
                <c:pt idx="13">
                  <c:v>0</c:v>
                </c:pt>
                <c:pt idx="14">
                  <c:v>0</c:v>
                </c:pt>
                <c:pt idx="15">
                  <c:v>0</c:v>
                </c:pt>
                <c:pt idx="16">
                  <c:v>0</c:v>
                </c:pt>
                <c:pt idx="17">
                  <c:v>0</c:v>
                </c:pt>
              </c:numCache>
            </c:numRef>
          </c:val>
          <c:extLst>
            <c:ext xmlns:c16="http://schemas.microsoft.com/office/drawing/2014/chart" uri="{C3380CC4-5D6E-409C-BE32-E72D297353CC}">
              <c16:uniqueId val="{00000000-7432-456E-B567-28F681C211C1}"/>
            </c:ext>
          </c:extLst>
        </c:ser>
        <c:ser>
          <c:idx val="1"/>
          <c:order val="1"/>
          <c:tx>
            <c:strRef>
              <c:f>Suggestion1!$D$4</c:f>
              <c:strCache>
                <c:ptCount val="1"/>
                <c:pt idx="0">
                  <c:v>Not disabled</c:v>
                </c:pt>
              </c:strCache>
            </c:strRef>
          </c:tx>
          <c:spPr>
            <a:solidFill>
              <a:schemeClr val="accent3">
                <a:tint val="77000"/>
              </a:schemeClr>
            </a:solidFill>
            <a:ln>
              <a:noFill/>
            </a:ln>
            <a:effectLst/>
          </c:spPr>
          <c:invertIfNegative val="0"/>
          <c:cat>
            <c:strRef>
              <c:f>Suggestion1!$B$5:$B$22</c:f>
              <c:strCache>
                <c:ptCount val="18"/>
                <c:pt idx="0">
                  <c:v>Property Team</c:v>
                </c:pt>
                <c:pt idx="1">
                  <c:v>Income Team</c:v>
                </c:pt>
                <c:pt idx="2">
                  <c:v>Housing</c:v>
                </c:pt>
                <c:pt idx="3">
                  <c:v>Customer Services</c:v>
                </c:pt>
                <c:pt idx="4">
                  <c:v>Green Spaces</c:v>
                </c:pt>
                <c:pt idx="5">
                  <c:v>People Services</c:v>
                </c:pt>
                <c:pt idx="6">
                  <c:v>Supported Housing</c:v>
                </c:pt>
                <c:pt idx="7">
                  <c:v>Tenancy Team</c:v>
                </c:pt>
                <c:pt idx="8">
                  <c:v>Finance</c:v>
                </c:pt>
                <c:pt idx="9">
                  <c:v>Lettings</c:v>
                </c:pt>
                <c:pt idx="10">
                  <c:v>Business Services</c:v>
                </c:pt>
                <c:pt idx="11">
                  <c:v>IT</c:v>
                </c:pt>
                <c:pt idx="12">
                  <c:v>Community Engagement and Partnerships</c:v>
                </c:pt>
                <c:pt idx="13">
                  <c:v>Directors</c:v>
                </c:pt>
                <c:pt idx="14">
                  <c:v>Regeneration</c:v>
                </c:pt>
                <c:pt idx="15">
                  <c:v>Marketing</c:v>
                </c:pt>
                <c:pt idx="16">
                  <c:v>Governance</c:v>
                </c:pt>
                <c:pt idx="17">
                  <c:v>Facilities</c:v>
                </c:pt>
              </c:strCache>
            </c:strRef>
          </c:cat>
          <c:val>
            <c:numRef>
              <c:f>Suggestion1!$D$5:$D$22</c:f>
              <c:numCache>
                <c:formatCode>General</c:formatCode>
                <c:ptCount val="18"/>
                <c:pt idx="0">
                  <c:v>94</c:v>
                </c:pt>
                <c:pt idx="1">
                  <c:v>18</c:v>
                </c:pt>
                <c:pt idx="2">
                  <c:v>16</c:v>
                </c:pt>
                <c:pt idx="3">
                  <c:v>12</c:v>
                </c:pt>
                <c:pt idx="4">
                  <c:v>11</c:v>
                </c:pt>
                <c:pt idx="5">
                  <c:v>9</c:v>
                </c:pt>
                <c:pt idx="6">
                  <c:v>11</c:v>
                </c:pt>
                <c:pt idx="7">
                  <c:v>10</c:v>
                </c:pt>
                <c:pt idx="8">
                  <c:v>8</c:v>
                </c:pt>
                <c:pt idx="9">
                  <c:v>9</c:v>
                </c:pt>
                <c:pt idx="10">
                  <c:v>9</c:v>
                </c:pt>
                <c:pt idx="11">
                  <c:v>7</c:v>
                </c:pt>
                <c:pt idx="12">
                  <c:v>6</c:v>
                </c:pt>
                <c:pt idx="13">
                  <c:v>5</c:v>
                </c:pt>
                <c:pt idx="14">
                  <c:v>5</c:v>
                </c:pt>
                <c:pt idx="15">
                  <c:v>4</c:v>
                </c:pt>
                <c:pt idx="16">
                  <c:v>3</c:v>
                </c:pt>
                <c:pt idx="17">
                  <c:v>2</c:v>
                </c:pt>
              </c:numCache>
            </c:numRef>
          </c:val>
          <c:extLst>
            <c:ext xmlns:c16="http://schemas.microsoft.com/office/drawing/2014/chart" uri="{C3380CC4-5D6E-409C-BE32-E72D297353CC}">
              <c16:uniqueId val="{00000001-7432-456E-B567-28F681C211C1}"/>
            </c:ext>
          </c:extLst>
        </c:ser>
        <c:dLbls>
          <c:showLegendKey val="0"/>
          <c:showVal val="0"/>
          <c:showCatName val="0"/>
          <c:showSerName val="0"/>
          <c:showPercent val="0"/>
          <c:showBubbleSize val="0"/>
        </c:dLbls>
        <c:gapWidth val="150"/>
        <c:overlap val="100"/>
        <c:axId val="1428321792"/>
        <c:axId val="1428321312"/>
      </c:barChart>
      <c:catAx>
        <c:axId val="1428321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8321312"/>
        <c:crosses val="autoZero"/>
        <c:auto val="1"/>
        <c:lblAlgn val="ctr"/>
        <c:lblOffset val="100"/>
        <c:noMultiLvlLbl val="0"/>
      </c:catAx>
      <c:valAx>
        <c:axId val="14283213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8321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colors2.xml><?xml version="1.0" encoding="utf-8"?>
<cs:colorStyle xmlns:cs="http://schemas.microsoft.com/office/drawing/2012/chartStyle" xmlns:a="http://schemas.openxmlformats.org/drawingml/2006/main" meth="withinLinear" id="16">
  <a:schemeClr val="accent3"/>
</cs:colorStyle>
</file>

<file path=word/charts/colors3.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5" ma:contentTypeDescription="Create a new document." ma:contentTypeScope="" ma:versionID="fd4659e417b1bb82e842a44af535d2c2">
  <xsd:schema xmlns:xsd="http://www.w3.org/2001/XMLSchema" xmlns:xs="http://www.w3.org/2001/XMLSchema" xmlns:p="http://schemas.microsoft.com/office/2006/metadata/properties" xmlns:ns3="6642d537-5170-4cd9-a3f2-9ec198ee3eac" targetNamespace="http://schemas.microsoft.com/office/2006/metadata/properties" ma:root="true" ma:fieldsID="aa1c54137aee9a4daec0d1cdf46ef6ff"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BE5CBE8-060F-46EA-8B9E-7ACE538EE174}">
  <ds:schemaRefs>
    <ds:schemaRef ds:uri="http://schemas.openxmlformats.org/officeDocument/2006/bibliography"/>
  </ds:schemaRefs>
</ds:datastoreItem>
</file>

<file path=customXml/itemProps2.xml><?xml version="1.0" encoding="utf-8"?>
<ds:datastoreItem xmlns:ds="http://schemas.openxmlformats.org/officeDocument/2006/customXml" ds:itemID="{740B4B69-0D33-4632-BBA0-EDE0CF8A3B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66A989-0C1F-4536-8462-3F3E68F95915}">
  <ds:schemaRefs>
    <ds:schemaRef ds:uri="http://schemas.microsoft.com/sharepoint/v3/contenttype/forms"/>
  </ds:schemaRefs>
</ds:datastoreItem>
</file>

<file path=customXml/itemProps4.xml><?xml version="1.0" encoding="utf-8"?>
<ds:datastoreItem xmlns:ds="http://schemas.openxmlformats.org/officeDocument/2006/customXml" ds:itemID="{18384258-BB0A-46EC-8E45-4A30474DF25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6012</Words>
  <Characters>34271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Gardner</dc:creator>
  <cp:keywords/>
  <dc:description/>
  <cp:lastModifiedBy>Chloe Gardner</cp:lastModifiedBy>
  <cp:revision>4</cp:revision>
  <dcterms:created xsi:type="dcterms:W3CDTF">2024-06-13T14:09:00Z</dcterms:created>
  <dcterms:modified xsi:type="dcterms:W3CDTF">2024-06-13T14:38:00Z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