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9F65A" w14:textId="77777777" w:rsidR="004243AA" w:rsidRDefault="00000000">
      <w:pPr>
        <w:pStyle w:val="Title"/>
        <w:jc w:val="center"/>
      </w:pPr>
      <w:r>
        <w:t>Case Study 2: Len's Unintentional Overdose of Morphine Sulfate Oral Solution</w:t>
      </w:r>
    </w:p>
    <w:p w14:paraId="10ECCCE4" w14:textId="77777777" w:rsidR="004243AA" w:rsidRPr="00D80E3C" w:rsidRDefault="00000000" w:rsidP="00D80E3C">
      <w:pPr>
        <w:jc w:val="center"/>
        <w:rPr>
          <w:b/>
          <w:bCs/>
          <w:color w:val="000000" w:themeColor="text1"/>
          <w:sz w:val="28"/>
          <w:szCs w:val="28"/>
        </w:rPr>
      </w:pPr>
      <w:r w:rsidRPr="00D80E3C">
        <w:rPr>
          <w:b/>
          <w:bCs/>
          <w:color w:val="000000" w:themeColor="text1"/>
          <w:sz w:val="28"/>
          <w:szCs w:val="28"/>
        </w:rPr>
        <w:t>Case Study Analysis Report</w:t>
      </w:r>
    </w:p>
    <w:p w14:paraId="677CF369" w14:textId="77777777" w:rsidR="004243AA" w:rsidRDefault="004243AA">
      <w:pPr>
        <w:jc w:val="center"/>
      </w:pPr>
    </w:p>
    <w:tbl>
      <w:tblPr>
        <w:tblStyle w:val="TableGrid"/>
        <w:tblW w:w="0" w:type="auto"/>
        <w:jc w:val="center"/>
        <w:tblLook w:val="04A0" w:firstRow="1" w:lastRow="0" w:firstColumn="1" w:lastColumn="0" w:noHBand="0" w:noVBand="1"/>
      </w:tblPr>
      <w:tblGrid>
        <w:gridCol w:w="3088"/>
        <w:gridCol w:w="6262"/>
      </w:tblGrid>
      <w:tr w:rsidR="004243AA" w:rsidRPr="00CB3828" w14:paraId="46083C78" w14:textId="77777777" w:rsidTr="00CB3828">
        <w:trPr>
          <w:jc w:val="center"/>
        </w:trPr>
        <w:tc>
          <w:tcPr>
            <w:tcW w:w="3088" w:type="dxa"/>
          </w:tcPr>
          <w:p w14:paraId="3F92DFE8" w14:textId="77777777" w:rsidR="004243AA" w:rsidRPr="00CB3828" w:rsidRDefault="00000000" w:rsidP="00CB3828">
            <w:pPr>
              <w:spacing w:after="40"/>
              <w:rPr>
                <w:sz w:val="28"/>
                <w:szCs w:val="28"/>
              </w:rPr>
            </w:pPr>
            <w:r w:rsidRPr="00CB3828">
              <w:rPr>
                <w:b/>
                <w:sz w:val="28"/>
                <w:szCs w:val="28"/>
              </w:rPr>
              <w:t>Student name</w:t>
            </w:r>
          </w:p>
        </w:tc>
        <w:tc>
          <w:tcPr>
            <w:tcW w:w="6262" w:type="dxa"/>
          </w:tcPr>
          <w:p w14:paraId="00A49C2E" w14:textId="77777777" w:rsidR="004243AA" w:rsidRPr="00CB3828" w:rsidRDefault="00373AF6" w:rsidP="00CB3828">
            <w:pPr>
              <w:spacing w:after="40"/>
              <w:rPr>
                <w:sz w:val="28"/>
                <w:szCs w:val="28"/>
              </w:rPr>
            </w:pPr>
            <w:r w:rsidRPr="00CB3828">
              <w:rPr>
                <w:rFonts w:eastAsia="MS Mincho"/>
                <w:sz w:val="28"/>
                <w:szCs w:val="28"/>
              </w:rPr>
              <w:t>Ashraf Ullah</w:t>
            </w:r>
          </w:p>
        </w:tc>
      </w:tr>
      <w:tr w:rsidR="004243AA" w:rsidRPr="00CB3828" w14:paraId="4B2F97DE" w14:textId="77777777" w:rsidTr="00CB3828">
        <w:trPr>
          <w:jc w:val="center"/>
        </w:trPr>
        <w:tc>
          <w:tcPr>
            <w:tcW w:w="3088" w:type="dxa"/>
          </w:tcPr>
          <w:p w14:paraId="4504A46E" w14:textId="77777777" w:rsidR="004243AA" w:rsidRPr="00CB3828" w:rsidRDefault="00000000" w:rsidP="00CB3828">
            <w:pPr>
              <w:spacing w:after="40"/>
              <w:rPr>
                <w:sz w:val="28"/>
                <w:szCs w:val="28"/>
              </w:rPr>
            </w:pPr>
            <w:r w:rsidRPr="00CB3828">
              <w:rPr>
                <w:sz w:val="28"/>
                <w:szCs w:val="28"/>
              </w:rPr>
              <w:t>Student ID number</w:t>
            </w:r>
          </w:p>
        </w:tc>
        <w:tc>
          <w:tcPr>
            <w:tcW w:w="6262" w:type="dxa"/>
          </w:tcPr>
          <w:p w14:paraId="5E24F749" w14:textId="77777777" w:rsidR="004243AA" w:rsidRPr="00CB3828" w:rsidRDefault="00373AF6" w:rsidP="00CB3828">
            <w:pPr>
              <w:spacing w:after="40"/>
              <w:rPr>
                <w:sz w:val="28"/>
                <w:szCs w:val="28"/>
              </w:rPr>
            </w:pPr>
            <w:r w:rsidRPr="00CB3828">
              <w:rPr>
                <w:rFonts w:eastAsia="MS Mincho"/>
                <w:sz w:val="28"/>
                <w:szCs w:val="28"/>
              </w:rPr>
              <w:t>2503813</w:t>
            </w:r>
          </w:p>
        </w:tc>
      </w:tr>
      <w:tr w:rsidR="004243AA" w:rsidRPr="00CB3828" w14:paraId="57C0187B" w14:textId="77777777" w:rsidTr="00CB3828">
        <w:trPr>
          <w:jc w:val="center"/>
        </w:trPr>
        <w:tc>
          <w:tcPr>
            <w:tcW w:w="3088" w:type="dxa"/>
          </w:tcPr>
          <w:p w14:paraId="7BE1EC26" w14:textId="77777777" w:rsidR="004243AA" w:rsidRPr="00CB3828" w:rsidRDefault="00000000" w:rsidP="00CB3828">
            <w:pPr>
              <w:spacing w:after="40"/>
              <w:rPr>
                <w:sz w:val="28"/>
                <w:szCs w:val="28"/>
              </w:rPr>
            </w:pPr>
            <w:r w:rsidRPr="00CB3828">
              <w:rPr>
                <w:sz w:val="28"/>
                <w:szCs w:val="28"/>
              </w:rPr>
              <w:t>Programme</w:t>
            </w:r>
          </w:p>
        </w:tc>
        <w:tc>
          <w:tcPr>
            <w:tcW w:w="6262" w:type="dxa"/>
          </w:tcPr>
          <w:p w14:paraId="252D591B" w14:textId="77777777" w:rsidR="004243AA" w:rsidRPr="00CB3828" w:rsidRDefault="00000000" w:rsidP="00CB3828">
            <w:pPr>
              <w:spacing w:after="40"/>
              <w:rPr>
                <w:sz w:val="28"/>
                <w:szCs w:val="28"/>
              </w:rPr>
            </w:pPr>
            <w:r w:rsidRPr="00CB3828">
              <w:rPr>
                <w:sz w:val="28"/>
                <w:szCs w:val="28"/>
              </w:rPr>
              <w:t>MSc Public Health and Social Care in Practice</w:t>
            </w:r>
          </w:p>
        </w:tc>
      </w:tr>
      <w:tr w:rsidR="004243AA" w:rsidRPr="00CB3828" w14:paraId="79A33474" w14:textId="77777777" w:rsidTr="00CB3828">
        <w:trPr>
          <w:jc w:val="center"/>
        </w:trPr>
        <w:tc>
          <w:tcPr>
            <w:tcW w:w="3088" w:type="dxa"/>
          </w:tcPr>
          <w:p w14:paraId="7F77FEF2" w14:textId="77777777" w:rsidR="004243AA" w:rsidRPr="00CB3828" w:rsidRDefault="00000000" w:rsidP="00CB3828">
            <w:pPr>
              <w:spacing w:after="40"/>
              <w:rPr>
                <w:sz w:val="28"/>
                <w:szCs w:val="28"/>
              </w:rPr>
            </w:pPr>
            <w:r w:rsidRPr="00CB3828">
              <w:rPr>
                <w:sz w:val="28"/>
                <w:szCs w:val="28"/>
              </w:rPr>
              <w:t>Module title</w:t>
            </w:r>
          </w:p>
        </w:tc>
        <w:tc>
          <w:tcPr>
            <w:tcW w:w="6262" w:type="dxa"/>
          </w:tcPr>
          <w:p w14:paraId="397C8911" w14:textId="77777777" w:rsidR="004243AA" w:rsidRPr="00CB3828" w:rsidRDefault="00000000" w:rsidP="00CB3828">
            <w:pPr>
              <w:spacing w:after="40"/>
              <w:rPr>
                <w:sz w:val="28"/>
                <w:szCs w:val="28"/>
              </w:rPr>
            </w:pPr>
            <w:r w:rsidRPr="00CB3828">
              <w:rPr>
                <w:sz w:val="28"/>
                <w:szCs w:val="28"/>
              </w:rPr>
              <w:t>Health Care System Organisation and Leadership</w:t>
            </w:r>
          </w:p>
        </w:tc>
      </w:tr>
      <w:tr w:rsidR="004243AA" w:rsidRPr="00CB3828" w14:paraId="73D3AC39" w14:textId="77777777" w:rsidTr="00CB3828">
        <w:trPr>
          <w:jc w:val="center"/>
        </w:trPr>
        <w:tc>
          <w:tcPr>
            <w:tcW w:w="3088" w:type="dxa"/>
          </w:tcPr>
          <w:p w14:paraId="052039D5" w14:textId="77777777" w:rsidR="004243AA" w:rsidRPr="00CB3828" w:rsidRDefault="00000000" w:rsidP="00CB3828">
            <w:pPr>
              <w:spacing w:after="40"/>
              <w:rPr>
                <w:sz w:val="28"/>
                <w:szCs w:val="28"/>
              </w:rPr>
            </w:pPr>
            <w:r w:rsidRPr="00CB3828">
              <w:rPr>
                <w:sz w:val="28"/>
                <w:szCs w:val="28"/>
              </w:rPr>
              <w:t>Module code</w:t>
            </w:r>
          </w:p>
        </w:tc>
        <w:tc>
          <w:tcPr>
            <w:tcW w:w="6262" w:type="dxa"/>
          </w:tcPr>
          <w:p w14:paraId="4057653D" w14:textId="77777777" w:rsidR="004243AA" w:rsidRPr="00CB3828" w:rsidRDefault="00000000" w:rsidP="00CB3828">
            <w:pPr>
              <w:spacing w:after="40"/>
              <w:rPr>
                <w:sz w:val="28"/>
                <w:szCs w:val="28"/>
              </w:rPr>
            </w:pPr>
            <w:r w:rsidRPr="00CB3828">
              <w:rPr>
                <w:sz w:val="28"/>
                <w:szCs w:val="28"/>
              </w:rPr>
              <w:t>LCHS7002</w:t>
            </w:r>
          </w:p>
        </w:tc>
      </w:tr>
      <w:tr w:rsidR="004243AA" w:rsidRPr="00CB3828" w14:paraId="3D02EEF8" w14:textId="77777777" w:rsidTr="00CB3828">
        <w:trPr>
          <w:jc w:val="center"/>
        </w:trPr>
        <w:tc>
          <w:tcPr>
            <w:tcW w:w="3088" w:type="dxa"/>
          </w:tcPr>
          <w:p w14:paraId="1A830976" w14:textId="77777777" w:rsidR="004243AA" w:rsidRPr="00CB3828" w:rsidRDefault="00000000" w:rsidP="00CB3828">
            <w:pPr>
              <w:spacing w:after="40"/>
              <w:rPr>
                <w:sz w:val="28"/>
                <w:szCs w:val="28"/>
              </w:rPr>
            </w:pPr>
            <w:r w:rsidRPr="00CB3828">
              <w:rPr>
                <w:sz w:val="28"/>
                <w:szCs w:val="28"/>
              </w:rPr>
              <w:t>Lecturer</w:t>
            </w:r>
          </w:p>
        </w:tc>
        <w:tc>
          <w:tcPr>
            <w:tcW w:w="6262" w:type="dxa"/>
          </w:tcPr>
          <w:p w14:paraId="300EA5FF" w14:textId="77777777" w:rsidR="004243AA" w:rsidRPr="00CB3828" w:rsidRDefault="00000000" w:rsidP="00CB3828">
            <w:pPr>
              <w:spacing w:after="40"/>
              <w:rPr>
                <w:sz w:val="28"/>
                <w:szCs w:val="28"/>
              </w:rPr>
            </w:pPr>
            <w:r w:rsidRPr="00CB3828">
              <w:rPr>
                <w:sz w:val="28"/>
                <w:szCs w:val="28"/>
              </w:rPr>
              <w:t>Dr Fahad Khan</w:t>
            </w:r>
          </w:p>
        </w:tc>
      </w:tr>
      <w:tr w:rsidR="004243AA" w:rsidRPr="00CB3828" w14:paraId="215030E7" w14:textId="77777777" w:rsidTr="00CB3828">
        <w:trPr>
          <w:jc w:val="center"/>
        </w:trPr>
        <w:tc>
          <w:tcPr>
            <w:tcW w:w="3088" w:type="dxa"/>
          </w:tcPr>
          <w:p w14:paraId="349676F0" w14:textId="77777777" w:rsidR="004243AA" w:rsidRPr="00CB3828" w:rsidRDefault="00000000" w:rsidP="00CB3828">
            <w:pPr>
              <w:spacing w:after="40"/>
              <w:rPr>
                <w:sz w:val="28"/>
                <w:szCs w:val="28"/>
              </w:rPr>
            </w:pPr>
            <w:r w:rsidRPr="00CB3828">
              <w:rPr>
                <w:sz w:val="28"/>
                <w:szCs w:val="28"/>
              </w:rPr>
              <w:t>Assignment title</w:t>
            </w:r>
          </w:p>
        </w:tc>
        <w:tc>
          <w:tcPr>
            <w:tcW w:w="6262" w:type="dxa"/>
          </w:tcPr>
          <w:p w14:paraId="0B5D9CAC" w14:textId="77777777" w:rsidR="004243AA" w:rsidRPr="00CB3828" w:rsidRDefault="00000000" w:rsidP="00CB3828">
            <w:pPr>
              <w:spacing w:after="40"/>
              <w:rPr>
                <w:sz w:val="28"/>
                <w:szCs w:val="28"/>
              </w:rPr>
            </w:pPr>
            <w:r w:rsidRPr="00CB3828">
              <w:rPr>
                <w:sz w:val="28"/>
                <w:szCs w:val="28"/>
              </w:rPr>
              <w:t>Case Study Analysis Report</w:t>
            </w:r>
          </w:p>
        </w:tc>
      </w:tr>
      <w:tr w:rsidR="004243AA" w:rsidRPr="00CB3828" w14:paraId="4DADE702" w14:textId="77777777" w:rsidTr="00CB3828">
        <w:trPr>
          <w:jc w:val="center"/>
        </w:trPr>
        <w:tc>
          <w:tcPr>
            <w:tcW w:w="3088" w:type="dxa"/>
          </w:tcPr>
          <w:p w14:paraId="1C70CD29" w14:textId="52804DBC" w:rsidR="004243AA" w:rsidRPr="00CB3828" w:rsidRDefault="00000000" w:rsidP="00CB3828">
            <w:pPr>
              <w:spacing w:after="40"/>
              <w:rPr>
                <w:sz w:val="28"/>
                <w:szCs w:val="28"/>
              </w:rPr>
            </w:pPr>
            <w:r w:rsidRPr="00CB3828">
              <w:rPr>
                <w:sz w:val="28"/>
                <w:szCs w:val="28"/>
              </w:rPr>
              <w:t>word count</w:t>
            </w:r>
          </w:p>
        </w:tc>
        <w:tc>
          <w:tcPr>
            <w:tcW w:w="6262" w:type="dxa"/>
          </w:tcPr>
          <w:p w14:paraId="2E7B5D0F" w14:textId="3177D09F" w:rsidR="00105F4C" w:rsidRPr="00CB3828" w:rsidRDefault="00000000" w:rsidP="00CB3828">
            <w:pPr>
              <w:rPr>
                <w:sz w:val="28"/>
                <w:szCs w:val="28"/>
              </w:rPr>
            </w:pPr>
            <w:r w:rsidRPr="00CB3828">
              <w:rPr>
                <w:sz w:val="28"/>
                <w:szCs w:val="28"/>
              </w:rPr>
              <w:t>5</w:t>
            </w:r>
            <w:r w:rsidR="00A61229" w:rsidRPr="00CB3828">
              <w:rPr>
                <w:sz w:val="28"/>
                <w:szCs w:val="28"/>
              </w:rPr>
              <w:t>370</w:t>
            </w:r>
          </w:p>
        </w:tc>
      </w:tr>
      <w:tr w:rsidR="00CB3828" w:rsidRPr="00CB3828" w14:paraId="17255899" w14:textId="77777777" w:rsidTr="00CB3828">
        <w:trPr>
          <w:jc w:val="center"/>
        </w:trPr>
        <w:tc>
          <w:tcPr>
            <w:tcW w:w="3088" w:type="dxa"/>
          </w:tcPr>
          <w:p w14:paraId="65D26F5E" w14:textId="1432B7D4" w:rsidR="00CB3828" w:rsidRPr="00CB3828" w:rsidRDefault="00CB3828" w:rsidP="00CB3828">
            <w:pPr>
              <w:spacing w:after="40"/>
              <w:rPr>
                <w:sz w:val="28"/>
                <w:szCs w:val="28"/>
              </w:rPr>
            </w:pPr>
            <w:r w:rsidRPr="00CB3828">
              <w:rPr>
                <w:sz w:val="28"/>
                <w:szCs w:val="28"/>
              </w:rPr>
              <w:t>Submission date</w:t>
            </w:r>
          </w:p>
        </w:tc>
        <w:tc>
          <w:tcPr>
            <w:tcW w:w="6262" w:type="dxa"/>
          </w:tcPr>
          <w:p w14:paraId="5507611C" w14:textId="6F8EAE36" w:rsidR="00CB3828" w:rsidRPr="00CB3828" w:rsidRDefault="00CB3828" w:rsidP="00CB3828">
            <w:pPr>
              <w:rPr>
                <w:sz w:val="28"/>
                <w:szCs w:val="28"/>
              </w:rPr>
            </w:pPr>
            <w:r w:rsidRPr="00CB3828">
              <w:rPr>
                <w:sz w:val="28"/>
                <w:szCs w:val="28"/>
              </w:rPr>
              <w:t>27</w:t>
            </w:r>
            <w:r w:rsidRPr="00CB3828">
              <w:rPr>
                <w:sz w:val="28"/>
                <w:szCs w:val="28"/>
                <w:vertAlign w:val="superscript"/>
              </w:rPr>
              <w:t>th</w:t>
            </w:r>
            <w:r w:rsidRPr="00CB3828">
              <w:rPr>
                <w:sz w:val="28"/>
                <w:szCs w:val="28"/>
              </w:rPr>
              <w:t xml:space="preserve"> July, 2026</w:t>
            </w:r>
          </w:p>
        </w:tc>
      </w:tr>
    </w:tbl>
    <w:p w14:paraId="23841A69" w14:textId="77777777" w:rsidR="004243AA" w:rsidRDefault="004243AA">
      <w:pPr>
        <w:jc w:val="center"/>
      </w:pPr>
    </w:p>
    <w:p w14:paraId="1DF5EA17" w14:textId="77777777" w:rsidR="004243AA" w:rsidRDefault="00000000">
      <w:r>
        <w:br w:type="page"/>
      </w:r>
    </w:p>
    <w:sdt>
      <w:sdtPr>
        <w:rPr>
          <w:rFonts w:ascii="Arial" w:eastAsia="Arial" w:hAnsi="Arial" w:cstheme="minorBidi"/>
          <w:b w:val="0"/>
          <w:bCs w:val="0"/>
          <w:color w:val="auto"/>
          <w:sz w:val="22"/>
          <w:szCs w:val="22"/>
        </w:rPr>
        <w:id w:val="1262648269"/>
        <w:docPartObj>
          <w:docPartGallery w:val="Table of Contents"/>
          <w:docPartUnique/>
        </w:docPartObj>
      </w:sdtPr>
      <w:sdtEndPr>
        <w:rPr>
          <w:noProof/>
        </w:rPr>
      </w:sdtEndPr>
      <w:sdtContent>
        <w:p w14:paraId="7E2233D1" w14:textId="77777777" w:rsidR="00C07877" w:rsidRDefault="00C07877">
          <w:pPr>
            <w:pStyle w:val="TOCHeading"/>
          </w:pPr>
          <w:r>
            <w:t>Table of Contents</w:t>
          </w:r>
        </w:p>
        <w:p w14:paraId="47E9245E" w14:textId="5185A57C" w:rsidR="00217414" w:rsidRDefault="00C07877">
          <w:pPr>
            <w:pStyle w:val="TOC1"/>
            <w:tabs>
              <w:tab w:val="right" w:leader="dot" w:pos="9350"/>
            </w:tabs>
            <w:rPr>
              <w:rFonts w:asciiTheme="minorHAnsi" w:eastAsiaTheme="minorEastAsia" w:hAnsiTheme="minorHAnsi"/>
              <w:noProof/>
              <w:kern w:val="2"/>
              <w:sz w:val="24"/>
              <w:szCs w:val="24"/>
              <w14:ligatures w14:val="standardContextual"/>
            </w:rPr>
          </w:pPr>
          <w:r>
            <w:fldChar w:fldCharType="begin"/>
          </w:r>
          <w:r>
            <w:instrText xml:space="preserve"> TOC \o "1-3" \h \z \u </w:instrText>
          </w:r>
          <w:r>
            <w:fldChar w:fldCharType="separate"/>
          </w:r>
          <w:hyperlink w:anchor="_Toc235987418" w:history="1">
            <w:r w:rsidR="00217414" w:rsidRPr="00B30B19">
              <w:rPr>
                <w:rStyle w:val="Hyperlink"/>
                <w:rFonts w:cs="Arial"/>
                <w:noProof/>
              </w:rPr>
              <w:t>Case Summary</w:t>
            </w:r>
            <w:r w:rsidR="00217414">
              <w:rPr>
                <w:noProof/>
                <w:webHidden/>
              </w:rPr>
              <w:tab/>
            </w:r>
            <w:r w:rsidR="00217414">
              <w:rPr>
                <w:noProof/>
                <w:webHidden/>
              </w:rPr>
              <w:fldChar w:fldCharType="begin"/>
            </w:r>
            <w:r w:rsidR="00217414">
              <w:rPr>
                <w:noProof/>
                <w:webHidden/>
              </w:rPr>
              <w:instrText xml:space="preserve"> PAGEREF _Toc235987418 \h </w:instrText>
            </w:r>
            <w:r w:rsidR="00217414">
              <w:rPr>
                <w:noProof/>
                <w:webHidden/>
              </w:rPr>
            </w:r>
            <w:r w:rsidR="00217414">
              <w:rPr>
                <w:noProof/>
                <w:webHidden/>
              </w:rPr>
              <w:fldChar w:fldCharType="separate"/>
            </w:r>
            <w:r w:rsidR="00217414">
              <w:rPr>
                <w:noProof/>
                <w:webHidden/>
              </w:rPr>
              <w:t>3</w:t>
            </w:r>
            <w:r w:rsidR="00217414">
              <w:rPr>
                <w:noProof/>
                <w:webHidden/>
              </w:rPr>
              <w:fldChar w:fldCharType="end"/>
            </w:r>
          </w:hyperlink>
        </w:p>
        <w:p w14:paraId="5624FBBF" w14:textId="69932347" w:rsidR="00217414" w:rsidRDefault="00217414">
          <w:pPr>
            <w:pStyle w:val="TOC1"/>
            <w:tabs>
              <w:tab w:val="right" w:leader="dot" w:pos="9350"/>
            </w:tabs>
            <w:rPr>
              <w:rFonts w:asciiTheme="minorHAnsi" w:eastAsiaTheme="minorEastAsia" w:hAnsiTheme="minorHAnsi"/>
              <w:noProof/>
              <w:kern w:val="2"/>
              <w:sz w:val="24"/>
              <w:szCs w:val="24"/>
              <w14:ligatures w14:val="standardContextual"/>
            </w:rPr>
          </w:pPr>
          <w:hyperlink w:anchor="_Toc235987419" w:history="1">
            <w:r w:rsidRPr="00B30B19">
              <w:rPr>
                <w:rStyle w:val="Hyperlink"/>
                <w:rFonts w:cs="Arial"/>
                <w:noProof/>
              </w:rPr>
              <w:t>Introduction</w:t>
            </w:r>
            <w:r>
              <w:rPr>
                <w:noProof/>
                <w:webHidden/>
              </w:rPr>
              <w:tab/>
            </w:r>
            <w:r>
              <w:rPr>
                <w:noProof/>
                <w:webHidden/>
              </w:rPr>
              <w:fldChar w:fldCharType="begin"/>
            </w:r>
            <w:r>
              <w:rPr>
                <w:noProof/>
                <w:webHidden/>
              </w:rPr>
              <w:instrText xml:space="preserve"> PAGEREF _Toc235987419 \h </w:instrText>
            </w:r>
            <w:r>
              <w:rPr>
                <w:noProof/>
                <w:webHidden/>
              </w:rPr>
            </w:r>
            <w:r>
              <w:rPr>
                <w:noProof/>
                <w:webHidden/>
              </w:rPr>
              <w:fldChar w:fldCharType="separate"/>
            </w:r>
            <w:r>
              <w:rPr>
                <w:noProof/>
                <w:webHidden/>
              </w:rPr>
              <w:t>4</w:t>
            </w:r>
            <w:r>
              <w:rPr>
                <w:noProof/>
                <w:webHidden/>
              </w:rPr>
              <w:fldChar w:fldCharType="end"/>
            </w:r>
          </w:hyperlink>
        </w:p>
        <w:p w14:paraId="63DAA0CE" w14:textId="1664654E" w:rsidR="00217414" w:rsidRDefault="00217414">
          <w:pPr>
            <w:pStyle w:val="TOC1"/>
            <w:tabs>
              <w:tab w:val="right" w:leader="dot" w:pos="9350"/>
            </w:tabs>
            <w:rPr>
              <w:rFonts w:asciiTheme="minorHAnsi" w:eastAsiaTheme="minorEastAsia" w:hAnsiTheme="minorHAnsi"/>
              <w:noProof/>
              <w:kern w:val="2"/>
              <w:sz w:val="24"/>
              <w:szCs w:val="24"/>
              <w14:ligatures w14:val="standardContextual"/>
            </w:rPr>
          </w:pPr>
          <w:hyperlink w:anchor="_Toc235987420" w:history="1">
            <w:r w:rsidRPr="00B30B19">
              <w:rPr>
                <w:rStyle w:val="Hyperlink"/>
                <w:rFonts w:cs="Arial"/>
                <w:noProof/>
              </w:rPr>
              <w:t>Part A: Identifying the Problem and Setting the System Context</w:t>
            </w:r>
            <w:r>
              <w:rPr>
                <w:noProof/>
                <w:webHidden/>
              </w:rPr>
              <w:tab/>
            </w:r>
            <w:r>
              <w:rPr>
                <w:noProof/>
                <w:webHidden/>
              </w:rPr>
              <w:fldChar w:fldCharType="begin"/>
            </w:r>
            <w:r>
              <w:rPr>
                <w:noProof/>
                <w:webHidden/>
              </w:rPr>
              <w:instrText xml:space="preserve"> PAGEREF _Toc235987420 \h </w:instrText>
            </w:r>
            <w:r>
              <w:rPr>
                <w:noProof/>
                <w:webHidden/>
              </w:rPr>
            </w:r>
            <w:r>
              <w:rPr>
                <w:noProof/>
                <w:webHidden/>
              </w:rPr>
              <w:fldChar w:fldCharType="separate"/>
            </w:r>
            <w:r>
              <w:rPr>
                <w:noProof/>
                <w:webHidden/>
              </w:rPr>
              <w:t>5</w:t>
            </w:r>
            <w:r>
              <w:rPr>
                <w:noProof/>
                <w:webHidden/>
              </w:rPr>
              <w:fldChar w:fldCharType="end"/>
            </w:r>
          </w:hyperlink>
        </w:p>
        <w:p w14:paraId="5557F78B" w14:textId="20CD9959" w:rsidR="00217414" w:rsidRDefault="00217414">
          <w:pPr>
            <w:pStyle w:val="TOC1"/>
            <w:tabs>
              <w:tab w:val="right" w:leader="dot" w:pos="9350"/>
            </w:tabs>
            <w:rPr>
              <w:rFonts w:asciiTheme="minorHAnsi" w:eastAsiaTheme="minorEastAsia" w:hAnsiTheme="minorHAnsi"/>
              <w:noProof/>
              <w:kern w:val="2"/>
              <w:sz w:val="24"/>
              <w:szCs w:val="24"/>
              <w14:ligatures w14:val="standardContextual"/>
            </w:rPr>
          </w:pPr>
          <w:hyperlink w:anchor="_Toc235987421" w:history="1">
            <w:r w:rsidRPr="00B30B19">
              <w:rPr>
                <w:rStyle w:val="Hyperlink"/>
                <w:rFonts w:cs="Arial"/>
                <w:noProof/>
              </w:rPr>
              <w:t>Part B: Centralisation and Decentralisation within the Case Study</w:t>
            </w:r>
            <w:r>
              <w:rPr>
                <w:noProof/>
                <w:webHidden/>
              </w:rPr>
              <w:tab/>
            </w:r>
            <w:r>
              <w:rPr>
                <w:noProof/>
                <w:webHidden/>
              </w:rPr>
              <w:fldChar w:fldCharType="begin"/>
            </w:r>
            <w:r>
              <w:rPr>
                <w:noProof/>
                <w:webHidden/>
              </w:rPr>
              <w:instrText xml:space="preserve"> PAGEREF _Toc235987421 \h </w:instrText>
            </w:r>
            <w:r>
              <w:rPr>
                <w:noProof/>
                <w:webHidden/>
              </w:rPr>
            </w:r>
            <w:r>
              <w:rPr>
                <w:noProof/>
                <w:webHidden/>
              </w:rPr>
              <w:fldChar w:fldCharType="separate"/>
            </w:r>
            <w:r>
              <w:rPr>
                <w:noProof/>
                <w:webHidden/>
              </w:rPr>
              <w:t>8</w:t>
            </w:r>
            <w:r>
              <w:rPr>
                <w:noProof/>
                <w:webHidden/>
              </w:rPr>
              <w:fldChar w:fldCharType="end"/>
            </w:r>
          </w:hyperlink>
        </w:p>
        <w:p w14:paraId="2AC0813D" w14:textId="05DA4009" w:rsidR="00217414" w:rsidRDefault="00217414">
          <w:pPr>
            <w:pStyle w:val="TOC1"/>
            <w:tabs>
              <w:tab w:val="right" w:leader="dot" w:pos="9350"/>
            </w:tabs>
            <w:rPr>
              <w:rFonts w:asciiTheme="minorHAnsi" w:eastAsiaTheme="minorEastAsia" w:hAnsiTheme="minorHAnsi"/>
              <w:noProof/>
              <w:kern w:val="2"/>
              <w:sz w:val="24"/>
              <w:szCs w:val="24"/>
              <w14:ligatures w14:val="standardContextual"/>
            </w:rPr>
          </w:pPr>
          <w:hyperlink w:anchor="_Toc235987422" w:history="1">
            <w:r w:rsidRPr="00B30B19">
              <w:rPr>
                <w:rStyle w:val="Hyperlink"/>
                <w:rFonts w:cs="Arial"/>
                <w:noProof/>
              </w:rPr>
              <w:t>Part C: Leadership Theories and Application to the Case Study</w:t>
            </w:r>
            <w:r>
              <w:rPr>
                <w:noProof/>
                <w:webHidden/>
              </w:rPr>
              <w:tab/>
            </w:r>
            <w:r>
              <w:rPr>
                <w:noProof/>
                <w:webHidden/>
              </w:rPr>
              <w:fldChar w:fldCharType="begin"/>
            </w:r>
            <w:r>
              <w:rPr>
                <w:noProof/>
                <w:webHidden/>
              </w:rPr>
              <w:instrText xml:space="preserve"> PAGEREF _Toc235987422 \h </w:instrText>
            </w:r>
            <w:r>
              <w:rPr>
                <w:noProof/>
                <w:webHidden/>
              </w:rPr>
            </w:r>
            <w:r>
              <w:rPr>
                <w:noProof/>
                <w:webHidden/>
              </w:rPr>
              <w:fldChar w:fldCharType="separate"/>
            </w:r>
            <w:r>
              <w:rPr>
                <w:noProof/>
                <w:webHidden/>
              </w:rPr>
              <w:t>11</w:t>
            </w:r>
            <w:r>
              <w:rPr>
                <w:noProof/>
                <w:webHidden/>
              </w:rPr>
              <w:fldChar w:fldCharType="end"/>
            </w:r>
          </w:hyperlink>
        </w:p>
        <w:p w14:paraId="362AD0A9" w14:textId="7ED8EADB" w:rsidR="00217414" w:rsidRDefault="00217414">
          <w:pPr>
            <w:pStyle w:val="TOC1"/>
            <w:tabs>
              <w:tab w:val="right" w:leader="dot" w:pos="9350"/>
            </w:tabs>
            <w:rPr>
              <w:rFonts w:asciiTheme="minorHAnsi" w:eastAsiaTheme="minorEastAsia" w:hAnsiTheme="minorHAnsi"/>
              <w:noProof/>
              <w:kern w:val="2"/>
              <w:sz w:val="24"/>
              <w:szCs w:val="24"/>
              <w14:ligatures w14:val="standardContextual"/>
            </w:rPr>
          </w:pPr>
          <w:hyperlink w:anchor="_Toc235987423" w:history="1">
            <w:r w:rsidRPr="00B30B19">
              <w:rPr>
                <w:rStyle w:val="Hyperlink"/>
                <w:rFonts w:cs="Arial"/>
                <w:noProof/>
              </w:rPr>
              <w:t>Part D: Improvement and Lessons Learned</w:t>
            </w:r>
            <w:r>
              <w:rPr>
                <w:noProof/>
                <w:webHidden/>
              </w:rPr>
              <w:tab/>
            </w:r>
            <w:r>
              <w:rPr>
                <w:noProof/>
                <w:webHidden/>
              </w:rPr>
              <w:fldChar w:fldCharType="begin"/>
            </w:r>
            <w:r>
              <w:rPr>
                <w:noProof/>
                <w:webHidden/>
              </w:rPr>
              <w:instrText xml:space="preserve"> PAGEREF _Toc235987423 \h </w:instrText>
            </w:r>
            <w:r>
              <w:rPr>
                <w:noProof/>
                <w:webHidden/>
              </w:rPr>
            </w:r>
            <w:r>
              <w:rPr>
                <w:noProof/>
                <w:webHidden/>
              </w:rPr>
              <w:fldChar w:fldCharType="separate"/>
            </w:r>
            <w:r>
              <w:rPr>
                <w:noProof/>
                <w:webHidden/>
              </w:rPr>
              <w:t>14</w:t>
            </w:r>
            <w:r>
              <w:rPr>
                <w:noProof/>
                <w:webHidden/>
              </w:rPr>
              <w:fldChar w:fldCharType="end"/>
            </w:r>
          </w:hyperlink>
        </w:p>
        <w:p w14:paraId="2393B285" w14:textId="1BD546EE" w:rsidR="00217414" w:rsidRDefault="00217414">
          <w:pPr>
            <w:pStyle w:val="TOC1"/>
            <w:tabs>
              <w:tab w:val="right" w:leader="dot" w:pos="9350"/>
            </w:tabs>
            <w:rPr>
              <w:rFonts w:asciiTheme="minorHAnsi" w:eastAsiaTheme="minorEastAsia" w:hAnsiTheme="minorHAnsi"/>
              <w:noProof/>
              <w:kern w:val="2"/>
              <w:sz w:val="24"/>
              <w:szCs w:val="24"/>
              <w14:ligatures w14:val="standardContextual"/>
            </w:rPr>
          </w:pPr>
          <w:hyperlink w:anchor="_Toc235987424" w:history="1">
            <w:r w:rsidRPr="00B30B19">
              <w:rPr>
                <w:rStyle w:val="Hyperlink"/>
                <w:rFonts w:cs="Arial"/>
                <w:noProof/>
              </w:rPr>
              <w:t>Recommendations</w:t>
            </w:r>
            <w:r>
              <w:rPr>
                <w:noProof/>
                <w:webHidden/>
              </w:rPr>
              <w:tab/>
            </w:r>
            <w:r>
              <w:rPr>
                <w:noProof/>
                <w:webHidden/>
              </w:rPr>
              <w:fldChar w:fldCharType="begin"/>
            </w:r>
            <w:r>
              <w:rPr>
                <w:noProof/>
                <w:webHidden/>
              </w:rPr>
              <w:instrText xml:space="preserve"> PAGEREF _Toc235987424 \h </w:instrText>
            </w:r>
            <w:r>
              <w:rPr>
                <w:noProof/>
                <w:webHidden/>
              </w:rPr>
            </w:r>
            <w:r>
              <w:rPr>
                <w:noProof/>
                <w:webHidden/>
              </w:rPr>
              <w:fldChar w:fldCharType="separate"/>
            </w:r>
            <w:r>
              <w:rPr>
                <w:noProof/>
                <w:webHidden/>
              </w:rPr>
              <w:t>16</w:t>
            </w:r>
            <w:r>
              <w:rPr>
                <w:noProof/>
                <w:webHidden/>
              </w:rPr>
              <w:fldChar w:fldCharType="end"/>
            </w:r>
          </w:hyperlink>
        </w:p>
        <w:p w14:paraId="74346AF6" w14:textId="35338B05" w:rsidR="00217414" w:rsidRDefault="00217414">
          <w:pPr>
            <w:pStyle w:val="TOC1"/>
            <w:tabs>
              <w:tab w:val="right" w:leader="dot" w:pos="9350"/>
            </w:tabs>
            <w:rPr>
              <w:rFonts w:asciiTheme="minorHAnsi" w:eastAsiaTheme="minorEastAsia" w:hAnsiTheme="minorHAnsi"/>
              <w:noProof/>
              <w:kern w:val="2"/>
              <w:sz w:val="24"/>
              <w:szCs w:val="24"/>
              <w14:ligatures w14:val="standardContextual"/>
            </w:rPr>
          </w:pPr>
          <w:hyperlink w:anchor="_Toc235987425" w:history="1">
            <w:r w:rsidRPr="00B30B19">
              <w:rPr>
                <w:rStyle w:val="Hyperlink"/>
                <w:rFonts w:cs="Arial"/>
                <w:noProof/>
              </w:rPr>
              <w:t>Conclusion</w:t>
            </w:r>
            <w:r>
              <w:rPr>
                <w:noProof/>
                <w:webHidden/>
              </w:rPr>
              <w:tab/>
            </w:r>
            <w:r>
              <w:rPr>
                <w:noProof/>
                <w:webHidden/>
              </w:rPr>
              <w:fldChar w:fldCharType="begin"/>
            </w:r>
            <w:r>
              <w:rPr>
                <w:noProof/>
                <w:webHidden/>
              </w:rPr>
              <w:instrText xml:space="preserve"> PAGEREF _Toc235987425 \h </w:instrText>
            </w:r>
            <w:r>
              <w:rPr>
                <w:noProof/>
                <w:webHidden/>
              </w:rPr>
            </w:r>
            <w:r>
              <w:rPr>
                <w:noProof/>
                <w:webHidden/>
              </w:rPr>
              <w:fldChar w:fldCharType="separate"/>
            </w:r>
            <w:r>
              <w:rPr>
                <w:noProof/>
                <w:webHidden/>
              </w:rPr>
              <w:t>17</w:t>
            </w:r>
            <w:r>
              <w:rPr>
                <w:noProof/>
                <w:webHidden/>
              </w:rPr>
              <w:fldChar w:fldCharType="end"/>
            </w:r>
          </w:hyperlink>
        </w:p>
        <w:p w14:paraId="19F8469F" w14:textId="7C149480" w:rsidR="00217414" w:rsidRDefault="00217414">
          <w:pPr>
            <w:pStyle w:val="TOC1"/>
            <w:tabs>
              <w:tab w:val="right" w:leader="dot" w:pos="9350"/>
            </w:tabs>
            <w:rPr>
              <w:rFonts w:asciiTheme="minorHAnsi" w:eastAsiaTheme="minorEastAsia" w:hAnsiTheme="minorHAnsi"/>
              <w:noProof/>
              <w:kern w:val="2"/>
              <w:sz w:val="24"/>
              <w:szCs w:val="24"/>
              <w14:ligatures w14:val="standardContextual"/>
            </w:rPr>
          </w:pPr>
          <w:hyperlink w:anchor="_Toc235987426" w:history="1">
            <w:r w:rsidRPr="00B30B19">
              <w:rPr>
                <w:rStyle w:val="Hyperlink"/>
                <w:rFonts w:cs="Arial"/>
                <w:noProof/>
              </w:rPr>
              <w:t>References</w:t>
            </w:r>
            <w:r>
              <w:rPr>
                <w:noProof/>
                <w:webHidden/>
              </w:rPr>
              <w:tab/>
            </w:r>
            <w:r>
              <w:rPr>
                <w:noProof/>
                <w:webHidden/>
              </w:rPr>
              <w:fldChar w:fldCharType="begin"/>
            </w:r>
            <w:r>
              <w:rPr>
                <w:noProof/>
                <w:webHidden/>
              </w:rPr>
              <w:instrText xml:space="preserve"> PAGEREF _Toc235987426 \h </w:instrText>
            </w:r>
            <w:r>
              <w:rPr>
                <w:noProof/>
                <w:webHidden/>
              </w:rPr>
            </w:r>
            <w:r>
              <w:rPr>
                <w:noProof/>
                <w:webHidden/>
              </w:rPr>
              <w:fldChar w:fldCharType="separate"/>
            </w:r>
            <w:r>
              <w:rPr>
                <w:noProof/>
                <w:webHidden/>
              </w:rPr>
              <w:t>19</w:t>
            </w:r>
            <w:r>
              <w:rPr>
                <w:noProof/>
                <w:webHidden/>
              </w:rPr>
              <w:fldChar w:fldCharType="end"/>
            </w:r>
          </w:hyperlink>
        </w:p>
        <w:p w14:paraId="3970EBC5" w14:textId="64BA00ED" w:rsidR="00C07877" w:rsidRDefault="00C07877">
          <w:r>
            <w:rPr>
              <w:b/>
              <w:bCs/>
              <w:noProof/>
            </w:rPr>
            <w:fldChar w:fldCharType="end"/>
          </w:r>
        </w:p>
      </w:sdtContent>
    </w:sdt>
    <w:p w14:paraId="3C11C90C" w14:textId="77777777" w:rsidR="00C07877" w:rsidRDefault="00C07877" w:rsidP="00D80E3C"/>
    <w:p w14:paraId="115A9B18" w14:textId="77777777" w:rsidR="004243AA" w:rsidRDefault="00000000">
      <w:r>
        <w:br w:type="page"/>
      </w:r>
    </w:p>
    <w:p w14:paraId="5BFC9101" w14:textId="77777777" w:rsidR="004243AA" w:rsidRPr="00D80E3C" w:rsidRDefault="00000000">
      <w:pPr>
        <w:pStyle w:val="Heading1"/>
        <w:rPr>
          <w:rFonts w:ascii="Arial" w:hAnsi="Arial" w:cs="Arial"/>
          <w:color w:val="000000" w:themeColor="text1"/>
        </w:rPr>
      </w:pPr>
      <w:bookmarkStart w:id="0" w:name="_Toc235987418"/>
      <w:r w:rsidRPr="00D80E3C">
        <w:rPr>
          <w:rFonts w:ascii="Arial" w:hAnsi="Arial" w:cs="Arial"/>
          <w:color w:val="000000" w:themeColor="text1"/>
        </w:rPr>
        <w:lastRenderedPageBreak/>
        <w:t>Case Summary</w:t>
      </w:r>
      <w:bookmarkEnd w:id="0"/>
      <w:r w:rsidRPr="00D80E3C">
        <w:rPr>
          <w:rFonts w:ascii="Arial" w:hAnsi="Arial" w:cs="Arial"/>
          <w:color w:val="000000" w:themeColor="text1"/>
        </w:rPr>
        <w:t xml:space="preserve"> </w:t>
      </w:r>
    </w:p>
    <w:p w14:paraId="0CDA6514" w14:textId="2CCE70DD" w:rsidR="003863B5" w:rsidRDefault="003863B5" w:rsidP="00D80E3C">
      <w:pPr>
        <w:jc w:val="both"/>
      </w:pPr>
      <w:r w:rsidRPr="003863B5">
        <w:t>Len was an 89-year-old man living independently at home with his wife. He had Charcot-Marie-Tooth disease (CMT) and, after a fall, developed chest pain and breathlessness. His medical history began with a general practitioner (GP) examination and hospital evaluation, during which he was diagnosed with a possible rib fracture. When his pain and breathlessness continued, the GP prescribed morphine sulfate oral solution 10mg/5ml at a reduced dose of 1.25ml to 2.5ml, to be taken up to every four hours when required. This prescribing choice was later characterized as clinically cautious by the Healthcare Safety Investigation Branch (HSIB) since Len was old, weak, opioid naive and showed signs of impaired kidney function (Healthcare Safety Investigation Branch, 2022).</w:t>
      </w:r>
    </w:p>
    <w:p w14:paraId="7930BD0F" w14:textId="77777777" w:rsidR="003863B5" w:rsidRDefault="003863B5" w:rsidP="00D80E3C">
      <w:pPr>
        <w:jc w:val="both"/>
      </w:pPr>
      <w:r w:rsidRPr="003863B5">
        <w:t xml:space="preserve"> The damage took place following the prescription into home utilization. Len's wife collected the morphine from the community pharmacy. The correct dose was printed on a dispensing label attached to the outer box, but Len and his wife did not see that label. They read the manufacturer's bottle label, where the strength 10mg/5ml was printed in large type, and understood this to mean that Len should take 5ml as the dose. The given syringe could measure up to 5ml as well which supported their interpretation. Len swallowed 5ml three times or two to four times of the intended dose. The next morning his wife could not wake him, emergency help was sought, and Len was taken to hospital with suspected accidental morphine overdose, pneumonia and worsening respiratory problems. Although he initially improved, he later deteriorated and died (HSIB, 2022).</w:t>
      </w:r>
    </w:p>
    <w:p w14:paraId="34A204F7" w14:textId="72BDDF69" w:rsidR="003863B5" w:rsidRDefault="003863B5" w:rsidP="00D80E3C">
      <w:pPr>
        <w:jc w:val="both"/>
      </w:pPr>
      <w:r w:rsidRPr="003863B5">
        <w:t>The case indicates a system issue in the areas of prescribing, dispensing, labelling, counselling, dose measurement, home administration and learning. It is not about individual blame but the possibility that a pathway that is dependent upon older patients and carers correctly interpreting multiple written cues in a high-risk situation is successful.</w:t>
      </w:r>
    </w:p>
    <w:p w14:paraId="05CDCD57" w14:textId="77777777" w:rsidR="004243AA" w:rsidRDefault="00000000">
      <w:r>
        <w:br w:type="page"/>
      </w:r>
    </w:p>
    <w:p w14:paraId="434B4777" w14:textId="77777777" w:rsidR="004243AA" w:rsidRPr="00D80E3C" w:rsidRDefault="00000000">
      <w:pPr>
        <w:pStyle w:val="Heading1"/>
        <w:rPr>
          <w:rFonts w:ascii="Arial" w:hAnsi="Arial" w:cs="Arial"/>
          <w:color w:val="000000" w:themeColor="text1"/>
        </w:rPr>
      </w:pPr>
      <w:bookmarkStart w:id="1" w:name="_Toc235987419"/>
      <w:r w:rsidRPr="00D80E3C">
        <w:rPr>
          <w:rFonts w:ascii="Arial" w:hAnsi="Arial" w:cs="Arial"/>
          <w:color w:val="000000" w:themeColor="text1"/>
        </w:rPr>
        <w:lastRenderedPageBreak/>
        <w:t>Introduction</w:t>
      </w:r>
      <w:bookmarkEnd w:id="1"/>
    </w:p>
    <w:p w14:paraId="3216F85F" w14:textId="77777777" w:rsidR="003863B5" w:rsidRDefault="003863B5" w:rsidP="00D80E3C">
      <w:pPr>
        <w:jc w:val="both"/>
      </w:pPr>
      <w:r w:rsidRPr="003863B5">
        <w:t>This report examines an unintentional overdose of morphine sulfate oral solution of a man (Len) aged 89 years and diagnosed with Charcot-Marie-Tooth disease who had oral morphine contracted due to chronic pain and dyspnea following fall. The case is notable since it was not the prescription that was reckless: the GP recommended a lower dosage 1.25ml to 2.5ml, which HSIB saw to be appropriate given the age, medical vulnerability and impaired kidney functionality of Len. The grave fault came in when the drug took the community route to the domestic consumption. Len and his wife saw the manufacturer's strength label, 10mg/5ml, and understood it as the dose to be taken. This led to three 5ml doses and later hospital admission with suspected opioid toxicity, pneumonia and worsening respiratory difficulties (HSIB, 2022).</w:t>
      </w:r>
    </w:p>
    <w:p w14:paraId="565048A8" w14:textId="38FE759F" w:rsidR="003863B5" w:rsidRDefault="003863B5" w:rsidP="00D80E3C">
      <w:pPr>
        <w:jc w:val="both"/>
      </w:pPr>
      <w:r w:rsidRPr="003863B5">
        <w:t>The report is meant to analyze the case as a systems-leadership problem as opposed to a mere mistake on the part of the patient. Leadership in health and social care refers to the art of influencing people, groups and organizations to accomplish common aims like safe, effective, compassionate and person-centered care. Leadership in any medicine pathway entails planning solid work, establishing transparent standards, assisting staff members to be honest with them, involving patients and carers, learning with weak signals prior to harm (Edmondson, 1999; Northouse, 2022; Yukl, 2013). Good leadership hence bridges the gap between policy and practice especially where the high-risk medicines are supposed to be handled at home by older people and families.</w:t>
      </w:r>
    </w:p>
    <w:p w14:paraId="795B0E8E" w14:textId="77777777" w:rsidR="003863B5" w:rsidRDefault="003863B5" w:rsidP="00D80E3C">
      <w:pPr>
        <w:jc w:val="both"/>
      </w:pPr>
      <w:proofErr w:type="spellStart"/>
      <w:r w:rsidRPr="003863B5">
        <w:t>Centralisation</w:t>
      </w:r>
      <w:proofErr w:type="spellEnd"/>
      <w:r w:rsidRPr="003863B5">
        <w:t xml:space="preserve"> and </w:t>
      </w:r>
      <w:proofErr w:type="spellStart"/>
      <w:r w:rsidRPr="003863B5">
        <w:t>decentralisation</w:t>
      </w:r>
      <w:proofErr w:type="spellEnd"/>
      <w:r w:rsidRPr="003863B5">
        <w:t xml:space="preserve"> are also taken into consideration in the report. </w:t>
      </w:r>
      <w:proofErr w:type="spellStart"/>
      <w:r w:rsidRPr="003863B5">
        <w:t>Centralisation</w:t>
      </w:r>
      <w:proofErr w:type="spellEnd"/>
      <w:r w:rsidRPr="003863B5">
        <w:t xml:space="preserve"> means that decision-making, rules and safety standards are concentrated at national or </w:t>
      </w:r>
      <w:proofErr w:type="spellStart"/>
      <w:r w:rsidRPr="003863B5">
        <w:t>organisational</w:t>
      </w:r>
      <w:proofErr w:type="spellEnd"/>
      <w:r w:rsidRPr="003863B5">
        <w:t xml:space="preserve"> </w:t>
      </w:r>
      <w:proofErr w:type="spellStart"/>
      <w:r w:rsidRPr="003863B5">
        <w:t>centre</w:t>
      </w:r>
      <w:proofErr w:type="spellEnd"/>
      <w:r w:rsidRPr="003863B5">
        <w:t xml:space="preserve"> level, for example through guidance from the Medicines and Healthcare products Regulatory Agency (MHRA), the National Institute for Health and Care Excellence (NICE), the British National Formulary (BNF) and NHS England's patient safety reporting system (Medicines and Healthcare products Regulatory Agency, 2020; National Institute for Health and Care Excellence, 2020; Joint Formulary Committee, 2021; NHS England, 2019). </w:t>
      </w:r>
      <w:proofErr w:type="spellStart"/>
      <w:r w:rsidRPr="003863B5">
        <w:t>Decentralisation</w:t>
      </w:r>
      <w:proofErr w:type="spellEnd"/>
      <w:r w:rsidRPr="003863B5">
        <w:t xml:space="preserve"> implies the distribution of power to local GP practices, community pharmacies, frontline clinicians and families who tailor care to the specific situation. The case of Len occurred in a quasi-system. The medicine and reporting system were determined by national rules, whereas the practical work was done by local professionals and the family.</w:t>
      </w:r>
    </w:p>
    <w:p w14:paraId="53294269" w14:textId="5FF1FB84" w:rsidR="003863B5" w:rsidRDefault="003863B5" w:rsidP="00D80E3C">
      <w:pPr>
        <w:jc w:val="both"/>
      </w:pPr>
      <w:r w:rsidRPr="003863B5">
        <w:t xml:space="preserve">A number of the leadership theories are employed. Theory X and Theory Y by McGregor along with Theory Z by Ouchi here named as XYZ theory are useful in determining whether the pathway </w:t>
      </w:r>
      <w:r w:rsidRPr="003863B5">
        <w:lastRenderedPageBreak/>
        <w:t xml:space="preserve">was based on control, trust, collaboration, or shared responsibility. The leadership continuum developed by Tannenbaum and Schmidt takes </w:t>
      </w:r>
      <w:proofErr w:type="spellStart"/>
      <w:r w:rsidRPr="003863B5">
        <w:t>centre</w:t>
      </w:r>
      <w:proofErr w:type="spellEnd"/>
      <w:r w:rsidRPr="003863B5">
        <w:t xml:space="preserve"> stage as the case needed a shift towards the professional direction to the patient and carer participation direction. The choice of leadership style is important because a liquid opioid patient at home is weak and requires something more than an information written. The report therefore addresses the system problem and Rich Picture, the </w:t>
      </w:r>
      <w:proofErr w:type="spellStart"/>
      <w:r w:rsidRPr="003863B5">
        <w:t>centralised</w:t>
      </w:r>
      <w:proofErr w:type="spellEnd"/>
      <w:r w:rsidRPr="003863B5">
        <w:t xml:space="preserve"> and </w:t>
      </w:r>
      <w:proofErr w:type="spellStart"/>
      <w:r w:rsidRPr="003863B5">
        <w:t>decentralised</w:t>
      </w:r>
      <w:proofErr w:type="spellEnd"/>
      <w:r w:rsidRPr="003863B5">
        <w:t xml:space="preserve"> governance structure, leadership theory, improvement lessons, recommendations and conclusion.</w:t>
      </w:r>
    </w:p>
    <w:p w14:paraId="19A714D1" w14:textId="77777777" w:rsidR="004243AA" w:rsidRPr="00D80E3C" w:rsidRDefault="00000000">
      <w:pPr>
        <w:pStyle w:val="Heading1"/>
        <w:rPr>
          <w:rFonts w:ascii="Arial" w:hAnsi="Arial" w:cs="Arial"/>
          <w:color w:val="000000" w:themeColor="text1"/>
        </w:rPr>
      </w:pPr>
      <w:bookmarkStart w:id="2" w:name="_Toc235987420"/>
      <w:r w:rsidRPr="00D80E3C">
        <w:rPr>
          <w:rFonts w:ascii="Arial" w:hAnsi="Arial" w:cs="Arial"/>
          <w:color w:val="000000" w:themeColor="text1"/>
        </w:rPr>
        <w:t>Part A: Identifying the Problem and Setting the System Context</w:t>
      </w:r>
      <w:bookmarkEnd w:id="2"/>
    </w:p>
    <w:p w14:paraId="4758DA75" w14:textId="77777777" w:rsidR="00A07072" w:rsidRDefault="00A07072" w:rsidP="00D80E3C">
      <w:pPr>
        <w:jc w:val="both"/>
      </w:pPr>
      <w:r w:rsidRPr="00A07072">
        <w:t xml:space="preserve">The main issue with the case of Len was that the medicine pathway brought the strength of the medicine more visible and meaningful to the family than the prescribed dosage. HSIB reported that Len was prescribed morphine sulfate oral solution 10mg/5ml at a dose of 1.25ml to 2.5ml, up to every four hours when required. The right-dose information was on a dispensing label on the outer box but was not observed by Len and his wife. They read the label on the bottle of the manufacturer indicating 10mg/5ml which they believed to be the dose hence Len consumed 5ml thrice (HSIB, 2022). This was not merely a matter of overdose, but of ineffective high-risk medicines pathway where correct dose was not clear and readily measured or tested. </w:t>
      </w:r>
    </w:p>
    <w:p w14:paraId="2D09326E" w14:textId="48F0577B" w:rsidR="00A07072" w:rsidRDefault="00A07072" w:rsidP="00D80E3C">
      <w:pPr>
        <w:jc w:val="both"/>
      </w:pPr>
      <w:r w:rsidRPr="00A07072">
        <w:t>This is a local incident, but evidence demonstrates globally that there is a broader issue of patient safety. Unsafe medication practice and medication error are listed by the World Health Organization (WHO) as the primary causes of preventable harm, and the global cost is approximated to be approximately US $42 billion annually (World Health Organization, 2017). High-risk situations and transitions of care also make priority areas to WHO (WHO, 2022). The oral morphine case of Len perfectly fits into this pattern since oral morphine is a very dangerous opioid, since he was an older person, one with comorbidity, and his care shifted across GP, hospital, community pharmacy and home. According to Donaldson et al. (2017), medication harm is a system issue, not a question of individual precaution, and it is appropriate since Len and his wife became the only safety net.</w:t>
      </w:r>
    </w:p>
    <w:p w14:paraId="006DF2B7" w14:textId="77777777" w:rsidR="00A07072" w:rsidRDefault="00A07072" w:rsidP="00D80E3C">
      <w:pPr>
        <w:jc w:val="both"/>
      </w:pPr>
      <w:r w:rsidRPr="00A07072">
        <w:t xml:space="preserve">The evidence on a national scale reinforces the argument that needs system change. Elliott et al. (2021) assumed 237 million medication errors in England each year, of which 66 million potentially </w:t>
      </w:r>
      <w:proofErr w:type="gramStart"/>
      <w:r w:rsidRPr="00A07072">
        <w:t>clinical</w:t>
      </w:r>
      <w:proofErr w:type="gramEnd"/>
      <w:r w:rsidRPr="00A07072">
        <w:t xml:space="preserve"> significant errors. They identified that 38.4% of medication errors happen in primary care and that the primary care prescribing provides 34% of what they may consider clinically significant errors. Avoidable adverse drug events were estimated to cost the NHS around GBP98 million per year, use 181,626 bed-days and cause or contribute to 1,708 deaths (Elliott et al., 2021). These </w:t>
      </w:r>
      <w:r w:rsidRPr="00A07072">
        <w:lastRenderedPageBreak/>
        <w:t>statistics do not indicate that Len could ultimately have been entirely prevented but it indicates that the risk of medicines in the primary care is prevalent such that it requires programmed controls.</w:t>
      </w:r>
    </w:p>
    <w:p w14:paraId="0F7F3FC8" w14:textId="77777777" w:rsidR="00A07072" w:rsidRDefault="00A07072" w:rsidP="00D80E3C">
      <w:pPr>
        <w:jc w:val="both"/>
      </w:pPr>
      <w:r w:rsidRPr="00A07072">
        <w:t xml:space="preserve">It is also supported by the Institute for Healthcare Improvement (IHI) framework of ensuring safe, reliable, and effective care. It introduces the aspect of safety as a system comprising of leadership, psychological safety, communication, reliability, measurement and continuous learning (Frankel et al., 2017). In the case of Len, communication was seen as imparting of information but not checking it. There was a lack of responsibility: the GP ordered, the pharmacy filled, the manufacturer used the bottle and syringe, the name was printed according to national regulations, and the parents made the patient use the medicines. No actor clearly owned the whole GP-pharmacy-home interface. </w:t>
      </w:r>
    </w:p>
    <w:p w14:paraId="2F6A9314" w14:textId="7134BE8E" w:rsidR="00A07072" w:rsidRDefault="00A07072" w:rsidP="00D80E3C">
      <w:pPr>
        <w:jc w:val="both"/>
      </w:pPr>
      <w:r w:rsidRPr="00A07072">
        <w:t xml:space="preserve">Systems thinking describes the reason why the incident cannot be an isolated error. According to Reason, the most common model of reason proposes a Swiss cheese type of an accident, where a number of low-quality </w:t>
      </w:r>
      <w:proofErr w:type="spellStart"/>
      <w:r w:rsidRPr="00A07072">
        <w:t>defences</w:t>
      </w:r>
      <w:proofErr w:type="spellEnd"/>
      <w:r w:rsidRPr="00A07072">
        <w:t xml:space="preserve"> come into line (Reason, 2000). </w:t>
      </w:r>
      <w:proofErr w:type="spellStart"/>
      <w:r w:rsidRPr="00A07072">
        <w:t>Defences</w:t>
      </w:r>
      <w:proofErr w:type="spellEnd"/>
      <w:r w:rsidRPr="00A07072">
        <w:t xml:space="preserve"> were in place on the route of Len: the GP had added a low dose, the drug was dispensed and provided as written information, a leaflet and syringe and emergency assistance was obtained by the family. Nevertheless, the gaps involved a not-observed dose label, an inviting to wrong interpretation strength label, a syringe that could not easily measure 1.25ml, no good evidence of the teach-back and incomplete learning feedback. The Systems Engineering Initiative for Patient Safety (SEIPS) model similarly shows that outcomes emerge from the interaction of people, tasks, tools, environment and </w:t>
      </w:r>
      <w:proofErr w:type="spellStart"/>
      <w:r w:rsidRPr="00A07072">
        <w:t>organisation</w:t>
      </w:r>
      <w:proofErr w:type="spellEnd"/>
      <w:r w:rsidRPr="00A07072">
        <w:t xml:space="preserve"> (</w:t>
      </w:r>
      <w:proofErr w:type="spellStart"/>
      <w:r w:rsidRPr="00A07072">
        <w:t>Carayon</w:t>
      </w:r>
      <w:proofErr w:type="spellEnd"/>
      <w:r w:rsidRPr="00A07072">
        <w:t xml:space="preserve"> et al., 2006; Holden et al., 2013). The poor and unstable body, anxiety, pack design, low dose measurement and a lack of clarity in following it up were combined to generate harm.</w:t>
      </w:r>
    </w:p>
    <w:p w14:paraId="7D4E47F7" w14:textId="77777777" w:rsidR="00A07072" w:rsidRDefault="00A07072" w:rsidP="00D80E3C">
      <w:pPr>
        <w:jc w:val="both"/>
      </w:pPr>
      <w:r w:rsidRPr="00A07072">
        <w:t xml:space="preserve">Governance influenced the case at national, local and family levels. Labelling, prescribing guidance and reporting were influenced by national governance via </w:t>
      </w:r>
      <w:proofErr w:type="spellStart"/>
      <w:r w:rsidRPr="00A07072">
        <w:t>organisations</w:t>
      </w:r>
      <w:proofErr w:type="spellEnd"/>
      <w:r w:rsidRPr="00A07072">
        <w:t xml:space="preserve"> like MHRA, NICE, BNF, NHS England and HSIB. GP prescribing, pharmacy counselling and follow-up were influenced by local government. Administration at home was influenced by family level practice. According to NHS England Learn from Patient Safety Events (LFPSE) transition data, there was an unequal reporting of community incidents within 64.5% of registered pharmacies and 44.8% of registered GP practices by December 2024 (NHS England, 2026). Responses to the NHS staff survey of 2025 also indicated that just 46.51% of the staff felt capable of handling all the conflicting time requirements and that 32.82% staff felt there were sufficient staff (NHS Staff Survey, 2026). It is not just in Len’s pathway that these numbers are so high and the staff survey is not an actual </w:t>
      </w:r>
      <w:r w:rsidRPr="00A07072">
        <w:lastRenderedPageBreak/>
        <w:t>reflection of all the independent community pharmacies or GP practices. They nevertheless show why safety controls should be simple, reliable and auditable in pressured work systems. These interactions are shown in the Rich Picture below.</w:t>
      </w:r>
    </w:p>
    <w:p w14:paraId="51AD5A23" w14:textId="77777777" w:rsidR="004243AA" w:rsidRPr="00D80E3C" w:rsidRDefault="00000000" w:rsidP="00D80E3C">
      <w:r w:rsidRPr="00D80E3C">
        <w:t>Table 1: Evidence positioning Len's case as a local, national and global medication safety issue</w:t>
      </w:r>
    </w:p>
    <w:tbl>
      <w:tblPr>
        <w:tblStyle w:val="TableGrid"/>
        <w:tblW w:w="0" w:type="auto"/>
        <w:jc w:val="center"/>
        <w:tblLook w:val="04A0" w:firstRow="1" w:lastRow="0" w:firstColumn="1" w:lastColumn="0" w:noHBand="0" w:noVBand="1"/>
      </w:tblPr>
      <w:tblGrid>
        <w:gridCol w:w="1945"/>
        <w:gridCol w:w="3279"/>
        <w:gridCol w:w="4126"/>
      </w:tblGrid>
      <w:tr w:rsidR="004243AA" w:rsidRPr="00D80E3C" w14:paraId="0F90AF45" w14:textId="77777777">
        <w:trPr>
          <w:jc w:val="center"/>
        </w:trPr>
        <w:tc>
          <w:tcPr>
            <w:tcW w:w="2016" w:type="dxa"/>
            <w:shd w:val="clear" w:color="auto" w:fill="D9EAF7"/>
          </w:tcPr>
          <w:p w14:paraId="0267C790" w14:textId="77777777" w:rsidR="004243AA" w:rsidRPr="00D80E3C" w:rsidRDefault="00000000">
            <w:pPr>
              <w:spacing w:after="40" w:line="276" w:lineRule="auto"/>
            </w:pPr>
            <w:r w:rsidRPr="00D80E3C">
              <w:rPr>
                <w:b/>
              </w:rPr>
              <w:t>Evidence source</w:t>
            </w:r>
          </w:p>
        </w:tc>
        <w:tc>
          <w:tcPr>
            <w:tcW w:w="3456" w:type="dxa"/>
            <w:shd w:val="clear" w:color="auto" w:fill="D9EAF7"/>
          </w:tcPr>
          <w:p w14:paraId="625F806E" w14:textId="77777777" w:rsidR="004243AA" w:rsidRPr="00D80E3C" w:rsidRDefault="00000000">
            <w:pPr>
              <w:spacing w:after="40" w:line="276" w:lineRule="auto"/>
            </w:pPr>
            <w:r w:rsidRPr="00D80E3C">
              <w:rPr>
                <w:b/>
              </w:rPr>
              <w:t>Key figure or finding</w:t>
            </w:r>
          </w:p>
        </w:tc>
        <w:tc>
          <w:tcPr>
            <w:tcW w:w="4320" w:type="dxa"/>
            <w:shd w:val="clear" w:color="auto" w:fill="D9EAF7"/>
          </w:tcPr>
          <w:p w14:paraId="04CEE0BF" w14:textId="77777777" w:rsidR="004243AA" w:rsidRPr="00D80E3C" w:rsidRDefault="00000000">
            <w:pPr>
              <w:spacing w:after="40" w:line="276" w:lineRule="auto"/>
            </w:pPr>
            <w:r w:rsidRPr="00D80E3C">
              <w:rPr>
                <w:b/>
              </w:rPr>
              <w:t>Critical meaning for Len's case</w:t>
            </w:r>
          </w:p>
        </w:tc>
      </w:tr>
      <w:tr w:rsidR="004243AA" w:rsidRPr="00D80E3C" w14:paraId="5164DE69" w14:textId="77777777">
        <w:trPr>
          <w:jc w:val="center"/>
        </w:trPr>
        <w:tc>
          <w:tcPr>
            <w:tcW w:w="2016" w:type="dxa"/>
          </w:tcPr>
          <w:p w14:paraId="3CA0A02A" w14:textId="77777777" w:rsidR="004243AA" w:rsidRPr="00D80E3C" w:rsidRDefault="00000000">
            <w:pPr>
              <w:spacing w:after="40" w:line="276" w:lineRule="auto"/>
            </w:pPr>
            <w:r w:rsidRPr="00D80E3C">
              <w:t>WHO (2017)</w:t>
            </w:r>
          </w:p>
        </w:tc>
        <w:tc>
          <w:tcPr>
            <w:tcW w:w="3456" w:type="dxa"/>
          </w:tcPr>
          <w:p w14:paraId="792D4AA3" w14:textId="77777777" w:rsidR="004243AA" w:rsidRPr="00D80E3C" w:rsidRDefault="00000000">
            <w:pPr>
              <w:spacing w:after="40" w:line="276" w:lineRule="auto"/>
            </w:pPr>
            <w:r w:rsidRPr="00D80E3C">
              <w:t>Medication errors cost about US$42 billion globally each year.</w:t>
            </w:r>
          </w:p>
        </w:tc>
        <w:tc>
          <w:tcPr>
            <w:tcW w:w="4320" w:type="dxa"/>
          </w:tcPr>
          <w:p w14:paraId="5995582F" w14:textId="77777777" w:rsidR="004243AA" w:rsidRPr="00D80E3C" w:rsidRDefault="00000000">
            <w:pPr>
              <w:spacing w:after="40" w:line="276" w:lineRule="auto"/>
            </w:pPr>
            <w:r w:rsidRPr="00D80E3C">
              <w:t>Medication harm is a global patient safety priority, not only a local family misunderstanding.</w:t>
            </w:r>
          </w:p>
        </w:tc>
      </w:tr>
      <w:tr w:rsidR="004243AA" w:rsidRPr="00D80E3C" w14:paraId="2F5FA31E" w14:textId="77777777">
        <w:trPr>
          <w:jc w:val="center"/>
        </w:trPr>
        <w:tc>
          <w:tcPr>
            <w:tcW w:w="2016" w:type="dxa"/>
          </w:tcPr>
          <w:p w14:paraId="25B54C18" w14:textId="77777777" w:rsidR="004243AA" w:rsidRPr="00D80E3C" w:rsidRDefault="00000000">
            <w:pPr>
              <w:spacing w:after="40" w:line="276" w:lineRule="auto"/>
            </w:pPr>
            <w:r w:rsidRPr="00D80E3C">
              <w:t>WHO (2022)</w:t>
            </w:r>
          </w:p>
        </w:tc>
        <w:tc>
          <w:tcPr>
            <w:tcW w:w="3456" w:type="dxa"/>
          </w:tcPr>
          <w:p w14:paraId="3735086A" w14:textId="77777777" w:rsidR="004243AA" w:rsidRPr="00D80E3C" w:rsidRDefault="00000000">
            <w:pPr>
              <w:spacing w:after="40" w:line="276" w:lineRule="auto"/>
            </w:pPr>
            <w:r w:rsidRPr="00D80E3C">
              <w:t>Medication harm remains linked to unsafe practice, high-risk situations and transitions of care.</w:t>
            </w:r>
          </w:p>
        </w:tc>
        <w:tc>
          <w:tcPr>
            <w:tcW w:w="4320" w:type="dxa"/>
          </w:tcPr>
          <w:p w14:paraId="0890A03B" w14:textId="77777777" w:rsidR="004243AA" w:rsidRPr="00D80E3C" w:rsidRDefault="00000000">
            <w:pPr>
              <w:spacing w:after="40" w:line="276" w:lineRule="auto"/>
            </w:pPr>
            <w:r w:rsidRPr="00D80E3C">
              <w:t>Len had a high-risk opioid, frailty and movement between services and home.</w:t>
            </w:r>
          </w:p>
        </w:tc>
      </w:tr>
      <w:tr w:rsidR="004243AA" w:rsidRPr="00D80E3C" w14:paraId="437B2E9F" w14:textId="77777777">
        <w:trPr>
          <w:jc w:val="center"/>
        </w:trPr>
        <w:tc>
          <w:tcPr>
            <w:tcW w:w="2016" w:type="dxa"/>
          </w:tcPr>
          <w:p w14:paraId="03018BC5" w14:textId="77777777" w:rsidR="004243AA" w:rsidRPr="00D80E3C" w:rsidRDefault="00000000">
            <w:pPr>
              <w:spacing w:after="40" w:line="276" w:lineRule="auto"/>
            </w:pPr>
            <w:r w:rsidRPr="00D80E3C">
              <w:t>Elliott et al. (2021)</w:t>
            </w:r>
          </w:p>
        </w:tc>
        <w:tc>
          <w:tcPr>
            <w:tcW w:w="3456" w:type="dxa"/>
          </w:tcPr>
          <w:p w14:paraId="6D5BBE2F" w14:textId="77777777" w:rsidR="004243AA" w:rsidRPr="00D80E3C" w:rsidRDefault="00000000">
            <w:pPr>
              <w:spacing w:after="40" w:line="276" w:lineRule="auto"/>
            </w:pPr>
            <w:r w:rsidRPr="00D80E3C">
              <w:t>England has an estimated 237 million medication errors annually, including 66 million potentially clinically significant errors.</w:t>
            </w:r>
          </w:p>
        </w:tc>
        <w:tc>
          <w:tcPr>
            <w:tcW w:w="4320" w:type="dxa"/>
          </w:tcPr>
          <w:p w14:paraId="739C0510" w14:textId="77777777" w:rsidR="004243AA" w:rsidRPr="00D80E3C" w:rsidRDefault="00000000">
            <w:pPr>
              <w:spacing w:after="40" w:line="276" w:lineRule="auto"/>
            </w:pPr>
            <w:r w:rsidRPr="00D80E3C">
              <w:t>Routine care requires reliable controls because errors are common.</w:t>
            </w:r>
          </w:p>
        </w:tc>
      </w:tr>
      <w:tr w:rsidR="004243AA" w:rsidRPr="00D80E3C" w14:paraId="2A7CEBD7" w14:textId="77777777">
        <w:trPr>
          <w:jc w:val="center"/>
        </w:trPr>
        <w:tc>
          <w:tcPr>
            <w:tcW w:w="2016" w:type="dxa"/>
          </w:tcPr>
          <w:p w14:paraId="67B874AF" w14:textId="77777777" w:rsidR="004243AA" w:rsidRPr="00D80E3C" w:rsidRDefault="00000000">
            <w:pPr>
              <w:spacing w:after="40" w:line="276" w:lineRule="auto"/>
            </w:pPr>
            <w:r w:rsidRPr="00D80E3C">
              <w:t>Elliott et al. (2021)</w:t>
            </w:r>
          </w:p>
        </w:tc>
        <w:tc>
          <w:tcPr>
            <w:tcW w:w="3456" w:type="dxa"/>
          </w:tcPr>
          <w:p w14:paraId="2A613F22" w14:textId="77777777" w:rsidR="004243AA" w:rsidRPr="00D80E3C" w:rsidRDefault="00000000">
            <w:pPr>
              <w:spacing w:after="40" w:line="276" w:lineRule="auto"/>
            </w:pPr>
            <w:r w:rsidRPr="00D80E3C">
              <w:t>38.4% of medication errors occur in primary care; primary care prescribing contributes 34% of potentially clinically significant errors.</w:t>
            </w:r>
          </w:p>
        </w:tc>
        <w:tc>
          <w:tcPr>
            <w:tcW w:w="4320" w:type="dxa"/>
          </w:tcPr>
          <w:p w14:paraId="6FBFC1DB" w14:textId="77777777" w:rsidR="004243AA" w:rsidRPr="00D80E3C" w:rsidRDefault="00000000">
            <w:pPr>
              <w:spacing w:after="40" w:line="276" w:lineRule="auto"/>
            </w:pPr>
            <w:r w:rsidRPr="00D80E3C">
              <w:t>The GP-pharmacy-home pathway is directly relevant to national medication safety.</w:t>
            </w:r>
          </w:p>
        </w:tc>
      </w:tr>
      <w:tr w:rsidR="004243AA" w:rsidRPr="00D80E3C" w14:paraId="13C2E182" w14:textId="77777777">
        <w:trPr>
          <w:jc w:val="center"/>
        </w:trPr>
        <w:tc>
          <w:tcPr>
            <w:tcW w:w="2016" w:type="dxa"/>
          </w:tcPr>
          <w:p w14:paraId="1570658F" w14:textId="77777777" w:rsidR="004243AA" w:rsidRPr="00D80E3C" w:rsidRDefault="00000000">
            <w:pPr>
              <w:spacing w:after="40" w:line="276" w:lineRule="auto"/>
            </w:pPr>
            <w:r w:rsidRPr="00D80E3C">
              <w:t>NHS England (2026)</w:t>
            </w:r>
          </w:p>
        </w:tc>
        <w:tc>
          <w:tcPr>
            <w:tcW w:w="3456" w:type="dxa"/>
          </w:tcPr>
          <w:p w14:paraId="13F4D93F" w14:textId="77777777" w:rsidR="004243AA" w:rsidRPr="00D80E3C" w:rsidRDefault="00000000">
            <w:pPr>
              <w:spacing w:after="40" w:line="276" w:lineRule="auto"/>
            </w:pPr>
            <w:r w:rsidRPr="00D80E3C">
              <w:t>Incidents had been received from 64.5% of registered pharmacies and 44.8% of registered GP practices in LFPSE.</w:t>
            </w:r>
          </w:p>
        </w:tc>
        <w:tc>
          <w:tcPr>
            <w:tcW w:w="4320" w:type="dxa"/>
          </w:tcPr>
          <w:p w14:paraId="333F0580" w14:textId="77777777" w:rsidR="004243AA" w:rsidRPr="00D80E3C" w:rsidRDefault="00000000">
            <w:pPr>
              <w:spacing w:after="40" w:line="276" w:lineRule="auto"/>
            </w:pPr>
            <w:r w:rsidRPr="00D80E3C">
              <w:t>Primary care and pharmacy learning loops remain uneven, so weak signals may be missed.</w:t>
            </w:r>
          </w:p>
        </w:tc>
      </w:tr>
      <w:tr w:rsidR="004243AA" w:rsidRPr="00D80E3C" w14:paraId="78B572F2" w14:textId="77777777">
        <w:trPr>
          <w:jc w:val="center"/>
        </w:trPr>
        <w:tc>
          <w:tcPr>
            <w:tcW w:w="2016" w:type="dxa"/>
          </w:tcPr>
          <w:p w14:paraId="3652022F" w14:textId="77777777" w:rsidR="004243AA" w:rsidRPr="00D80E3C" w:rsidRDefault="00000000">
            <w:pPr>
              <w:spacing w:after="40" w:line="276" w:lineRule="auto"/>
            </w:pPr>
            <w:r w:rsidRPr="00D80E3C">
              <w:t>NHS Staff Survey (2026)</w:t>
            </w:r>
          </w:p>
        </w:tc>
        <w:tc>
          <w:tcPr>
            <w:tcW w:w="3456" w:type="dxa"/>
          </w:tcPr>
          <w:p w14:paraId="032A8345" w14:textId="77777777" w:rsidR="004243AA" w:rsidRPr="00D80E3C" w:rsidRDefault="00000000">
            <w:pPr>
              <w:spacing w:after="40" w:line="276" w:lineRule="auto"/>
            </w:pPr>
            <w:r w:rsidRPr="00D80E3C">
              <w:t>46.51% of staff felt able to meet conflicting time demands and 32.82% felt there were enough staff.</w:t>
            </w:r>
          </w:p>
        </w:tc>
        <w:tc>
          <w:tcPr>
            <w:tcW w:w="4320" w:type="dxa"/>
          </w:tcPr>
          <w:p w14:paraId="10FA9867" w14:textId="77777777" w:rsidR="004243AA" w:rsidRPr="00D80E3C" w:rsidRDefault="00000000">
            <w:pPr>
              <w:spacing w:after="40" w:line="276" w:lineRule="auto"/>
            </w:pPr>
            <w:r w:rsidRPr="00D80E3C">
              <w:t>Work pressure increases the need for simple, reliable, auditable safety controls.</w:t>
            </w:r>
          </w:p>
        </w:tc>
      </w:tr>
    </w:tbl>
    <w:p w14:paraId="6407A25A" w14:textId="77777777" w:rsidR="004243AA" w:rsidRDefault="00000000">
      <w:r>
        <w:br w:type="page"/>
      </w:r>
    </w:p>
    <w:p w14:paraId="13EC3B07" w14:textId="77777777" w:rsidR="004243AA" w:rsidRDefault="00D80E3C">
      <w:pPr>
        <w:jc w:val="center"/>
      </w:pPr>
      <w:r>
        <w:rPr>
          <w:noProof/>
        </w:rPr>
        <w:lastRenderedPageBreak/>
        <w:drawing>
          <wp:inline distT="0" distB="0" distL="0" distR="0" wp14:anchorId="29FA8D5A" wp14:editId="3296353B">
            <wp:extent cx="6584315" cy="5949950"/>
            <wp:effectExtent l="0" t="0" r="6985" b="0"/>
            <wp:docPr id="1545427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84315" cy="5949950"/>
                    </a:xfrm>
                    <a:prstGeom prst="rect">
                      <a:avLst/>
                    </a:prstGeom>
                    <a:noFill/>
                  </pic:spPr>
                </pic:pic>
              </a:graphicData>
            </a:graphic>
          </wp:inline>
        </w:drawing>
      </w:r>
    </w:p>
    <w:p w14:paraId="68A13755" w14:textId="77777777" w:rsidR="004243AA" w:rsidRDefault="00000000">
      <w:pPr>
        <w:pStyle w:val="CaptionCustom"/>
      </w:pPr>
      <w:r>
        <w:t>Figure 1: Rich Picture of Len's morphine overdose as a connected system problem, showing national governance, local pathway work, home administration, weak controls and feedback loops.</w:t>
      </w:r>
      <w:r>
        <w:br/>
        <w:t>Source: Author's own illustration based on HSIB (2022), Reason (2000), Carayon et al. (2006) and Holden et al. (2013).</w:t>
      </w:r>
    </w:p>
    <w:p w14:paraId="0BD4B623" w14:textId="77777777" w:rsidR="004243AA" w:rsidRPr="00D80E3C" w:rsidRDefault="00000000">
      <w:pPr>
        <w:pStyle w:val="Heading1"/>
        <w:rPr>
          <w:rFonts w:ascii="Arial" w:hAnsi="Arial" w:cs="Arial"/>
          <w:color w:val="000000" w:themeColor="text1"/>
        </w:rPr>
      </w:pPr>
      <w:bookmarkStart w:id="3" w:name="_Toc235987421"/>
      <w:r w:rsidRPr="00D80E3C">
        <w:rPr>
          <w:rFonts w:ascii="Arial" w:hAnsi="Arial" w:cs="Arial"/>
          <w:color w:val="000000" w:themeColor="text1"/>
        </w:rPr>
        <w:t>Part B: Centralisation and Decentralisation within the Case Study</w:t>
      </w:r>
      <w:bookmarkEnd w:id="3"/>
    </w:p>
    <w:p w14:paraId="64BFE74C" w14:textId="77777777" w:rsidR="00A07072" w:rsidRDefault="00A07072" w:rsidP="00D80E3C">
      <w:pPr>
        <w:jc w:val="both"/>
      </w:pPr>
      <w:r w:rsidRPr="00A07072">
        <w:t xml:space="preserve">The case of Len was one which was sustained on a hybrid structure, but not in a strictly </w:t>
      </w:r>
      <w:proofErr w:type="spellStart"/>
      <w:r w:rsidRPr="00A07072">
        <w:t>centralised</w:t>
      </w:r>
      <w:proofErr w:type="spellEnd"/>
      <w:r w:rsidRPr="00A07072">
        <w:t xml:space="preserve"> or </w:t>
      </w:r>
      <w:proofErr w:type="spellStart"/>
      <w:r w:rsidRPr="00A07072">
        <w:t>decentralised</w:t>
      </w:r>
      <w:proofErr w:type="spellEnd"/>
      <w:r w:rsidRPr="00A07072">
        <w:t xml:space="preserve"> structure. It was </w:t>
      </w:r>
      <w:proofErr w:type="spellStart"/>
      <w:r w:rsidRPr="00A07072">
        <w:t>centralised</w:t>
      </w:r>
      <w:proofErr w:type="spellEnd"/>
      <w:r w:rsidRPr="00A07072">
        <w:t xml:space="preserve"> in the sense that national </w:t>
      </w:r>
      <w:proofErr w:type="spellStart"/>
      <w:r w:rsidRPr="00A07072">
        <w:t>organisations</w:t>
      </w:r>
      <w:proofErr w:type="spellEnd"/>
      <w:r w:rsidRPr="00A07072">
        <w:t xml:space="preserve"> determined the general provisions of medicines safety. Medicines labelling and packaging, NICE and the BNF influence the way of prescribing, patient safety strategy, and reporting arrangements are </w:t>
      </w:r>
      <w:r w:rsidRPr="00A07072">
        <w:lastRenderedPageBreak/>
        <w:t xml:space="preserve">established by NHS England (MHRA, 2020; NICE, 2020; NHS England, 2019). It was also </w:t>
      </w:r>
      <w:proofErr w:type="spellStart"/>
      <w:r w:rsidRPr="00A07072">
        <w:t>decentralised</w:t>
      </w:r>
      <w:proofErr w:type="spellEnd"/>
      <w:r w:rsidRPr="00A07072">
        <w:t xml:space="preserve"> in the sense that the pragmatic choices were also made at the local level: the GP diagnosed Len and prescribed morphine, the pharmacy provided it, and the patient and his wife took it at home. The major shortcoming is that the division between national regulations and local work were not actively addressed.</w:t>
      </w:r>
    </w:p>
    <w:p w14:paraId="49FC0AA7" w14:textId="77777777" w:rsidR="004C566D" w:rsidRDefault="004C566D" w:rsidP="00D80E3C">
      <w:pPr>
        <w:jc w:val="both"/>
      </w:pPr>
      <w:r w:rsidRPr="004C566D">
        <w:t xml:space="preserve">The benefits of </w:t>
      </w:r>
      <w:proofErr w:type="spellStart"/>
      <w:r w:rsidRPr="004C566D">
        <w:t>centralisation</w:t>
      </w:r>
      <w:proofErr w:type="spellEnd"/>
      <w:r w:rsidRPr="004C566D">
        <w:t xml:space="preserve"> are obvious. It generates uniformity, nationality and language of a common safety. Central rules were used in the case of Len: product information was put in the morphine packs and national recommendations were provided on how to manage pain and how to keep patients safe. Learning through numerous local incidents is also possible with central systems. LFPSE is the national pathway to learning through patient safety incidents, so frequent incidences of opioid confusion may be indicative of a pattern that needs to be packaged, subject to training or guidance (NHS England, 2026). Without such central visibility, community incidents may remain isolated stories rather than signals of system risk. </w:t>
      </w:r>
    </w:p>
    <w:p w14:paraId="61CE6583" w14:textId="37712683" w:rsidR="004C566D" w:rsidRDefault="004C566D" w:rsidP="00D80E3C">
      <w:pPr>
        <w:jc w:val="both"/>
      </w:pPr>
      <w:r w:rsidRPr="004C566D">
        <w:t xml:space="preserve">The weakness is that there is a danger of </w:t>
      </w:r>
      <w:proofErr w:type="spellStart"/>
      <w:r w:rsidRPr="004C566D">
        <w:t>centralisation</w:t>
      </w:r>
      <w:proofErr w:type="spellEnd"/>
      <w:r w:rsidRPr="004C566D">
        <w:t>, which can give a false security. The dispensing label was placed on the outer box that was legal and, however, Len and his wife did not see it. The product information about the bottle strength was valid, but was interpreted as dose. The 5ml syringe contained the standard doses, and HSIB noted that the 1.25ml doses, the lower dose, could not be measured simply (HSIB, 2022). Essential regulations thus formed a lowest safety base yet not a user-friendly safety design. In the case of patients taking opioids at home, and who are frail, compliance is not the main aspect, but the safe behavior/action is one that should be easy to learn and easy to implement.</w:t>
      </w:r>
    </w:p>
    <w:p w14:paraId="79271724" w14:textId="77777777" w:rsidR="004C566D" w:rsidRDefault="004C566D" w:rsidP="00D80E3C">
      <w:pPr>
        <w:jc w:val="both"/>
      </w:pPr>
      <w:r w:rsidRPr="004C566D">
        <w:t xml:space="preserve">There were also strong points with </w:t>
      </w:r>
      <w:proofErr w:type="spellStart"/>
      <w:r w:rsidRPr="004C566D">
        <w:t>decentralisation</w:t>
      </w:r>
      <w:proofErr w:type="spellEnd"/>
      <w:r w:rsidRPr="004C566D">
        <w:t xml:space="preserve">. It allowed the GP to make an </w:t>
      </w:r>
      <w:proofErr w:type="spellStart"/>
      <w:r w:rsidRPr="004C566D">
        <w:t>individualised</w:t>
      </w:r>
      <w:proofErr w:type="spellEnd"/>
      <w:r w:rsidRPr="004C566D">
        <w:t xml:space="preserve"> clinical decision for Len. According to HSIB, the selected morphine liquid and lower dosage were rational, as Len was exhibiting age, pain, impaired kidney function, and did not use opioids recently (HSIB, 2022). Counselling can be personalized too by the local pharmacy practice, showing how to use a syringe, for added comprehension of hearing, memory, vision or dexterity need adaptation of the dose. It aligns with the Royal Pharmaceutical Society guidance on safe and secure medication handling that applies to all healthcare facilities and indicates that the principles mentioned can underpin the application of professionals in the field of handling medicines in people households (Royal Pharmaceutical Society, 2018).</w:t>
      </w:r>
    </w:p>
    <w:p w14:paraId="53F17F22" w14:textId="1FB18AD0" w:rsidR="004C566D" w:rsidRDefault="004C566D" w:rsidP="00D80E3C">
      <w:pPr>
        <w:jc w:val="both"/>
      </w:pPr>
      <w:r w:rsidRPr="004C566D">
        <w:t xml:space="preserve"> The disadvantage is variation. The teaching-back and follow-up might be given by one of the local teams and the written information could be used by another team due to time constraints or due to routine. The community pharmacy could not collaborate with HSIB and this hindered the </w:t>
      </w:r>
      <w:r w:rsidRPr="004C566D">
        <w:lastRenderedPageBreak/>
        <w:t xml:space="preserve">acquisition of information about the dispensing and counselling (HSIB, 2022). This is important since a high-risk pathway is not supposed to be based on whether one of the local teams is a particularly lucky occurrence and exceeds minimum practice. It requires a dependable guideline on all susceptible patients who would commence taking oral morphine at home. The occurrence of dispensing incidents and near misses is also evidence-based by the work of community pharmacy studies revealing that the selection, labelling, workload, and workflow pressures could be involved in selection, dispensing, and near misses (Ashcroft et al., 2005; Campbell et al., 2018; Adie et al., 2021). </w:t>
      </w:r>
    </w:p>
    <w:p w14:paraId="0ECEA971" w14:textId="77777777" w:rsidR="004C566D" w:rsidRDefault="004C566D" w:rsidP="00D80E3C">
      <w:pPr>
        <w:jc w:val="both"/>
      </w:pPr>
      <w:r w:rsidRPr="004C566D">
        <w:t xml:space="preserve">There is evidence in numbers that evidence this governance concern. England has an estimated 237 million medication errors each year, including 66 million potentially clinically significant errors (Elliott et al., 2021). LFPSE data showed that incidents had been received from 2,535 registered pharmacies and 982 registered GP practices by December 2024 (NHS England, 2026). These numbers indicate coverage of reporting throughout transition to LFPSE instead of the actual rate of medication harm, but suggest that the nation was still learning by communities. The NHS Staff Survey 2025 established that 86.16% of the staff stated that their </w:t>
      </w:r>
      <w:proofErr w:type="spellStart"/>
      <w:r w:rsidRPr="004C566D">
        <w:t>organisation</w:t>
      </w:r>
      <w:proofErr w:type="spellEnd"/>
      <w:r w:rsidRPr="004C566D">
        <w:t xml:space="preserve"> promoted reporting, however, only 67.30% of the staff said that an action would be taken to prevent recurrence and only 61.02% of the staff leaders had feedback after an incident of reporting (NHS Staff Survey, 2026). This indicates a difference between visible learning and intention to report.</w:t>
      </w:r>
    </w:p>
    <w:p w14:paraId="5699F1E4" w14:textId="77777777" w:rsidR="004C566D" w:rsidRDefault="004C566D" w:rsidP="00D80E3C">
      <w:pPr>
        <w:jc w:val="both"/>
      </w:pPr>
      <w:r w:rsidRPr="004C566D">
        <w:t xml:space="preserve">Crisis management was more robust following post-harm situations than preceding harm situations. When Len was not woken up, his wife summoned assistance, ambulance came and the care of the hospital provided. In the upstream, the pathway failed to avert the crisis since there was no testing of the processes of prescribing, dispensing and home administration as a unit process. There was weak accountability that was shared. A stronger hybrid model would keep central standards, but require local evidence of teach-back, syringe suitability, visible dose reinforcement and early follow-up. Generally, </w:t>
      </w:r>
      <w:proofErr w:type="spellStart"/>
      <w:r w:rsidRPr="004C566D">
        <w:t>standardisation</w:t>
      </w:r>
      <w:proofErr w:type="spellEnd"/>
      <w:r w:rsidRPr="004C566D">
        <w:t xml:space="preserve"> was able to be supported by the </w:t>
      </w:r>
      <w:proofErr w:type="spellStart"/>
      <w:r w:rsidRPr="004C566D">
        <w:t>centralisation</w:t>
      </w:r>
      <w:proofErr w:type="spellEnd"/>
      <w:r w:rsidRPr="004C566D">
        <w:t xml:space="preserve">, but not by the usability, and responsiveness could be supported by the </w:t>
      </w:r>
      <w:proofErr w:type="spellStart"/>
      <w:r w:rsidRPr="004C566D">
        <w:t>decentralisation</w:t>
      </w:r>
      <w:proofErr w:type="spellEnd"/>
      <w:r w:rsidRPr="004C566D">
        <w:t>, but not by reliability. The case hence warrants the use of integrated governance, as the national design standards and local practice are linked by way of some quantifiable controls and feed-loop.</w:t>
      </w:r>
    </w:p>
    <w:p w14:paraId="33682DCC" w14:textId="77777777" w:rsidR="004243AA" w:rsidRPr="00217414" w:rsidRDefault="00000000" w:rsidP="00217414">
      <w:pPr>
        <w:rPr>
          <w:b/>
          <w:bCs/>
        </w:rPr>
      </w:pPr>
      <w:r w:rsidRPr="00217414">
        <w:rPr>
          <w:b/>
          <w:bCs/>
        </w:rPr>
        <w:t xml:space="preserve">Table 2: </w:t>
      </w:r>
      <w:proofErr w:type="spellStart"/>
      <w:r w:rsidRPr="00217414">
        <w:rPr>
          <w:b/>
          <w:bCs/>
        </w:rPr>
        <w:t>Centralised</w:t>
      </w:r>
      <w:proofErr w:type="spellEnd"/>
      <w:r w:rsidRPr="00217414">
        <w:rPr>
          <w:b/>
          <w:bCs/>
        </w:rPr>
        <w:t xml:space="preserve"> and </w:t>
      </w:r>
      <w:proofErr w:type="spellStart"/>
      <w:r w:rsidRPr="00217414">
        <w:rPr>
          <w:b/>
          <w:bCs/>
        </w:rPr>
        <w:t>decentralised</w:t>
      </w:r>
      <w:proofErr w:type="spellEnd"/>
      <w:r w:rsidRPr="00217414">
        <w:rPr>
          <w:b/>
          <w:bCs/>
        </w:rPr>
        <w:t xml:space="preserve"> controls in Len's case</w:t>
      </w:r>
    </w:p>
    <w:tbl>
      <w:tblPr>
        <w:tblStyle w:val="TableGrid"/>
        <w:tblW w:w="0" w:type="auto"/>
        <w:jc w:val="center"/>
        <w:tblLook w:val="04A0" w:firstRow="1" w:lastRow="0" w:firstColumn="1" w:lastColumn="0" w:noHBand="0" w:noVBand="1"/>
      </w:tblPr>
      <w:tblGrid>
        <w:gridCol w:w="1766"/>
        <w:gridCol w:w="2433"/>
        <w:gridCol w:w="2603"/>
        <w:gridCol w:w="2548"/>
      </w:tblGrid>
      <w:tr w:rsidR="004243AA" w:rsidRPr="00D80E3C" w14:paraId="25AD6AF0" w14:textId="77777777">
        <w:trPr>
          <w:jc w:val="center"/>
        </w:trPr>
        <w:tc>
          <w:tcPr>
            <w:tcW w:w="1872" w:type="dxa"/>
            <w:shd w:val="clear" w:color="auto" w:fill="D9EAF7"/>
          </w:tcPr>
          <w:p w14:paraId="3EB1AAB9" w14:textId="77777777" w:rsidR="004243AA" w:rsidRPr="00D80E3C" w:rsidRDefault="00000000">
            <w:pPr>
              <w:spacing w:after="40" w:line="276" w:lineRule="auto"/>
            </w:pPr>
            <w:r w:rsidRPr="00D80E3C">
              <w:rPr>
                <w:b/>
              </w:rPr>
              <w:t>Structure</w:t>
            </w:r>
          </w:p>
        </w:tc>
        <w:tc>
          <w:tcPr>
            <w:tcW w:w="2880" w:type="dxa"/>
            <w:shd w:val="clear" w:color="auto" w:fill="D9EAF7"/>
          </w:tcPr>
          <w:p w14:paraId="40EF5D37" w14:textId="77777777" w:rsidR="004243AA" w:rsidRPr="00D80E3C" w:rsidRDefault="00000000">
            <w:pPr>
              <w:spacing w:after="40" w:line="276" w:lineRule="auto"/>
            </w:pPr>
            <w:r w:rsidRPr="00D80E3C">
              <w:rPr>
                <w:b/>
              </w:rPr>
              <w:t>Case-specific feature</w:t>
            </w:r>
          </w:p>
        </w:tc>
        <w:tc>
          <w:tcPr>
            <w:tcW w:w="3024" w:type="dxa"/>
            <w:shd w:val="clear" w:color="auto" w:fill="D9EAF7"/>
          </w:tcPr>
          <w:p w14:paraId="39D7D0EF" w14:textId="77777777" w:rsidR="004243AA" w:rsidRPr="00D80E3C" w:rsidRDefault="00000000">
            <w:pPr>
              <w:spacing w:after="40" w:line="276" w:lineRule="auto"/>
            </w:pPr>
            <w:r w:rsidRPr="00D80E3C">
              <w:rPr>
                <w:b/>
              </w:rPr>
              <w:t>Benefit in Len's case</w:t>
            </w:r>
          </w:p>
        </w:tc>
        <w:tc>
          <w:tcPr>
            <w:tcW w:w="3024" w:type="dxa"/>
            <w:shd w:val="clear" w:color="auto" w:fill="D9EAF7"/>
          </w:tcPr>
          <w:p w14:paraId="27774561" w14:textId="77777777" w:rsidR="004243AA" w:rsidRPr="00D80E3C" w:rsidRDefault="00000000">
            <w:pPr>
              <w:spacing w:after="40" w:line="276" w:lineRule="auto"/>
            </w:pPr>
            <w:r w:rsidRPr="00D80E3C">
              <w:rPr>
                <w:b/>
              </w:rPr>
              <w:t>Risk or limitation in Len's case</w:t>
            </w:r>
          </w:p>
        </w:tc>
      </w:tr>
      <w:tr w:rsidR="004243AA" w:rsidRPr="00D80E3C" w14:paraId="1910F8AE" w14:textId="77777777">
        <w:trPr>
          <w:jc w:val="center"/>
        </w:trPr>
        <w:tc>
          <w:tcPr>
            <w:tcW w:w="1872" w:type="dxa"/>
          </w:tcPr>
          <w:p w14:paraId="08EC44B8" w14:textId="77777777" w:rsidR="004243AA" w:rsidRPr="00D80E3C" w:rsidRDefault="00000000">
            <w:pPr>
              <w:spacing w:after="40" w:line="276" w:lineRule="auto"/>
            </w:pPr>
            <w:r w:rsidRPr="00D80E3C">
              <w:lastRenderedPageBreak/>
              <w:t>Centralised governance</w:t>
            </w:r>
          </w:p>
        </w:tc>
        <w:tc>
          <w:tcPr>
            <w:tcW w:w="2880" w:type="dxa"/>
          </w:tcPr>
          <w:p w14:paraId="6B14FDEA" w14:textId="77777777" w:rsidR="004243AA" w:rsidRPr="00D80E3C" w:rsidRDefault="00000000">
            <w:pPr>
              <w:spacing w:after="40" w:line="276" w:lineRule="auto"/>
            </w:pPr>
            <w:r w:rsidRPr="00D80E3C">
              <w:t>MHRA labelling rules, NICE and BNF guidance, NHS patient safety strategy and LFPSE reporting.</w:t>
            </w:r>
          </w:p>
        </w:tc>
        <w:tc>
          <w:tcPr>
            <w:tcW w:w="3024" w:type="dxa"/>
          </w:tcPr>
          <w:p w14:paraId="1F5DE741" w14:textId="77777777" w:rsidR="004243AA" w:rsidRPr="00D80E3C" w:rsidRDefault="00000000">
            <w:pPr>
              <w:spacing w:after="40" w:line="276" w:lineRule="auto"/>
            </w:pPr>
            <w:r w:rsidRPr="00D80E3C">
              <w:t>Creates consistent national standards and allows pooled learning from repeated incidents.</w:t>
            </w:r>
          </w:p>
        </w:tc>
        <w:tc>
          <w:tcPr>
            <w:tcW w:w="3024" w:type="dxa"/>
          </w:tcPr>
          <w:p w14:paraId="707D7C28" w14:textId="77777777" w:rsidR="004243AA" w:rsidRPr="00D80E3C" w:rsidRDefault="00000000">
            <w:pPr>
              <w:spacing w:after="40" w:line="276" w:lineRule="auto"/>
            </w:pPr>
            <w:r w:rsidRPr="00D80E3C">
              <w:t>Formal compliance did not ensure the correct dose was usable and visible in the home.</w:t>
            </w:r>
          </w:p>
        </w:tc>
      </w:tr>
      <w:tr w:rsidR="004243AA" w:rsidRPr="00D80E3C" w14:paraId="02CC8736" w14:textId="77777777">
        <w:trPr>
          <w:jc w:val="center"/>
        </w:trPr>
        <w:tc>
          <w:tcPr>
            <w:tcW w:w="1872" w:type="dxa"/>
          </w:tcPr>
          <w:p w14:paraId="3B20DF49" w14:textId="77777777" w:rsidR="004243AA" w:rsidRPr="00D80E3C" w:rsidRDefault="00000000">
            <w:pPr>
              <w:spacing w:after="40" w:line="276" w:lineRule="auto"/>
            </w:pPr>
            <w:r w:rsidRPr="00D80E3C">
              <w:t>Decentralised governance</w:t>
            </w:r>
          </w:p>
        </w:tc>
        <w:tc>
          <w:tcPr>
            <w:tcW w:w="2880" w:type="dxa"/>
          </w:tcPr>
          <w:p w14:paraId="7722D692" w14:textId="77777777" w:rsidR="004243AA" w:rsidRPr="00D80E3C" w:rsidRDefault="00000000">
            <w:pPr>
              <w:spacing w:after="40" w:line="276" w:lineRule="auto"/>
            </w:pPr>
            <w:r w:rsidRPr="00D80E3C">
              <w:t>GP prescribing, pharmacy dispensing and counselling, family administration at home.</w:t>
            </w:r>
          </w:p>
        </w:tc>
        <w:tc>
          <w:tcPr>
            <w:tcW w:w="3024" w:type="dxa"/>
          </w:tcPr>
          <w:p w14:paraId="0E8EA431" w14:textId="77777777" w:rsidR="004243AA" w:rsidRPr="00D80E3C" w:rsidRDefault="00000000">
            <w:pPr>
              <w:spacing w:after="40" w:line="276" w:lineRule="auto"/>
            </w:pPr>
            <w:r w:rsidRPr="00D80E3C">
              <w:t>Allows individualised clinical judgement and tailored communication for Len and his wife.</w:t>
            </w:r>
          </w:p>
        </w:tc>
        <w:tc>
          <w:tcPr>
            <w:tcW w:w="3024" w:type="dxa"/>
          </w:tcPr>
          <w:p w14:paraId="113D96BD" w14:textId="77777777" w:rsidR="004243AA" w:rsidRPr="00D80E3C" w:rsidRDefault="00000000">
            <w:pPr>
              <w:spacing w:after="40" w:line="276" w:lineRule="auto"/>
            </w:pPr>
            <w:r w:rsidRPr="00D80E3C">
              <w:t>Counselling, teach-back and follow-up may vary by local practice and workload.</w:t>
            </w:r>
          </w:p>
        </w:tc>
      </w:tr>
      <w:tr w:rsidR="004243AA" w:rsidRPr="00D80E3C" w14:paraId="1DA0FAC5" w14:textId="77777777">
        <w:trPr>
          <w:jc w:val="center"/>
        </w:trPr>
        <w:tc>
          <w:tcPr>
            <w:tcW w:w="1872" w:type="dxa"/>
          </w:tcPr>
          <w:p w14:paraId="7B6BDF15" w14:textId="77777777" w:rsidR="004243AA" w:rsidRPr="00D80E3C" w:rsidRDefault="00000000">
            <w:pPr>
              <w:spacing w:after="40" w:line="276" w:lineRule="auto"/>
            </w:pPr>
            <w:r w:rsidRPr="00D80E3C">
              <w:t>Hybrid pathway</w:t>
            </w:r>
          </w:p>
        </w:tc>
        <w:tc>
          <w:tcPr>
            <w:tcW w:w="2880" w:type="dxa"/>
          </w:tcPr>
          <w:p w14:paraId="745A18DF" w14:textId="77777777" w:rsidR="004243AA" w:rsidRPr="00D80E3C" w:rsidRDefault="00000000">
            <w:pPr>
              <w:spacing w:after="40" w:line="276" w:lineRule="auto"/>
            </w:pPr>
            <w:r w:rsidRPr="00D80E3C">
              <w:t>National standards were delivered through local primary care and community pharmacy.</w:t>
            </w:r>
          </w:p>
        </w:tc>
        <w:tc>
          <w:tcPr>
            <w:tcW w:w="3024" w:type="dxa"/>
          </w:tcPr>
          <w:p w14:paraId="3F7917AD" w14:textId="77777777" w:rsidR="004243AA" w:rsidRPr="00D80E3C" w:rsidRDefault="00000000">
            <w:pPr>
              <w:spacing w:after="40" w:line="276" w:lineRule="auto"/>
            </w:pPr>
            <w:r w:rsidRPr="00D80E3C">
              <w:t>Could combine national safety floors with local responsiveness.</w:t>
            </w:r>
          </w:p>
        </w:tc>
        <w:tc>
          <w:tcPr>
            <w:tcW w:w="3024" w:type="dxa"/>
          </w:tcPr>
          <w:p w14:paraId="238E1AA5" w14:textId="77777777" w:rsidR="004243AA" w:rsidRPr="00D80E3C" w:rsidRDefault="00000000">
            <w:pPr>
              <w:spacing w:after="40" w:line="276" w:lineRule="auto"/>
            </w:pPr>
            <w:r w:rsidRPr="00D80E3C">
              <w:t>Unsafe if no one owns the GP-pharmacy-home interface or measures whether the patient can use the medicine safely.</w:t>
            </w:r>
          </w:p>
        </w:tc>
      </w:tr>
      <w:tr w:rsidR="004243AA" w:rsidRPr="00D80E3C" w14:paraId="2EE4C3EA" w14:textId="77777777">
        <w:trPr>
          <w:jc w:val="center"/>
        </w:trPr>
        <w:tc>
          <w:tcPr>
            <w:tcW w:w="1872" w:type="dxa"/>
          </w:tcPr>
          <w:p w14:paraId="43C10E57" w14:textId="77777777" w:rsidR="004243AA" w:rsidRPr="00D80E3C" w:rsidRDefault="00000000">
            <w:pPr>
              <w:spacing w:after="40" w:line="276" w:lineRule="auto"/>
            </w:pPr>
            <w:r w:rsidRPr="00D80E3C">
              <w:t>Crisis response</w:t>
            </w:r>
          </w:p>
        </w:tc>
        <w:tc>
          <w:tcPr>
            <w:tcW w:w="2880" w:type="dxa"/>
          </w:tcPr>
          <w:p w14:paraId="604FF0FA" w14:textId="77777777" w:rsidR="004243AA" w:rsidRPr="00D80E3C" w:rsidRDefault="00000000">
            <w:pPr>
              <w:spacing w:after="40" w:line="276" w:lineRule="auto"/>
            </w:pPr>
            <w:r w:rsidRPr="00D80E3C">
              <w:t>Family called emergency help when Len could not be woken and hospital care responded.</w:t>
            </w:r>
          </w:p>
        </w:tc>
        <w:tc>
          <w:tcPr>
            <w:tcW w:w="3024" w:type="dxa"/>
          </w:tcPr>
          <w:p w14:paraId="75DC8AB2" w14:textId="77777777" w:rsidR="004243AA" w:rsidRPr="00D80E3C" w:rsidRDefault="00000000">
            <w:pPr>
              <w:spacing w:after="40" w:line="276" w:lineRule="auto"/>
            </w:pPr>
            <w:r w:rsidRPr="00D80E3C">
              <w:t>Downstream emergency services reacted once harm was visible.</w:t>
            </w:r>
          </w:p>
        </w:tc>
        <w:tc>
          <w:tcPr>
            <w:tcW w:w="3024" w:type="dxa"/>
          </w:tcPr>
          <w:p w14:paraId="28C1D3BD" w14:textId="77777777" w:rsidR="004243AA" w:rsidRPr="00D80E3C" w:rsidRDefault="00000000">
            <w:pPr>
              <w:spacing w:after="40" w:line="276" w:lineRule="auto"/>
            </w:pPr>
            <w:r w:rsidRPr="00D80E3C">
              <w:t>Prevention was weak because the overdose risk was not controlled before home administration.</w:t>
            </w:r>
          </w:p>
        </w:tc>
      </w:tr>
    </w:tbl>
    <w:p w14:paraId="193CC213" w14:textId="77777777" w:rsidR="004243AA" w:rsidRPr="00D80E3C" w:rsidRDefault="00000000">
      <w:pPr>
        <w:pStyle w:val="Heading1"/>
        <w:rPr>
          <w:rFonts w:ascii="Arial" w:hAnsi="Arial" w:cs="Arial"/>
          <w:color w:val="000000" w:themeColor="text1"/>
        </w:rPr>
      </w:pPr>
      <w:bookmarkStart w:id="4" w:name="_Toc235987422"/>
      <w:r w:rsidRPr="00D80E3C">
        <w:rPr>
          <w:rFonts w:ascii="Arial" w:hAnsi="Arial" w:cs="Arial"/>
          <w:color w:val="000000" w:themeColor="text1"/>
        </w:rPr>
        <w:t>Part C: Leadership Theories and Application to the Case Study</w:t>
      </w:r>
      <w:bookmarkEnd w:id="4"/>
    </w:p>
    <w:p w14:paraId="11192604" w14:textId="77777777" w:rsidR="00764FE8" w:rsidRDefault="00764FE8" w:rsidP="00D80E3C">
      <w:pPr>
        <w:jc w:val="both"/>
      </w:pPr>
      <w:r w:rsidRPr="00764FE8">
        <w:t xml:space="preserve">The XYZ theory is the first leadership lens that combines theory X and Theory Y of McGregor with Theory Z of Ouchi, which presupposes that individuals require direction, control, and compliance systems mainly. Theory Y assumes that people can exercise responsibility when the conditions and support are right (McGregor, 1960). Theory Z adds trust, participation and shared responsibility (Ouchi, 1981). The route taken by Len partially embodied a small-scale Theory X reasoning: when the prescription, label, and leaflet are provided, the users would ensure they do the right thing. This was a risky assumption since Len and his wife were not </w:t>
      </w:r>
      <w:proofErr w:type="spellStart"/>
      <w:r w:rsidRPr="00764FE8">
        <w:t>not</w:t>
      </w:r>
      <w:proofErr w:type="spellEnd"/>
      <w:r w:rsidRPr="00764FE8">
        <w:t xml:space="preserve"> following instructions but a process of interpreting the confusing information.</w:t>
      </w:r>
    </w:p>
    <w:p w14:paraId="45D8E090" w14:textId="77777777" w:rsidR="004D2C7B" w:rsidRDefault="004D2C7B" w:rsidP="00D80E3C">
      <w:pPr>
        <w:jc w:val="both"/>
      </w:pPr>
      <w:r w:rsidRPr="004D2C7B">
        <w:t xml:space="preserve">Theory Z and Theory Y provide a theory that is more explanatory. Len and his wife should have been considered as competent partners but this was possible under the condition that the system had provided adequate conditions of safe participation. This would require practical demonstration, teach-back, checking the measuring device, inviting questions and involving the family in safety-netting. Theory Z is relevant because Len trusted his longstanding GP and his family were involved in his care. Shared understanding should have been supported by trust, as </w:t>
      </w:r>
      <w:r w:rsidRPr="004D2C7B">
        <w:lastRenderedPageBreak/>
        <w:t>opposed to verification. The important takeaway of the XYZ theory is that the leadership approach of compliance is inadequate with managing high-risk medicines at home.</w:t>
      </w:r>
    </w:p>
    <w:p w14:paraId="4DE9E042" w14:textId="77777777" w:rsidR="004D2C7B" w:rsidRDefault="004D2C7B" w:rsidP="00D80E3C">
      <w:pPr>
        <w:jc w:val="both"/>
      </w:pPr>
      <w:r w:rsidRPr="004D2C7B">
        <w:t xml:space="preserve">The second necessary lens is the leadership continuum that is offered by Tannenbaum and Schmidt. This theory shows leadership </w:t>
      </w:r>
      <w:proofErr w:type="spellStart"/>
      <w:r w:rsidRPr="004D2C7B">
        <w:t>behaviour</w:t>
      </w:r>
      <w:proofErr w:type="spellEnd"/>
      <w:r w:rsidRPr="004D2C7B">
        <w:t xml:space="preserve"> moving from leader-</w:t>
      </w:r>
      <w:proofErr w:type="spellStart"/>
      <w:r w:rsidRPr="004D2C7B">
        <w:t>centred</w:t>
      </w:r>
      <w:proofErr w:type="spellEnd"/>
      <w:r w:rsidRPr="004D2C7B">
        <w:t xml:space="preserve"> authority to subordinate-</w:t>
      </w:r>
      <w:proofErr w:type="spellStart"/>
      <w:r w:rsidRPr="004D2C7B">
        <w:t>centred</w:t>
      </w:r>
      <w:proofErr w:type="spellEnd"/>
      <w:r w:rsidRPr="004D2C7B">
        <w:t xml:space="preserve"> participation, depending on the situation, team and task (Tannenbaum and Schmidt, 1958). The balance must have been in the middle in the case of Len. The dose prescription had to be prescriptive since the medication was a high-risk opioid and the dosage of </w:t>
      </w:r>
      <w:proofErr w:type="spellStart"/>
      <w:r w:rsidRPr="004D2C7B">
        <w:t>millilitre</w:t>
      </w:r>
      <w:proofErr w:type="spellEnd"/>
      <w:r w:rsidRPr="004D2C7B">
        <w:t xml:space="preserve"> could not be compromised. Meanwhile, home administration was needed as Len and his wife needed to know, measure and be aware of when to take the medicine.</w:t>
      </w:r>
    </w:p>
    <w:p w14:paraId="57A5EC46" w14:textId="77777777" w:rsidR="004D2C7B" w:rsidRDefault="004D2C7B" w:rsidP="00D80E3C">
      <w:pPr>
        <w:jc w:val="both"/>
      </w:pPr>
      <w:r w:rsidRPr="004D2C7B">
        <w:t>This balance was not achieved. The written information provided through the pathway did not adequately engage Len and his wife in modeling the task. An even more continuum-oriented practice would imply that the GP or pharmacist tells the dose, the carer administers it, the professional clarifies the understanding, and the family tells him what they would designate in case Len would be sleepy or breathless. This is safety boundary participatory leadership. It is not dictate-only and it does not leave patients to their own devices.</w:t>
      </w:r>
    </w:p>
    <w:p w14:paraId="162243D4" w14:textId="77777777" w:rsidR="004D2C7B" w:rsidRDefault="004D2C7B" w:rsidP="00D80E3C">
      <w:pPr>
        <w:jc w:val="both"/>
      </w:pPr>
      <w:r w:rsidRPr="004D2C7B">
        <w:t xml:space="preserve">Transactional leadership can also be related to the fact that high-risk medicines require standards, positions, documentation and audit (Bass, 1985; Northouse, 2022). In the case of Len, there was transactional leadership; albeit not complete. A prescription was made, medicine </w:t>
      </w:r>
      <w:proofErr w:type="spellStart"/>
      <w:r w:rsidRPr="004D2C7B">
        <w:t>dispensables</w:t>
      </w:r>
      <w:proofErr w:type="spellEnd"/>
      <w:r w:rsidRPr="004D2C7B">
        <w:t xml:space="preserve"> were made and management information was available. But the norm did not entail evidence that the family could safely utilize the medicine. The introduction of opioid bundles would require an increased level of transactional control to make the initiation of opioid bundles in vulnerable patients binding and auditable. </w:t>
      </w:r>
    </w:p>
    <w:p w14:paraId="2BA62437" w14:textId="46B7D990" w:rsidR="004D2C7B" w:rsidRDefault="004D2C7B" w:rsidP="00D80E3C">
      <w:pPr>
        <w:jc w:val="both"/>
      </w:pPr>
      <w:r w:rsidRPr="004D2C7B">
        <w:t>Transformational leadership would add purpose and culture. Transformational leaders put hazardous habits to the test and encourage change (Burns, 1978; Bass, 1985). Oral morphine safety, in this instance, would be considered a common aspect of practice improvement across GP practice, pharmacy and home through the use of transformational leadership. This aligns with evidence that transformational and relational leadership are associated with better safety culture, staff outcomes and patient outcomes (Wong et al., 2013; Boamah et al., 2018).</w:t>
      </w:r>
    </w:p>
    <w:p w14:paraId="267B5BB1" w14:textId="77777777" w:rsidR="004D2C7B" w:rsidRDefault="004D2C7B" w:rsidP="00D80E3C">
      <w:pPr>
        <w:jc w:val="both"/>
      </w:pPr>
      <w:r w:rsidRPr="004D2C7B">
        <w:t xml:space="preserve">The emotional intelligence is important also. HSIB (2022) reported that Len and his wife had limited manual dexterity, while his wife had hearing and memory difficulties and the family faced conflicting advice. Any emotionally intelligent leadership would foresee such cognitive and emotional burden, plain language, clarify the explanation more gradually and request the carer to </w:t>
      </w:r>
      <w:r w:rsidRPr="004D2C7B">
        <w:lastRenderedPageBreak/>
        <w:t xml:space="preserve">explain the dose and give supportive follow-ups (Goleman, 1998). It is not a tender additional, it is a safety control. </w:t>
      </w:r>
    </w:p>
    <w:p w14:paraId="4FC94DB6" w14:textId="03243B04" w:rsidR="004D2C7B" w:rsidRDefault="004D2C7B" w:rsidP="00D80E3C">
      <w:pPr>
        <w:jc w:val="both"/>
      </w:pPr>
      <w:r w:rsidRPr="004D2C7B">
        <w:t xml:space="preserve">The broader evidence demonstrates that learning culture is not something which can be presupposed. The NHS Staff Survey 2025 reports a response rate of 71.10% of staff responding that they would feel safe to report a case of unsafe clinical practice but only 55.49% of them were sure that their </w:t>
      </w:r>
      <w:proofErr w:type="spellStart"/>
      <w:r w:rsidRPr="004D2C7B">
        <w:t>organisation</w:t>
      </w:r>
      <w:proofErr w:type="spellEnd"/>
      <w:r w:rsidRPr="004D2C7B">
        <w:t xml:space="preserve"> would respond (NHS Staff Survey, 2026). The general conclusion is that the risk level did not match the pathway used by Len that was routinely-compliance oriented. XYZ theory and the continuum of Tannenbaum and Schmidt demonstrate that responsibility, evident professional guidance and engagement of the carer, supported by transactional, transformational</w:t>
      </w:r>
      <w:r w:rsidR="00960573">
        <w:t xml:space="preserve"> </w:t>
      </w:r>
      <w:r w:rsidRPr="004D2C7B">
        <w:t>and emotionally intelligent leadership, is the safer response needed.</w:t>
      </w:r>
    </w:p>
    <w:p w14:paraId="310316AB" w14:textId="77777777" w:rsidR="004243AA" w:rsidRPr="001A3642" w:rsidRDefault="00000000" w:rsidP="001A3642">
      <w:pPr>
        <w:rPr>
          <w:b/>
          <w:bCs/>
        </w:rPr>
      </w:pPr>
      <w:r w:rsidRPr="001A3642">
        <w:rPr>
          <w:b/>
          <w:bCs/>
        </w:rPr>
        <w:t>Table 3: Case-specific leadership theory analysis for Len's morphine overdose</w:t>
      </w:r>
    </w:p>
    <w:tbl>
      <w:tblPr>
        <w:tblStyle w:val="TableGrid"/>
        <w:tblW w:w="0" w:type="auto"/>
        <w:jc w:val="center"/>
        <w:tblLook w:val="04A0" w:firstRow="1" w:lastRow="0" w:firstColumn="1" w:lastColumn="0" w:noHBand="0" w:noVBand="1"/>
      </w:tblPr>
      <w:tblGrid>
        <w:gridCol w:w="2116"/>
        <w:gridCol w:w="3676"/>
        <w:gridCol w:w="3558"/>
      </w:tblGrid>
      <w:tr w:rsidR="004243AA" w:rsidRPr="001A3642" w14:paraId="433038CE" w14:textId="77777777" w:rsidTr="004D2C7B">
        <w:trPr>
          <w:jc w:val="center"/>
        </w:trPr>
        <w:tc>
          <w:tcPr>
            <w:tcW w:w="2116" w:type="dxa"/>
            <w:shd w:val="clear" w:color="auto" w:fill="D9EAF7"/>
          </w:tcPr>
          <w:p w14:paraId="5E89624E" w14:textId="77777777" w:rsidR="004243AA" w:rsidRPr="001A3642" w:rsidRDefault="00000000" w:rsidP="001A3642">
            <w:pPr>
              <w:spacing w:after="40"/>
              <w:rPr>
                <w:szCs w:val="28"/>
              </w:rPr>
            </w:pPr>
            <w:r w:rsidRPr="001A3642">
              <w:rPr>
                <w:b/>
                <w:szCs w:val="28"/>
              </w:rPr>
              <w:t>Theory or style</w:t>
            </w:r>
          </w:p>
        </w:tc>
        <w:tc>
          <w:tcPr>
            <w:tcW w:w="3676" w:type="dxa"/>
            <w:shd w:val="clear" w:color="auto" w:fill="D9EAF7"/>
          </w:tcPr>
          <w:p w14:paraId="578D2F6A" w14:textId="77777777" w:rsidR="004243AA" w:rsidRPr="001A3642" w:rsidRDefault="00000000" w:rsidP="001A3642">
            <w:pPr>
              <w:spacing w:after="40"/>
              <w:rPr>
                <w:szCs w:val="28"/>
              </w:rPr>
            </w:pPr>
            <w:r w:rsidRPr="001A3642">
              <w:rPr>
                <w:b/>
                <w:szCs w:val="28"/>
              </w:rPr>
              <w:t>Case application</w:t>
            </w:r>
          </w:p>
        </w:tc>
        <w:tc>
          <w:tcPr>
            <w:tcW w:w="3558" w:type="dxa"/>
            <w:shd w:val="clear" w:color="auto" w:fill="D9EAF7"/>
          </w:tcPr>
          <w:p w14:paraId="5E60D09E" w14:textId="77777777" w:rsidR="004243AA" w:rsidRPr="001A3642" w:rsidRDefault="00000000" w:rsidP="001A3642">
            <w:pPr>
              <w:spacing w:after="40"/>
              <w:rPr>
                <w:szCs w:val="28"/>
              </w:rPr>
            </w:pPr>
            <w:r w:rsidRPr="001A3642">
              <w:rPr>
                <w:b/>
                <w:szCs w:val="28"/>
              </w:rPr>
              <w:t>Critical judgement for Len's case</w:t>
            </w:r>
          </w:p>
        </w:tc>
      </w:tr>
      <w:tr w:rsidR="004243AA" w:rsidRPr="001A3642" w14:paraId="2B89B7CF" w14:textId="77777777" w:rsidTr="004D2C7B">
        <w:trPr>
          <w:jc w:val="center"/>
        </w:trPr>
        <w:tc>
          <w:tcPr>
            <w:tcW w:w="2116" w:type="dxa"/>
          </w:tcPr>
          <w:p w14:paraId="2C0016E5" w14:textId="77777777" w:rsidR="004243AA" w:rsidRPr="001A3642" w:rsidRDefault="00000000" w:rsidP="001A3642">
            <w:pPr>
              <w:spacing w:after="40"/>
              <w:rPr>
                <w:szCs w:val="28"/>
              </w:rPr>
            </w:pPr>
            <w:r w:rsidRPr="001A3642">
              <w:rPr>
                <w:szCs w:val="28"/>
              </w:rPr>
              <w:t>XYZ theory</w:t>
            </w:r>
          </w:p>
        </w:tc>
        <w:tc>
          <w:tcPr>
            <w:tcW w:w="3676" w:type="dxa"/>
          </w:tcPr>
          <w:p w14:paraId="1A7B23CA" w14:textId="77777777" w:rsidR="004243AA" w:rsidRPr="001A3642" w:rsidRDefault="00000000" w:rsidP="001A3642">
            <w:pPr>
              <w:spacing w:after="40"/>
              <w:rPr>
                <w:szCs w:val="28"/>
              </w:rPr>
            </w:pPr>
            <w:r w:rsidRPr="001A3642">
              <w:rPr>
                <w:szCs w:val="28"/>
              </w:rPr>
              <w:t>Written instructions reflected a control-based approach, but Len and his wife needed supported responsibility and shared understanding.</w:t>
            </w:r>
          </w:p>
        </w:tc>
        <w:tc>
          <w:tcPr>
            <w:tcW w:w="3558" w:type="dxa"/>
          </w:tcPr>
          <w:p w14:paraId="0118B2A3" w14:textId="77777777" w:rsidR="004243AA" w:rsidRPr="001A3642" w:rsidRDefault="00000000" w:rsidP="001A3642">
            <w:pPr>
              <w:spacing w:after="40"/>
              <w:rPr>
                <w:szCs w:val="28"/>
              </w:rPr>
            </w:pPr>
            <w:r w:rsidRPr="001A3642">
              <w:rPr>
                <w:szCs w:val="28"/>
              </w:rPr>
              <w:t>The pathway relied too much on assumed compliance and too little on participation, trust and verified capability.</w:t>
            </w:r>
          </w:p>
        </w:tc>
      </w:tr>
      <w:tr w:rsidR="004243AA" w:rsidRPr="001A3642" w14:paraId="7BE5ED5D" w14:textId="77777777" w:rsidTr="004D2C7B">
        <w:trPr>
          <w:jc w:val="center"/>
        </w:trPr>
        <w:tc>
          <w:tcPr>
            <w:tcW w:w="2116" w:type="dxa"/>
          </w:tcPr>
          <w:p w14:paraId="5D5D5A90" w14:textId="77777777" w:rsidR="004243AA" w:rsidRPr="001A3642" w:rsidRDefault="00000000" w:rsidP="001A3642">
            <w:pPr>
              <w:spacing w:after="40"/>
              <w:rPr>
                <w:szCs w:val="28"/>
              </w:rPr>
            </w:pPr>
            <w:r w:rsidRPr="001A3642">
              <w:rPr>
                <w:szCs w:val="28"/>
              </w:rPr>
              <w:t>Tannenbaum and Schmidt continuum</w:t>
            </w:r>
          </w:p>
        </w:tc>
        <w:tc>
          <w:tcPr>
            <w:tcW w:w="3676" w:type="dxa"/>
          </w:tcPr>
          <w:p w14:paraId="61682DE6" w14:textId="77777777" w:rsidR="004243AA" w:rsidRPr="001A3642" w:rsidRDefault="00000000" w:rsidP="001A3642">
            <w:pPr>
              <w:spacing w:after="40"/>
              <w:rPr>
                <w:szCs w:val="28"/>
              </w:rPr>
            </w:pPr>
            <w:r w:rsidRPr="001A3642">
              <w:rPr>
                <w:szCs w:val="28"/>
              </w:rPr>
              <w:t>Professionals needed to give firm dose direction while involving the carer in demonstrating and confirming safe administration.</w:t>
            </w:r>
          </w:p>
        </w:tc>
        <w:tc>
          <w:tcPr>
            <w:tcW w:w="3558" w:type="dxa"/>
          </w:tcPr>
          <w:p w14:paraId="74B5C225" w14:textId="77777777" w:rsidR="004243AA" w:rsidRPr="001A3642" w:rsidRDefault="00000000" w:rsidP="001A3642">
            <w:pPr>
              <w:spacing w:after="40"/>
              <w:rPr>
                <w:szCs w:val="28"/>
              </w:rPr>
            </w:pPr>
            <w:r w:rsidRPr="001A3642">
              <w:rPr>
                <w:szCs w:val="28"/>
              </w:rPr>
              <w:t>A balanced style was needed: directive on dose, participatory on home use.</w:t>
            </w:r>
          </w:p>
        </w:tc>
      </w:tr>
      <w:tr w:rsidR="004243AA" w:rsidRPr="001A3642" w14:paraId="608673F1" w14:textId="77777777" w:rsidTr="004D2C7B">
        <w:trPr>
          <w:jc w:val="center"/>
        </w:trPr>
        <w:tc>
          <w:tcPr>
            <w:tcW w:w="2116" w:type="dxa"/>
          </w:tcPr>
          <w:p w14:paraId="3ED00697" w14:textId="77777777" w:rsidR="004243AA" w:rsidRPr="001A3642" w:rsidRDefault="00000000" w:rsidP="001A3642">
            <w:pPr>
              <w:spacing w:after="40"/>
              <w:rPr>
                <w:szCs w:val="28"/>
              </w:rPr>
            </w:pPr>
            <w:r w:rsidRPr="001A3642">
              <w:rPr>
                <w:szCs w:val="28"/>
              </w:rPr>
              <w:t>Transactional leadership</w:t>
            </w:r>
          </w:p>
        </w:tc>
        <w:tc>
          <w:tcPr>
            <w:tcW w:w="3676" w:type="dxa"/>
          </w:tcPr>
          <w:p w14:paraId="4D99A7CB" w14:textId="77777777" w:rsidR="004243AA" w:rsidRPr="001A3642" w:rsidRDefault="00000000" w:rsidP="001A3642">
            <w:pPr>
              <w:spacing w:after="40"/>
              <w:rPr>
                <w:szCs w:val="28"/>
              </w:rPr>
            </w:pPr>
            <w:r w:rsidRPr="001A3642">
              <w:rPr>
                <w:szCs w:val="28"/>
              </w:rPr>
              <w:t>Standards existed for prescribing, dispensing and labelling.</w:t>
            </w:r>
          </w:p>
        </w:tc>
        <w:tc>
          <w:tcPr>
            <w:tcW w:w="3558" w:type="dxa"/>
          </w:tcPr>
          <w:p w14:paraId="1AC707E4" w14:textId="77777777" w:rsidR="004243AA" w:rsidRPr="001A3642" w:rsidRDefault="00000000" w:rsidP="001A3642">
            <w:pPr>
              <w:spacing w:after="40"/>
              <w:rPr>
                <w:szCs w:val="28"/>
              </w:rPr>
            </w:pPr>
            <w:r w:rsidRPr="001A3642">
              <w:rPr>
                <w:szCs w:val="28"/>
              </w:rPr>
              <w:t>Rules were necessary but too narrow because they did not prove safe use.</w:t>
            </w:r>
          </w:p>
        </w:tc>
      </w:tr>
      <w:tr w:rsidR="004243AA" w:rsidRPr="001A3642" w14:paraId="50661FC6" w14:textId="77777777" w:rsidTr="004D2C7B">
        <w:trPr>
          <w:jc w:val="center"/>
        </w:trPr>
        <w:tc>
          <w:tcPr>
            <w:tcW w:w="2116" w:type="dxa"/>
          </w:tcPr>
          <w:p w14:paraId="211AD4A5" w14:textId="77777777" w:rsidR="004243AA" w:rsidRPr="001A3642" w:rsidRDefault="00000000" w:rsidP="001A3642">
            <w:pPr>
              <w:spacing w:after="40"/>
              <w:rPr>
                <w:szCs w:val="28"/>
              </w:rPr>
            </w:pPr>
            <w:r w:rsidRPr="001A3642">
              <w:rPr>
                <w:szCs w:val="28"/>
              </w:rPr>
              <w:t>Transformational leadership</w:t>
            </w:r>
          </w:p>
        </w:tc>
        <w:tc>
          <w:tcPr>
            <w:tcW w:w="3676" w:type="dxa"/>
          </w:tcPr>
          <w:p w14:paraId="1D5C8D98" w14:textId="77777777" w:rsidR="004243AA" w:rsidRPr="001A3642" w:rsidRDefault="00000000" w:rsidP="001A3642">
            <w:pPr>
              <w:spacing w:after="40"/>
              <w:rPr>
                <w:szCs w:val="28"/>
              </w:rPr>
            </w:pPr>
            <w:r w:rsidRPr="001A3642">
              <w:rPr>
                <w:szCs w:val="28"/>
              </w:rPr>
              <w:t>Medication safety should have been treated as a shared improvement priority across the pathway.</w:t>
            </w:r>
          </w:p>
        </w:tc>
        <w:tc>
          <w:tcPr>
            <w:tcW w:w="3558" w:type="dxa"/>
          </w:tcPr>
          <w:p w14:paraId="02B0B6EC" w14:textId="77777777" w:rsidR="004243AA" w:rsidRPr="001A3642" w:rsidRDefault="00000000" w:rsidP="001A3642">
            <w:pPr>
              <w:spacing w:after="40"/>
              <w:rPr>
                <w:szCs w:val="28"/>
              </w:rPr>
            </w:pPr>
            <w:r w:rsidRPr="001A3642">
              <w:rPr>
                <w:szCs w:val="28"/>
              </w:rPr>
              <w:t>A stronger culture would challenge routine practice and learn from near misses.</w:t>
            </w:r>
          </w:p>
        </w:tc>
      </w:tr>
      <w:tr w:rsidR="004243AA" w:rsidRPr="001A3642" w14:paraId="1A1C8B4B" w14:textId="77777777" w:rsidTr="004D2C7B">
        <w:trPr>
          <w:jc w:val="center"/>
        </w:trPr>
        <w:tc>
          <w:tcPr>
            <w:tcW w:w="2116" w:type="dxa"/>
          </w:tcPr>
          <w:p w14:paraId="795B0AB7" w14:textId="77777777" w:rsidR="004243AA" w:rsidRPr="001A3642" w:rsidRDefault="00000000" w:rsidP="001A3642">
            <w:pPr>
              <w:spacing w:after="40"/>
              <w:rPr>
                <w:szCs w:val="28"/>
              </w:rPr>
            </w:pPr>
            <w:r w:rsidRPr="001A3642">
              <w:rPr>
                <w:szCs w:val="28"/>
              </w:rPr>
              <w:t>Emotional intelligence</w:t>
            </w:r>
          </w:p>
        </w:tc>
        <w:tc>
          <w:tcPr>
            <w:tcW w:w="3676" w:type="dxa"/>
          </w:tcPr>
          <w:p w14:paraId="34B6F8A8" w14:textId="77777777" w:rsidR="004243AA" w:rsidRPr="001A3642" w:rsidRDefault="00000000" w:rsidP="001A3642">
            <w:pPr>
              <w:spacing w:after="40"/>
              <w:rPr>
                <w:szCs w:val="28"/>
              </w:rPr>
            </w:pPr>
            <w:r w:rsidRPr="001A3642">
              <w:rPr>
                <w:szCs w:val="28"/>
              </w:rPr>
              <w:t>Len's wife faced anxiety, hearing or memory issues, manual difficulty and conflicting advice.</w:t>
            </w:r>
          </w:p>
        </w:tc>
        <w:tc>
          <w:tcPr>
            <w:tcW w:w="3558" w:type="dxa"/>
          </w:tcPr>
          <w:p w14:paraId="6A6E0757" w14:textId="77777777" w:rsidR="004243AA" w:rsidRPr="001A3642" w:rsidRDefault="00000000" w:rsidP="001A3642">
            <w:pPr>
              <w:spacing w:after="40"/>
              <w:rPr>
                <w:szCs w:val="28"/>
              </w:rPr>
            </w:pPr>
            <w:r w:rsidRPr="001A3642">
              <w:rPr>
                <w:szCs w:val="28"/>
              </w:rPr>
              <w:t>Safer communication required empathy, teach-back and supportive follow-up.</w:t>
            </w:r>
          </w:p>
        </w:tc>
      </w:tr>
    </w:tbl>
    <w:p w14:paraId="54188B4B" w14:textId="77777777" w:rsidR="004243AA" w:rsidRPr="00D80E3C" w:rsidRDefault="00000000">
      <w:pPr>
        <w:pStyle w:val="Heading1"/>
        <w:rPr>
          <w:rFonts w:ascii="Arial" w:hAnsi="Arial" w:cs="Arial"/>
          <w:color w:val="000000" w:themeColor="text1"/>
        </w:rPr>
      </w:pPr>
      <w:bookmarkStart w:id="5" w:name="_Toc235987423"/>
      <w:r w:rsidRPr="00D80E3C">
        <w:rPr>
          <w:rFonts w:ascii="Arial" w:hAnsi="Arial" w:cs="Arial"/>
          <w:color w:val="000000" w:themeColor="text1"/>
        </w:rPr>
        <w:lastRenderedPageBreak/>
        <w:t>Part D: Improvement and Lessons Learned</w:t>
      </w:r>
      <w:bookmarkEnd w:id="5"/>
    </w:p>
    <w:p w14:paraId="05A3A9E2" w14:textId="77777777" w:rsidR="00764FE8" w:rsidRDefault="00764FE8" w:rsidP="00D80E3C">
      <w:pPr>
        <w:jc w:val="both"/>
      </w:pPr>
      <w:r w:rsidRPr="00764FE8">
        <w:t>The key lesson of Len case is that the governance should be translated into safe work at the point of use. The GP's prescribing decision was judged reasonable by HSIB, and the medicine was supplied with a dispensing label, leaflet and syringe. However, even the last job at home was not safe as the family needed to recognize the dose on the outer package, differentiate strength and dose, use a syringe that could not easily apply the lower dose and do it when Len was in pain and short of breath. This indicates that the compliance is not necessarily equal to reliability (Vincent, 2010; HSIB, 2022).</w:t>
      </w:r>
    </w:p>
    <w:p w14:paraId="3AEFB36C" w14:textId="77777777" w:rsidR="00764FE8" w:rsidRDefault="00764FE8" w:rsidP="00D80E3C">
      <w:pPr>
        <w:jc w:val="both"/>
      </w:pPr>
      <w:r w:rsidRPr="00764FE8">
        <w:t xml:space="preserve"> The first missed opportunity was dose visibility. A risk of confusing 10mg/5ml and 5ml would have been alleviated should the prescribed dose have been attached to the bottle, or reinforced with a very simple dose card and demonstration. The guidance of MHRA and National Patient Safety Agency (NPSA) design-for-safety work point out at clear and usable medicine information, however, the real-life application against legal presentation (not presentation only) is the focus of the case of Len (MHRA, 2020; National Patient Safety Agency and Helen Hamlyn Research Centre, 2007). </w:t>
      </w:r>
    </w:p>
    <w:p w14:paraId="4A3C24CC" w14:textId="77777777" w:rsidR="00764FE8" w:rsidRDefault="00764FE8" w:rsidP="00D80E3C">
      <w:pPr>
        <w:jc w:val="both"/>
      </w:pPr>
      <w:r w:rsidRPr="00764FE8">
        <w:t>The second missed opportunity was verified understanding. It was not sufficient to enquire on whether information was given. The carer or patient should show how much of the medicine is in the provided syringe, reiterate the frequency and explain the stopping response and when to seek medical care when it comes to high-risk medicine. This links with IHI's emphasis on communication, reliability, transparency and patient and family engagement (Frankel et al., 2017).</w:t>
      </w:r>
    </w:p>
    <w:p w14:paraId="7757C270" w14:textId="3264B95E" w:rsidR="00764FE8" w:rsidRDefault="00764FE8" w:rsidP="00D80E3C">
      <w:pPr>
        <w:jc w:val="both"/>
      </w:pPr>
      <w:r w:rsidRPr="00764FE8">
        <w:t>The third opportunity that was missed was the measuring device. HSIB reported that the provided 5ml syringe failed to indicate that the 1.25ml lower dose was easily measurable (HSIB, 2022). At home care the device is integrated in the treatment. Technical efficiency would be increased with provision of the right device and guidance first hand and not through rescue treatment following an overdose. It can also enhance the allocative efficiency</w:t>
      </w:r>
      <w:r>
        <w:t>.</w:t>
      </w:r>
    </w:p>
    <w:p w14:paraId="666243A0" w14:textId="77777777" w:rsidR="00764FE8" w:rsidRDefault="00764FE8" w:rsidP="00D80E3C">
      <w:pPr>
        <w:jc w:val="both"/>
      </w:pPr>
      <w:r w:rsidRPr="00764FE8">
        <w:t xml:space="preserve">The fourth lesson is learning governance. HSIB could not engage with the community pharmacy, and this limited understanding of dispensing and counselling practice (HSIB, 2022). A just culture style does not look to blame, yet seeks to know what the system has made easy or difficult, and what changes in its design are required (Marx, 2001; Dekker, 2012). The Patient Safety Incident Response Framework (PSIRF) also requires proportionate learning responses and involvement of patients, families and staff (NHS England, 2022). The family perspective was crucial in this </w:t>
      </w:r>
      <w:r w:rsidRPr="00764FE8">
        <w:lastRenderedPageBreak/>
        <w:t xml:space="preserve">scenario as they felt the difference between the professional teachings and the actual use at home. </w:t>
      </w:r>
    </w:p>
    <w:p w14:paraId="5E2E0D1C" w14:textId="77777777" w:rsidR="00764FE8" w:rsidRDefault="00764FE8" w:rsidP="00D80E3C">
      <w:pPr>
        <w:jc w:val="both"/>
      </w:pPr>
      <w:r w:rsidRPr="00764FE8">
        <w:t xml:space="preserve">The strategy improvement plan should be a practical one that is based on a high-risk liquid opioid initiation bundle. The bundle would include visible dose reinforcement, a device that accurately measures the prescribed dose, mandatory teach-back, safety-netting on drowsiness and breathing, documentation of who will administer the medicine, and an early follow-up call. This approach is connected to transactional leadership by means of non-negotiable controls, transformational leadership by learning culture, Tannenbaum and Schmidt by balanced professional direction and carer participation and XYZ theory by responsibility supported. </w:t>
      </w:r>
    </w:p>
    <w:p w14:paraId="28BA0E8E" w14:textId="62C94377" w:rsidR="00764FE8" w:rsidRDefault="00764FE8" w:rsidP="00D80E3C">
      <w:pPr>
        <w:jc w:val="both"/>
      </w:pPr>
      <w:r w:rsidRPr="00764FE8">
        <w:t xml:space="preserve">There is more than a medicine to the lessons. A home administration cannot be an informal area beyond the clinical system that is not part of safety design. Leadership must determine success as the ability of the patients and carers to successfully carry out the task and not the success of the professionals in fulfilling their task. Governance has to traverse interfaces, too, since the system that Len was working with was crafted by GP practices, pharmacies, manufacturers and national bodies. Lastly, packaging redesign should be informed by near misses, family concerns, dispensing questions, Yellow Card reports and investigation findings; the Yellow Card represents a focus on patient safety learning and the primary care patient safety strategy emphasizes safer primary care systems (MHRA, 2022; NHS England, 2024). The change ought to be gauged by a few realistic indicators: percentage of liquid opioid initiation with recorded teach-back, percentage with a dose-appropriate administering device, percentage of a follow-up within 48 hours, and count of near misses in the GP and pharmacy teams. These would demonstrate the action of leadership changing day to day practice alongside the production of new policy, not merely the production of new policy. In the absence of said feedback loops, the same pattern can influence an alternate patient. It also portrays strong systems thought, in which </w:t>
      </w:r>
      <w:proofErr w:type="spellStart"/>
      <w:r w:rsidRPr="00764FE8">
        <w:t>organisations</w:t>
      </w:r>
      <w:proofErr w:type="spellEnd"/>
      <w:r w:rsidRPr="00764FE8">
        <w:t xml:space="preserve"> preempt weak signals and recover and does not repeat the harm by learning (Weick and Sutcliffe, 2007).</w:t>
      </w:r>
    </w:p>
    <w:p w14:paraId="33887560" w14:textId="77777777" w:rsidR="004243AA" w:rsidRPr="00D80E3C" w:rsidRDefault="00000000" w:rsidP="00D80E3C">
      <w:r w:rsidRPr="00D80E3C">
        <w:t>Table 4: Case-specific problem, evidence and improvement strategy</w:t>
      </w:r>
    </w:p>
    <w:tbl>
      <w:tblPr>
        <w:tblStyle w:val="TableGrid"/>
        <w:tblW w:w="0" w:type="auto"/>
        <w:jc w:val="center"/>
        <w:tblLook w:val="04A0" w:firstRow="1" w:lastRow="0" w:firstColumn="1" w:lastColumn="0" w:noHBand="0" w:noVBand="1"/>
      </w:tblPr>
      <w:tblGrid>
        <w:gridCol w:w="2829"/>
        <w:gridCol w:w="3196"/>
        <w:gridCol w:w="3325"/>
      </w:tblGrid>
      <w:tr w:rsidR="004243AA" w:rsidRPr="00D80E3C" w14:paraId="4BE12002" w14:textId="77777777">
        <w:trPr>
          <w:jc w:val="center"/>
        </w:trPr>
        <w:tc>
          <w:tcPr>
            <w:tcW w:w="3024" w:type="dxa"/>
            <w:shd w:val="clear" w:color="auto" w:fill="D9EAF7"/>
          </w:tcPr>
          <w:p w14:paraId="150BA8F6" w14:textId="77777777" w:rsidR="004243AA" w:rsidRPr="00D80E3C" w:rsidRDefault="00000000">
            <w:pPr>
              <w:spacing w:after="40" w:line="276" w:lineRule="auto"/>
            </w:pPr>
            <w:r w:rsidRPr="00D80E3C">
              <w:rPr>
                <w:b/>
              </w:rPr>
              <w:t>Problem in Len's pathway</w:t>
            </w:r>
          </w:p>
        </w:tc>
        <w:tc>
          <w:tcPr>
            <w:tcW w:w="3456" w:type="dxa"/>
            <w:shd w:val="clear" w:color="auto" w:fill="D9EAF7"/>
          </w:tcPr>
          <w:p w14:paraId="7B5DAAF9" w14:textId="77777777" w:rsidR="004243AA" w:rsidRPr="00D80E3C" w:rsidRDefault="00000000">
            <w:pPr>
              <w:spacing w:after="40" w:line="276" w:lineRule="auto"/>
            </w:pPr>
            <w:r w:rsidRPr="00D80E3C">
              <w:rPr>
                <w:b/>
              </w:rPr>
              <w:t>Case evidence or data</w:t>
            </w:r>
          </w:p>
        </w:tc>
        <w:tc>
          <w:tcPr>
            <w:tcW w:w="3600" w:type="dxa"/>
            <w:shd w:val="clear" w:color="auto" w:fill="D9EAF7"/>
          </w:tcPr>
          <w:p w14:paraId="537508D8" w14:textId="77777777" w:rsidR="004243AA" w:rsidRPr="00D80E3C" w:rsidRDefault="00000000">
            <w:pPr>
              <w:spacing w:after="40" w:line="276" w:lineRule="auto"/>
            </w:pPr>
            <w:r w:rsidRPr="00D80E3C">
              <w:rPr>
                <w:b/>
              </w:rPr>
              <w:t>Case-specific improvement strategy</w:t>
            </w:r>
          </w:p>
        </w:tc>
      </w:tr>
      <w:tr w:rsidR="004243AA" w:rsidRPr="00D80E3C" w14:paraId="25FC1AB8" w14:textId="77777777">
        <w:trPr>
          <w:jc w:val="center"/>
        </w:trPr>
        <w:tc>
          <w:tcPr>
            <w:tcW w:w="3024" w:type="dxa"/>
          </w:tcPr>
          <w:p w14:paraId="1695C8E4" w14:textId="77777777" w:rsidR="004243AA" w:rsidRPr="00D80E3C" w:rsidRDefault="00000000">
            <w:pPr>
              <w:spacing w:after="40" w:line="276" w:lineRule="auto"/>
            </w:pPr>
            <w:r w:rsidRPr="00D80E3C">
              <w:t>Dose not visible at point of use</w:t>
            </w:r>
          </w:p>
        </w:tc>
        <w:tc>
          <w:tcPr>
            <w:tcW w:w="3456" w:type="dxa"/>
          </w:tcPr>
          <w:p w14:paraId="0B489658" w14:textId="77777777" w:rsidR="004243AA" w:rsidRPr="00D80E3C" w:rsidRDefault="00000000">
            <w:pPr>
              <w:spacing w:after="40" w:line="276" w:lineRule="auto"/>
            </w:pPr>
            <w:r w:rsidRPr="00D80E3C">
              <w:t>Correct dose was on the outer box, but Len and his wife used the bottle and read 10mg/5ml as the dose.</w:t>
            </w:r>
          </w:p>
        </w:tc>
        <w:tc>
          <w:tcPr>
            <w:tcW w:w="3600" w:type="dxa"/>
          </w:tcPr>
          <w:p w14:paraId="7ABC5454" w14:textId="77777777" w:rsidR="004243AA" w:rsidRPr="00D80E3C" w:rsidRDefault="00000000">
            <w:pPr>
              <w:spacing w:after="40" w:line="276" w:lineRule="auto"/>
            </w:pPr>
            <w:r w:rsidRPr="00D80E3C">
              <w:t>Add visible dose reinforcement with the bottle and use plain dose cards for liquid opioids.</w:t>
            </w:r>
          </w:p>
        </w:tc>
      </w:tr>
      <w:tr w:rsidR="004243AA" w:rsidRPr="00D80E3C" w14:paraId="08327720" w14:textId="77777777">
        <w:trPr>
          <w:jc w:val="center"/>
        </w:trPr>
        <w:tc>
          <w:tcPr>
            <w:tcW w:w="3024" w:type="dxa"/>
          </w:tcPr>
          <w:p w14:paraId="5399D697" w14:textId="77777777" w:rsidR="004243AA" w:rsidRPr="00D80E3C" w:rsidRDefault="00000000">
            <w:pPr>
              <w:spacing w:after="40" w:line="276" w:lineRule="auto"/>
            </w:pPr>
            <w:r w:rsidRPr="00D80E3C">
              <w:lastRenderedPageBreak/>
              <w:t>Dose understanding not verified</w:t>
            </w:r>
          </w:p>
        </w:tc>
        <w:tc>
          <w:tcPr>
            <w:tcW w:w="3456" w:type="dxa"/>
          </w:tcPr>
          <w:p w14:paraId="4FCA3F36" w14:textId="77777777" w:rsidR="004243AA" w:rsidRPr="00D80E3C" w:rsidRDefault="00000000">
            <w:pPr>
              <w:spacing w:after="40" w:line="276" w:lineRule="auto"/>
            </w:pPr>
            <w:r w:rsidRPr="00D80E3C">
              <w:t>No clear evidence that Len or his wife demonstrated the intended 1.25ml to 2.5ml dose.</w:t>
            </w:r>
          </w:p>
        </w:tc>
        <w:tc>
          <w:tcPr>
            <w:tcW w:w="3600" w:type="dxa"/>
          </w:tcPr>
          <w:p w14:paraId="1CE7EB16" w14:textId="77777777" w:rsidR="004243AA" w:rsidRPr="00D80E3C" w:rsidRDefault="00000000">
            <w:pPr>
              <w:spacing w:after="40" w:line="276" w:lineRule="auto"/>
            </w:pPr>
            <w:r w:rsidRPr="00D80E3C">
              <w:t>Make teach-back and syringe demonstration mandatory for vulnerable patients.</w:t>
            </w:r>
          </w:p>
        </w:tc>
      </w:tr>
      <w:tr w:rsidR="004243AA" w:rsidRPr="00D80E3C" w14:paraId="652A7F11" w14:textId="77777777">
        <w:trPr>
          <w:jc w:val="center"/>
        </w:trPr>
        <w:tc>
          <w:tcPr>
            <w:tcW w:w="3024" w:type="dxa"/>
          </w:tcPr>
          <w:p w14:paraId="1310A8B8" w14:textId="77777777" w:rsidR="004243AA" w:rsidRPr="00D80E3C" w:rsidRDefault="00000000">
            <w:pPr>
              <w:spacing w:after="40" w:line="276" w:lineRule="auto"/>
            </w:pPr>
            <w:r w:rsidRPr="00D80E3C">
              <w:t>Measuring device mismatch</w:t>
            </w:r>
          </w:p>
        </w:tc>
        <w:tc>
          <w:tcPr>
            <w:tcW w:w="3456" w:type="dxa"/>
          </w:tcPr>
          <w:p w14:paraId="01256720" w14:textId="77777777" w:rsidR="004243AA" w:rsidRPr="00D80E3C" w:rsidRDefault="00000000">
            <w:pPr>
              <w:spacing w:after="40" w:line="276" w:lineRule="auto"/>
            </w:pPr>
            <w:r w:rsidRPr="00D80E3C">
              <w:t>The 5ml syringe did not make 1.25ml easy to measure accurately.</w:t>
            </w:r>
          </w:p>
        </w:tc>
        <w:tc>
          <w:tcPr>
            <w:tcW w:w="3600" w:type="dxa"/>
          </w:tcPr>
          <w:p w14:paraId="12F1E6A8" w14:textId="77777777" w:rsidR="004243AA" w:rsidRPr="00D80E3C" w:rsidRDefault="00000000">
            <w:pPr>
              <w:spacing w:after="40" w:line="276" w:lineRule="auto"/>
            </w:pPr>
            <w:r w:rsidRPr="00D80E3C">
              <w:t>Supply an appropriate measuring device that matches the prescribed dose range.</w:t>
            </w:r>
          </w:p>
        </w:tc>
      </w:tr>
      <w:tr w:rsidR="004243AA" w:rsidRPr="00D80E3C" w14:paraId="35EE0D73" w14:textId="77777777">
        <w:trPr>
          <w:jc w:val="center"/>
        </w:trPr>
        <w:tc>
          <w:tcPr>
            <w:tcW w:w="3024" w:type="dxa"/>
          </w:tcPr>
          <w:p w14:paraId="2A5991D2" w14:textId="77777777" w:rsidR="004243AA" w:rsidRPr="00D80E3C" w:rsidRDefault="00000000">
            <w:pPr>
              <w:spacing w:after="40" w:line="276" w:lineRule="auto"/>
            </w:pPr>
            <w:r w:rsidRPr="00D80E3C">
              <w:t>Fragmented pathway ownership</w:t>
            </w:r>
          </w:p>
        </w:tc>
        <w:tc>
          <w:tcPr>
            <w:tcW w:w="3456" w:type="dxa"/>
          </w:tcPr>
          <w:p w14:paraId="493BF0F7" w14:textId="77777777" w:rsidR="004243AA" w:rsidRPr="00D80E3C" w:rsidRDefault="00000000">
            <w:pPr>
              <w:spacing w:after="40" w:line="276" w:lineRule="auto"/>
            </w:pPr>
            <w:r w:rsidRPr="00D80E3C">
              <w:t>GP, pharmacy, manufacturer, regulator and family each held part of the process.</w:t>
            </w:r>
          </w:p>
        </w:tc>
        <w:tc>
          <w:tcPr>
            <w:tcW w:w="3600" w:type="dxa"/>
          </w:tcPr>
          <w:p w14:paraId="1B981F1B" w14:textId="77777777" w:rsidR="004243AA" w:rsidRPr="00D80E3C" w:rsidRDefault="00000000">
            <w:pPr>
              <w:spacing w:after="40" w:line="276" w:lineRule="auto"/>
            </w:pPr>
            <w:r w:rsidRPr="00D80E3C">
              <w:t>Create shared GP-pharmacy-home opioid initiation protocols and local audits.</w:t>
            </w:r>
          </w:p>
        </w:tc>
      </w:tr>
      <w:tr w:rsidR="004243AA" w:rsidRPr="00D80E3C" w14:paraId="0BCCE548" w14:textId="77777777">
        <w:trPr>
          <w:jc w:val="center"/>
        </w:trPr>
        <w:tc>
          <w:tcPr>
            <w:tcW w:w="3024" w:type="dxa"/>
          </w:tcPr>
          <w:p w14:paraId="0886C8ED" w14:textId="77777777" w:rsidR="004243AA" w:rsidRPr="00D80E3C" w:rsidRDefault="00000000">
            <w:pPr>
              <w:spacing w:after="40" w:line="276" w:lineRule="auto"/>
            </w:pPr>
            <w:r w:rsidRPr="00D80E3C">
              <w:t>Weak learning feedback</w:t>
            </w:r>
          </w:p>
        </w:tc>
        <w:tc>
          <w:tcPr>
            <w:tcW w:w="3456" w:type="dxa"/>
          </w:tcPr>
          <w:p w14:paraId="35D6DEE6" w14:textId="77777777" w:rsidR="004243AA" w:rsidRPr="00D80E3C" w:rsidRDefault="00000000">
            <w:pPr>
              <w:spacing w:after="40" w:line="276" w:lineRule="auto"/>
            </w:pPr>
            <w:r w:rsidRPr="00D80E3C">
              <w:t>HSIB could not engage with the community pharmacy; reporting and investigation learning were limited.</w:t>
            </w:r>
          </w:p>
        </w:tc>
        <w:tc>
          <w:tcPr>
            <w:tcW w:w="3600" w:type="dxa"/>
          </w:tcPr>
          <w:p w14:paraId="0F31FD3E" w14:textId="77777777" w:rsidR="004243AA" w:rsidRPr="00D80E3C" w:rsidRDefault="00000000">
            <w:pPr>
              <w:spacing w:after="40" w:line="276" w:lineRule="auto"/>
            </w:pPr>
            <w:r w:rsidRPr="00D80E3C">
              <w:t>Use PSIRF-style learning, family involvement, Yellow Card escalation and feedback to staff after reports.</w:t>
            </w:r>
          </w:p>
        </w:tc>
      </w:tr>
    </w:tbl>
    <w:p w14:paraId="4E849FA5" w14:textId="77777777" w:rsidR="004243AA" w:rsidRPr="00D80E3C" w:rsidRDefault="00000000">
      <w:pPr>
        <w:pStyle w:val="Heading1"/>
        <w:rPr>
          <w:rFonts w:ascii="Arial" w:hAnsi="Arial" w:cs="Arial"/>
          <w:color w:val="000000" w:themeColor="text1"/>
        </w:rPr>
      </w:pPr>
      <w:bookmarkStart w:id="6" w:name="_Toc235987424"/>
      <w:r w:rsidRPr="00D80E3C">
        <w:rPr>
          <w:rFonts w:ascii="Arial" w:hAnsi="Arial" w:cs="Arial"/>
          <w:color w:val="000000" w:themeColor="text1"/>
        </w:rPr>
        <w:t>Recommendations</w:t>
      </w:r>
      <w:bookmarkEnd w:id="6"/>
    </w:p>
    <w:p w14:paraId="272B02A5" w14:textId="381144CA" w:rsidR="0005437F" w:rsidRDefault="0005437F" w:rsidP="00D80E3C">
      <w:pPr>
        <w:jc w:val="both"/>
      </w:pPr>
      <w:r w:rsidRPr="0005437F">
        <w:t xml:space="preserve">The first recommendation is to introduce a mandatory high-risk oral opioid initiation bundle for frail older adults and other vulnerable patients receiving liquid morphine in the community. The bundle must demand a noticeable dose instruction, declaration of dose in </w:t>
      </w:r>
      <w:proofErr w:type="spellStart"/>
      <w:r w:rsidRPr="0005437F">
        <w:t>millilitres</w:t>
      </w:r>
      <w:proofErr w:type="spellEnd"/>
      <w:r w:rsidRPr="0005437F">
        <w:t xml:space="preserve">, demonstration of measuring apparatus, teaching back by the patient or carer, safety-netting guidance and documentation of the named individual who administered the drug. This must be implemented at the community pharmacies and GP practices as a standard and not optional good practice. </w:t>
      </w:r>
    </w:p>
    <w:p w14:paraId="757E9B02" w14:textId="0988D2DA" w:rsidR="0005437F" w:rsidRDefault="0005437F" w:rsidP="00D80E3C">
      <w:pPr>
        <w:jc w:val="both"/>
      </w:pPr>
      <w:r w:rsidRPr="0005437F">
        <w:t xml:space="preserve">The second one is enhanced packaging and dose-measurement. Pharmacy staff at the local level must examine the syringe used the ability to reliably measure the dose of the prescription. Manufacturers, regulators and national safety systems should be concerned with issues relating to product design, as HSIB found that aids to dose measurement generally needed to facilitate the entire dose-range of potential doses prescribed (HSIB, 2022). </w:t>
      </w:r>
    </w:p>
    <w:p w14:paraId="635A682C" w14:textId="77777777" w:rsidR="0005437F" w:rsidRDefault="0005437F" w:rsidP="00D80E3C">
      <w:pPr>
        <w:jc w:val="both"/>
      </w:pPr>
      <w:r w:rsidRPr="0005437F">
        <w:t xml:space="preserve">The third suggestion is to enhance communication by adding to the counselling learning of teach-back and emotional counselling. Training of staff to ensure they check understanding without blaming or embarrassing the patient or carer should be done. Practical demonstrations, simple language, hearing, visual, dexterity, memory, anxiety and family involvement should be incorporated when counselling. This would take communication out of delivering information to confirmed understanding. It is also a continuum of Tannenbaum and Schmidt since professionals can still exercise a very strong command over the high-risk dose, but also require the carer to be actively involved in the safe administration. </w:t>
      </w:r>
    </w:p>
    <w:p w14:paraId="0703380B" w14:textId="77777777" w:rsidR="0005437F" w:rsidRDefault="0005437F" w:rsidP="00D80E3C">
      <w:pPr>
        <w:jc w:val="both"/>
      </w:pPr>
      <w:r w:rsidRPr="0005437F">
        <w:lastRenderedPageBreak/>
        <w:t xml:space="preserve">The fourth suggestion is to establish the shared GP-pharmacy-home governance of high-risk medicines. Local leaders are recommended to agree on the confirmation of the dose, checking the measuring device and documenting counselling, following, off and reviewing near misses. This is the work of the distributed leadership. It lessens the accountability gap owing to </w:t>
      </w:r>
      <w:proofErr w:type="gramStart"/>
      <w:r w:rsidRPr="0005437F">
        <w:t>its</w:t>
      </w:r>
      <w:proofErr w:type="gramEnd"/>
      <w:r w:rsidRPr="0005437F">
        <w:t xml:space="preserve"> making the interface visible. It needs to be assisted by short local audits of administered opioid liquid prescriptions, pharmacy counselling documentation and ensuing results. </w:t>
      </w:r>
    </w:p>
    <w:p w14:paraId="30807A64" w14:textId="4D80705A" w:rsidR="0005437F" w:rsidRDefault="0005437F" w:rsidP="00D80E3C">
      <w:pPr>
        <w:jc w:val="both"/>
      </w:pPr>
      <w:r w:rsidRPr="0005437F">
        <w:t xml:space="preserve">The fifth </w:t>
      </w:r>
      <w:proofErr w:type="spellStart"/>
      <w:r>
        <w:t>recomendation</w:t>
      </w:r>
      <w:proofErr w:type="spellEnd"/>
      <w:r w:rsidRPr="0005437F">
        <w:t xml:space="preserve"> will be to enhance a continuous learning. Proportional levels of learning should be induced in case of serious incidents, close call and family issues under the PSIRF principles. When changes are brought about by the reports report to the community pharmacies and GP practices should be provided with the feedback. Local incident reviews and patient feedback, along with the data provided by LFPSE, Yellow Card reporting should be reviewed. This would enhance the technical efficiency through decreasing recurrent mistakes and the allocative efficiency by dedicating funds to the risky areas along the route (NHS England, 2022; MHRA, 2022). </w:t>
      </w:r>
    </w:p>
    <w:p w14:paraId="3754F3D9" w14:textId="1E5B52B4" w:rsidR="0005437F" w:rsidRDefault="0005437F" w:rsidP="00D80E3C">
      <w:pPr>
        <w:jc w:val="both"/>
      </w:pPr>
      <w:r w:rsidRPr="0005437F">
        <w:t>The last suggestion is to embrace a mixed leadership approach. Path taken by the leaders should be XYZ theory which should be capable of driving a leader to honesty presumed compliance with supported shared responsibility. To balance professional direction and patient/carer involvement, Tannenbaum and Schmidt are to lead the way. All of these would ensure that home use of oral morphine would be safer, be more responsible and more person-</w:t>
      </w:r>
      <w:proofErr w:type="spellStart"/>
      <w:r w:rsidRPr="0005437F">
        <w:t>centred</w:t>
      </w:r>
      <w:proofErr w:type="spellEnd"/>
      <w:r w:rsidRPr="0005437F">
        <w:t>.</w:t>
      </w:r>
    </w:p>
    <w:p w14:paraId="49BDCFF7" w14:textId="77777777" w:rsidR="004243AA" w:rsidRPr="00D80E3C" w:rsidRDefault="00000000">
      <w:pPr>
        <w:pStyle w:val="Heading1"/>
        <w:rPr>
          <w:rFonts w:ascii="Arial" w:hAnsi="Arial" w:cs="Arial"/>
          <w:color w:val="000000" w:themeColor="text1"/>
        </w:rPr>
      </w:pPr>
      <w:bookmarkStart w:id="7" w:name="_Toc235987425"/>
      <w:r w:rsidRPr="00D80E3C">
        <w:rPr>
          <w:rFonts w:ascii="Arial" w:hAnsi="Arial" w:cs="Arial"/>
          <w:color w:val="000000" w:themeColor="text1"/>
        </w:rPr>
        <w:t>Conclusion</w:t>
      </w:r>
      <w:bookmarkEnd w:id="7"/>
    </w:p>
    <w:p w14:paraId="05122F0A" w14:textId="77777777" w:rsidR="0005437F" w:rsidRDefault="0005437F" w:rsidP="00D80E3C">
      <w:pPr>
        <w:jc w:val="both"/>
      </w:pPr>
      <w:r w:rsidRPr="0005437F">
        <w:t xml:space="preserve">Len's unintentional overdose of morphine sulfate oral solution was not simply a case of a patient or family reading a label incorrectly. It involved a system breakdown in prescribing, dispensing, labelling, counselling, measurement, home administration and learning. Prescription was not related to the clinically careful treatment but the pathway failed to bring the safe dose into the view focus that could be measured or checked. Systems thinking reveals that multiple </w:t>
      </w:r>
      <w:proofErr w:type="spellStart"/>
      <w:r w:rsidRPr="0005437F">
        <w:t>defences</w:t>
      </w:r>
      <w:proofErr w:type="spellEnd"/>
      <w:r w:rsidRPr="0005437F">
        <w:t xml:space="preserve"> were in place but they were all with weaknesses, the dose label did not display, the strength of the bottle was read as dose, the syringe reinforced the incorrect assumption, carer knowledge was not rigorously established and learning loops were not complete. In the analysis, it is also revealed that the case of Len was in a hybrid system of governance. The standards and visibility offered by central rules were however not a guarantee of usability at home. </w:t>
      </w:r>
      <w:proofErr w:type="spellStart"/>
      <w:r w:rsidRPr="0005437F">
        <w:t>Decentralised</w:t>
      </w:r>
      <w:proofErr w:type="spellEnd"/>
      <w:r w:rsidRPr="0005437F">
        <w:t xml:space="preserve"> local practice made </w:t>
      </w:r>
      <w:proofErr w:type="spellStart"/>
      <w:r w:rsidRPr="0005437F">
        <w:t>individualised</w:t>
      </w:r>
      <w:proofErr w:type="spellEnd"/>
      <w:r w:rsidRPr="0005437F">
        <w:t xml:space="preserve"> care, and also introduced variation, both in counselling, documentation and follow-up. An integrated governance, in which national safety expectations </w:t>
      </w:r>
      <w:r w:rsidRPr="0005437F">
        <w:lastRenderedPageBreak/>
        <w:t>and local practice are interrelated in provision of measurable controls and learning feedback is, therefore, the most effective response. This conclusion revolves around leadership. XYZ theory indicates a necessity to shift to the passive compliance to supported responsibility. The continuum expressed by Tannenbaum and Schmidt reveals that the issue of high-risk home medicines not only needs clear professional guidance but also the active participation of carers. Transactional and transformational leadership, situational leadership, distributed and emotion intelligent leadership contribute the needed component. The broader learning point is that safer care can be attained when families are asked to be more careful as the harm does happen, rather than before the harm happens by leading systems where doing the right thing is more straightforward, more understandable and more advantageous.</w:t>
      </w:r>
    </w:p>
    <w:p w14:paraId="4D532F77" w14:textId="77777777" w:rsidR="00D80E3C" w:rsidRDefault="00D80E3C">
      <w:pPr>
        <w:spacing w:after="200" w:line="276" w:lineRule="auto"/>
        <w:rPr>
          <w:rFonts w:asciiTheme="majorHAnsi" w:eastAsiaTheme="majorEastAsia" w:hAnsiTheme="majorHAnsi" w:cstheme="majorBidi"/>
          <w:b/>
          <w:bCs/>
          <w:color w:val="1F4E79"/>
          <w:sz w:val="28"/>
          <w:szCs w:val="28"/>
        </w:rPr>
      </w:pPr>
      <w:r>
        <w:br w:type="page"/>
      </w:r>
    </w:p>
    <w:p w14:paraId="0B50C8BE" w14:textId="77777777" w:rsidR="004243AA" w:rsidRPr="00D80E3C" w:rsidRDefault="00000000">
      <w:pPr>
        <w:pStyle w:val="Heading1"/>
        <w:rPr>
          <w:rFonts w:ascii="Arial" w:hAnsi="Arial" w:cs="Arial"/>
          <w:color w:val="000000" w:themeColor="text1"/>
        </w:rPr>
      </w:pPr>
      <w:bookmarkStart w:id="8" w:name="_Toc235987426"/>
      <w:r w:rsidRPr="00D80E3C">
        <w:rPr>
          <w:rFonts w:ascii="Arial" w:hAnsi="Arial" w:cs="Arial"/>
          <w:color w:val="000000" w:themeColor="text1"/>
        </w:rPr>
        <w:lastRenderedPageBreak/>
        <w:t>References</w:t>
      </w:r>
      <w:bookmarkEnd w:id="8"/>
    </w:p>
    <w:p w14:paraId="33B52B73" w14:textId="77777777" w:rsidR="005A182B" w:rsidRPr="005A182B" w:rsidRDefault="005A182B" w:rsidP="005A182B">
      <w:pPr>
        <w:spacing w:before="240" w:after="80"/>
      </w:pPr>
      <w:r w:rsidRPr="005A182B">
        <w:t xml:space="preserve">Adie, K., Williams, S.D., Mortimer, K. and Avery, A. (2021) ‘The nature, severity and causes of medication incidents from an English community pharmacy incident reporting </w:t>
      </w:r>
      <w:proofErr w:type="spellStart"/>
      <w:r w:rsidRPr="005A182B">
        <w:t>programme</w:t>
      </w:r>
      <w:proofErr w:type="spellEnd"/>
      <w:r w:rsidRPr="005A182B">
        <w:t xml:space="preserve">’, </w:t>
      </w:r>
      <w:r w:rsidRPr="005A182B">
        <w:rPr>
          <w:i/>
          <w:iCs/>
        </w:rPr>
        <w:t>British Journal of Clinical Pharmacology</w:t>
      </w:r>
      <w:r w:rsidRPr="005A182B">
        <w:t xml:space="preserve">, 87(9), pp. 3645-3657. Available at: </w:t>
      </w:r>
      <w:hyperlink r:id="rId9" w:tgtFrame="_new" w:history="1">
        <w:r w:rsidRPr="005A182B">
          <w:rPr>
            <w:rStyle w:val="Hyperlink"/>
          </w:rPr>
          <w:t>https://doi.org/10.1111/bcp.14924</w:t>
        </w:r>
      </w:hyperlink>
      <w:r w:rsidRPr="005A182B">
        <w:t xml:space="preserve"> (Accessed: 19 July 2026).</w:t>
      </w:r>
    </w:p>
    <w:p w14:paraId="4850AFAC" w14:textId="77777777" w:rsidR="005A182B" w:rsidRPr="005A182B" w:rsidRDefault="005A182B" w:rsidP="005A182B">
      <w:pPr>
        <w:spacing w:before="240" w:after="80"/>
      </w:pPr>
      <w:r w:rsidRPr="005A182B">
        <w:t xml:space="preserve">Ashcroft, D.M., Quinlan, P. and Blenkinsopp, A. (2005) ‘Prospective study of the incidence, nature and causes of dispensing errors in community pharmacies’, </w:t>
      </w:r>
      <w:r w:rsidRPr="005A182B">
        <w:rPr>
          <w:i/>
          <w:iCs/>
        </w:rPr>
        <w:t>Pharmacy World and Science</w:t>
      </w:r>
      <w:r w:rsidRPr="005A182B">
        <w:t xml:space="preserve">, 27(1), pp. 53-63. Available at: </w:t>
      </w:r>
      <w:hyperlink r:id="rId10" w:tgtFrame="_new" w:history="1">
        <w:r w:rsidRPr="005A182B">
          <w:rPr>
            <w:rStyle w:val="Hyperlink"/>
          </w:rPr>
          <w:t>https://doi.org/10.1007/s11096-004-2222-1</w:t>
        </w:r>
      </w:hyperlink>
      <w:r w:rsidRPr="005A182B">
        <w:t xml:space="preserve"> (Accessed: 19 July 2026).</w:t>
      </w:r>
    </w:p>
    <w:p w14:paraId="5A702B9B" w14:textId="77777777" w:rsidR="005A182B" w:rsidRPr="005A182B" w:rsidRDefault="005A182B" w:rsidP="005A182B">
      <w:pPr>
        <w:spacing w:before="240" w:after="80"/>
      </w:pPr>
      <w:r w:rsidRPr="005A182B">
        <w:t xml:space="preserve">Bass, B.M. (1985) </w:t>
      </w:r>
      <w:r w:rsidRPr="005A182B">
        <w:rPr>
          <w:i/>
          <w:iCs/>
        </w:rPr>
        <w:t>Leadership and Performance Beyond Expectations</w:t>
      </w:r>
      <w:r w:rsidRPr="005A182B">
        <w:t>. New York: Free Press.</w:t>
      </w:r>
    </w:p>
    <w:p w14:paraId="1C45B626" w14:textId="77777777" w:rsidR="005A182B" w:rsidRPr="005A182B" w:rsidRDefault="005A182B" w:rsidP="005A182B">
      <w:pPr>
        <w:spacing w:before="240" w:after="80"/>
      </w:pPr>
      <w:r w:rsidRPr="005A182B">
        <w:t xml:space="preserve">Boamah, S.A., Laschinger, H.K.S., Wong, C. and Clarke, S. (2018) ‘Effect of transformational leadership on job satisfaction and patient safety outcomes’, </w:t>
      </w:r>
      <w:r w:rsidRPr="005A182B">
        <w:rPr>
          <w:i/>
          <w:iCs/>
        </w:rPr>
        <w:t>Nursing Outlook</w:t>
      </w:r>
      <w:r w:rsidRPr="005A182B">
        <w:t xml:space="preserve">, 66(2), pp. 180-189. Available at: </w:t>
      </w:r>
      <w:hyperlink r:id="rId11" w:tgtFrame="_new" w:history="1">
        <w:r w:rsidRPr="005A182B">
          <w:rPr>
            <w:rStyle w:val="Hyperlink"/>
          </w:rPr>
          <w:t>https://doi.org/10.1016/j.outlook.2017.10.004</w:t>
        </w:r>
      </w:hyperlink>
      <w:r w:rsidRPr="005A182B">
        <w:t xml:space="preserve"> (Accessed: 19 July 2026).</w:t>
      </w:r>
    </w:p>
    <w:p w14:paraId="3969854E" w14:textId="77777777" w:rsidR="005A182B" w:rsidRPr="005A182B" w:rsidRDefault="005A182B" w:rsidP="005A182B">
      <w:pPr>
        <w:spacing w:before="240" w:after="80"/>
      </w:pPr>
      <w:r w:rsidRPr="005A182B">
        <w:t xml:space="preserve">Burns, J.M. (1978) </w:t>
      </w:r>
      <w:r w:rsidRPr="005A182B">
        <w:rPr>
          <w:i/>
          <w:iCs/>
        </w:rPr>
        <w:t>Leadership</w:t>
      </w:r>
      <w:r w:rsidRPr="005A182B">
        <w:t>. New York: Harper and Row.</w:t>
      </w:r>
    </w:p>
    <w:p w14:paraId="202BCF57" w14:textId="77777777" w:rsidR="005A182B" w:rsidRPr="005A182B" w:rsidRDefault="005A182B" w:rsidP="005A182B">
      <w:pPr>
        <w:spacing w:before="240" w:after="80"/>
      </w:pPr>
      <w:r w:rsidRPr="005A182B">
        <w:t xml:space="preserve">Campbell, P.J., Patel, M., Martin, J.R., Stephenson, E. and Goulding, R. (2018) ‘Systematic review and meta-analysis of community pharmacy dispensing error rates in the USA, UK and Canada’, </w:t>
      </w:r>
      <w:r w:rsidRPr="005A182B">
        <w:rPr>
          <w:i/>
          <w:iCs/>
        </w:rPr>
        <w:t>Research in Social and Administrative Pharmacy</w:t>
      </w:r>
      <w:r w:rsidRPr="005A182B">
        <w:t xml:space="preserve">, 14(5), pp. 413-421. Available at: </w:t>
      </w:r>
      <w:hyperlink r:id="rId12" w:tgtFrame="_new" w:history="1">
        <w:r w:rsidRPr="005A182B">
          <w:rPr>
            <w:rStyle w:val="Hyperlink"/>
          </w:rPr>
          <w:t>https://doi.org/10.1016/j.sapharm.2017.05.004</w:t>
        </w:r>
      </w:hyperlink>
      <w:r w:rsidRPr="005A182B">
        <w:t xml:space="preserve"> (Accessed: 19 July 2026).</w:t>
      </w:r>
    </w:p>
    <w:p w14:paraId="4BBDF374" w14:textId="77777777" w:rsidR="005A182B" w:rsidRPr="005A182B" w:rsidRDefault="005A182B" w:rsidP="005A182B">
      <w:pPr>
        <w:spacing w:before="240" w:after="80"/>
      </w:pPr>
      <w:proofErr w:type="spellStart"/>
      <w:r w:rsidRPr="005A182B">
        <w:t>Carayon</w:t>
      </w:r>
      <w:proofErr w:type="spellEnd"/>
      <w:r w:rsidRPr="005A182B">
        <w:t xml:space="preserve">, P., Schoofs Hundt, A., Karsh, B.T., </w:t>
      </w:r>
      <w:proofErr w:type="spellStart"/>
      <w:r w:rsidRPr="005A182B">
        <w:t>Gurses</w:t>
      </w:r>
      <w:proofErr w:type="spellEnd"/>
      <w:r w:rsidRPr="005A182B">
        <w:t xml:space="preserve">, A.P., Alvarado, C.J., Smith, M. and Brennan, P.F. (2006) ‘Work system design for patient safety: the SEIPS model’, </w:t>
      </w:r>
      <w:r w:rsidRPr="005A182B">
        <w:rPr>
          <w:i/>
          <w:iCs/>
        </w:rPr>
        <w:t>Quality and Safety in Health Care</w:t>
      </w:r>
      <w:r w:rsidRPr="005A182B">
        <w:t xml:space="preserve">, 15(Suppl. 1), pp. i50-i58. Available at: </w:t>
      </w:r>
      <w:hyperlink r:id="rId13" w:tgtFrame="_new" w:history="1">
        <w:r w:rsidRPr="005A182B">
          <w:rPr>
            <w:rStyle w:val="Hyperlink"/>
          </w:rPr>
          <w:t>https://doi.org/10.1136/qshc.2005.015842</w:t>
        </w:r>
      </w:hyperlink>
      <w:r w:rsidRPr="005A182B">
        <w:t xml:space="preserve"> (Accessed: 19 July 2026).</w:t>
      </w:r>
    </w:p>
    <w:p w14:paraId="5131817B" w14:textId="77777777" w:rsidR="005A182B" w:rsidRPr="005A182B" w:rsidRDefault="005A182B" w:rsidP="005A182B">
      <w:pPr>
        <w:spacing w:before="240" w:after="80"/>
      </w:pPr>
      <w:r w:rsidRPr="005A182B">
        <w:t xml:space="preserve">Dekker, S. (2012) </w:t>
      </w:r>
      <w:r w:rsidRPr="005A182B">
        <w:rPr>
          <w:i/>
          <w:iCs/>
        </w:rPr>
        <w:t>Just Culture: Balancing Safety and Accountability</w:t>
      </w:r>
      <w:r w:rsidRPr="005A182B">
        <w:t xml:space="preserve">. 2nd </w:t>
      </w:r>
      <w:proofErr w:type="spellStart"/>
      <w:r w:rsidRPr="005A182B">
        <w:t>edn</w:t>
      </w:r>
      <w:proofErr w:type="spellEnd"/>
      <w:r w:rsidRPr="005A182B">
        <w:t>. Boca Raton, FL: CRC Press.</w:t>
      </w:r>
    </w:p>
    <w:p w14:paraId="73412B70" w14:textId="77777777" w:rsidR="005A182B" w:rsidRPr="005A182B" w:rsidRDefault="005A182B" w:rsidP="005A182B">
      <w:pPr>
        <w:spacing w:before="240" w:after="80"/>
      </w:pPr>
      <w:r w:rsidRPr="005A182B">
        <w:t xml:space="preserve">Donaldson, L.J., Kelley, E.T., Dhingra-Kumar, N., Kieny, M.P. and Sheikh, A. (2017) ‘Medication without harm: WHO’s Third Global Patient Safety Challenge’, </w:t>
      </w:r>
      <w:r w:rsidRPr="005A182B">
        <w:rPr>
          <w:i/>
          <w:iCs/>
        </w:rPr>
        <w:t>The Lancet</w:t>
      </w:r>
      <w:r w:rsidRPr="005A182B">
        <w:t xml:space="preserve">, 389(10080), pp. 1680-1681. Available at: </w:t>
      </w:r>
      <w:hyperlink r:id="rId14" w:tgtFrame="_new" w:history="1">
        <w:r w:rsidRPr="005A182B">
          <w:rPr>
            <w:rStyle w:val="Hyperlink"/>
          </w:rPr>
          <w:t>https://doi.org/10.1016/S0140-6736(17)31047-4</w:t>
        </w:r>
      </w:hyperlink>
      <w:r w:rsidRPr="005A182B">
        <w:t xml:space="preserve"> (Accessed: 19 July 2026).</w:t>
      </w:r>
    </w:p>
    <w:p w14:paraId="262C6D23" w14:textId="77777777" w:rsidR="005A182B" w:rsidRPr="005A182B" w:rsidRDefault="005A182B" w:rsidP="005A182B">
      <w:pPr>
        <w:spacing w:before="240" w:after="80"/>
      </w:pPr>
      <w:r w:rsidRPr="005A182B">
        <w:lastRenderedPageBreak/>
        <w:t xml:space="preserve">Edmondson, A. (1999) ‘Psychological safety and learning behavior in work teams’, </w:t>
      </w:r>
      <w:r w:rsidRPr="005A182B">
        <w:rPr>
          <w:i/>
          <w:iCs/>
        </w:rPr>
        <w:t>Administrative Science Quarterly</w:t>
      </w:r>
      <w:r w:rsidRPr="005A182B">
        <w:t xml:space="preserve">, 44(2), pp. 350-383. Available at: </w:t>
      </w:r>
      <w:hyperlink r:id="rId15" w:tgtFrame="_new" w:history="1">
        <w:r w:rsidRPr="005A182B">
          <w:rPr>
            <w:rStyle w:val="Hyperlink"/>
          </w:rPr>
          <w:t>https://doi.org/10.2307/2666999</w:t>
        </w:r>
      </w:hyperlink>
      <w:r w:rsidRPr="005A182B">
        <w:t xml:space="preserve"> (Accessed: 19 July 2026).</w:t>
      </w:r>
    </w:p>
    <w:p w14:paraId="11639E86" w14:textId="77777777" w:rsidR="005A182B" w:rsidRPr="005A182B" w:rsidRDefault="005A182B" w:rsidP="005A182B">
      <w:pPr>
        <w:spacing w:before="240" w:after="80"/>
      </w:pPr>
      <w:r w:rsidRPr="005A182B">
        <w:t xml:space="preserve">Elliott, R.A., Camacho, E., Jankovic, D., </w:t>
      </w:r>
      <w:proofErr w:type="spellStart"/>
      <w:r w:rsidRPr="005A182B">
        <w:t>Sculpher</w:t>
      </w:r>
      <w:proofErr w:type="spellEnd"/>
      <w:r w:rsidRPr="005A182B">
        <w:t xml:space="preserve">, M.J. and Faria, R. (2021) ‘Economic analysis of the prevalence and clinical and economic burden of medication error in England’, </w:t>
      </w:r>
      <w:r w:rsidRPr="005A182B">
        <w:rPr>
          <w:i/>
          <w:iCs/>
        </w:rPr>
        <w:t>BMJ Quality and Safety</w:t>
      </w:r>
      <w:r w:rsidRPr="005A182B">
        <w:t xml:space="preserve">, 30(2), pp. 96-105. Available at: </w:t>
      </w:r>
      <w:hyperlink r:id="rId16" w:tgtFrame="_new" w:history="1">
        <w:r w:rsidRPr="005A182B">
          <w:rPr>
            <w:rStyle w:val="Hyperlink"/>
          </w:rPr>
          <w:t>https://doi.org/10.1136/bmjqs-2019-010206</w:t>
        </w:r>
      </w:hyperlink>
      <w:r w:rsidRPr="005A182B">
        <w:t xml:space="preserve"> (Accessed: 19 July 2026).</w:t>
      </w:r>
    </w:p>
    <w:p w14:paraId="6C45BB23" w14:textId="77777777" w:rsidR="005A182B" w:rsidRPr="005A182B" w:rsidRDefault="005A182B" w:rsidP="005A182B">
      <w:pPr>
        <w:spacing w:before="240" w:after="80"/>
      </w:pPr>
      <w:r w:rsidRPr="005A182B">
        <w:t xml:space="preserve">Frankel, A., Haraden, C., Federico, F. and Lenoci-Edwards, J. (2017) </w:t>
      </w:r>
      <w:r w:rsidRPr="005A182B">
        <w:rPr>
          <w:i/>
          <w:iCs/>
        </w:rPr>
        <w:t>A Framework for Safe, Reliable, and Effective Care</w:t>
      </w:r>
      <w:r w:rsidRPr="005A182B">
        <w:t xml:space="preserve">. Cambridge, MA: Institute for Healthcare Improvement and Safe and Reliable Healthcare. Available at: </w:t>
      </w:r>
      <w:hyperlink r:id="rId17" w:tgtFrame="_new" w:history="1">
        <w:r w:rsidRPr="005A182B">
          <w:rPr>
            <w:rStyle w:val="Hyperlink"/>
          </w:rPr>
          <w:t>https://www.ihi.org/library/white-papers/framework-safe-reliable-and-effective-care</w:t>
        </w:r>
      </w:hyperlink>
      <w:r w:rsidRPr="005A182B">
        <w:t xml:space="preserve"> (Accessed: 19 July 2026).</w:t>
      </w:r>
    </w:p>
    <w:p w14:paraId="4A290FDF" w14:textId="77777777" w:rsidR="005A182B" w:rsidRPr="005A182B" w:rsidRDefault="005A182B" w:rsidP="005A182B">
      <w:pPr>
        <w:spacing w:before="240" w:after="80"/>
      </w:pPr>
      <w:r w:rsidRPr="005A182B">
        <w:t xml:space="preserve">Goleman, D. (1998) </w:t>
      </w:r>
      <w:r w:rsidRPr="005A182B">
        <w:rPr>
          <w:i/>
          <w:iCs/>
        </w:rPr>
        <w:t>Working with Emotional Intelligence</w:t>
      </w:r>
      <w:r w:rsidRPr="005A182B">
        <w:t>. New York: Bantam Books.</w:t>
      </w:r>
    </w:p>
    <w:p w14:paraId="141EFAF9" w14:textId="77777777" w:rsidR="005A182B" w:rsidRPr="005A182B" w:rsidRDefault="005A182B" w:rsidP="005A182B">
      <w:pPr>
        <w:spacing w:before="240" w:after="80"/>
      </w:pPr>
      <w:r w:rsidRPr="005A182B">
        <w:t xml:space="preserve">Healthcare Safety Investigation Branch (2022) </w:t>
      </w:r>
      <w:r w:rsidRPr="005A182B">
        <w:rPr>
          <w:i/>
          <w:iCs/>
        </w:rPr>
        <w:t>Unintentional overdose of morphine sulfate oral solution: investigation report</w:t>
      </w:r>
      <w:r w:rsidRPr="005A182B">
        <w:t xml:space="preserve">. Available at: </w:t>
      </w:r>
      <w:hyperlink r:id="rId18" w:tgtFrame="_new" w:history="1">
        <w:r w:rsidRPr="005A182B">
          <w:rPr>
            <w:rStyle w:val="Hyperlink"/>
          </w:rPr>
          <w:t>https://www.hssib.org.uk/patient-safety-investigations/unintentional-overdose-of-morphine-sulfate-oral-solution/investigation-report/</w:t>
        </w:r>
      </w:hyperlink>
      <w:r w:rsidRPr="005A182B">
        <w:t xml:space="preserve"> (Accessed: 19 July 2026).</w:t>
      </w:r>
    </w:p>
    <w:p w14:paraId="1CF39DFE" w14:textId="77777777" w:rsidR="005A182B" w:rsidRPr="005A182B" w:rsidRDefault="005A182B" w:rsidP="005A182B">
      <w:pPr>
        <w:spacing w:before="240" w:after="80"/>
      </w:pPr>
      <w:r w:rsidRPr="005A182B">
        <w:t xml:space="preserve">Holden, R.J., </w:t>
      </w:r>
      <w:proofErr w:type="spellStart"/>
      <w:r w:rsidRPr="005A182B">
        <w:t>Carayon</w:t>
      </w:r>
      <w:proofErr w:type="spellEnd"/>
      <w:r w:rsidRPr="005A182B">
        <w:t xml:space="preserve">, P., </w:t>
      </w:r>
      <w:proofErr w:type="spellStart"/>
      <w:r w:rsidRPr="005A182B">
        <w:t>Gurses</w:t>
      </w:r>
      <w:proofErr w:type="spellEnd"/>
      <w:r w:rsidRPr="005A182B">
        <w:t xml:space="preserve">, A.P., </w:t>
      </w:r>
      <w:proofErr w:type="spellStart"/>
      <w:r w:rsidRPr="005A182B">
        <w:t>Hoonakker</w:t>
      </w:r>
      <w:proofErr w:type="spellEnd"/>
      <w:r w:rsidRPr="005A182B">
        <w:t xml:space="preserve">, P., Schoofs Hundt, A., </w:t>
      </w:r>
      <w:proofErr w:type="spellStart"/>
      <w:r w:rsidRPr="005A182B">
        <w:t>Ozok</w:t>
      </w:r>
      <w:proofErr w:type="spellEnd"/>
      <w:r w:rsidRPr="005A182B">
        <w:t xml:space="preserve">, A.A. and Rivera-Rodriguez, A.J. (2013) ‘SEIPS 2.0: a human factors framework for studying and improving the work of healthcare professionals and patients’, </w:t>
      </w:r>
      <w:r w:rsidRPr="005A182B">
        <w:rPr>
          <w:i/>
          <w:iCs/>
        </w:rPr>
        <w:t>Ergonomics</w:t>
      </w:r>
      <w:r w:rsidRPr="005A182B">
        <w:t xml:space="preserve">, 56(11), pp. 1669-1686. Available at: </w:t>
      </w:r>
      <w:hyperlink r:id="rId19" w:tgtFrame="_new" w:history="1">
        <w:r w:rsidRPr="005A182B">
          <w:rPr>
            <w:rStyle w:val="Hyperlink"/>
          </w:rPr>
          <w:t>https://doi.org/10.1080/00140139.2013.838643</w:t>
        </w:r>
      </w:hyperlink>
      <w:r w:rsidRPr="005A182B">
        <w:t xml:space="preserve"> (Accessed: 19 July 2026).</w:t>
      </w:r>
    </w:p>
    <w:p w14:paraId="4900ECD1" w14:textId="77777777" w:rsidR="005A182B" w:rsidRPr="005A182B" w:rsidRDefault="005A182B" w:rsidP="005A182B">
      <w:pPr>
        <w:spacing w:before="240" w:after="80"/>
      </w:pPr>
      <w:r w:rsidRPr="005A182B">
        <w:t xml:space="preserve">Joint Formulary Committee (2021) </w:t>
      </w:r>
      <w:r w:rsidRPr="005A182B">
        <w:rPr>
          <w:i/>
          <w:iCs/>
        </w:rPr>
        <w:t>British National Formulary</w:t>
      </w:r>
      <w:r w:rsidRPr="005A182B">
        <w:t>. London: BMJ Group and Pharmaceutical Press.</w:t>
      </w:r>
    </w:p>
    <w:p w14:paraId="4389FC12" w14:textId="77777777" w:rsidR="005A182B" w:rsidRPr="005A182B" w:rsidRDefault="005A182B" w:rsidP="005A182B">
      <w:pPr>
        <w:spacing w:before="240" w:after="80"/>
      </w:pPr>
      <w:r w:rsidRPr="005A182B">
        <w:t xml:space="preserve">Marx, D. (2001) </w:t>
      </w:r>
      <w:r w:rsidRPr="005A182B">
        <w:rPr>
          <w:i/>
          <w:iCs/>
        </w:rPr>
        <w:t>Patient Safety and the ‘Just Culture’: A Primer for Health Care Executives</w:t>
      </w:r>
      <w:r w:rsidRPr="005A182B">
        <w:t>. New York: Columbia University.</w:t>
      </w:r>
    </w:p>
    <w:p w14:paraId="1F9818D4" w14:textId="77777777" w:rsidR="005A182B" w:rsidRPr="005A182B" w:rsidRDefault="005A182B" w:rsidP="005A182B">
      <w:pPr>
        <w:spacing w:before="240" w:after="80"/>
      </w:pPr>
      <w:r w:rsidRPr="005A182B">
        <w:t xml:space="preserve">McGregor, D. (1960) </w:t>
      </w:r>
      <w:r w:rsidRPr="005A182B">
        <w:rPr>
          <w:i/>
          <w:iCs/>
        </w:rPr>
        <w:t>The Human Side of Enterprise</w:t>
      </w:r>
      <w:r w:rsidRPr="005A182B">
        <w:t>. New York: McGraw-Hill.</w:t>
      </w:r>
    </w:p>
    <w:p w14:paraId="28FD5223" w14:textId="77777777" w:rsidR="005A182B" w:rsidRPr="005A182B" w:rsidRDefault="005A182B" w:rsidP="005A182B">
      <w:pPr>
        <w:spacing w:before="240" w:after="80"/>
      </w:pPr>
      <w:r w:rsidRPr="005A182B">
        <w:t xml:space="preserve">Medicines and Healthcare products Regulatory Agency (2020) </w:t>
      </w:r>
      <w:r w:rsidRPr="005A182B">
        <w:rPr>
          <w:i/>
          <w:iCs/>
        </w:rPr>
        <w:t>Best practice guidance on the labelling and packaging of medicines</w:t>
      </w:r>
      <w:r w:rsidRPr="005A182B">
        <w:t xml:space="preserve">. Available at: </w:t>
      </w:r>
      <w:hyperlink r:id="rId20" w:tgtFrame="_new" w:history="1">
        <w:r w:rsidRPr="005A182B">
          <w:rPr>
            <w:rStyle w:val="Hyperlink"/>
          </w:rPr>
          <w:t>https://www.gov.uk/government/publications/best-practice-in-the-labelling-and-packaging-of-medicines</w:t>
        </w:r>
      </w:hyperlink>
      <w:r w:rsidRPr="005A182B">
        <w:t xml:space="preserve"> (Accessed: 19 July 2026).</w:t>
      </w:r>
    </w:p>
    <w:p w14:paraId="1944C961" w14:textId="77777777" w:rsidR="005A182B" w:rsidRPr="005A182B" w:rsidRDefault="005A182B" w:rsidP="005A182B">
      <w:pPr>
        <w:spacing w:before="240" w:after="80"/>
      </w:pPr>
      <w:r w:rsidRPr="005A182B">
        <w:t xml:space="preserve">Medicines and Healthcare products Regulatory Agency (2022) </w:t>
      </w:r>
      <w:r w:rsidRPr="005A182B">
        <w:rPr>
          <w:i/>
          <w:iCs/>
        </w:rPr>
        <w:t>Every Yellow Card report helps to improve patient safety</w:t>
      </w:r>
      <w:r w:rsidRPr="005A182B">
        <w:t xml:space="preserve">. Available at: </w:t>
      </w:r>
      <w:hyperlink r:id="rId21" w:tgtFrame="_new" w:history="1">
        <w:r w:rsidRPr="005A182B">
          <w:rPr>
            <w:rStyle w:val="Hyperlink"/>
          </w:rPr>
          <w:t>https://www.gov.uk/drug-safety-update/medsafetyweek-november-2022-every-yellow-card-report-helps-to-improve-patient-safety</w:t>
        </w:r>
      </w:hyperlink>
      <w:r w:rsidRPr="005A182B">
        <w:t xml:space="preserve"> (Accessed: 19 July 2026).</w:t>
      </w:r>
    </w:p>
    <w:p w14:paraId="7EEE5EB5" w14:textId="77777777" w:rsidR="005A182B" w:rsidRPr="005A182B" w:rsidRDefault="005A182B" w:rsidP="005A182B">
      <w:pPr>
        <w:spacing w:before="240" w:after="80"/>
      </w:pPr>
      <w:r w:rsidRPr="005A182B">
        <w:t xml:space="preserve">National Institute for Health and Care Excellence (2020) </w:t>
      </w:r>
      <w:r w:rsidRPr="005A182B">
        <w:rPr>
          <w:i/>
          <w:iCs/>
        </w:rPr>
        <w:t>Analgesia: mild-to-moderate pain</w:t>
      </w:r>
      <w:r w:rsidRPr="005A182B">
        <w:t xml:space="preserve">. Available at: </w:t>
      </w:r>
      <w:hyperlink r:id="rId22" w:tgtFrame="_new" w:history="1">
        <w:r w:rsidRPr="005A182B">
          <w:rPr>
            <w:rStyle w:val="Hyperlink"/>
          </w:rPr>
          <w:t>https://cks.nice.org.uk/topics/analgesia-mild-moderate-pain/</w:t>
        </w:r>
      </w:hyperlink>
      <w:r w:rsidRPr="005A182B">
        <w:t xml:space="preserve"> (Accessed: 19 July 2026).</w:t>
      </w:r>
    </w:p>
    <w:p w14:paraId="19B4491B" w14:textId="77777777" w:rsidR="005A182B" w:rsidRPr="005A182B" w:rsidRDefault="005A182B" w:rsidP="005A182B">
      <w:pPr>
        <w:spacing w:before="240" w:after="80"/>
      </w:pPr>
      <w:r w:rsidRPr="005A182B">
        <w:t xml:space="preserve">National Patient Safety Agency and Helen Hamlyn Research Centre (2007) </w:t>
      </w:r>
      <w:r w:rsidRPr="005A182B">
        <w:rPr>
          <w:i/>
          <w:iCs/>
        </w:rPr>
        <w:t>Design for Patient Safety: A Guide to the Graphic Design of Medication Packaging</w:t>
      </w:r>
      <w:r w:rsidRPr="005A182B">
        <w:t>. London: National Patient Safety Agency.</w:t>
      </w:r>
    </w:p>
    <w:p w14:paraId="34655452" w14:textId="77777777" w:rsidR="005A182B" w:rsidRPr="005A182B" w:rsidRDefault="005A182B" w:rsidP="005A182B">
      <w:pPr>
        <w:spacing w:before="240" w:after="80"/>
      </w:pPr>
      <w:r w:rsidRPr="005A182B">
        <w:t xml:space="preserve">NHS England (2019) </w:t>
      </w:r>
      <w:r w:rsidRPr="005A182B">
        <w:rPr>
          <w:i/>
          <w:iCs/>
        </w:rPr>
        <w:t>The NHS Patient Safety Strategy: Safer Culture, Safer Systems, Safer Patients</w:t>
      </w:r>
      <w:r w:rsidRPr="005A182B">
        <w:t xml:space="preserve">. Available at: </w:t>
      </w:r>
      <w:hyperlink r:id="rId23" w:tgtFrame="_new" w:history="1">
        <w:r w:rsidRPr="005A182B">
          <w:rPr>
            <w:rStyle w:val="Hyperlink"/>
          </w:rPr>
          <w:t>https://www.england.nhs.uk/patient-safety/the-nhs-patient-safety-strategy/</w:t>
        </w:r>
      </w:hyperlink>
      <w:r w:rsidRPr="005A182B">
        <w:t xml:space="preserve"> (Accessed: 19 July 2026).</w:t>
      </w:r>
    </w:p>
    <w:p w14:paraId="2E609A84" w14:textId="77777777" w:rsidR="005A182B" w:rsidRPr="005A182B" w:rsidRDefault="005A182B" w:rsidP="005A182B">
      <w:pPr>
        <w:spacing w:before="240" w:after="80"/>
      </w:pPr>
      <w:r w:rsidRPr="005A182B">
        <w:t xml:space="preserve">NHS England (2022) </w:t>
      </w:r>
      <w:r w:rsidRPr="005A182B">
        <w:rPr>
          <w:i/>
          <w:iCs/>
        </w:rPr>
        <w:t>Patient Safety Incident Response Framework</w:t>
      </w:r>
      <w:r w:rsidRPr="005A182B">
        <w:t xml:space="preserve">. Available at: </w:t>
      </w:r>
      <w:hyperlink r:id="rId24" w:tgtFrame="_new" w:history="1">
        <w:r w:rsidRPr="005A182B">
          <w:rPr>
            <w:rStyle w:val="Hyperlink"/>
          </w:rPr>
          <w:t>https://www.england.nhs.uk/patient-safety/patient-safety-insight/incident-response-framework/</w:t>
        </w:r>
      </w:hyperlink>
      <w:r w:rsidRPr="005A182B">
        <w:t xml:space="preserve"> (Accessed: 19 July 2026).</w:t>
      </w:r>
    </w:p>
    <w:p w14:paraId="4B1493CB" w14:textId="77777777" w:rsidR="005A182B" w:rsidRPr="005A182B" w:rsidRDefault="005A182B" w:rsidP="005A182B">
      <w:pPr>
        <w:spacing w:before="240" w:after="80"/>
      </w:pPr>
      <w:r w:rsidRPr="005A182B">
        <w:t xml:space="preserve">NHS England (2024) </w:t>
      </w:r>
      <w:r w:rsidRPr="005A182B">
        <w:rPr>
          <w:i/>
          <w:iCs/>
        </w:rPr>
        <w:t>Primary Care Patient Safety Strategy</w:t>
      </w:r>
      <w:r w:rsidRPr="005A182B">
        <w:t xml:space="preserve">. Available at: </w:t>
      </w:r>
      <w:hyperlink r:id="rId25" w:tgtFrame="_new" w:history="1">
        <w:r w:rsidRPr="005A182B">
          <w:rPr>
            <w:rStyle w:val="Hyperlink"/>
          </w:rPr>
          <w:t>https://www.england.nhs.uk/publication/primary-care-patient-safety-strategy/</w:t>
        </w:r>
      </w:hyperlink>
      <w:r w:rsidRPr="005A182B">
        <w:t xml:space="preserve"> (Accessed: 19 July 2026).</w:t>
      </w:r>
    </w:p>
    <w:p w14:paraId="6F76A46A" w14:textId="77777777" w:rsidR="005A182B" w:rsidRPr="005A182B" w:rsidRDefault="005A182B" w:rsidP="005A182B">
      <w:pPr>
        <w:spacing w:before="240" w:after="80"/>
      </w:pPr>
      <w:r w:rsidRPr="005A182B">
        <w:t xml:space="preserve">NHS England (2026) </w:t>
      </w:r>
      <w:r w:rsidRPr="005A182B">
        <w:rPr>
          <w:i/>
          <w:iCs/>
        </w:rPr>
        <w:t>NRLS to LFPSE Transition Report: January 2021 to December 2024</w:t>
      </w:r>
      <w:r w:rsidRPr="005A182B">
        <w:t xml:space="preserve">. Available at: </w:t>
      </w:r>
      <w:hyperlink r:id="rId26" w:tgtFrame="_new" w:history="1">
        <w:r w:rsidRPr="005A182B">
          <w:rPr>
            <w:rStyle w:val="Hyperlink"/>
          </w:rPr>
          <w:t>https://www.england.nhs.uk/statistics/statistical-work-areas/patient-safety-data/2024-25/nrls-to-lfpse-transition-report/</w:t>
        </w:r>
      </w:hyperlink>
      <w:r w:rsidRPr="005A182B">
        <w:t xml:space="preserve"> (Accessed: 19 July 2026).</w:t>
      </w:r>
    </w:p>
    <w:p w14:paraId="358E7643" w14:textId="77777777" w:rsidR="005A182B" w:rsidRPr="005A182B" w:rsidRDefault="005A182B" w:rsidP="005A182B">
      <w:pPr>
        <w:spacing w:before="240" w:after="80"/>
      </w:pPr>
      <w:r w:rsidRPr="005A182B">
        <w:t xml:space="preserve">NHS Staff Survey (2026) </w:t>
      </w:r>
      <w:r w:rsidRPr="005A182B">
        <w:rPr>
          <w:i/>
          <w:iCs/>
        </w:rPr>
        <w:t>National Results Briefing 2025</w:t>
      </w:r>
      <w:r w:rsidRPr="005A182B">
        <w:t xml:space="preserve">. Available at: </w:t>
      </w:r>
      <w:hyperlink r:id="rId27" w:tgtFrame="_new" w:history="1">
        <w:r w:rsidRPr="005A182B">
          <w:rPr>
            <w:rStyle w:val="Hyperlink"/>
          </w:rPr>
          <w:t>https://www.nhsstaffsurveys.com/results/national-results/</w:t>
        </w:r>
      </w:hyperlink>
      <w:r w:rsidRPr="005A182B">
        <w:t xml:space="preserve"> (Accessed: 19 July 2026).</w:t>
      </w:r>
    </w:p>
    <w:p w14:paraId="355BB6A4" w14:textId="77777777" w:rsidR="005A182B" w:rsidRPr="005A182B" w:rsidRDefault="005A182B" w:rsidP="005A182B">
      <w:pPr>
        <w:spacing w:before="240" w:after="80"/>
      </w:pPr>
      <w:r w:rsidRPr="005A182B">
        <w:t xml:space="preserve">Northouse, P.G. (2022) </w:t>
      </w:r>
      <w:r w:rsidRPr="005A182B">
        <w:rPr>
          <w:i/>
          <w:iCs/>
        </w:rPr>
        <w:t>Leadership: Theory and Practice</w:t>
      </w:r>
      <w:r w:rsidRPr="005A182B">
        <w:t xml:space="preserve">. 9th </w:t>
      </w:r>
      <w:proofErr w:type="spellStart"/>
      <w:r w:rsidRPr="005A182B">
        <w:t>edn</w:t>
      </w:r>
      <w:proofErr w:type="spellEnd"/>
      <w:r w:rsidRPr="005A182B">
        <w:t>. Thousand Oaks, CA: Sage.</w:t>
      </w:r>
    </w:p>
    <w:p w14:paraId="1A7A844D" w14:textId="77777777" w:rsidR="005A182B" w:rsidRPr="005A182B" w:rsidRDefault="005A182B" w:rsidP="005A182B">
      <w:pPr>
        <w:spacing w:before="240" w:after="80"/>
      </w:pPr>
      <w:r w:rsidRPr="005A182B">
        <w:lastRenderedPageBreak/>
        <w:t xml:space="preserve">Ouchi, W.G. (1981) </w:t>
      </w:r>
      <w:r w:rsidRPr="005A182B">
        <w:rPr>
          <w:i/>
          <w:iCs/>
        </w:rPr>
        <w:t>Theory Z: How American Business Can Meet the Japanese Challenge</w:t>
      </w:r>
      <w:r w:rsidRPr="005A182B">
        <w:t>. Reading, MA: Addison-Wesley.</w:t>
      </w:r>
    </w:p>
    <w:p w14:paraId="693245D4" w14:textId="77777777" w:rsidR="005A182B" w:rsidRPr="005A182B" w:rsidRDefault="005A182B" w:rsidP="005A182B">
      <w:pPr>
        <w:spacing w:before="240" w:after="80"/>
      </w:pPr>
      <w:r w:rsidRPr="005A182B">
        <w:t xml:space="preserve">Reason, J. (2000) ‘Human error: models and management’, </w:t>
      </w:r>
      <w:r w:rsidRPr="005A182B">
        <w:rPr>
          <w:i/>
          <w:iCs/>
        </w:rPr>
        <w:t>BMJ</w:t>
      </w:r>
      <w:r w:rsidRPr="005A182B">
        <w:t xml:space="preserve">, 320(7237), pp. 768-770. Available at: </w:t>
      </w:r>
      <w:hyperlink r:id="rId28" w:tgtFrame="_new" w:history="1">
        <w:r w:rsidRPr="005A182B">
          <w:rPr>
            <w:rStyle w:val="Hyperlink"/>
          </w:rPr>
          <w:t>https://doi.org/10.1136/bmj.320.7237.768</w:t>
        </w:r>
      </w:hyperlink>
      <w:r w:rsidRPr="005A182B">
        <w:t xml:space="preserve"> (Accessed: 19 July 2026).</w:t>
      </w:r>
    </w:p>
    <w:p w14:paraId="48ADB746" w14:textId="77777777" w:rsidR="005A182B" w:rsidRPr="005A182B" w:rsidRDefault="005A182B" w:rsidP="005A182B">
      <w:pPr>
        <w:spacing w:before="240" w:after="80"/>
      </w:pPr>
      <w:r w:rsidRPr="005A182B">
        <w:t xml:space="preserve">Royal Pharmaceutical Society (2018) </w:t>
      </w:r>
      <w:r w:rsidRPr="005A182B">
        <w:rPr>
          <w:i/>
          <w:iCs/>
        </w:rPr>
        <w:t>Professional guidance on the safe and secure handling of medicines</w:t>
      </w:r>
      <w:r w:rsidRPr="005A182B">
        <w:t xml:space="preserve">. Available at: </w:t>
      </w:r>
      <w:hyperlink r:id="rId29" w:tgtFrame="_new" w:history="1">
        <w:r w:rsidRPr="005A182B">
          <w:rPr>
            <w:rStyle w:val="Hyperlink"/>
          </w:rPr>
          <w:t>https://www.rcpharm.org/professional-standards/professional-guidance-on-the-safe-and-secure-handling-of-medicines/</w:t>
        </w:r>
      </w:hyperlink>
      <w:r w:rsidRPr="005A182B">
        <w:t xml:space="preserve"> (Accessed: 19 July 2026).</w:t>
      </w:r>
    </w:p>
    <w:p w14:paraId="4B5CC96D" w14:textId="77777777" w:rsidR="005A182B" w:rsidRPr="005A182B" w:rsidRDefault="005A182B" w:rsidP="005A182B">
      <w:pPr>
        <w:spacing w:before="240" w:after="80"/>
      </w:pPr>
      <w:r w:rsidRPr="005A182B">
        <w:t xml:space="preserve">Tannenbaum, R. and Schmidt, W.H. (1958) ‘How to choose a leadership pattern’, </w:t>
      </w:r>
      <w:r w:rsidRPr="005A182B">
        <w:rPr>
          <w:i/>
          <w:iCs/>
        </w:rPr>
        <w:t>Harvard Business Review</w:t>
      </w:r>
      <w:r w:rsidRPr="005A182B">
        <w:t>, 36(2), pp. 95-101.</w:t>
      </w:r>
    </w:p>
    <w:p w14:paraId="41A84200" w14:textId="77777777" w:rsidR="005A182B" w:rsidRPr="005A182B" w:rsidRDefault="005A182B" w:rsidP="005A182B">
      <w:pPr>
        <w:spacing w:before="240" w:after="80"/>
      </w:pPr>
      <w:r w:rsidRPr="005A182B">
        <w:t xml:space="preserve">Vincent, C. (2010) </w:t>
      </w:r>
      <w:r w:rsidRPr="005A182B">
        <w:rPr>
          <w:i/>
          <w:iCs/>
        </w:rPr>
        <w:t>Patient Safety</w:t>
      </w:r>
      <w:r w:rsidRPr="005A182B">
        <w:t xml:space="preserve">. 2nd </w:t>
      </w:r>
      <w:proofErr w:type="spellStart"/>
      <w:r w:rsidRPr="005A182B">
        <w:t>edn</w:t>
      </w:r>
      <w:proofErr w:type="spellEnd"/>
      <w:r w:rsidRPr="005A182B">
        <w:t>. Chichester: Wiley-Blackwell.</w:t>
      </w:r>
    </w:p>
    <w:p w14:paraId="6EF8C6F3" w14:textId="77777777" w:rsidR="005A182B" w:rsidRPr="005A182B" w:rsidRDefault="005A182B" w:rsidP="005A182B">
      <w:pPr>
        <w:spacing w:before="240" w:after="80"/>
      </w:pPr>
      <w:r w:rsidRPr="005A182B">
        <w:t xml:space="preserve">Weick, K.E. and Sutcliffe, K.M. (2007) </w:t>
      </w:r>
      <w:r w:rsidRPr="005A182B">
        <w:rPr>
          <w:i/>
          <w:iCs/>
        </w:rPr>
        <w:t>Managing the Unexpected: Resilient Performance in an Age of Uncertainty</w:t>
      </w:r>
      <w:r w:rsidRPr="005A182B">
        <w:t xml:space="preserve">. 2nd </w:t>
      </w:r>
      <w:proofErr w:type="spellStart"/>
      <w:r w:rsidRPr="005A182B">
        <w:t>edn</w:t>
      </w:r>
      <w:proofErr w:type="spellEnd"/>
      <w:r w:rsidRPr="005A182B">
        <w:t>. San Francisco, CA: Jossey-Bass.</w:t>
      </w:r>
    </w:p>
    <w:p w14:paraId="58F54705" w14:textId="77777777" w:rsidR="005A182B" w:rsidRPr="005A182B" w:rsidRDefault="005A182B" w:rsidP="005A182B">
      <w:pPr>
        <w:spacing w:before="240" w:after="80"/>
      </w:pPr>
      <w:r w:rsidRPr="005A182B">
        <w:t xml:space="preserve">Wong, C.A., Cummings, G.G. and Ducharme, L. (2013) ‘The relationship between nursing leadership and patient outcomes: a systematic review update’, </w:t>
      </w:r>
      <w:r w:rsidRPr="005A182B">
        <w:rPr>
          <w:i/>
          <w:iCs/>
        </w:rPr>
        <w:t>Journal of Nursing Management</w:t>
      </w:r>
      <w:r w:rsidRPr="005A182B">
        <w:t xml:space="preserve">, 21(5), pp. 709-724. Available at: </w:t>
      </w:r>
      <w:hyperlink r:id="rId30" w:tgtFrame="_new" w:history="1">
        <w:r w:rsidRPr="005A182B">
          <w:rPr>
            <w:rStyle w:val="Hyperlink"/>
          </w:rPr>
          <w:t>https://doi.org/10.1111/jonm.12116</w:t>
        </w:r>
      </w:hyperlink>
      <w:r w:rsidRPr="005A182B">
        <w:t xml:space="preserve"> (Accessed: 19 July 2026).</w:t>
      </w:r>
    </w:p>
    <w:p w14:paraId="54B276A3" w14:textId="77777777" w:rsidR="005A182B" w:rsidRPr="005A182B" w:rsidRDefault="005A182B" w:rsidP="005A182B">
      <w:pPr>
        <w:spacing w:before="240" w:after="80"/>
      </w:pPr>
      <w:r w:rsidRPr="005A182B">
        <w:t xml:space="preserve">World Health Organization (2017) </w:t>
      </w:r>
      <w:r w:rsidRPr="005A182B">
        <w:rPr>
          <w:i/>
          <w:iCs/>
        </w:rPr>
        <w:t>Medication Without Harm: WHO Global Patient Safety Challenge</w:t>
      </w:r>
      <w:r w:rsidRPr="005A182B">
        <w:t xml:space="preserve">. Geneva: World Health Organization. Available at: </w:t>
      </w:r>
      <w:hyperlink r:id="rId31" w:tgtFrame="_new" w:history="1">
        <w:r w:rsidRPr="005A182B">
          <w:rPr>
            <w:rStyle w:val="Hyperlink"/>
          </w:rPr>
          <w:t>https://www.who.int/initiatives/medication-without-harm</w:t>
        </w:r>
      </w:hyperlink>
      <w:r w:rsidRPr="005A182B">
        <w:t xml:space="preserve"> (Accessed: 19 July 2026).</w:t>
      </w:r>
    </w:p>
    <w:p w14:paraId="5D7E33AA" w14:textId="77777777" w:rsidR="005A182B" w:rsidRPr="005A182B" w:rsidRDefault="005A182B" w:rsidP="005A182B">
      <w:pPr>
        <w:spacing w:before="240" w:after="80"/>
      </w:pPr>
      <w:r w:rsidRPr="005A182B">
        <w:t xml:space="preserve">World Health Organization (2022) </w:t>
      </w:r>
      <w:r w:rsidRPr="005A182B">
        <w:rPr>
          <w:i/>
          <w:iCs/>
        </w:rPr>
        <w:t>WHO Calls for Urgent Action by Countries for Achieving Medication Without Harm</w:t>
      </w:r>
      <w:r w:rsidRPr="005A182B">
        <w:t xml:space="preserve">. Available at: </w:t>
      </w:r>
      <w:hyperlink r:id="rId32" w:tgtFrame="_new" w:history="1">
        <w:r w:rsidRPr="005A182B">
          <w:rPr>
            <w:rStyle w:val="Hyperlink"/>
          </w:rPr>
          <w:t>https://www.who.int/news/item/16-09-2022-who-calls-for-urgent-action-by-countries-for-achieving-medication-without-harm</w:t>
        </w:r>
      </w:hyperlink>
      <w:r w:rsidRPr="005A182B">
        <w:t xml:space="preserve"> (Accessed: 19 July 2026).</w:t>
      </w:r>
    </w:p>
    <w:p w14:paraId="4D90E28A" w14:textId="77777777" w:rsidR="005A182B" w:rsidRPr="005A182B" w:rsidRDefault="005A182B" w:rsidP="005A182B">
      <w:pPr>
        <w:spacing w:before="240" w:after="80"/>
      </w:pPr>
      <w:r w:rsidRPr="005A182B">
        <w:t xml:space="preserve">Yukl, G. (2013) </w:t>
      </w:r>
      <w:r w:rsidRPr="005A182B">
        <w:rPr>
          <w:i/>
          <w:iCs/>
        </w:rPr>
        <w:t>Leadership in Organizations</w:t>
      </w:r>
      <w:r w:rsidRPr="005A182B">
        <w:t xml:space="preserve">. 8th </w:t>
      </w:r>
      <w:proofErr w:type="spellStart"/>
      <w:r w:rsidRPr="005A182B">
        <w:t>edn</w:t>
      </w:r>
      <w:proofErr w:type="spellEnd"/>
      <w:r w:rsidRPr="005A182B">
        <w:t>. Boston, MA: Pearson.</w:t>
      </w:r>
    </w:p>
    <w:p w14:paraId="1D26A345" w14:textId="03F2A9B3" w:rsidR="00C07877" w:rsidRPr="00C07877" w:rsidRDefault="00C07877" w:rsidP="005A182B">
      <w:pPr>
        <w:spacing w:before="240" w:after="80" w:line="276" w:lineRule="auto"/>
        <w:ind w:left="720" w:hanging="720"/>
      </w:pPr>
    </w:p>
    <w:p w14:paraId="6E5256F8" w14:textId="77777777" w:rsidR="004243AA" w:rsidRDefault="004243AA">
      <w:pPr>
        <w:spacing w:after="80" w:line="276" w:lineRule="auto"/>
      </w:pPr>
    </w:p>
    <w:sectPr w:rsidR="004243AA" w:rsidSect="00034616">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9CD5C" w14:textId="77777777" w:rsidR="005954CF" w:rsidRDefault="005954CF">
      <w:pPr>
        <w:spacing w:after="0" w:line="240" w:lineRule="auto"/>
      </w:pPr>
      <w:r>
        <w:separator/>
      </w:r>
    </w:p>
  </w:endnote>
  <w:endnote w:type="continuationSeparator" w:id="0">
    <w:p w14:paraId="29A95281" w14:textId="77777777" w:rsidR="005954CF" w:rsidRDefault="00595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5062131"/>
      <w:docPartObj>
        <w:docPartGallery w:val="Page Numbers (Bottom of Page)"/>
        <w:docPartUnique/>
      </w:docPartObj>
    </w:sdtPr>
    <w:sdtEndPr>
      <w:rPr>
        <w:noProof/>
      </w:rPr>
    </w:sdtEndPr>
    <w:sdtContent>
      <w:p w14:paraId="113E11C8" w14:textId="78F64274" w:rsidR="00217414" w:rsidRDefault="0021741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52BAB5" w14:textId="77777777" w:rsidR="004243AA" w:rsidRDefault="004243A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422161" w14:textId="77777777" w:rsidR="005954CF" w:rsidRDefault="005954CF">
      <w:pPr>
        <w:spacing w:after="0" w:line="240" w:lineRule="auto"/>
      </w:pPr>
      <w:r>
        <w:separator/>
      </w:r>
    </w:p>
  </w:footnote>
  <w:footnote w:type="continuationSeparator" w:id="0">
    <w:p w14:paraId="469E272A" w14:textId="77777777" w:rsidR="005954CF" w:rsidRDefault="005954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04580981">
    <w:abstractNumId w:val="8"/>
  </w:num>
  <w:num w:numId="2" w16cid:durableId="2132554732">
    <w:abstractNumId w:val="6"/>
  </w:num>
  <w:num w:numId="3" w16cid:durableId="455563633">
    <w:abstractNumId w:val="5"/>
  </w:num>
  <w:num w:numId="4" w16cid:durableId="1606035395">
    <w:abstractNumId w:val="4"/>
  </w:num>
  <w:num w:numId="5" w16cid:durableId="344870925">
    <w:abstractNumId w:val="7"/>
  </w:num>
  <w:num w:numId="6" w16cid:durableId="736250332">
    <w:abstractNumId w:val="3"/>
  </w:num>
  <w:num w:numId="7" w16cid:durableId="99835406">
    <w:abstractNumId w:val="2"/>
  </w:num>
  <w:num w:numId="8" w16cid:durableId="1252279022">
    <w:abstractNumId w:val="1"/>
  </w:num>
  <w:num w:numId="9" w16cid:durableId="12513530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437F"/>
    <w:rsid w:val="0006063C"/>
    <w:rsid w:val="000F1E06"/>
    <w:rsid w:val="00103E43"/>
    <w:rsid w:val="00105F4C"/>
    <w:rsid w:val="0015074B"/>
    <w:rsid w:val="00167A52"/>
    <w:rsid w:val="001A3642"/>
    <w:rsid w:val="001E0EC0"/>
    <w:rsid w:val="00211C8B"/>
    <w:rsid w:val="00217414"/>
    <w:rsid w:val="00217CDA"/>
    <w:rsid w:val="0029639D"/>
    <w:rsid w:val="00326F90"/>
    <w:rsid w:val="00373AF6"/>
    <w:rsid w:val="003863B5"/>
    <w:rsid w:val="004243AA"/>
    <w:rsid w:val="00442511"/>
    <w:rsid w:val="004C566D"/>
    <w:rsid w:val="004D2C7B"/>
    <w:rsid w:val="00512F54"/>
    <w:rsid w:val="005954CF"/>
    <w:rsid w:val="005A182B"/>
    <w:rsid w:val="00764FE8"/>
    <w:rsid w:val="0091571E"/>
    <w:rsid w:val="0095562D"/>
    <w:rsid w:val="00960573"/>
    <w:rsid w:val="00A07072"/>
    <w:rsid w:val="00A61229"/>
    <w:rsid w:val="00A95491"/>
    <w:rsid w:val="00AA1D8D"/>
    <w:rsid w:val="00B42A5E"/>
    <w:rsid w:val="00B47730"/>
    <w:rsid w:val="00B8321E"/>
    <w:rsid w:val="00BC7276"/>
    <w:rsid w:val="00C07877"/>
    <w:rsid w:val="00CB0664"/>
    <w:rsid w:val="00CB3828"/>
    <w:rsid w:val="00D80E3C"/>
    <w:rsid w:val="00DC24C2"/>
    <w:rsid w:val="00E2032A"/>
    <w:rsid w:val="00FC693F"/>
    <w:rsid w:val="00FD2C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8C435E"/>
  <w14:defaultImageDpi w14:val="300"/>
  <w15:docId w15:val="{DA0416A3-85FF-4A95-9D08-3F36DC358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1F4E79"/>
      <w:sz w:val="28"/>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1F4E79"/>
      <w:sz w:val="24"/>
      <w:szCs w:val="26"/>
    </w:rPr>
  </w:style>
  <w:style w:type="paragraph" w:styleId="Heading3">
    <w:name w:val="heading 3"/>
    <w:basedOn w:val="Normal"/>
    <w:next w:val="Normal"/>
    <w:link w:val="Heading3Char"/>
    <w:uiPriority w:val="9"/>
    <w:unhideWhenUsed/>
    <w:qFormat/>
    <w:rsid w:val="00FC693F"/>
    <w:pPr>
      <w:keepNext/>
      <w:keepLines/>
      <w:spacing w:before="240"/>
      <w:outlineLvl w:val="2"/>
    </w:pPr>
    <w:rPr>
      <w:rFonts w:asciiTheme="majorHAnsi" w:eastAsiaTheme="majorEastAsia" w:hAnsiTheme="majorHAnsi" w:cstheme="majorBidi"/>
      <w:b/>
      <w:bCs/>
      <w:color w:val="1F4E79"/>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40"/>
      <w:contextualSpacing/>
    </w:pPr>
    <w:rPr>
      <w:rFonts w:asciiTheme="majorHAnsi" w:eastAsiaTheme="majorEastAsia" w:hAnsiTheme="majorHAnsi" w:cstheme="majorBidi"/>
      <w:b/>
      <w:color w:val="1F4E79"/>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aptionCustom">
    <w:name w:val="CaptionCustom"/>
    <w:pPr>
      <w:spacing w:after="160"/>
      <w:jc w:val="center"/>
    </w:pPr>
    <w:rPr>
      <w:rFonts w:ascii="Arial" w:eastAsia="Arial" w:hAnsi="Arial"/>
      <w:i/>
      <w:sz w:val="18"/>
    </w:rPr>
  </w:style>
  <w:style w:type="character" w:styleId="Hyperlink">
    <w:name w:val="Hyperlink"/>
    <w:basedOn w:val="DefaultParagraphFont"/>
    <w:uiPriority w:val="99"/>
    <w:unhideWhenUsed/>
    <w:rsid w:val="00C07877"/>
    <w:rPr>
      <w:color w:val="0000FF" w:themeColor="hyperlink"/>
      <w:u w:val="single"/>
    </w:rPr>
  </w:style>
  <w:style w:type="character" w:styleId="UnresolvedMention">
    <w:name w:val="Unresolved Mention"/>
    <w:basedOn w:val="DefaultParagraphFont"/>
    <w:uiPriority w:val="99"/>
    <w:semiHidden/>
    <w:unhideWhenUsed/>
    <w:rsid w:val="00C07877"/>
    <w:rPr>
      <w:color w:val="605E5C"/>
      <w:shd w:val="clear" w:color="auto" w:fill="E1DFDD"/>
    </w:rPr>
  </w:style>
  <w:style w:type="paragraph" w:styleId="TOC1">
    <w:name w:val="toc 1"/>
    <w:basedOn w:val="Normal"/>
    <w:next w:val="Normal"/>
    <w:autoRedefine/>
    <w:uiPriority w:val="39"/>
    <w:unhideWhenUsed/>
    <w:rsid w:val="00C07877"/>
    <w:pPr>
      <w:spacing w:after="100"/>
    </w:pPr>
  </w:style>
  <w:style w:type="paragraph" w:styleId="TOC3">
    <w:name w:val="toc 3"/>
    <w:basedOn w:val="Normal"/>
    <w:next w:val="Normal"/>
    <w:autoRedefine/>
    <w:uiPriority w:val="39"/>
    <w:unhideWhenUsed/>
    <w:rsid w:val="00C0787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36/qshc.2005.015842" TargetMode="External"/><Relationship Id="rId18" Type="http://schemas.openxmlformats.org/officeDocument/2006/relationships/hyperlink" Target="https://www.hssib.org.uk/patient-safety-investigations/unintentional-overdose-of-morphine-sulfate-oral-solution/investigation-report/?utm_source=chatgpt.com" TargetMode="External"/><Relationship Id="rId26" Type="http://schemas.openxmlformats.org/officeDocument/2006/relationships/hyperlink" Target="https://www.england.nhs.uk/statistics/statistical-work-areas/patient-safety-data/2024-25/nrls-to-lfpse-transition-report/" TargetMode="External"/><Relationship Id="rId3" Type="http://schemas.openxmlformats.org/officeDocument/2006/relationships/styles" Target="styles.xml"/><Relationship Id="rId21" Type="http://schemas.openxmlformats.org/officeDocument/2006/relationships/hyperlink" Target="https://www.gov.uk/drug-safety-update/medsafetyweek-november-2022-every-yellow-card-report-helps-to-improve-patient-safety"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16/j.sapharm.2017.05.004" TargetMode="External"/><Relationship Id="rId17" Type="http://schemas.openxmlformats.org/officeDocument/2006/relationships/hyperlink" Target="https://www.ihi.org/library/white-papers/framework-safe-reliable-and-effective-care" TargetMode="External"/><Relationship Id="rId25" Type="http://schemas.openxmlformats.org/officeDocument/2006/relationships/hyperlink" Target="https://www.england.nhs.uk/publication/primary-care-patient-safety-strategy/?utm_source=chatgpt.co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136/bmjqs-2019-010206" TargetMode="External"/><Relationship Id="rId20" Type="http://schemas.openxmlformats.org/officeDocument/2006/relationships/hyperlink" Target="https://www.gov.uk/government/publications/best-practice-in-the-labelling-and-packaging-of-medicines?utm_source=chatgpt.com" TargetMode="External"/><Relationship Id="rId29" Type="http://schemas.openxmlformats.org/officeDocument/2006/relationships/hyperlink" Target="https://www.rcpharm.org/professional-standards/professional-guidance-on-the-safe-and-secure-handling-of-medicin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outlook.2017.10.004" TargetMode="External"/><Relationship Id="rId24" Type="http://schemas.openxmlformats.org/officeDocument/2006/relationships/hyperlink" Target="https://www.england.nhs.uk/patient-safety/patient-safety-insight/incident-response-framework/" TargetMode="External"/><Relationship Id="rId32" Type="http://schemas.openxmlformats.org/officeDocument/2006/relationships/hyperlink" Target="https://www.who.int/news/item/16-09-2022-who-calls-for-urgent-action-by-countries-for-achieving-medication-without-harm" TargetMode="External"/><Relationship Id="rId5" Type="http://schemas.openxmlformats.org/officeDocument/2006/relationships/webSettings" Target="webSettings.xml"/><Relationship Id="rId15" Type="http://schemas.openxmlformats.org/officeDocument/2006/relationships/hyperlink" Target="https://doi.org/10.2307/2666999" TargetMode="External"/><Relationship Id="rId23" Type="http://schemas.openxmlformats.org/officeDocument/2006/relationships/hyperlink" Target="https://www.england.nhs.uk/patient-safety/the-nhs-patient-safety-strategy/" TargetMode="External"/><Relationship Id="rId28" Type="http://schemas.openxmlformats.org/officeDocument/2006/relationships/hyperlink" Target="https://doi.org/10.1136/bmj.320.7237.768" TargetMode="External"/><Relationship Id="rId10" Type="http://schemas.openxmlformats.org/officeDocument/2006/relationships/hyperlink" Target="https://doi.org/10.1007/s11096-004-2222-1" TargetMode="External"/><Relationship Id="rId19" Type="http://schemas.openxmlformats.org/officeDocument/2006/relationships/hyperlink" Target="https://doi.org/10.1080/00140139.2013.838643" TargetMode="External"/><Relationship Id="rId31" Type="http://schemas.openxmlformats.org/officeDocument/2006/relationships/hyperlink" Target="https://www.who.int/initiatives/medication-without-harm" TargetMode="External"/><Relationship Id="rId4" Type="http://schemas.openxmlformats.org/officeDocument/2006/relationships/settings" Target="settings.xml"/><Relationship Id="rId9" Type="http://schemas.openxmlformats.org/officeDocument/2006/relationships/hyperlink" Target="https://doi.org/10.1111/bcp.14924" TargetMode="External"/><Relationship Id="rId14" Type="http://schemas.openxmlformats.org/officeDocument/2006/relationships/hyperlink" Target="https://doi.org/10.1016/S0140-6736(17)31047-4" TargetMode="External"/><Relationship Id="rId22" Type="http://schemas.openxmlformats.org/officeDocument/2006/relationships/hyperlink" Target="https://cks.nice.org.uk/topics/analgesia-mild-moderate-pain/" TargetMode="External"/><Relationship Id="rId27" Type="http://schemas.openxmlformats.org/officeDocument/2006/relationships/hyperlink" Target="https://www.nhsstaffsurveys.com/results/national-results/?utm_source=chatgpt.com" TargetMode="External"/><Relationship Id="rId30" Type="http://schemas.openxmlformats.org/officeDocument/2006/relationships/hyperlink" Target="https://doi.org/10.1111/jonm.12116"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22</Pages>
  <Words>7318</Words>
  <Characters>41716</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48937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cp:lastModifiedBy>Ritu Panna Saha</cp:lastModifiedBy>
  <cp:revision>14</cp:revision>
  <dcterms:created xsi:type="dcterms:W3CDTF">2026-07-26T09:04:00Z</dcterms:created>
  <dcterms:modified xsi:type="dcterms:W3CDTF">2026-07-26T14:16:00Z</dcterms:modified>
  <cp:category/>
</cp:coreProperties>
</file>