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B1C16" w14:textId="77777777" w:rsidR="00DB061D" w:rsidRDefault="002168B7">
      <w:pPr>
        <w:spacing w:before="680" w:after="40"/>
        <w:jc w:val="center"/>
      </w:pPr>
      <w:r>
        <w:rPr>
          <w:b/>
          <w:bCs/>
          <w:color w:val="163B5C"/>
          <w:sz w:val="56"/>
          <w:szCs w:val="56"/>
        </w:rPr>
        <w:t>RECOVERYLINK UK</w:t>
      </w:r>
    </w:p>
    <w:p w14:paraId="2AE15548" w14:textId="77777777" w:rsidR="00DB061D" w:rsidRDefault="00DB061D">
      <w:pPr>
        <w:spacing w:after="220"/>
        <w:jc w:val="center"/>
      </w:pPr>
    </w:p>
    <w:tbl>
      <w:tblPr>
        <w:tblStyle w:val="a"/>
        <w:tblW w:w="15536" w:type="dxa"/>
        <w:jc w:val="center"/>
        <w:tblInd w:w="0" w:type="dxa"/>
        <w:tblLayout w:type="fixed"/>
        <w:tblLook w:val="0400" w:firstRow="0" w:lastRow="0" w:firstColumn="0" w:lastColumn="0" w:noHBand="0" w:noVBand="1"/>
      </w:tblPr>
      <w:tblGrid>
        <w:gridCol w:w="5178"/>
        <w:gridCol w:w="5179"/>
        <w:gridCol w:w="5179"/>
      </w:tblGrid>
      <w:tr w:rsidR="00DB061D" w14:paraId="183B8392" w14:textId="77777777">
        <w:trPr>
          <w:jc w:val="center"/>
        </w:trPr>
        <w:tc>
          <w:tcPr>
            <w:tcW w:w="5179" w:type="dxa"/>
            <w:tcBorders>
              <w:top w:val="nil"/>
              <w:left w:val="nil"/>
              <w:bottom w:val="nil"/>
              <w:right w:val="nil"/>
            </w:tcBorders>
            <w:shd w:val="clear" w:color="auto" w:fill="1B8E8A"/>
            <w:tcMar>
              <w:top w:w="14" w:type="dxa"/>
              <w:bottom w:w="14" w:type="dxa"/>
            </w:tcMar>
          </w:tcPr>
          <w:p w14:paraId="2191641B" w14:textId="77777777" w:rsidR="00DB061D" w:rsidRDefault="00DB061D"/>
        </w:tc>
        <w:tc>
          <w:tcPr>
            <w:tcW w:w="5179" w:type="dxa"/>
            <w:tcBorders>
              <w:top w:val="nil"/>
              <w:left w:val="nil"/>
              <w:bottom w:val="nil"/>
              <w:right w:val="nil"/>
            </w:tcBorders>
            <w:shd w:val="clear" w:color="auto" w:fill="E6A63C"/>
            <w:tcMar>
              <w:top w:w="14" w:type="dxa"/>
              <w:bottom w:w="14" w:type="dxa"/>
            </w:tcMar>
          </w:tcPr>
          <w:p w14:paraId="61BA1515" w14:textId="77777777" w:rsidR="00DB061D" w:rsidRDefault="00DB061D"/>
        </w:tc>
        <w:tc>
          <w:tcPr>
            <w:tcW w:w="5179" w:type="dxa"/>
            <w:tcBorders>
              <w:top w:val="nil"/>
              <w:left w:val="nil"/>
              <w:bottom w:val="nil"/>
              <w:right w:val="nil"/>
            </w:tcBorders>
            <w:shd w:val="clear" w:color="auto" w:fill="1B8E8A"/>
            <w:tcMar>
              <w:top w:w="14" w:type="dxa"/>
              <w:bottom w:w="14" w:type="dxa"/>
            </w:tcMar>
          </w:tcPr>
          <w:p w14:paraId="3AC7A617" w14:textId="77777777" w:rsidR="00DB061D" w:rsidRDefault="00DB061D"/>
        </w:tc>
      </w:tr>
    </w:tbl>
    <w:p w14:paraId="3E3328E5" w14:textId="77777777" w:rsidR="00DB061D" w:rsidRDefault="00DB061D"/>
    <w:p w14:paraId="16B009ED" w14:textId="77777777" w:rsidR="00DB061D" w:rsidRPr="00286656" w:rsidRDefault="00DB061D">
      <w:pPr>
        <w:spacing w:before="160"/>
        <w:jc w:val="center"/>
        <w:rPr>
          <w:sz w:val="96"/>
          <w:szCs w:val="96"/>
        </w:rPr>
      </w:pPr>
    </w:p>
    <w:p w14:paraId="73E2AF5E" w14:textId="1F6099E4" w:rsidR="0066697E" w:rsidRPr="00286656" w:rsidRDefault="0066697E" w:rsidP="0066697E">
      <w:pPr>
        <w:rPr>
          <w:sz w:val="96"/>
          <w:szCs w:val="96"/>
        </w:rPr>
      </w:pPr>
      <w:r w:rsidRPr="00286656">
        <w:rPr>
          <w:sz w:val="96"/>
          <w:szCs w:val="96"/>
        </w:rPr>
        <w:tab/>
        <w:t xml:space="preserve">Farzana </w:t>
      </w:r>
      <w:r w:rsidR="00286656" w:rsidRPr="00286656">
        <w:rPr>
          <w:sz w:val="96"/>
          <w:szCs w:val="96"/>
        </w:rPr>
        <w:t>Akhter</w:t>
      </w:r>
    </w:p>
    <w:p w14:paraId="387E7BDE" w14:textId="77777777" w:rsidR="00286656" w:rsidRDefault="00286656" w:rsidP="0066697E">
      <w:pPr>
        <w:rPr>
          <w:sz w:val="96"/>
          <w:szCs w:val="96"/>
        </w:rPr>
      </w:pPr>
    </w:p>
    <w:p w14:paraId="275185D7" w14:textId="25359CEA" w:rsidR="0066697E" w:rsidRPr="00286656" w:rsidRDefault="000B1E10" w:rsidP="0066697E">
      <w:pPr>
        <w:rPr>
          <w:sz w:val="96"/>
          <w:szCs w:val="96"/>
        </w:rPr>
      </w:pPr>
      <w:r>
        <w:rPr>
          <w:sz w:val="96"/>
          <w:szCs w:val="96"/>
        </w:rPr>
        <w:t xml:space="preserve">   </w:t>
      </w:r>
      <w:r w:rsidR="0066697E" w:rsidRPr="00286656">
        <w:rPr>
          <w:sz w:val="96"/>
          <w:szCs w:val="96"/>
        </w:rPr>
        <w:t>2331978</w:t>
      </w:r>
    </w:p>
    <w:p w14:paraId="7A798244" w14:textId="3CA3D301" w:rsidR="00DB061D" w:rsidRDefault="002168B7" w:rsidP="0066697E">
      <w:pPr>
        <w:tabs>
          <w:tab w:val="left" w:pos="11292"/>
        </w:tabs>
      </w:pPr>
      <w:r w:rsidRPr="0066697E">
        <w:br w:type="page"/>
      </w:r>
      <w:r w:rsidR="0066697E">
        <w:lastRenderedPageBreak/>
        <w:tab/>
      </w:r>
    </w:p>
    <w:tbl>
      <w:tblPr>
        <w:tblStyle w:val="a1"/>
        <w:tblW w:w="15538" w:type="dxa"/>
        <w:jc w:val="center"/>
        <w:tblInd w:w="0" w:type="dxa"/>
        <w:tblLayout w:type="fixed"/>
        <w:tblLook w:val="0400" w:firstRow="0" w:lastRow="0" w:firstColumn="0" w:lastColumn="0" w:noHBand="0" w:noVBand="1"/>
      </w:tblPr>
      <w:tblGrid>
        <w:gridCol w:w="15538"/>
      </w:tblGrid>
      <w:tr w:rsidR="00DB061D" w14:paraId="1A4217C1" w14:textId="77777777">
        <w:trPr>
          <w:jc w:val="center"/>
        </w:trPr>
        <w:tc>
          <w:tcPr>
            <w:tcW w:w="15538" w:type="dxa"/>
            <w:tcBorders>
              <w:top w:val="single" w:sz="7" w:space="0" w:color="163B5C"/>
              <w:left w:val="single" w:sz="7" w:space="0" w:color="163B5C"/>
              <w:bottom w:val="single" w:sz="7" w:space="0" w:color="163B5C"/>
              <w:right w:val="single" w:sz="7" w:space="0" w:color="163B5C"/>
            </w:tcBorders>
            <w:shd w:val="clear" w:color="auto" w:fill="163B5C"/>
            <w:tcMar>
              <w:top w:w="42" w:type="dxa"/>
              <w:bottom w:w="38" w:type="dxa"/>
            </w:tcMar>
          </w:tcPr>
          <w:p w14:paraId="22875B3F" w14:textId="76788297" w:rsidR="00DB061D" w:rsidRDefault="002168B7" w:rsidP="0066697E">
            <w:pPr>
              <w:spacing w:after="0"/>
            </w:pPr>
            <w:r>
              <w:rPr>
                <w:b/>
                <w:bCs/>
                <w:color w:val="FFFFFF"/>
                <w:sz w:val="37"/>
                <w:szCs w:val="37"/>
              </w:rPr>
              <w:t>RECOVERYLINK UK</w:t>
            </w:r>
          </w:p>
          <w:p w14:paraId="3DC452FC" w14:textId="77777777" w:rsidR="00DB061D" w:rsidRDefault="002168B7">
            <w:pPr>
              <w:spacing w:after="0"/>
              <w:jc w:val="center"/>
            </w:pPr>
            <w:r>
              <w:rPr>
                <w:b/>
                <w:bCs/>
                <w:color w:val="CBE8E7"/>
                <w:sz w:val="20"/>
                <w:szCs w:val="20"/>
              </w:rPr>
              <w:t>Taking confidential and coordinated substance-misuse support into communities</w:t>
            </w:r>
          </w:p>
          <w:p w14:paraId="2FB051E2" w14:textId="77777777" w:rsidR="00DB061D" w:rsidRDefault="002168B7">
            <w:pPr>
              <w:spacing w:after="0"/>
              <w:jc w:val="center"/>
            </w:pPr>
            <w:r>
              <w:rPr>
                <w:color w:val="E6F1F0"/>
                <w:sz w:val="17"/>
                <w:szCs w:val="17"/>
              </w:rPr>
              <w:t>Poster 1 of 4 - The Issue, Target Audience and Expected Impact</w:t>
            </w:r>
          </w:p>
        </w:tc>
      </w:tr>
    </w:tbl>
    <w:p w14:paraId="749619FB" w14:textId="77777777" w:rsidR="00DB061D" w:rsidRDefault="00DB061D">
      <w:pPr>
        <w:spacing w:after="0" w:line="48" w:lineRule="auto"/>
      </w:pPr>
    </w:p>
    <w:tbl>
      <w:tblPr>
        <w:tblStyle w:val="a2"/>
        <w:tblW w:w="15538" w:type="dxa"/>
        <w:jc w:val="center"/>
        <w:tblInd w:w="0" w:type="dxa"/>
        <w:tblLayout w:type="fixed"/>
        <w:tblLook w:val="0400" w:firstRow="0" w:lastRow="0" w:firstColumn="0" w:lastColumn="0" w:noHBand="0" w:noVBand="1"/>
      </w:tblPr>
      <w:tblGrid>
        <w:gridCol w:w="7769"/>
        <w:gridCol w:w="7769"/>
      </w:tblGrid>
      <w:tr w:rsidR="00DB061D" w14:paraId="1E6C80BA" w14:textId="77777777">
        <w:trPr>
          <w:jc w:val="center"/>
        </w:trPr>
        <w:tc>
          <w:tcPr>
            <w:tcW w:w="7769" w:type="dxa"/>
            <w:tcBorders>
              <w:top w:val="nil"/>
              <w:left w:val="nil"/>
              <w:bottom w:val="nil"/>
              <w:right w:val="nil"/>
            </w:tcBorders>
            <w:tcMar>
              <w:top w:w="0" w:type="dxa"/>
              <w:bottom w:w="0" w:type="dxa"/>
            </w:tcMar>
          </w:tcPr>
          <w:p w14:paraId="3D6FAE57" w14:textId="77777777" w:rsidR="00DB061D" w:rsidRDefault="00DB061D"/>
          <w:tbl>
            <w:tblPr>
              <w:tblStyle w:val="a3"/>
              <w:tblW w:w="7632" w:type="dxa"/>
              <w:jc w:val="center"/>
              <w:tblInd w:w="0" w:type="dxa"/>
              <w:tblLayout w:type="fixed"/>
              <w:tblLook w:val="0400" w:firstRow="0" w:lastRow="0" w:firstColumn="0" w:lastColumn="0" w:noHBand="0" w:noVBand="1"/>
            </w:tblPr>
            <w:tblGrid>
              <w:gridCol w:w="7632"/>
            </w:tblGrid>
            <w:tr w:rsidR="00DB061D" w14:paraId="4D403D61"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008018B3" w14:textId="77777777" w:rsidR="00DB061D" w:rsidRDefault="002168B7">
                  <w:pPr>
                    <w:keepNext/>
                    <w:spacing w:after="0" w:line="240" w:lineRule="auto"/>
                    <w:jc w:val="center"/>
                  </w:pPr>
                  <w:r>
                    <w:rPr>
                      <w:b/>
                      <w:bCs/>
                      <w:color w:val="FFFFFF"/>
                      <w:sz w:val="19"/>
                      <w:szCs w:val="19"/>
                    </w:rPr>
                    <w:t>1. THE ISSUE AND SERVICE GAP</w:t>
                  </w:r>
                </w:p>
              </w:tc>
            </w:tr>
            <w:tr w:rsidR="00DB061D" w14:paraId="1C89B444" w14:textId="77777777">
              <w:trPr>
                <w:cantSplit/>
                <w:trHeight w:val="4418"/>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DF4F8"/>
                  <w:tcMar>
                    <w:top w:w="34" w:type="dxa"/>
                    <w:bottom w:w="34" w:type="dxa"/>
                  </w:tcMar>
                </w:tcPr>
                <w:p w14:paraId="347F8E7A" w14:textId="18903C7A" w:rsidR="00DB061D" w:rsidRDefault="00F112DB">
                  <w:pPr>
                    <w:spacing w:after="0"/>
                  </w:pPr>
                  <w:r>
                    <w:rPr>
                      <w:color w:val="18242C"/>
                    </w:rPr>
                    <w:t>Substance misuse</w:t>
                  </w:r>
                  <w:r w:rsidR="002168B7">
                    <w:rPr>
                      <w:color w:val="18242C"/>
                    </w:rPr>
                    <w:t xml:space="preserve"> is not evenly spread. Homelessness, poverty, unemployment, trauma, mental health and criminal </w:t>
                  </w:r>
                  <w:proofErr w:type="gramStart"/>
                  <w:r w:rsidR="00F156EB">
                    <w:rPr>
                      <w:color w:val="18242C"/>
                    </w:rPr>
                    <w:t>justice</w:t>
                  </w:r>
                  <w:r w:rsidR="002168B7">
                    <w:rPr>
                      <w:color w:val="18242C"/>
                    </w:rPr>
                    <w:t xml:space="preserve"> involvement</w:t>
                  </w:r>
                  <w:proofErr w:type="gramEnd"/>
                  <w:r w:rsidR="002168B7">
                    <w:rPr>
                      <w:color w:val="18242C"/>
                    </w:rPr>
                    <w:t xml:space="preserve"> can all contribute to both greater risk of harm and lesser access to support. In 2024, 5,565 drug-poisoning deaths were registered in England and Wales - the highest number on record; 2,621 of these involved opiates or opioids and 195 involved </w:t>
                  </w:r>
                  <w:proofErr w:type="spellStart"/>
                  <w:r w:rsidR="002168B7">
                    <w:rPr>
                      <w:color w:val="18242C"/>
                    </w:rPr>
                    <w:t>nitazenes</w:t>
                  </w:r>
                  <w:proofErr w:type="spellEnd"/>
                  <w:r w:rsidR="002168B7">
                    <w:rPr>
                      <w:color w:val="18242C"/>
                    </w:rPr>
                    <w:t xml:space="preserve"> (ONS, 2025). England saw 329,646 adults attend drug and alcohol treatment in 2024–25 but 4,273 died while in contact with services (OHID, 2025a).  </w:t>
                  </w:r>
                </w:p>
              </w:tc>
            </w:tr>
          </w:tbl>
          <w:p w14:paraId="69D5554A" w14:textId="77777777" w:rsidR="00DB061D" w:rsidRDefault="00DB061D"/>
        </w:tc>
        <w:tc>
          <w:tcPr>
            <w:tcW w:w="7769" w:type="dxa"/>
            <w:tcBorders>
              <w:top w:val="nil"/>
              <w:left w:val="nil"/>
              <w:bottom w:val="nil"/>
              <w:right w:val="nil"/>
            </w:tcBorders>
            <w:tcMar>
              <w:top w:w="0" w:type="dxa"/>
              <w:bottom w:w="0" w:type="dxa"/>
            </w:tcMar>
          </w:tcPr>
          <w:p w14:paraId="3835E7C0" w14:textId="77777777" w:rsidR="00DB061D" w:rsidRDefault="00DB061D"/>
          <w:tbl>
            <w:tblPr>
              <w:tblStyle w:val="a4"/>
              <w:tblW w:w="7632" w:type="dxa"/>
              <w:jc w:val="center"/>
              <w:tblInd w:w="0" w:type="dxa"/>
              <w:tblLayout w:type="fixed"/>
              <w:tblLook w:val="0400" w:firstRow="0" w:lastRow="0" w:firstColumn="0" w:lastColumn="0" w:noHBand="0" w:noVBand="1"/>
            </w:tblPr>
            <w:tblGrid>
              <w:gridCol w:w="7632"/>
            </w:tblGrid>
            <w:tr w:rsidR="00DB061D" w14:paraId="6ED067FB"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070891DC" w14:textId="77777777" w:rsidR="00DB061D" w:rsidRDefault="002168B7">
                  <w:pPr>
                    <w:keepNext/>
                    <w:spacing w:after="0" w:line="240" w:lineRule="auto"/>
                    <w:jc w:val="center"/>
                  </w:pPr>
                  <w:r>
                    <w:rPr>
                      <w:b/>
                      <w:bCs/>
                      <w:color w:val="FFFFFF"/>
                      <w:sz w:val="19"/>
                      <w:szCs w:val="19"/>
                    </w:rPr>
                    <w:t>2. TARGET AUDIENCE AND COMMON GOOD</w:t>
                  </w:r>
                </w:p>
              </w:tc>
            </w:tr>
            <w:tr w:rsidR="00DB061D" w14:paraId="33FD4C38" w14:textId="77777777">
              <w:trPr>
                <w:cantSplit/>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7F5F3"/>
                  <w:tcMar>
                    <w:top w:w="34" w:type="dxa"/>
                    <w:bottom w:w="34" w:type="dxa"/>
                  </w:tcMar>
                </w:tcPr>
                <w:p w14:paraId="4C31F7D4" w14:textId="3F90E847" w:rsidR="00DB061D" w:rsidRDefault="002168B7">
                  <w:pPr>
                    <w:spacing w:after="0"/>
                  </w:pPr>
                  <w:r>
                    <w:rPr>
                      <w:color w:val="18242C"/>
                    </w:rPr>
                    <w:t xml:space="preserve">The focus group is 18+ adults who use opioids, crack cocaine, other high-risk multiple substances, especially those who are homeless or underhoused. Family members, carers and community workers are a further target audience as they </w:t>
                  </w:r>
                  <w:r w:rsidR="00776486">
                    <w:rPr>
                      <w:color w:val="18242C"/>
                    </w:rPr>
                    <w:t>can often</w:t>
                  </w:r>
                  <w:r>
                    <w:rPr>
                      <w:color w:val="18242C"/>
                    </w:rPr>
                    <w:t xml:space="preserve"> identify overdose, to prompt engagement and to administer naloxone. </w:t>
                  </w:r>
                </w:p>
              </w:tc>
            </w:tr>
          </w:tbl>
          <w:p w14:paraId="1761CFC5" w14:textId="77777777" w:rsidR="00DB061D" w:rsidRDefault="00DB061D"/>
        </w:tc>
      </w:tr>
    </w:tbl>
    <w:p w14:paraId="43930FF9" w14:textId="77777777" w:rsidR="00DB061D" w:rsidRDefault="00DB061D">
      <w:pPr>
        <w:spacing w:after="0" w:line="48" w:lineRule="auto"/>
      </w:pPr>
    </w:p>
    <w:tbl>
      <w:tblPr>
        <w:tblStyle w:val="a5"/>
        <w:tblW w:w="15538" w:type="dxa"/>
        <w:jc w:val="center"/>
        <w:tblInd w:w="0" w:type="dxa"/>
        <w:tblLayout w:type="fixed"/>
        <w:tblLook w:val="0400" w:firstRow="0" w:lastRow="0" w:firstColumn="0" w:lastColumn="0" w:noHBand="0" w:noVBand="1"/>
      </w:tblPr>
      <w:tblGrid>
        <w:gridCol w:w="15538"/>
      </w:tblGrid>
      <w:tr w:rsidR="00DB061D" w14:paraId="34619F6A" w14:textId="77777777">
        <w:trPr>
          <w:jc w:val="center"/>
        </w:trPr>
        <w:tc>
          <w:tcPr>
            <w:tcW w:w="15538" w:type="dxa"/>
            <w:tcBorders>
              <w:top w:val="nil"/>
              <w:left w:val="nil"/>
              <w:bottom w:val="nil"/>
              <w:right w:val="nil"/>
            </w:tcBorders>
            <w:tcMar>
              <w:top w:w="0" w:type="dxa"/>
              <w:bottom w:w="0" w:type="dxa"/>
            </w:tcMar>
          </w:tcPr>
          <w:p w14:paraId="7BD8AA55" w14:textId="77777777" w:rsidR="00DB061D" w:rsidRDefault="00DB061D"/>
          <w:tbl>
            <w:tblPr>
              <w:tblStyle w:val="a6"/>
              <w:tblW w:w="15336" w:type="dxa"/>
              <w:jc w:val="center"/>
              <w:tblInd w:w="0" w:type="dxa"/>
              <w:tblLayout w:type="fixed"/>
              <w:tblLook w:val="0400" w:firstRow="0" w:lastRow="0" w:firstColumn="0" w:lastColumn="0" w:noHBand="0" w:noVBand="1"/>
            </w:tblPr>
            <w:tblGrid>
              <w:gridCol w:w="15336"/>
            </w:tblGrid>
            <w:tr w:rsidR="009043B2" w14:paraId="4A992285" w14:textId="0F9366BB" w:rsidTr="009043B2">
              <w:trPr>
                <w:cantSplit/>
                <w:jc w:val="center"/>
              </w:trPr>
              <w:tc>
                <w:tcPr>
                  <w:tcW w:w="15336"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420B67C7" w14:textId="45E10949" w:rsidR="009043B2" w:rsidRDefault="009043B2" w:rsidP="009043B2">
                  <w:pPr>
                    <w:keepNext/>
                    <w:spacing w:after="0" w:line="240" w:lineRule="auto"/>
                  </w:pPr>
                </w:p>
              </w:tc>
            </w:tr>
            <w:tr w:rsidR="009043B2" w14:paraId="5448AFF3" w14:textId="0F575E26" w:rsidTr="009043B2">
              <w:trPr>
                <w:cantSplit/>
                <w:jc w:val="center"/>
              </w:trPr>
              <w:tc>
                <w:tcPr>
                  <w:tcW w:w="15336" w:type="dxa"/>
                  <w:tcBorders>
                    <w:top w:val="single" w:sz="7" w:space="0" w:color="E6A63C"/>
                    <w:left w:val="single" w:sz="7" w:space="0" w:color="E6A63C"/>
                    <w:bottom w:val="single" w:sz="7" w:space="0" w:color="E6A63C"/>
                    <w:right w:val="single" w:sz="7" w:space="0" w:color="E6A63C"/>
                  </w:tcBorders>
                  <w:shd w:val="clear" w:color="auto" w:fill="FFF3D8"/>
                  <w:tcMar>
                    <w:top w:w="34" w:type="dxa"/>
                    <w:bottom w:w="34" w:type="dxa"/>
                  </w:tcMar>
                </w:tcPr>
                <w:p w14:paraId="6FCE315D" w14:textId="30898195" w:rsidR="009043B2" w:rsidRDefault="009043B2">
                  <w:pPr>
                    <w:spacing w:after="0"/>
                  </w:pPr>
                  <w:r>
                    <w:rPr>
                      <w:color w:val="18242C"/>
                    </w:rPr>
                    <w:t>Outcomes will be assessed beyond downloads. There is evidence to suggest peer-delivered harm reduction is both practicable and acceptable for individuals who are homeless and that integrated outreach may provide dual health and social interventions (Parkes et al., 2022; Lowrie et al., 2024). Online help can increase availability, though uptake and evidence-based practice are inconsistent and contact remains the principal intervention (</w:t>
                  </w:r>
                  <w:proofErr w:type="spellStart"/>
                  <w:r>
                    <w:rPr>
                      <w:color w:val="18242C"/>
                    </w:rPr>
                    <w:t>O’Logbon</w:t>
                  </w:r>
                  <w:proofErr w:type="spellEnd"/>
                  <w:r>
                    <w:rPr>
                      <w:color w:val="18242C"/>
                    </w:rPr>
                    <w:t xml:space="preserve"> et al., 2024). </w:t>
                  </w:r>
                </w:p>
              </w:tc>
            </w:tr>
          </w:tbl>
          <w:p w14:paraId="0392DE2A" w14:textId="77777777" w:rsidR="00DB061D" w:rsidRDefault="00DB061D"/>
        </w:tc>
      </w:tr>
    </w:tbl>
    <w:p w14:paraId="202D7B27" w14:textId="77777777" w:rsidR="00DB061D" w:rsidRDefault="00DB061D">
      <w:pPr>
        <w:spacing w:after="0" w:line="48" w:lineRule="auto"/>
      </w:pPr>
    </w:p>
    <w:p w14:paraId="0BDA5240" w14:textId="77777777" w:rsidR="00DB061D" w:rsidRDefault="002168B7">
      <w:r>
        <w:br w:type="page"/>
      </w:r>
    </w:p>
    <w:tbl>
      <w:tblPr>
        <w:tblStyle w:val="a7"/>
        <w:tblW w:w="15538" w:type="dxa"/>
        <w:jc w:val="center"/>
        <w:tblInd w:w="0" w:type="dxa"/>
        <w:tblLayout w:type="fixed"/>
        <w:tblLook w:val="0400" w:firstRow="0" w:lastRow="0" w:firstColumn="0" w:lastColumn="0" w:noHBand="0" w:noVBand="1"/>
      </w:tblPr>
      <w:tblGrid>
        <w:gridCol w:w="15538"/>
      </w:tblGrid>
      <w:tr w:rsidR="00DB061D" w14:paraId="621F93B6" w14:textId="77777777">
        <w:trPr>
          <w:jc w:val="center"/>
        </w:trPr>
        <w:tc>
          <w:tcPr>
            <w:tcW w:w="15538" w:type="dxa"/>
            <w:tcBorders>
              <w:top w:val="single" w:sz="7" w:space="0" w:color="163B5C"/>
              <w:left w:val="single" w:sz="7" w:space="0" w:color="163B5C"/>
              <w:bottom w:val="single" w:sz="7" w:space="0" w:color="163B5C"/>
              <w:right w:val="single" w:sz="7" w:space="0" w:color="163B5C"/>
            </w:tcBorders>
            <w:shd w:val="clear" w:color="auto" w:fill="163B5C"/>
            <w:tcMar>
              <w:top w:w="42" w:type="dxa"/>
              <w:bottom w:w="38" w:type="dxa"/>
            </w:tcMar>
          </w:tcPr>
          <w:p w14:paraId="519214E0" w14:textId="77777777" w:rsidR="00DB061D" w:rsidRDefault="002168B7">
            <w:pPr>
              <w:spacing w:after="0"/>
              <w:jc w:val="center"/>
            </w:pPr>
            <w:r>
              <w:rPr>
                <w:b/>
                <w:bCs/>
                <w:color w:val="FFFFFF"/>
                <w:sz w:val="37"/>
                <w:szCs w:val="37"/>
              </w:rPr>
              <w:lastRenderedPageBreak/>
              <w:t>RECOVERYLINK UK</w:t>
            </w:r>
          </w:p>
          <w:p w14:paraId="6C37B4FB" w14:textId="77777777" w:rsidR="00DB061D" w:rsidRDefault="002168B7">
            <w:pPr>
              <w:spacing w:after="0"/>
              <w:jc w:val="center"/>
            </w:pPr>
            <w:r>
              <w:rPr>
                <w:b/>
                <w:bCs/>
                <w:color w:val="CBE8E7"/>
                <w:sz w:val="20"/>
                <w:szCs w:val="20"/>
              </w:rPr>
              <w:t>A mobile, peer-supported and digitally connected pathway into treatment</w:t>
            </w:r>
          </w:p>
          <w:p w14:paraId="3026F8B2" w14:textId="77777777" w:rsidR="00DB061D" w:rsidRDefault="002168B7">
            <w:pPr>
              <w:spacing w:after="0"/>
              <w:jc w:val="center"/>
            </w:pPr>
            <w:r>
              <w:rPr>
                <w:color w:val="E6F1F0"/>
                <w:sz w:val="17"/>
                <w:szCs w:val="17"/>
              </w:rPr>
              <w:t>Poster 2 of 4 - Innovation, Service Pathway and Delivery</w:t>
            </w:r>
          </w:p>
        </w:tc>
      </w:tr>
    </w:tbl>
    <w:p w14:paraId="70729F28" w14:textId="77777777" w:rsidR="00DB061D" w:rsidRDefault="00DB061D">
      <w:pPr>
        <w:spacing w:after="0" w:line="48" w:lineRule="auto"/>
      </w:pPr>
    </w:p>
    <w:tbl>
      <w:tblPr>
        <w:tblStyle w:val="a8"/>
        <w:tblW w:w="15538" w:type="dxa"/>
        <w:jc w:val="center"/>
        <w:tblInd w:w="0" w:type="dxa"/>
        <w:tblLayout w:type="fixed"/>
        <w:tblLook w:val="0400" w:firstRow="0" w:lastRow="0" w:firstColumn="0" w:lastColumn="0" w:noHBand="0" w:noVBand="1"/>
      </w:tblPr>
      <w:tblGrid>
        <w:gridCol w:w="7769"/>
        <w:gridCol w:w="7769"/>
      </w:tblGrid>
      <w:tr w:rsidR="00DB061D" w14:paraId="1E1CD2FD" w14:textId="77777777">
        <w:trPr>
          <w:jc w:val="center"/>
        </w:trPr>
        <w:tc>
          <w:tcPr>
            <w:tcW w:w="7769" w:type="dxa"/>
            <w:tcBorders>
              <w:top w:val="nil"/>
              <w:left w:val="nil"/>
              <w:bottom w:val="nil"/>
              <w:right w:val="nil"/>
            </w:tcBorders>
            <w:tcMar>
              <w:top w:w="0" w:type="dxa"/>
              <w:bottom w:w="0" w:type="dxa"/>
            </w:tcMar>
          </w:tcPr>
          <w:p w14:paraId="7850ACE6" w14:textId="77777777" w:rsidR="00DB061D" w:rsidRDefault="00DB061D"/>
          <w:tbl>
            <w:tblPr>
              <w:tblStyle w:val="a9"/>
              <w:tblW w:w="7632" w:type="dxa"/>
              <w:jc w:val="center"/>
              <w:tblInd w:w="0" w:type="dxa"/>
              <w:tblLayout w:type="fixed"/>
              <w:tblLook w:val="0400" w:firstRow="0" w:lastRow="0" w:firstColumn="0" w:lastColumn="0" w:noHBand="0" w:noVBand="1"/>
            </w:tblPr>
            <w:tblGrid>
              <w:gridCol w:w="7632"/>
            </w:tblGrid>
            <w:tr w:rsidR="00DB061D" w14:paraId="631457D3"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4A05FEFF" w14:textId="77777777" w:rsidR="00DB061D" w:rsidRDefault="002168B7">
                  <w:pPr>
                    <w:keepNext/>
                    <w:spacing w:after="0" w:line="240" w:lineRule="auto"/>
                    <w:jc w:val="center"/>
                  </w:pPr>
                  <w:r>
                    <w:rPr>
                      <w:b/>
                      <w:bCs/>
                      <w:color w:val="FFFFFF"/>
                      <w:sz w:val="19"/>
                      <w:szCs w:val="19"/>
                    </w:rPr>
                    <w:t>4. INNOVATION OVERVIEW</w:t>
                  </w:r>
                </w:p>
              </w:tc>
            </w:tr>
            <w:tr w:rsidR="00DB061D" w14:paraId="4C9DF6B2" w14:textId="77777777">
              <w:trPr>
                <w:cantSplit/>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7F5F3"/>
                  <w:tcMar>
                    <w:top w:w="34" w:type="dxa"/>
                    <w:bottom w:w="34" w:type="dxa"/>
                  </w:tcMar>
                </w:tcPr>
                <w:p w14:paraId="1E7A15AB" w14:textId="0A3658E8" w:rsidR="00DB061D" w:rsidRDefault="002168B7">
                  <w:pPr>
                    <w:spacing w:after="0"/>
                  </w:pPr>
                  <w:proofErr w:type="spellStart"/>
                  <w:r>
                    <w:rPr>
                      <w:color w:val="18242C"/>
                    </w:rPr>
                    <w:t>RecoveryLink</w:t>
                  </w:r>
                  <w:proofErr w:type="spellEnd"/>
                  <w:r>
                    <w:rPr>
                      <w:color w:val="18242C"/>
                    </w:rPr>
                    <w:t xml:space="preserve"> UK is a single year pilot project which offers substance misuse support in the homes of its service users, who are among the hardest to engage in traditional clinic-based services. A mobile unit will make predictable weekly visits to hostels, food banks, probation </w:t>
                  </w:r>
                  <w:proofErr w:type="spellStart"/>
                  <w:r>
                    <w:rPr>
                      <w:color w:val="18242C"/>
                    </w:rPr>
                    <w:t>centres</w:t>
                  </w:r>
                  <w:proofErr w:type="spellEnd"/>
                  <w:r>
                    <w:rPr>
                      <w:color w:val="18242C"/>
                    </w:rPr>
                    <w:t xml:space="preserve"> and high-</w:t>
                  </w:r>
                  <w:proofErr w:type="gramStart"/>
                  <w:r>
                    <w:rPr>
                      <w:color w:val="18242C"/>
                    </w:rPr>
                    <w:t>needs</w:t>
                  </w:r>
                  <w:proofErr w:type="gramEnd"/>
                  <w:r>
                    <w:rPr>
                      <w:color w:val="18242C"/>
                    </w:rPr>
                    <w:t xml:space="preserve"> urban areas. Substance misuse nurse, peer recovery navigator and welfare adviser will be present at each session. </w:t>
                  </w:r>
                </w:p>
              </w:tc>
            </w:tr>
          </w:tbl>
          <w:p w14:paraId="630DDFA2" w14:textId="77777777" w:rsidR="00DB061D" w:rsidRDefault="00DB061D"/>
        </w:tc>
        <w:tc>
          <w:tcPr>
            <w:tcW w:w="7769" w:type="dxa"/>
            <w:tcBorders>
              <w:top w:val="nil"/>
              <w:left w:val="nil"/>
              <w:bottom w:val="nil"/>
              <w:right w:val="nil"/>
            </w:tcBorders>
            <w:tcMar>
              <w:top w:w="0" w:type="dxa"/>
              <w:bottom w:w="0" w:type="dxa"/>
            </w:tcMar>
          </w:tcPr>
          <w:p w14:paraId="264922F1" w14:textId="77777777" w:rsidR="00DB061D" w:rsidRDefault="00DB061D"/>
          <w:tbl>
            <w:tblPr>
              <w:tblStyle w:val="aa"/>
              <w:tblW w:w="7632" w:type="dxa"/>
              <w:jc w:val="center"/>
              <w:tblInd w:w="0" w:type="dxa"/>
              <w:tblLayout w:type="fixed"/>
              <w:tblLook w:val="0400" w:firstRow="0" w:lastRow="0" w:firstColumn="0" w:lastColumn="0" w:noHBand="0" w:noVBand="1"/>
            </w:tblPr>
            <w:tblGrid>
              <w:gridCol w:w="7632"/>
            </w:tblGrid>
            <w:tr w:rsidR="00DB061D" w14:paraId="2BEA1CF1"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5ECE5044" w14:textId="77777777" w:rsidR="00DB061D" w:rsidRDefault="002168B7">
                  <w:pPr>
                    <w:keepNext/>
                    <w:spacing w:after="0" w:line="240" w:lineRule="auto"/>
                    <w:jc w:val="center"/>
                  </w:pPr>
                  <w:r>
                    <w:rPr>
                      <w:b/>
                      <w:bCs/>
                      <w:color w:val="FFFFFF"/>
                      <w:sz w:val="19"/>
                      <w:szCs w:val="19"/>
                    </w:rPr>
                    <w:t>5. FIVE-STEP SERVICE PATHWAY</w:t>
                  </w:r>
                </w:p>
              </w:tc>
            </w:tr>
            <w:tr w:rsidR="00DB061D" w14:paraId="73BE3F82" w14:textId="77777777">
              <w:trPr>
                <w:cantSplit/>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DF4F8"/>
                  <w:tcMar>
                    <w:top w:w="34" w:type="dxa"/>
                    <w:bottom w:w="34" w:type="dxa"/>
                  </w:tcMar>
                </w:tcPr>
                <w:p w14:paraId="4F651407" w14:textId="2BA502FC" w:rsidR="00DB061D" w:rsidRDefault="002168B7">
                  <w:pPr>
                    <w:spacing w:after="0"/>
                  </w:pPr>
                  <w:r>
                    <w:rPr>
                      <w:color w:val="18242C"/>
                    </w:rPr>
                    <w:t xml:space="preserve">Locate: partners promote a weekly walk-in schedule. Welcome: no referral letter, permanent address or smartphone must </w:t>
                  </w:r>
                  <w:r w:rsidR="005D0449">
                    <w:rPr>
                      <w:color w:val="18242C"/>
                    </w:rPr>
                    <w:t>need</w:t>
                  </w:r>
                  <w:r>
                    <w:rPr>
                      <w:color w:val="18242C"/>
                    </w:rPr>
                    <w:t xml:space="preserve"> be had.  Protect: staff perform a consent-based risk assessment and offer harm reduction advice, including naloxone. </w:t>
                  </w:r>
                  <w:r w:rsidR="00514FA7">
                    <w:rPr>
                      <w:color w:val="18242C"/>
                    </w:rPr>
                    <w:t>a</w:t>
                  </w:r>
                  <w:r>
                    <w:rPr>
                      <w:color w:val="18242C"/>
                    </w:rPr>
                    <w:t xml:space="preserve"> text, app or telephone contact supports attendance and re-engagement. This approach is in line with the NICE guidance on targeted, </w:t>
                  </w:r>
                  <w:r w:rsidR="00251CED">
                    <w:rPr>
                      <w:color w:val="18242C"/>
                    </w:rPr>
                    <w:t>nonjudgemental</w:t>
                  </w:r>
                  <w:r>
                    <w:rPr>
                      <w:color w:val="18242C"/>
                    </w:rPr>
                    <w:t xml:space="preserve"> interventions and </w:t>
                  </w:r>
                  <w:r w:rsidR="005D0449">
                    <w:rPr>
                      <w:color w:val="18242C"/>
                    </w:rPr>
                    <w:t>coordinated</w:t>
                  </w:r>
                  <w:r>
                    <w:rPr>
                      <w:color w:val="18242C"/>
                    </w:rPr>
                    <w:t xml:space="preserve"> psychosocial support (NICE, 2017; NICE, 2007). </w:t>
                  </w:r>
                </w:p>
              </w:tc>
            </w:tr>
          </w:tbl>
          <w:p w14:paraId="64975ECD" w14:textId="77777777" w:rsidR="00DB061D" w:rsidRDefault="00DB061D"/>
        </w:tc>
      </w:tr>
    </w:tbl>
    <w:p w14:paraId="52D6F8B2" w14:textId="77777777" w:rsidR="00DB061D" w:rsidRDefault="00DB061D">
      <w:pPr>
        <w:spacing w:after="0" w:line="48" w:lineRule="auto"/>
      </w:pPr>
    </w:p>
    <w:tbl>
      <w:tblPr>
        <w:tblStyle w:val="ab"/>
        <w:tblW w:w="15538" w:type="dxa"/>
        <w:jc w:val="center"/>
        <w:tblInd w:w="0" w:type="dxa"/>
        <w:tblLayout w:type="fixed"/>
        <w:tblLook w:val="0400" w:firstRow="0" w:lastRow="0" w:firstColumn="0" w:lastColumn="0" w:noHBand="0" w:noVBand="1"/>
      </w:tblPr>
      <w:tblGrid>
        <w:gridCol w:w="15538"/>
      </w:tblGrid>
      <w:tr w:rsidR="00DB061D" w14:paraId="3E9DBEC4" w14:textId="77777777">
        <w:trPr>
          <w:jc w:val="center"/>
        </w:trPr>
        <w:tc>
          <w:tcPr>
            <w:tcW w:w="15538" w:type="dxa"/>
            <w:tcBorders>
              <w:top w:val="nil"/>
              <w:left w:val="nil"/>
              <w:bottom w:val="nil"/>
              <w:right w:val="nil"/>
            </w:tcBorders>
            <w:tcMar>
              <w:top w:w="0" w:type="dxa"/>
              <w:bottom w:w="0" w:type="dxa"/>
            </w:tcMar>
          </w:tcPr>
          <w:p w14:paraId="1C0F94C4" w14:textId="77777777" w:rsidR="00DB061D" w:rsidRDefault="00DB061D"/>
          <w:tbl>
            <w:tblPr>
              <w:tblStyle w:val="ac"/>
              <w:tblW w:w="15336" w:type="dxa"/>
              <w:jc w:val="center"/>
              <w:tblInd w:w="0" w:type="dxa"/>
              <w:tblLayout w:type="fixed"/>
              <w:tblLook w:val="0400" w:firstRow="0" w:lastRow="0" w:firstColumn="0" w:lastColumn="0" w:noHBand="0" w:noVBand="1"/>
            </w:tblPr>
            <w:tblGrid>
              <w:gridCol w:w="15336"/>
            </w:tblGrid>
            <w:tr w:rsidR="00DB061D" w14:paraId="2D9A7760" w14:textId="77777777">
              <w:trPr>
                <w:cantSplit/>
                <w:jc w:val="center"/>
              </w:trPr>
              <w:tc>
                <w:tcPr>
                  <w:tcW w:w="15336"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1CCADD5A" w14:textId="77777777" w:rsidR="00DB061D" w:rsidRDefault="002168B7">
                  <w:pPr>
                    <w:keepNext/>
                    <w:spacing w:after="0" w:line="240" w:lineRule="auto"/>
                    <w:jc w:val="center"/>
                  </w:pPr>
                  <w:r>
                    <w:rPr>
                      <w:b/>
                      <w:bCs/>
                      <w:color w:val="FFFFFF"/>
                      <w:sz w:val="19"/>
                      <w:szCs w:val="19"/>
                    </w:rPr>
                    <w:t>6. IMPLEMENTATION AND DELIVERY</w:t>
                  </w:r>
                </w:p>
              </w:tc>
            </w:tr>
            <w:tr w:rsidR="00DB061D" w14:paraId="1CCD3F0C" w14:textId="77777777">
              <w:trPr>
                <w:cantSplit/>
                <w:jc w:val="center"/>
              </w:trPr>
              <w:tc>
                <w:tcPr>
                  <w:tcW w:w="15336" w:type="dxa"/>
                  <w:tcBorders>
                    <w:top w:val="single" w:sz="7" w:space="0" w:color="E6A63C"/>
                    <w:left w:val="single" w:sz="7" w:space="0" w:color="E6A63C"/>
                    <w:bottom w:val="single" w:sz="7" w:space="0" w:color="E6A63C"/>
                    <w:right w:val="single" w:sz="7" w:space="0" w:color="E6A63C"/>
                  </w:tcBorders>
                  <w:shd w:val="clear" w:color="auto" w:fill="FFF3D8"/>
                  <w:tcMar>
                    <w:top w:w="34" w:type="dxa"/>
                    <w:bottom w:w="34" w:type="dxa"/>
                  </w:tcMar>
                </w:tcPr>
                <w:p w14:paraId="19E261C3" w14:textId="77777777" w:rsidR="00DB061D" w:rsidRDefault="002168B7">
                  <w:pPr>
                    <w:spacing w:after="0"/>
                  </w:pPr>
                  <w:r>
                    <w:rPr>
                      <w:color w:val="18242C"/>
                    </w:rPr>
                    <w:t xml:space="preserve">The pilot will be based in one ICS area (English) and include one local authority, one NHS community provider, one commissioned drug-and-alcohol service, pharmacies (multiple </w:t>
                  </w:r>
                  <w:proofErr w:type="spellStart"/>
                  <w:r>
                    <w:rPr>
                      <w:color w:val="18242C"/>
                    </w:rPr>
                    <w:t>organisations</w:t>
                  </w:r>
                  <w:proofErr w:type="spellEnd"/>
                  <w:r>
                    <w:rPr>
                      <w:color w:val="18242C"/>
                    </w:rPr>
                    <w:t xml:space="preserve">), housing providers (multiple </w:t>
                  </w:r>
                  <w:proofErr w:type="spellStart"/>
                  <w:r>
                    <w:rPr>
                      <w:color w:val="18242C"/>
                    </w:rPr>
                    <w:t>organisations</w:t>
                  </w:r>
                  <w:proofErr w:type="spellEnd"/>
                  <w:r>
                    <w:rPr>
                      <w:color w:val="18242C"/>
                    </w:rPr>
                    <w:t>), and at least two LD lived-experience groups. The small mobile unit will travel to four areas with the greatest need each week. Registered providers will hold clinical leadership, while outcomes will be monitored by the local Combating Drugs Partnership. Peer navigators will be</w:t>
                  </w:r>
                  <w:r>
                    <w:rPr>
                      <w:color w:val="18242C"/>
                    </w:rPr>
                    <w:t> </w:t>
                  </w:r>
                  <w:r>
                    <w:rPr>
                      <w:color w:val="18242C"/>
                    </w:rPr>
                    <w:t xml:space="preserve">hired, trained, supervised and supported. Passive signposting will be replaced by warm handovers: workers will make appointments, introduce the receiving worker to the person experiencing barriers to transport or communication. </w:t>
                  </w:r>
                </w:p>
              </w:tc>
            </w:tr>
          </w:tbl>
          <w:p w14:paraId="08F87499" w14:textId="77777777" w:rsidR="00DB061D" w:rsidRDefault="00DB061D"/>
        </w:tc>
      </w:tr>
    </w:tbl>
    <w:p w14:paraId="44AC2CFC" w14:textId="77777777" w:rsidR="00DB061D" w:rsidRDefault="00DB061D">
      <w:pPr>
        <w:spacing w:after="0" w:line="48" w:lineRule="auto"/>
      </w:pPr>
    </w:p>
    <w:p w14:paraId="1C4699D7" w14:textId="77777777" w:rsidR="00DB061D" w:rsidRDefault="002168B7">
      <w:r>
        <w:br w:type="page"/>
      </w:r>
    </w:p>
    <w:tbl>
      <w:tblPr>
        <w:tblStyle w:val="ad"/>
        <w:tblW w:w="15538" w:type="dxa"/>
        <w:jc w:val="center"/>
        <w:tblInd w:w="0" w:type="dxa"/>
        <w:tblLayout w:type="fixed"/>
        <w:tblLook w:val="0400" w:firstRow="0" w:lastRow="0" w:firstColumn="0" w:lastColumn="0" w:noHBand="0" w:noVBand="1"/>
      </w:tblPr>
      <w:tblGrid>
        <w:gridCol w:w="15538"/>
      </w:tblGrid>
      <w:tr w:rsidR="00DB061D" w14:paraId="6B5369BC" w14:textId="77777777">
        <w:trPr>
          <w:jc w:val="center"/>
        </w:trPr>
        <w:tc>
          <w:tcPr>
            <w:tcW w:w="15538" w:type="dxa"/>
            <w:tcBorders>
              <w:top w:val="single" w:sz="7" w:space="0" w:color="163B5C"/>
              <w:left w:val="single" w:sz="7" w:space="0" w:color="163B5C"/>
              <w:bottom w:val="single" w:sz="7" w:space="0" w:color="163B5C"/>
              <w:right w:val="single" w:sz="7" w:space="0" w:color="163B5C"/>
            </w:tcBorders>
            <w:shd w:val="clear" w:color="auto" w:fill="163B5C"/>
            <w:tcMar>
              <w:top w:w="42" w:type="dxa"/>
              <w:bottom w:w="38" w:type="dxa"/>
            </w:tcMar>
          </w:tcPr>
          <w:p w14:paraId="5B887BDC" w14:textId="77777777" w:rsidR="00DB061D" w:rsidRDefault="002168B7">
            <w:pPr>
              <w:spacing w:after="0"/>
              <w:jc w:val="center"/>
            </w:pPr>
            <w:r>
              <w:rPr>
                <w:b/>
                <w:bCs/>
                <w:color w:val="FFFFFF"/>
                <w:sz w:val="37"/>
                <w:szCs w:val="37"/>
              </w:rPr>
              <w:lastRenderedPageBreak/>
              <w:t>RECOVERYLINK UK</w:t>
            </w:r>
          </w:p>
          <w:p w14:paraId="1E048DF3" w14:textId="77777777" w:rsidR="00DB061D" w:rsidRDefault="002168B7">
            <w:pPr>
              <w:spacing w:after="0"/>
              <w:jc w:val="center"/>
            </w:pPr>
            <w:r>
              <w:rPr>
                <w:b/>
                <w:bCs/>
                <w:color w:val="CBE8E7"/>
                <w:sz w:val="20"/>
                <w:szCs w:val="20"/>
              </w:rPr>
              <w:t>A practical twelve-month rollout supported by safe technology and lawful practice</w:t>
            </w:r>
          </w:p>
          <w:p w14:paraId="2FC673C0" w14:textId="77777777" w:rsidR="00DB061D" w:rsidRDefault="002168B7">
            <w:pPr>
              <w:spacing w:after="0"/>
              <w:jc w:val="center"/>
            </w:pPr>
            <w:r>
              <w:rPr>
                <w:color w:val="E6F1F0"/>
                <w:sz w:val="17"/>
                <w:szCs w:val="17"/>
              </w:rPr>
              <w:t>Poster 3 of 4 - Timeline, Technology and Regulation</w:t>
            </w:r>
          </w:p>
        </w:tc>
      </w:tr>
    </w:tbl>
    <w:p w14:paraId="7A0C3B18" w14:textId="77777777" w:rsidR="00DB061D" w:rsidRDefault="00DB061D">
      <w:pPr>
        <w:spacing w:after="0" w:line="48" w:lineRule="auto"/>
      </w:pPr>
    </w:p>
    <w:tbl>
      <w:tblPr>
        <w:tblStyle w:val="ae"/>
        <w:tblW w:w="15538" w:type="dxa"/>
        <w:jc w:val="center"/>
        <w:tblInd w:w="0" w:type="dxa"/>
        <w:tblLayout w:type="fixed"/>
        <w:tblLook w:val="0400" w:firstRow="0" w:lastRow="0" w:firstColumn="0" w:lastColumn="0" w:noHBand="0" w:noVBand="1"/>
      </w:tblPr>
      <w:tblGrid>
        <w:gridCol w:w="7769"/>
        <w:gridCol w:w="7769"/>
      </w:tblGrid>
      <w:tr w:rsidR="00DB061D" w14:paraId="30B44E18" w14:textId="77777777">
        <w:trPr>
          <w:jc w:val="center"/>
        </w:trPr>
        <w:tc>
          <w:tcPr>
            <w:tcW w:w="7769" w:type="dxa"/>
            <w:tcBorders>
              <w:top w:val="nil"/>
              <w:left w:val="nil"/>
              <w:bottom w:val="nil"/>
              <w:right w:val="nil"/>
            </w:tcBorders>
            <w:tcMar>
              <w:top w:w="0" w:type="dxa"/>
              <w:bottom w:w="0" w:type="dxa"/>
            </w:tcMar>
          </w:tcPr>
          <w:p w14:paraId="4243F3D7" w14:textId="77777777" w:rsidR="00DB061D" w:rsidRDefault="00DB061D"/>
          <w:tbl>
            <w:tblPr>
              <w:tblStyle w:val="af"/>
              <w:tblW w:w="7632" w:type="dxa"/>
              <w:jc w:val="center"/>
              <w:tblInd w:w="0" w:type="dxa"/>
              <w:tblLayout w:type="fixed"/>
              <w:tblLook w:val="0400" w:firstRow="0" w:lastRow="0" w:firstColumn="0" w:lastColumn="0" w:noHBand="0" w:noVBand="1"/>
            </w:tblPr>
            <w:tblGrid>
              <w:gridCol w:w="7632"/>
            </w:tblGrid>
            <w:tr w:rsidR="00DB061D" w14:paraId="2A780658"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43EE5D24" w14:textId="77777777" w:rsidR="00DB061D" w:rsidRDefault="002168B7">
                  <w:pPr>
                    <w:keepNext/>
                    <w:spacing w:after="0" w:line="240" w:lineRule="auto"/>
                    <w:jc w:val="center"/>
                  </w:pPr>
                  <w:r>
                    <w:rPr>
                      <w:b/>
                      <w:bCs/>
                      <w:color w:val="FFFFFF"/>
                      <w:sz w:val="19"/>
                      <w:szCs w:val="19"/>
                    </w:rPr>
                    <w:t>7. TWELVE-MONTH DEVELOPMENT TIMELINE</w:t>
                  </w:r>
                </w:p>
              </w:tc>
            </w:tr>
            <w:tr w:rsidR="00DB061D" w14:paraId="3F7993AF" w14:textId="77777777">
              <w:trPr>
                <w:cantSplit/>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DF4F8"/>
                  <w:tcMar>
                    <w:top w:w="34" w:type="dxa"/>
                    <w:bottom w:w="34" w:type="dxa"/>
                  </w:tcMar>
                </w:tcPr>
                <w:p w14:paraId="599836C2" w14:textId="54486D2D" w:rsidR="00DB061D" w:rsidRDefault="002168B7">
                  <w:pPr>
                    <w:spacing w:after="0"/>
                  </w:pPr>
                  <w:r>
                    <w:rPr>
                      <w:color w:val="18242C"/>
                    </w:rPr>
                    <w:t xml:space="preserve">Months 1–2: co-design with service users, families, frontline staff and community </w:t>
                  </w:r>
                  <w:proofErr w:type="spellStart"/>
                  <w:r>
                    <w:rPr>
                      <w:color w:val="18242C"/>
                    </w:rPr>
                    <w:t>organisations</w:t>
                  </w:r>
                  <w:proofErr w:type="spellEnd"/>
                  <w:r>
                    <w:rPr>
                      <w:color w:val="18242C"/>
                    </w:rPr>
                    <w:t xml:space="preserve">; map inequalities and select locations. Months 3–4: </w:t>
                  </w:r>
                  <w:proofErr w:type="spellStart"/>
                  <w:r>
                    <w:rPr>
                      <w:color w:val="18242C"/>
                    </w:rPr>
                    <w:t>finalise</w:t>
                  </w:r>
                  <w:proofErr w:type="spellEnd"/>
                  <w:r>
                    <w:rPr>
                      <w:color w:val="18242C"/>
                    </w:rPr>
                    <w:t xml:space="preserve"> information-governance, safeguarding, clinical-safety and equality-impact assessments; agree pathways and evaluation measures. Month 5–6: Vehicle and digital platform </w:t>
                  </w:r>
                  <w:r w:rsidR="00652AF3">
                    <w:rPr>
                      <w:color w:val="18242C"/>
                    </w:rPr>
                    <w:t>setup;</w:t>
                  </w:r>
                  <w:r>
                    <w:rPr>
                      <w:color w:val="18242C"/>
                    </w:rPr>
                    <w:t xml:space="preserve"> Staff Hire and Staff Training; Test for Accessibility, Emergency Procedures. </w:t>
                  </w:r>
                </w:p>
              </w:tc>
            </w:tr>
          </w:tbl>
          <w:p w14:paraId="362366EF" w14:textId="77777777" w:rsidR="00DB061D" w:rsidRDefault="00DB061D"/>
        </w:tc>
        <w:tc>
          <w:tcPr>
            <w:tcW w:w="7769" w:type="dxa"/>
            <w:tcBorders>
              <w:top w:val="nil"/>
              <w:left w:val="nil"/>
              <w:bottom w:val="nil"/>
              <w:right w:val="nil"/>
            </w:tcBorders>
            <w:tcMar>
              <w:top w:w="0" w:type="dxa"/>
              <w:bottom w:w="0" w:type="dxa"/>
            </w:tcMar>
          </w:tcPr>
          <w:p w14:paraId="0730A7CF" w14:textId="77777777" w:rsidR="00DB061D" w:rsidRDefault="00DB061D"/>
          <w:tbl>
            <w:tblPr>
              <w:tblStyle w:val="af0"/>
              <w:tblW w:w="7632" w:type="dxa"/>
              <w:jc w:val="center"/>
              <w:tblInd w:w="0" w:type="dxa"/>
              <w:tblLayout w:type="fixed"/>
              <w:tblLook w:val="0400" w:firstRow="0" w:lastRow="0" w:firstColumn="0" w:lastColumn="0" w:noHBand="0" w:noVBand="1"/>
            </w:tblPr>
            <w:tblGrid>
              <w:gridCol w:w="7632"/>
            </w:tblGrid>
            <w:tr w:rsidR="00DB061D" w14:paraId="205DFAF4"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70A26086" w14:textId="77777777" w:rsidR="00DB061D" w:rsidRDefault="002168B7">
                  <w:pPr>
                    <w:keepNext/>
                    <w:spacing w:after="0" w:line="240" w:lineRule="auto"/>
                    <w:jc w:val="center"/>
                  </w:pPr>
                  <w:r>
                    <w:rPr>
                      <w:b/>
                      <w:bCs/>
                      <w:color w:val="FFFFFF"/>
                      <w:sz w:val="19"/>
                      <w:szCs w:val="19"/>
                    </w:rPr>
                    <w:t>8. TECHNOLOGY INTEGRATION</w:t>
                  </w:r>
                </w:p>
              </w:tc>
            </w:tr>
            <w:tr w:rsidR="00DB061D" w14:paraId="204A2D77" w14:textId="77777777">
              <w:trPr>
                <w:cantSplit/>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7F5F3"/>
                  <w:tcMar>
                    <w:top w:w="34" w:type="dxa"/>
                    <w:bottom w:w="34" w:type="dxa"/>
                  </w:tcMar>
                </w:tcPr>
                <w:p w14:paraId="5071294C" w14:textId="7310410D" w:rsidR="00DB061D" w:rsidRDefault="002168B7" w:rsidP="00A914D4">
                  <w:pPr>
                    <w:spacing w:after="0"/>
                    <w:jc w:val="left"/>
                  </w:pPr>
                  <w:proofErr w:type="spellStart"/>
                  <w:r>
                    <w:rPr>
                      <w:color w:val="18242C"/>
                    </w:rPr>
                    <w:t>RecoveryLink</w:t>
                  </w:r>
                  <w:proofErr w:type="spellEnd"/>
                  <w:r>
                    <w:rPr>
                      <w:color w:val="18242C"/>
                    </w:rPr>
                    <w:t xml:space="preserve"> Connect will be a low-data web app with an SMS and freephone version. It has discreet appointment notifications, a verified service map, naloxone instructions, overdose-risk alerts, personal goals, translation and accessibility features, and a secure messaging inbox responded to by staff. Clinical safety, data protection, technical assurance, interoperability, usability and accessibility will be guided by the NHS Digital Technology Assessment Criteria (NHS England, 2026). </w:t>
                  </w:r>
                </w:p>
              </w:tc>
            </w:tr>
          </w:tbl>
          <w:p w14:paraId="58BEF470" w14:textId="77777777" w:rsidR="00DB061D" w:rsidRDefault="00DB061D"/>
        </w:tc>
      </w:tr>
    </w:tbl>
    <w:p w14:paraId="1024CDA8" w14:textId="77777777" w:rsidR="00DB061D" w:rsidRDefault="00DB061D">
      <w:pPr>
        <w:spacing w:after="0" w:line="48" w:lineRule="auto"/>
      </w:pPr>
    </w:p>
    <w:tbl>
      <w:tblPr>
        <w:tblStyle w:val="af1"/>
        <w:tblW w:w="15538" w:type="dxa"/>
        <w:jc w:val="center"/>
        <w:tblInd w:w="0" w:type="dxa"/>
        <w:tblLayout w:type="fixed"/>
        <w:tblLook w:val="0400" w:firstRow="0" w:lastRow="0" w:firstColumn="0" w:lastColumn="0" w:noHBand="0" w:noVBand="1"/>
      </w:tblPr>
      <w:tblGrid>
        <w:gridCol w:w="15538"/>
      </w:tblGrid>
      <w:tr w:rsidR="00DB061D" w14:paraId="2C238847" w14:textId="77777777">
        <w:trPr>
          <w:jc w:val="center"/>
        </w:trPr>
        <w:tc>
          <w:tcPr>
            <w:tcW w:w="15538" w:type="dxa"/>
            <w:tcBorders>
              <w:top w:val="nil"/>
              <w:left w:val="nil"/>
              <w:bottom w:val="nil"/>
              <w:right w:val="nil"/>
            </w:tcBorders>
            <w:tcMar>
              <w:top w:w="0" w:type="dxa"/>
              <w:bottom w:w="0" w:type="dxa"/>
            </w:tcMar>
          </w:tcPr>
          <w:p w14:paraId="6EF25ED3" w14:textId="77777777" w:rsidR="00DB061D" w:rsidRDefault="00DB061D"/>
          <w:tbl>
            <w:tblPr>
              <w:tblStyle w:val="af2"/>
              <w:tblW w:w="15336" w:type="dxa"/>
              <w:jc w:val="center"/>
              <w:tblInd w:w="0" w:type="dxa"/>
              <w:tblLayout w:type="fixed"/>
              <w:tblLook w:val="0400" w:firstRow="0" w:lastRow="0" w:firstColumn="0" w:lastColumn="0" w:noHBand="0" w:noVBand="1"/>
            </w:tblPr>
            <w:tblGrid>
              <w:gridCol w:w="15336"/>
            </w:tblGrid>
            <w:tr w:rsidR="00DB061D" w14:paraId="45B72C42" w14:textId="77777777">
              <w:trPr>
                <w:cantSplit/>
                <w:jc w:val="center"/>
              </w:trPr>
              <w:tc>
                <w:tcPr>
                  <w:tcW w:w="15336"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632CB8B7" w14:textId="77777777" w:rsidR="00DB061D" w:rsidRDefault="002168B7">
                  <w:pPr>
                    <w:keepNext/>
                    <w:spacing w:after="0" w:line="240" w:lineRule="auto"/>
                    <w:jc w:val="center"/>
                  </w:pPr>
                  <w:r>
                    <w:rPr>
                      <w:b/>
                      <w:bCs/>
                      <w:color w:val="FFFFFF"/>
                      <w:sz w:val="19"/>
                      <w:szCs w:val="19"/>
                    </w:rPr>
                    <w:t>9. REGULATION AND PROFESSIONAL STANDARDS</w:t>
                  </w:r>
                </w:p>
              </w:tc>
            </w:tr>
            <w:tr w:rsidR="00DB061D" w14:paraId="1C54D4EC" w14:textId="77777777">
              <w:trPr>
                <w:cantSplit/>
                <w:jc w:val="center"/>
              </w:trPr>
              <w:tc>
                <w:tcPr>
                  <w:tcW w:w="15336" w:type="dxa"/>
                  <w:tcBorders>
                    <w:top w:val="single" w:sz="7" w:space="0" w:color="E6A63C"/>
                    <w:left w:val="single" w:sz="7" w:space="0" w:color="E6A63C"/>
                    <w:bottom w:val="single" w:sz="7" w:space="0" w:color="E6A63C"/>
                    <w:right w:val="single" w:sz="7" w:space="0" w:color="E6A63C"/>
                  </w:tcBorders>
                  <w:shd w:val="clear" w:color="auto" w:fill="FFF3D8"/>
                  <w:tcMar>
                    <w:top w:w="34" w:type="dxa"/>
                    <w:bottom w:w="34" w:type="dxa"/>
                  </w:tcMar>
                </w:tcPr>
                <w:p w14:paraId="1F29A969" w14:textId="6DA2916B" w:rsidR="00DB061D" w:rsidRDefault="002168B7">
                  <w:pPr>
                    <w:spacing w:after="0"/>
                  </w:pPr>
                  <w:r>
                    <w:rPr>
                      <w:color w:val="18242C"/>
                    </w:rPr>
                    <w:t xml:space="preserve">The service must operate in accordance with the Misuse of Drugs Act 1971 and any other relevant medicines legislation. Supply of Naloxone will be in accordance with the Human Medicines Regulations and associated guidance that allow the supply of take-home naloxone by a wider range of </w:t>
                  </w:r>
                  <w:proofErr w:type="spellStart"/>
                  <w:r>
                    <w:rPr>
                      <w:color w:val="18242C"/>
                    </w:rPr>
                    <w:t>authorised</w:t>
                  </w:r>
                  <w:proofErr w:type="spellEnd"/>
                  <w:r>
                    <w:rPr>
                      <w:color w:val="18242C"/>
                    </w:rPr>
                    <w:t xml:space="preserve"> services (DHSC, 2024; OHID, 2025b). Health data will be processed under the UK GDPR and DPA 2018 with clear privacy information, role-based access, encryption, and retention limits. CQC Regulation 12 - This service provides you with safe care, and the staff are skilled and know how to manage any risks. </w:t>
                  </w:r>
                </w:p>
              </w:tc>
            </w:tr>
          </w:tbl>
          <w:p w14:paraId="7D7928EA" w14:textId="77777777" w:rsidR="00DB061D" w:rsidRDefault="00DB061D"/>
        </w:tc>
      </w:tr>
    </w:tbl>
    <w:p w14:paraId="6A2FDB97" w14:textId="77777777" w:rsidR="00DB061D" w:rsidRDefault="00DB061D">
      <w:pPr>
        <w:spacing w:after="0" w:line="48" w:lineRule="auto"/>
      </w:pPr>
    </w:p>
    <w:p w14:paraId="49081ADA" w14:textId="77777777" w:rsidR="00DB061D" w:rsidRDefault="002168B7">
      <w:r>
        <w:br w:type="page"/>
      </w:r>
    </w:p>
    <w:tbl>
      <w:tblPr>
        <w:tblStyle w:val="af3"/>
        <w:tblW w:w="15538" w:type="dxa"/>
        <w:jc w:val="center"/>
        <w:tblInd w:w="0" w:type="dxa"/>
        <w:tblLayout w:type="fixed"/>
        <w:tblLook w:val="0400" w:firstRow="0" w:lastRow="0" w:firstColumn="0" w:lastColumn="0" w:noHBand="0" w:noVBand="1"/>
      </w:tblPr>
      <w:tblGrid>
        <w:gridCol w:w="15538"/>
      </w:tblGrid>
      <w:tr w:rsidR="00DB061D" w14:paraId="28EB7E98" w14:textId="77777777">
        <w:trPr>
          <w:jc w:val="center"/>
        </w:trPr>
        <w:tc>
          <w:tcPr>
            <w:tcW w:w="15538" w:type="dxa"/>
            <w:tcBorders>
              <w:top w:val="single" w:sz="7" w:space="0" w:color="163B5C"/>
              <w:left w:val="single" w:sz="7" w:space="0" w:color="163B5C"/>
              <w:bottom w:val="single" w:sz="7" w:space="0" w:color="163B5C"/>
              <w:right w:val="single" w:sz="7" w:space="0" w:color="163B5C"/>
            </w:tcBorders>
            <w:shd w:val="clear" w:color="auto" w:fill="163B5C"/>
            <w:tcMar>
              <w:top w:w="42" w:type="dxa"/>
              <w:bottom w:w="38" w:type="dxa"/>
            </w:tcMar>
          </w:tcPr>
          <w:p w14:paraId="56FB05B8" w14:textId="77777777" w:rsidR="00DB061D" w:rsidRDefault="002168B7">
            <w:pPr>
              <w:spacing w:after="0"/>
              <w:jc w:val="center"/>
            </w:pPr>
            <w:r>
              <w:rPr>
                <w:b/>
                <w:bCs/>
                <w:color w:val="FFFFFF"/>
                <w:sz w:val="37"/>
                <w:szCs w:val="37"/>
              </w:rPr>
              <w:lastRenderedPageBreak/>
              <w:t>RECOVERYLINK UK</w:t>
            </w:r>
          </w:p>
          <w:p w14:paraId="77174C97" w14:textId="77777777" w:rsidR="00DB061D" w:rsidRDefault="002168B7">
            <w:pPr>
              <w:spacing w:after="0"/>
              <w:jc w:val="center"/>
            </w:pPr>
            <w:r>
              <w:rPr>
                <w:b/>
                <w:bCs/>
                <w:color w:val="CBE8E7"/>
                <w:sz w:val="20"/>
                <w:szCs w:val="20"/>
              </w:rPr>
              <w:t>Promoting the service without stigma and maintaining meaningful public involvement</w:t>
            </w:r>
          </w:p>
          <w:p w14:paraId="53E23A82" w14:textId="77777777" w:rsidR="00DB061D" w:rsidRDefault="002168B7">
            <w:pPr>
              <w:spacing w:after="0"/>
              <w:jc w:val="center"/>
            </w:pPr>
            <w:r>
              <w:rPr>
                <w:color w:val="E6F1F0"/>
                <w:sz w:val="17"/>
                <w:szCs w:val="17"/>
              </w:rPr>
              <w:t>Poster 4 of 4 - Dissemination, Public Involvement and Conclusion</w:t>
            </w:r>
          </w:p>
        </w:tc>
      </w:tr>
    </w:tbl>
    <w:p w14:paraId="6D64603D" w14:textId="77777777" w:rsidR="00DB061D" w:rsidRDefault="00DB061D">
      <w:pPr>
        <w:spacing w:after="0" w:line="48" w:lineRule="auto"/>
      </w:pPr>
    </w:p>
    <w:tbl>
      <w:tblPr>
        <w:tblStyle w:val="af4"/>
        <w:tblW w:w="15538" w:type="dxa"/>
        <w:jc w:val="center"/>
        <w:tblInd w:w="0" w:type="dxa"/>
        <w:tblLayout w:type="fixed"/>
        <w:tblLook w:val="0400" w:firstRow="0" w:lastRow="0" w:firstColumn="0" w:lastColumn="0" w:noHBand="0" w:noVBand="1"/>
      </w:tblPr>
      <w:tblGrid>
        <w:gridCol w:w="7769"/>
        <w:gridCol w:w="7769"/>
      </w:tblGrid>
      <w:tr w:rsidR="00DB061D" w14:paraId="509FE3D1" w14:textId="77777777">
        <w:trPr>
          <w:jc w:val="center"/>
        </w:trPr>
        <w:tc>
          <w:tcPr>
            <w:tcW w:w="7769" w:type="dxa"/>
            <w:tcBorders>
              <w:top w:val="nil"/>
              <w:left w:val="nil"/>
              <w:bottom w:val="nil"/>
              <w:right w:val="nil"/>
            </w:tcBorders>
            <w:tcMar>
              <w:top w:w="0" w:type="dxa"/>
              <w:bottom w:w="0" w:type="dxa"/>
            </w:tcMar>
          </w:tcPr>
          <w:p w14:paraId="3ECCE7E4" w14:textId="77777777" w:rsidR="00DB061D" w:rsidRDefault="00DB061D"/>
          <w:tbl>
            <w:tblPr>
              <w:tblStyle w:val="af5"/>
              <w:tblW w:w="7632" w:type="dxa"/>
              <w:jc w:val="center"/>
              <w:tblInd w:w="0" w:type="dxa"/>
              <w:tblLayout w:type="fixed"/>
              <w:tblLook w:val="0400" w:firstRow="0" w:lastRow="0" w:firstColumn="0" w:lastColumn="0" w:noHBand="0" w:noVBand="1"/>
            </w:tblPr>
            <w:tblGrid>
              <w:gridCol w:w="7632"/>
            </w:tblGrid>
            <w:tr w:rsidR="00DB061D" w14:paraId="62E6544F"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55E8E6AD" w14:textId="77777777" w:rsidR="00DB061D" w:rsidRDefault="002168B7">
                  <w:pPr>
                    <w:keepNext/>
                    <w:spacing w:after="0" w:line="240" w:lineRule="auto"/>
                    <w:jc w:val="center"/>
                  </w:pPr>
                  <w:r>
                    <w:rPr>
                      <w:b/>
                      <w:bCs/>
                      <w:color w:val="FFFFFF"/>
                      <w:sz w:val="19"/>
                      <w:szCs w:val="19"/>
                    </w:rPr>
                    <w:t>10. DISSEMINATION AND PUBLIC INVOLVEMENT</w:t>
                  </w:r>
                </w:p>
              </w:tc>
            </w:tr>
            <w:tr w:rsidR="00DB061D" w14:paraId="0122E99D" w14:textId="77777777">
              <w:trPr>
                <w:cantSplit/>
                <w:jc w:val="center"/>
              </w:trPr>
              <w:tc>
                <w:tcPr>
                  <w:tcW w:w="7632" w:type="dxa"/>
                  <w:tcBorders>
                    <w:top w:val="single" w:sz="7" w:space="0" w:color="E6A63C"/>
                    <w:left w:val="single" w:sz="7" w:space="0" w:color="E6A63C"/>
                    <w:bottom w:val="single" w:sz="7" w:space="0" w:color="E6A63C"/>
                    <w:right w:val="single" w:sz="7" w:space="0" w:color="E6A63C"/>
                  </w:tcBorders>
                  <w:shd w:val="clear" w:color="auto" w:fill="FFF3D8"/>
                  <w:tcMar>
                    <w:top w:w="34" w:type="dxa"/>
                    <w:bottom w:w="34" w:type="dxa"/>
                  </w:tcMar>
                </w:tcPr>
                <w:p w14:paraId="393D5642" w14:textId="78F8BFE5" w:rsidR="00DB061D" w:rsidRDefault="002168B7">
                  <w:pPr>
                    <w:spacing w:after="0"/>
                  </w:pPr>
                  <w:r>
                    <w:rPr>
                      <w:color w:val="18242C"/>
                    </w:rPr>
                    <w:t xml:space="preserve">An accounting will be made </w:t>
                  </w:r>
                  <w:r w:rsidR="001C668C">
                    <w:rPr>
                      <w:color w:val="18242C"/>
                    </w:rPr>
                    <w:t>for</w:t>
                  </w:r>
                  <w:r>
                    <w:rPr>
                      <w:color w:val="18242C"/>
                    </w:rPr>
                    <w:t xml:space="preserve"> the launch campaign with the slogan "Support that comes to you". Promotion will be free of imagery that could scare or </w:t>
                  </w:r>
                  <w:r w:rsidR="00825CC4">
                    <w:rPr>
                      <w:color w:val="18242C"/>
                    </w:rPr>
                    <w:t>criminalist</w:t>
                  </w:r>
                  <w:r>
                    <w:rPr>
                      <w:color w:val="18242C"/>
                    </w:rPr>
                    <w:t xml:space="preserve">. Peer-produced videos, pharmacy inserts, GP and emergency department cards, hostel briefings, local radio, social media and community events will </w:t>
                  </w:r>
                  <w:r w:rsidR="004268CB">
                    <w:rPr>
                      <w:color w:val="18242C"/>
                    </w:rPr>
                    <w:t>inform people about</w:t>
                  </w:r>
                  <w:r>
                    <w:rPr>
                      <w:color w:val="18242C"/>
                    </w:rPr>
                    <w:t xml:space="preserve"> when and where support is available.</w:t>
                  </w:r>
                </w:p>
              </w:tc>
            </w:tr>
          </w:tbl>
          <w:p w14:paraId="3368D206" w14:textId="77777777" w:rsidR="00DB061D" w:rsidRDefault="00DB061D"/>
        </w:tc>
        <w:tc>
          <w:tcPr>
            <w:tcW w:w="7769" w:type="dxa"/>
            <w:tcBorders>
              <w:top w:val="nil"/>
              <w:left w:val="nil"/>
              <w:bottom w:val="nil"/>
              <w:right w:val="nil"/>
            </w:tcBorders>
            <w:tcMar>
              <w:top w:w="0" w:type="dxa"/>
              <w:bottom w:w="0" w:type="dxa"/>
            </w:tcMar>
          </w:tcPr>
          <w:p w14:paraId="574E0D8A" w14:textId="77777777" w:rsidR="00DB061D" w:rsidRDefault="00DB061D"/>
          <w:tbl>
            <w:tblPr>
              <w:tblStyle w:val="af6"/>
              <w:tblW w:w="7632" w:type="dxa"/>
              <w:jc w:val="center"/>
              <w:tblInd w:w="0" w:type="dxa"/>
              <w:tblLayout w:type="fixed"/>
              <w:tblLook w:val="0400" w:firstRow="0" w:lastRow="0" w:firstColumn="0" w:lastColumn="0" w:noHBand="0" w:noVBand="1"/>
            </w:tblPr>
            <w:tblGrid>
              <w:gridCol w:w="7632"/>
            </w:tblGrid>
            <w:tr w:rsidR="00DB061D" w14:paraId="52E1C8D9" w14:textId="77777777">
              <w:trPr>
                <w:cantSplit/>
                <w:jc w:val="center"/>
              </w:trPr>
              <w:tc>
                <w:tcPr>
                  <w:tcW w:w="7632" w:type="dxa"/>
                  <w:tcBorders>
                    <w:top w:val="single" w:sz="7" w:space="0" w:color="163B5C"/>
                    <w:left w:val="single" w:sz="7" w:space="0" w:color="163B5C"/>
                    <w:bottom w:val="single" w:sz="7" w:space="0" w:color="163B5C"/>
                    <w:right w:val="single" w:sz="7" w:space="0" w:color="163B5C"/>
                  </w:tcBorders>
                  <w:shd w:val="clear" w:color="auto" w:fill="163B5C"/>
                  <w:tcMar>
                    <w:top w:w="24" w:type="dxa"/>
                    <w:bottom w:w="24" w:type="dxa"/>
                  </w:tcMar>
                </w:tcPr>
                <w:p w14:paraId="686A58E9" w14:textId="77777777" w:rsidR="00DB061D" w:rsidRDefault="002168B7">
                  <w:pPr>
                    <w:keepNext/>
                    <w:spacing w:after="0" w:line="240" w:lineRule="auto"/>
                    <w:jc w:val="center"/>
                  </w:pPr>
                  <w:r>
                    <w:rPr>
                      <w:b/>
                      <w:bCs/>
                      <w:color w:val="FFFFFF"/>
                      <w:sz w:val="19"/>
                      <w:szCs w:val="19"/>
                    </w:rPr>
                    <w:t>11. POSTER CONCLUSION</w:t>
                  </w:r>
                </w:p>
              </w:tc>
            </w:tr>
            <w:tr w:rsidR="00DB061D" w14:paraId="311F5632" w14:textId="77777777">
              <w:trPr>
                <w:cantSplit/>
                <w:jc w:val="center"/>
              </w:trPr>
              <w:tc>
                <w:tcPr>
                  <w:tcW w:w="7632" w:type="dxa"/>
                  <w:tcBorders>
                    <w:top w:val="single" w:sz="7" w:space="0" w:color="1B8E8A"/>
                    <w:left w:val="single" w:sz="7" w:space="0" w:color="1B8E8A"/>
                    <w:bottom w:val="single" w:sz="7" w:space="0" w:color="1B8E8A"/>
                    <w:right w:val="single" w:sz="7" w:space="0" w:color="1B8E8A"/>
                  </w:tcBorders>
                  <w:shd w:val="clear" w:color="auto" w:fill="E7F5F3"/>
                  <w:tcMar>
                    <w:top w:w="34" w:type="dxa"/>
                    <w:bottom w:w="34" w:type="dxa"/>
                  </w:tcMar>
                </w:tcPr>
                <w:p w14:paraId="3AE2FD61" w14:textId="5E8684BA" w:rsidR="00DB061D" w:rsidRDefault="00526368">
                  <w:pPr>
                    <w:spacing w:after="0"/>
                  </w:pPr>
                  <w:r>
                    <w:rPr>
                      <w:color w:val="18242C"/>
                    </w:rPr>
                    <w:t>Recovery Link</w:t>
                  </w:r>
                  <w:r w:rsidR="002168B7">
                    <w:rPr>
                      <w:color w:val="18242C"/>
                    </w:rPr>
                    <w:t xml:space="preserve"> UK builds a connection between streets, communities and treatment. It brings together mobile clinical care, peer experience, social support and secure technology. </w:t>
                  </w:r>
                  <w:proofErr w:type="gramStart"/>
                  <w:r w:rsidR="002168B7">
                    <w:rPr>
                      <w:color w:val="18242C"/>
                    </w:rPr>
                    <w:t>That is to say, it</w:t>
                  </w:r>
                  <w:proofErr w:type="gramEnd"/>
                  <w:r w:rsidR="002168B7">
                    <w:rPr>
                      <w:color w:val="18242C"/>
                    </w:rPr>
                    <w:t xml:space="preserve"> meets people where they are at, respects choice, and promotes warm handovers in line with From Harm to Hope, while challenging the view that people need to become “service ready” before they can be cared for (HM Government, 2021). Adoption is warranted as a test, not a blind leap of faith. </w:t>
                  </w:r>
                </w:p>
              </w:tc>
            </w:tr>
          </w:tbl>
          <w:p w14:paraId="1A3A7B7B" w14:textId="77777777" w:rsidR="00DB061D" w:rsidRDefault="00DB061D"/>
        </w:tc>
      </w:tr>
    </w:tbl>
    <w:p w14:paraId="20F3A35E" w14:textId="77777777" w:rsidR="00DB061D" w:rsidRDefault="00DB061D">
      <w:pPr>
        <w:spacing w:after="0" w:line="48" w:lineRule="auto"/>
        <w:sectPr w:rsidR="00DB061D">
          <w:footerReference w:type="default" r:id="rId7"/>
          <w:pgSz w:w="16834" w:h="11909" w:orient="landscape"/>
          <w:pgMar w:top="461" w:right="648" w:bottom="547" w:left="648" w:header="720" w:footer="720" w:gutter="0"/>
          <w:pgNumType w:start="1"/>
          <w:cols w:space="720"/>
        </w:sectPr>
      </w:pPr>
    </w:p>
    <w:p w14:paraId="3DCF09D7" w14:textId="77777777" w:rsidR="00DB061D" w:rsidRDefault="002168B7">
      <w:pPr>
        <w:spacing w:before="60" w:after="60"/>
        <w:jc w:val="center"/>
      </w:pPr>
      <w:r>
        <w:rPr>
          <w:b/>
          <w:bCs/>
          <w:color w:val="173B5C"/>
          <w:sz w:val="40"/>
          <w:szCs w:val="40"/>
        </w:rPr>
        <w:lastRenderedPageBreak/>
        <w:t>RECOVERYLINK UK</w:t>
      </w:r>
    </w:p>
    <w:p w14:paraId="4AB95BE4" w14:textId="77777777" w:rsidR="00DB061D" w:rsidRDefault="002168B7">
      <w:pPr>
        <w:spacing w:after="40"/>
        <w:jc w:val="center"/>
      </w:pPr>
      <w:r>
        <w:rPr>
          <w:b/>
          <w:bCs/>
          <w:color w:val="1C7476"/>
          <w:sz w:val="28"/>
          <w:szCs w:val="28"/>
        </w:rPr>
        <w:t>Pitch: The Case for a Mobile, Peer-Supported Substance-Misuse Service</w:t>
      </w:r>
    </w:p>
    <w:p w14:paraId="44070B0D" w14:textId="77777777" w:rsidR="00DB061D" w:rsidRDefault="00DB061D">
      <w:pPr>
        <w:spacing w:after="240"/>
        <w:jc w:val="center"/>
      </w:pPr>
    </w:p>
    <w:p w14:paraId="5D3FC7AA" w14:textId="77777777" w:rsidR="00DB061D" w:rsidRDefault="002168B7">
      <w:pPr>
        <w:keepNext/>
        <w:spacing w:before="160" w:after="60"/>
        <w:jc w:val="left"/>
      </w:pPr>
      <w:r>
        <w:rPr>
          <w:b/>
          <w:bCs/>
          <w:color w:val="173B5C"/>
          <w:sz w:val="26"/>
          <w:szCs w:val="26"/>
        </w:rPr>
        <w:t>1. Purpose and Case for Adoption</w:t>
      </w:r>
    </w:p>
    <w:p w14:paraId="72DBABB5" w14:textId="5F47241F" w:rsidR="00DB061D" w:rsidRDefault="006F0467">
      <w:pPr>
        <w:spacing w:after="120"/>
        <w:rPr>
          <w:color w:val="1E2A31"/>
        </w:rPr>
      </w:pPr>
      <w:r>
        <w:rPr>
          <w:color w:val="1E2A31"/>
        </w:rPr>
        <w:t xml:space="preserve">I </w:t>
      </w:r>
      <w:r w:rsidR="00616B52">
        <w:rPr>
          <w:color w:val="1E2A31"/>
        </w:rPr>
        <w:t xml:space="preserve">propose the development </w:t>
      </w:r>
      <w:r w:rsidR="00E16BD1">
        <w:rPr>
          <w:color w:val="1E2A31"/>
        </w:rPr>
        <w:t>of</w:t>
      </w:r>
      <w:r w:rsidR="00616B52">
        <w:rPr>
          <w:color w:val="1E2A31"/>
        </w:rPr>
        <w:t xml:space="preserve"> </w:t>
      </w:r>
      <w:r w:rsidR="00E16BD1">
        <w:rPr>
          <w:color w:val="1E2A31"/>
        </w:rPr>
        <w:t>Recovery Link</w:t>
      </w:r>
      <w:r w:rsidR="002168B7">
        <w:rPr>
          <w:color w:val="1E2A31"/>
        </w:rPr>
        <w:t xml:space="preserve"> UK </w:t>
      </w:r>
      <w:r w:rsidR="00D54FEF">
        <w:rPr>
          <w:color w:val="1E2A31"/>
        </w:rPr>
        <w:t>should b</w:t>
      </w:r>
      <w:r w:rsidR="002168B7">
        <w:rPr>
          <w:color w:val="1E2A31"/>
        </w:rPr>
        <w:t xml:space="preserve">e commissioned as the current system often requires individuals who are most in need </w:t>
      </w:r>
      <w:proofErr w:type="gramStart"/>
      <w:r w:rsidR="002168B7">
        <w:rPr>
          <w:color w:val="1E2A31"/>
        </w:rPr>
        <w:t>to undertake</w:t>
      </w:r>
      <w:proofErr w:type="gramEnd"/>
      <w:r w:rsidR="002168B7">
        <w:rPr>
          <w:color w:val="1E2A31"/>
        </w:rPr>
        <w:t xml:space="preserve"> the most complex journeys. Additional trauma, anxiety, psychosis, physical health problems or involvement in the criminal justice system may contribute to non-attendance, which may then be misinterpreted as lack of motivation. Dame Carol Black’s review cautioned that individuals with </w:t>
      </w:r>
      <w:r w:rsidR="005B66AF">
        <w:rPr>
          <w:color w:val="1E2A31"/>
        </w:rPr>
        <w:t>substance</w:t>
      </w:r>
      <w:r w:rsidR="002168B7">
        <w:rPr>
          <w:color w:val="1E2A31"/>
        </w:rPr>
        <w:t xml:space="preserve"> dependency and mental health needs could be hardened by discrete commissioned systems (Black, 2021). </w:t>
      </w:r>
      <w:r w:rsidR="00EC3BA5">
        <w:rPr>
          <w:color w:val="1E2A31"/>
        </w:rPr>
        <w:t xml:space="preserve">Through </w:t>
      </w:r>
      <w:r w:rsidR="0076656A">
        <w:rPr>
          <w:color w:val="1E2A31"/>
        </w:rPr>
        <w:t xml:space="preserve">my proposed </w:t>
      </w:r>
      <w:r w:rsidR="00E16BD1">
        <w:rPr>
          <w:color w:val="1E2A31"/>
        </w:rPr>
        <w:t>Recovery Link</w:t>
      </w:r>
      <w:r w:rsidR="002168B7">
        <w:rPr>
          <w:color w:val="1E2A31"/>
        </w:rPr>
        <w:t xml:space="preserve"> flips the direction of travel: the service takes the initiative and retains engagement long enough for trust and a plan can be worked out.</w:t>
      </w:r>
    </w:p>
    <w:p w14:paraId="70572E9F" w14:textId="4A3DBE98" w:rsidR="00DB061D" w:rsidRDefault="002168B7">
      <w:pPr>
        <w:spacing w:after="120"/>
        <w:rPr>
          <w:color w:val="1E2A31"/>
        </w:rPr>
      </w:pPr>
      <w:r>
        <w:rPr>
          <w:color w:val="1E2A31"/>
        </w:rPr>
        <w:t xml:space="preserve">The Drug-poisoning death rates have been rising, opioids are involved in almost half of registered deaths, and the </w:t>
      </w:r>
      <w:r w:rsidR="003541BD">
        <w:rPr>
          <w:color w:val="1E2A31"/>
        </w:rPr>
        <w:t>presence potent</w:t>
      </w:r>
      <w:r>
        <w:rPr>
          <w:color w:val="1E2A31"/>
        </w:rPr>
        <w:t xml:space="preserve"> synthetic opioids is adding to the uncertainty in an already risky market (ONS, 2025). In addition, with treatment numbers having also reached a record high, this shows restored capacity rather than equal access or continuity (OHID, 2025a).</w:t>
      </w:r>
      <w:r w:rsidR="00337A25">
        <w:rPr>
          <w:color w:val="1E2A31"/>
        </w:rPr>
        <w:t xml:space="preserve"> I</w:t>
      </w:r>
      <w:r w:rsidR="00BD2072">
        <w:rPr>
          <w:color w:val="1E2A31"/>
        </w:rPr>
        <w:t xml:space="preserve"> </w:t>
      </w:r>
      <w:r w:rsidR="00337A25">
        <w:rPr>
          <w:color w:val="1E2A31"/>
        </w:rPr>
        <w:t xml:space="preserve">believe </w:t>
      </w:r>
      <w:r w:rsidR="0001589C">
        <w:rPr>
          <w:color w:val="1E2A31"/>
        </w:rPr>
        <w:t>that</w:t>
      </w:r>
      <w:r w:rsidR="00337A25">
        <w:rPr>
          <w:color w:val="1E2A31"/>
        </w:rPr>
        <w:t xml:space="preserve"> </w:t>
      </w:r>
      <w:r w:rsidR="00BD2072">
        <w:rPr>
          <w:color w:val="1E2A31"/>
        </w:rPr>
        <w:t xml:space="preserve"> </w:t>
      </w:r>
      <w:r>
        <w:rPr>
          <w:color w:val="1E2A31"/>
        </w:rPr>
        <w:t xml:space="preserve"> </w:t>
      </w:r>
      <w:r w:rsidR="00337A25">
        <w:rPr>
          <w:color w:val="1E2A31"/>
        </w:rPr>
        <w:t>Recovery Link</w:t>
      </w:r>
      <w:r>
        <w:rPr>
          <w:color w:val="1E2A31"/>
        </w:rPr>
        <w:t xml:space="preserve"> </w:t>
      </w:r>
      <w:r w:rsidR="00F97739">
        <w:rPr>
          <w:color w:val="1E2A31"/>
        </w:rPr>
        <w:t xml:space="preserve">would </w:t>
      </w:r>
      <w:r w:rsidR="002A1BA1">
        <w:rPr>
          <w:color w:val="1E2A31"/>
        </w:rPr>
        <w:t xml:space="preserve">complement </w:t>
      </w:r>
      <w:r w:rsidR="00F702CF">
        <w:rPr>
          <w:color w:val="1E2A31"/>
        </w:rPr>
        <w:t xml:space="preserve">existing </w:t>
      </w:r>
      <w:r w:rsidR="00880226">
        <w:rPr>
          <w:color w:val="1E2A31"/>
        </w:rPr>
        <w:t>community treatment service</w:t>
      </w:r>
      <w:r w:rsidR="00C33A28">
        <w:rPr>
          <w:color w:val="1E2A31"/>
        </w:rPr>
        <w:t xml:space="preserve">s </w:t>
      </w:r>
      <w:r>
        <w:rPr>
          <w:color w:val="1E2A31"/>
        </w:rPr>
        <w:t xml:space="preserve">rather than </w:t>
      </w:r>
      <w:proofErr w:type="gramStart"/>
      <w:r>
        <w:rPr>
          <w:color w:val="1E2A31"/>
        </w:rPr>
        <w:t>replicates</w:t>
      </w:r>
      <w:proofErr w:type="gramEnd"/>
      <w:r>
        <w:rPr>
          <w:color w:val="1E2A31"/>
        </w:rPr>
        <w:t xml:space="preserve"> </w:t>
      </w:r>
      <w:r w:rsidR="003541BD">
        <w:rPr>
          <w:color w:val="1E2A31"/>
        </w:rPr>
        <w:t>them.</w:t>
      </w:r>
      <w:r>
        <w:rPr>
          <w:color w:val="1E2A31"/>
        </w:rPr>
        <w:t xml:space="preserve">  </w:t>
      </w:r>
    </w:p>
    <w:p w14:paraId="5BA46AF1" w14:textId="77777777" w:rsidR="00DB061D" w:rsidRDefault="00DB061D">
      <w:pPr>
        <w:spacing w:after="120"/>
        <w:rPr>
          <w:color w:val="1E2A31"/>
        </w:rPr>
      </w:pPr>
    </w:p>
    <w:p w14:paraId="4DA79005" w14:textId="77777777" w:rsidR="00DB061D" w:rsidRDefault="002168B7">
      <w:pPr>
        <w:keepNext/>
        <w:spacing w:before="160" w:after="60"/>
        <w:jc w:val="left"/>
      </w:pPr>
      <w:r>
        <w:rPr>
          <w:b/>
          <w:bCs/>
          <w:color w:val="173B5C"/>
          <w:sz w:val="26"/>
          <w:szCs w:val="26"/>
        </w:rPr>
        <w:t>2. Immediate Harm Reduction</w:t>
      </w:r>
    </w:p>
    <w:p w14:paraId="304CDBF2" w14:textId="064402A3" w:rsidR="00DB061D" w:rsidRDefault="002168B7">
      <w:pPr>
        <w:spacing w:after="120"/>
      </w:pPr>
      <w:r>
        <w:rPr>
          <w:color w:val="1E2A31"/>
        </w:rPr>
        <w:t xml:space="preserve">The first advantage of the microdosing approach is rapid harm reduction. Naloxone does not cure addiction, but quick access can stop an opioid overdose from leading to death. Take-home regimens have been linked to decreased overdose death and minimal adverse events (McDonald and Strang, 2016). </w:t>
      </w:r>
      <w:r w:rsidR="00B41821">
        <w:rPr>
          <w:color w:val="1E2A31"/>
        </w:rPr>
        <w:t>Recovery Link</w:t>
      </w:r>
      <w:r>
        <w:rPr>
          <w:color w:val="1E2A31"/>
        </w:rPr>
        <w:t xml:space="preserve"> </w:t>
      </w:r>
      <w:r w:rsidR="005A54BD">
        <w:rPr>
          <w:color w:val="1E2A31"/>
        </w:rPr>
        <w:t xml:space="preserve">I </w:t>
      </w:r>
      <w:r>
        <w:rPr>
          <w:color w:val="1E2A31"/>
        </w:rPr>
        <w:t>w</w:t>
      </w:r>
      <w:r w:rsidR="005A54BD">
        <w:rPr>
          <w:color w:val="1E2A31"/>
        </w:rPr>
        <w:t>ou</w:t>
      </w:r>
      <w:r w:rsidR="00983419">
        <w:rPr>
          <w:color w:val="1E2A31"/>
        </w:rPr>
        <w:t>ld</w:t>
      </w:r>
      <w:r>
        <w:rPr>
          <w:color w:val="1E2A31"/>
        </w:rPr>
        <w:t xml:space="preserve"> </w:t>
      </w:r>
      <w:r w:rsidR="00C50E9E">
        <w:rPr>
          <w:color w:val="1E2A31"/>
        </w:rPr>
        <w:t>provide</w:t>
      </w:r>
      <w:r>
        <w:rPr>
          <w:color w:val="1E2A31"/>
        </w:rPr>
        <w:t xml:space="preserve"> practical training for service users, family members and frontline workers who meet the criteria, as well as guidance on reduced tolerance, polydrug use, solitary use and synthetic opioids. </w:t>
      </w:r>
    </w:p>
    <w:p w14:paraId="0F9E9B5F" w14:textId="77777777" w:rsidR="00DB061D" w:rsidRDefault="00DB061D">
      <w:pPr>
        <w:keepNext/>
        <w:spacing w:before="160" w:after="60"/>
        <w:jc w:val="left"/>
        <w:rPr>
          <w:b/>
          <w:bCs/>
          <w:color w:val="173B5C"/>
          <w:sz w:val="26"/>
          <w:szCs w:val="26"/>
        </w:rPr>
      </w:pPr>
    </w:p>
    <w:p w14:paraId="52BB57CA" w14:textId="77777777" w:rsidR="00DB061D" w:rsidRDefault="00DB061D">
      <w:pPr>
        <w:keepNext/>
        <w:spacing w:before="160" w:after="60"/>
        <w:jc w:val="left"/>
        <w:rPr>
          <w:b/>
          <w:bCs/>
          <w:color w:val="173B5C"/>
          <w:sz w:val="26"/>
          <w:szCs w:val="26"/>
        </w:rPr>
      </w:pPr>
    </w:p>
    <w:p w14:paraId="7823B6C6" w14:textId="77777777" w:rsidR="00DB061D" w:rsidRDefault="002168B7">
      <w:pPr>
        <w:keepNext/>
        <w:spacing w:before="160" w:after="60"/>
        <w:jc w:val="left"/>
      </w:pPr>
      <w:r>
        <w:rPr>
          <w:b/>
          <w:bCs/>
          <w:color w:val="173B5C"/>
          <w:sz w:val="26"/>
          <w:szCs w:val="26"/>
        </w:rPr>
        <w:t>3. Peer-Led Relational Continuity</w:t>
      </w:r>
    </w:p>
    <w:p w14:paraId="0D27B455" w14:textId="696F53A4" w:rsidR="00DB061D" w:rsidRDefault="002168B7">
      <w:pPr>
        <w:spacing w:after="120"/>
      </w:pPr>
      <w:r>
        <w:rPr>
          <w:color w:val="1E2A31"/>
        </w:rPr>
        <w:t xml:space="preserve">The second advantage is relational </w:t>
      </w:r>
      <w:r w:rsidR="00AA51D8">
        <w:rPr>
          <w:color w:val="1E2A31"/>
        </w:rPr>
        <w:t xml:space="preserve">continuity. I </w:t>
      </w:r>
      <w:r w:rsidR="00F47DCB">
        <w:rPr>
          <w:color w:val="1E2A31"/>
        </w:rPr>
        <w:t xml:space="preserve">would ensure </w:t>
      </w:r>
      <w:proofErr w:type="gramStart"/>
      <w:r w:rsidR="00F47DCB">
        <w:rPr>
          <w:color w:val="1E2A31"/>
        </w:rPr>
        <w:t xml:space="preserve">that </w:t>
      </w:r>
      <w:r>
        <w:rPr>
          <w:color w:val="1E2A31"/>
        </w:rPr>
        <w:t xml:space="preserve"> Peer</w:t>
      </w:r>
      <w:proofErr w:type="gramEnd"/>
      <w:r>
        <w:rPr>
          <w:color w:val="1E2A31"/>
        </w:rPr>
        <w:t xml:space="preserve"> navigators add a level of credibility and lived experience that professional expertise may lack. Evidence indicates that peer recovery support has the potential to enhance engagement within services, the provision of social </w:t>
      </w:r>
      <w:r>
        <w:rPr>
          <w:color w:val="1E2A31"/>
        </w:rPr>
        <w:lastRenderedPageBreak/>
        <w:t xml:space="preserve">support and recovery outcomes, however definitions of the role and quality of studies are variable (Eddie et al., 2019). Clear boundaries, salaries, supervision, career paths and reflective support will afterwards be established for these peer workers. </w:t>
      </w:r>
    </w:p>
    <w:p w14:paraId="473DD1A8" w14:textId="77777777" w:rsidR="00DB061D" w:rsidRDefault="002168B7">
      <w:pPr>
        <w:keepNext/>
        <w:spacing w:before="160" w:after="60"/>
        <w:jc w:val="left"/>
      </w:pPr>
      <w:r>
        <w:rPr>
          <w:b/>
          <w:bCs/>
          <w:color w:val="173B5C"/>
          <w:sz w:val="26"/>
          <w:szCs w:val="26"/>
        </w:rPr>
        <w:t>4. Social Recovery and Wellbeing</w:t>
      </w:r>
    </w:p>
    <w:p w14:paraId="29A0FD63" w14:textId="34C86CB6" w:rsidR="00DB061D" w:rsidRDefault="002168B7">
      <w:pPr>
        <w:spacing w:after="120"/>
      </w:pPr>
      <w:r>
        <w:rPr>
          <w:color w:val="1E2A31"/>
        </w:rPr>
        <w:t>The third advantage is social recuperation. Substance misuse is influenced by housing, income, safety</w:t>
      </w:r>
      <w:r w:rsidR="001A72C7">
        <w:rPr>
          <w:color w:val="1E2A31"/>
        </w:rPr>
        <w:t xml:space="preserve"> and</w:t>
      </w:r>
      <w:r>
        <w:rPr>
          <w:color w:val="1E2A31"/>
        </w:rPr>
        <w:t xml:space="preserve"> relationships. A recent synthesis associates housing instability, joblessness, stigma and criminal-justice involvement with more adverse treatment and recovery trajectories (Lin et al., 2024). The intervention will be delivered through a </w:t>
      </w:r>
      <w:r w:rsidR="00A32C99">
        <w:rPr>
          <w:color w:val="1E2A31"/>
        </w:rPr>
        <w:t>strengths-based</w:t>
      </w:r>
      <w:r>
        <w:rPr>
          <w:color w:val="1E2A31"/>
        </w:rPr>
        <w:t xml:space="preserve"> plan developed with the individual, and could include goals such as obtaining identification, registering with a GP, reducing use, entering treatment, reconnecting with family or securing accommodation. </w:t>
      </w:r>
    </w:p>
    <w:p w14:paraId="20259343" w14:textId="77777777" w:rsidR="00DB061D" w:rsidRDefault="002168B7">
      <w:pPr>
        <w:keepNext/>
        <w:spacing w:before="160" w:after="60"/>
        <w:jc w:val="left"/>
      </w:pPr>
      <w:r>
        <w:rPr>
          <w:b/>
          <w:bCs/>
          <w:color w:val="173B5C"/>
          <w:sz w:val="26"/>
          <w:szCs w:val="26"/>
        </w:rPr>
        <w:t>5. Policy and Clinical Alignment</w:t>
      </w:r>
    </w:p>
    <w:p w14:paraId="5C8F3214" w14:textId="23E08DFF" w:rsidR="00DB061D" w:rsidRDefault="00903090">
      <w:pPr>
        <w:spacing w:after="120"/>
      </w:pPr>
      <w:r>
        <w:rPr>
          <w:color w:val="1E2A31"/>
        </w:rPr>
        <w:t>I</w:t>
      </w:r>
      <w:r w:rsidR="00073927">
        <w:rPr>
          <w:color w:val="1E2A31"/>
        </w:rPr>
        <w:t>n</w:t>
      </w:r>
      <w:r>
        <w:rPr>
          <w:color w:val="1E2A31"/>
        </w:rPr>
        <w:t xml:space="preserve"> </w:t>
      </w:r>
      <w:r w:rsidR="00856886">
        <w:rPr>
          <w:color w:val="1E2A31"/>
        </w:rPr>
        <w:t>deliver</w:t>
      </w:r>
      <w:r w:rsidR="00DD21B3">
        <w:rPr>
          <w:color w:val="1E2A31"/>
        </w:rPr>
        <w:t>ing</w:t>
      </w:r>
      <w:r w:rsidR="00856886">
        <w:rPr>
          <w:color w:val="1E2A31"/>
        </w:rPr>
        <w:t xml:space="preserve"> </w:t>
      </w:r>
      <w:r w:rsidR="00CD14AF">
        <w:rPr>
          <w:color w:val="1E2A31"/>
        </w:rPr>
        <w:t>Recovery Link</w:t>
      </w:r>
      <w:r w:rsidR="002168B7">
        <w:rPr>
          <w:color w:val="1E2A31"/>
        </w:rPr>
        <w:t xml:space="preserve"> </w:t>
      </w:r>
      <w:r w:rsidR="00DD21B3">
        <w:rPr>
          <w:color w:val="1E2A31"/>
        </w:rPr>
        <w:t xml:space="preserve">I will </w:t>
      </w:r>
      <w:proofErr w:type="gramStart"/>
      <w:r w:rsidR="00725A8D">
        <w:rPr>
          <w:color w:val="1E2A31"/>
        </w:rPr>
        <w:t xml:space="preserve">ensure </w:t>
      </w:r>
      <w:r w:rsidR="002168B7">
        <w:rPr>
          <w:color w:val="1E2A31"/>
        </w:rPr>
        <w:t xml:space="preserve"> consisten</w:t>
      </w:r>
      <w:r w:rsidR="008C1C4F">
        <w:rPr>
          <w:color w:val="1E2A31"/>
        </w:rPr>
        <w:t>cy</w:t>
      </w:r>
      <w:proofErr w:type="gramEnd"/>
      <w:r w:rsidR="002168B7">
        <w:rPr>
          <w:color w:val="1E2A31"/>
        </w:rPr>
        <w:t xml:space="preserve"> with the national approach From Harm to Hope, which the Lord Chamberlain Lord St. John of </w:t>
      </w:r>
      <w:proofErr w:type="spellStart"/>
      <w:r w:rsidR="002168B7">
        <w:rPr>
          <w:color w:val="1E2A31"/>
        </w:rPr>
        <w:t>Bletso</w:t>
      </w:r>
      <w:proofErr w:type="spellEnd"/>
      <w:r w:rsidR="002168B7">
        <w:rPr>
          <w:color w:val="1E2A31"/>
        </w:rPr>
        <w:t xml:space="preserve"> (2021) outlines that aims to "increase the quality of treatment and recovery support systems and enhance community partnerships" and (HM Government, 2021). NICE guidance is consistent with selective prevention approaches for individuals considered to be at heightened risk and psychosocial approaches on a stepped-care basis (NICE, 2017; NICE 2007).</w:t>
      </w:r>
      <w:r w:rsidR="00722EBD">
        <w:rPr>
          <w:color w:val="1E2A31"/>
        </w:rPr>
        <w:t>with</w:t>
      </w:r>
      <w:r w:rsidR="003E524C">
        <w:rPr>
          <w:color w:val="1E2A31"/>
        </w:rPr>
        <w:t>in my proposed service,</w:t>
      </w:r>
      <w:r w:rsidR="002168B7">
        <w:rPr>
          <w:color w:val="1E2A31"/>
        </w:rPr>
        <w:t xml:space="preserve"> decision </w:t>
      </w:r>
      <w:r w:rsidR="00C066FA">
        <w:rPr>
          <w:color w:val="1E2A31"/>
        </w:rPr>
        <w:t>regar</w:t>
      </w:r>
      <w:r w:rsidR="00CD14AF">
        <w:rPr>
          <w:color w:val="1E2A31"/>
        </w:rPr>
        <w:t>ding</w:t>
      </w:r>
      <w:r w:rsidR="002168B7">
        <w:rPr>
          <w:color w:val="1E2A31"/>
        </w:rPr>
        <w:t xml:space="preserve"> clinical management, including whether or not to provide opioid-substitution treatment or detoxification, will continue to rest with the suitably trained prescribers and clinical management guidance in the UK will be followed (Department of Health et al, 2017). </w:t>
      </w:r>
    </w:p>
    <w:p w14:paraId="7C8100B4" w14:textId="77777777" w:rsidR="00DB061D" w:rsidRDefault="00DB061D">
      <w:pPr>
        <w:keepNext/>
        <w:spacing w:before="160" w:after="60"/>
        <w:jc w:val="left"/>
        <w:rPr>
          <w:b/>
          <w:bCs/>
          <w:color w:val="173B5C"/>
          <w:sz w:val="26"/>
          <w:szCs w:val="26"/>
        </w:rPr>
      </w:pPr>
    </w:p>
    <w:p w14:paraId="65C2AF92" w14:textId="77777777" w:rsidR="00DB061D" w:rsidRDefault="002168B7">
      <w:pPr>
        <w:keepNext/>
        <w:spacing w:before="160" w:after="60"/>
        <w:jc w:val="left"/>
      </w:pPr>
      <w:r>
        <w:rPr>
          <w:b/>
          <w:bCs/>
          <w:color w:val="173B5C"/>
          <w:sz w:val="26"/>
          <w:szCs w:val="26"/>
        </w:rPr>
        <w:t>6. Law, Privacy and Professional Responsibility</w:t>
      </w:r>
    </w:p>
    <w:p w14:paraId="78D65CB6" w14:textId="49CE4949" w:rsidR="00DB061D" w:rsidRDefault="004F63FA">
      <w:pPr>
        <w:spacing w:after="120"/>
      </w:pPr>
      <w:r>
        <w:rPr>
          <w:color w:val="1E2A31"/>
        </w:rPr>
        <w:t xml:space="preserve">I will </w:t>
      </w:r>
      <w:r w:rsidR="00B06677">
        <w:rPr>
          <w:color w:val="1E2A31"/>
        </w:rPr>
        <w:t xml:space="preserve">ensure </w:t>
      </w:r>
      <w:r w:rsidR="002168B7">
        <w:rPr>
          <w:color w:val="1E2A31"/>
        </w:rPr>
        <w:t xml:space="preserve">Governance </w:t>
      </w:r>
      <w:r w:rsidR="005A174A">
        <w:rPr>
          <w:color w:val="1E2A31"/>
        </w:rPr>
        <w:t>is highly visible</w:t>
      </w:r>
      <w:r w:rsidR="00B76359">
        <w:rPr>
          <w:color w:val="1E2A31"/>
        </w:rPr>
        <w:t>,</w:t>
      </w:r>
      <w:r w:rsidR="002168B7">
        <w:rPr>
          <w:color w:val="1E2A31"/>
        </w:rPr>
        <w:t xml:space="preserve"> as substance-use information is extremely sensitive and disclosure can lead to a person being stigmatized, having conflict with family or experiencing legal stress. </w:t>
      </w:r>
      <w:r w:rsidR="001E55D9">
        <w:rPr>
          <w:color w:val="1E2A31"/>
        </w:rPr>
        <w:t xml:space="preserve">I </w:t>
      </w:r>
      <w:r w:rsidR="006D2B44">
        <w:rPr>
          <w:color w:val="1E2A31"/>
        </w:rPr>
        <w:t>will establis</w:t>
      </w:r>
      <w:r w:rsidR="00E750B9">
        <w:rPr>
          <w:color w:val="1E2A31"/>
        </w:rPr>
        <w:t xml:space="preserve">h a clear </w:t>
      </w:r>
      <w:r w:rsidR="002168B7">
        <w:rPr>
          <w:color w:val="1E2A31"/>
        </w:rPr>
        <w:t xml:space="preserve">legal basis, data protection impact assessment, privacy notice and consent procedure </w:t>
      </w:r>
      <w:r w:rsidR="00EF5293">
        <w:rPr>
          <w:color w:val="1E2A31"/>
        </w:rPr>
        <w:t xml:space="preserve">I </w:t>
      </w:r>
      <w:r w:rsidR="002168B7">
        <w:rPr>
          <w:color w:val="1E2A31"/>
        </w:rPr>
        <w:t xml:space="preserve">will </w:t>
      </w:r>
      <w:r w:rsidR="00950D92">
        <w:rPr>
          <w:color w:val="1E2A31"/>
        </w:rPr>
        <w:t>also</w:t>
      </w:r>
      <w:r w:rsidR="002168B7">
        <w:rPr>
          <w:color w:val="1E2A31"/>
        </w:rPr>
        <w:t xml:space="preserve"> </w:t>
      </w:r>
      <w:r w:rsidR="003F722F">
        <w:rPr>
          <w:color w:val="1E2A31"/>
        </w:rPr>
        <w:t xml:space="preserve">audit all access on a </w:t>
      </w:r>
      <w:r w:rsidR="009E53D6">
        <w:rPr>
          <w:color w:val="1E2A31"/>
        </w:rPr>
        <w:t>role-based</w:t>
      </w:r>
      <w:r w:rsidR="00F64DE3">
        <w:rPr>
          <w:color w:val="1E2A31"/>
        </w:rPr>
        <w:t xml:space="preserve"> level</w:t>
      </w:r>
      <w:r w:rsidR="002168B7">
        <w:rPr>
          <w:color w:val="1E2A31"/>
        </w:rPr>
        <w:t xml:space="preserve">. </w:t>
      </w:r>
      <w:r w:rsidR="00B83FD0">
        <w:rPr>
          <w:color w:val="1E2A31"/>
        </w:rPr>
        <w:t>F</w:t>
      </w:r>
      <w:r w:rsidR="00CE129C">
        <w:rPr>
          <w:color w:val="1E2A31"/>
        </w:rPr>
        <w:t>urthermore</w:t>
      </w:r>
      <w:r w:rsidR="00B83FD0">
        <w:rPr>
          <w:color w:val="1E2A31"/>
        </w:rPr>
        <w:t>, I will align my</w:t>
      </w:r>
      <w:r w:rsidR="002168B7">
        <w:rPr>
          <w:color w:val="1E2A31"/>
        </w:rPr>
        <w:t> service w</w:t>
      </w:r>
      <w:r w:rsidR="00E50E88">
        <w:rPr>
          <w:color w:val="1E2A31"/>
        </w:rPr>
        <w:t>ith</w:t>
      </w:r>
      <w:r w:rsidR="00CB7794">
        <w:rPr>
          <w:color w:val="1E2A31"/>
        </w:rPr>
        <w:t xml:space="preserve"> </w:t>
      </w:r>
      <w:r w:rsidR="002168B7">
        <w:rPr>
          <w:color w:val="1E2A31"/>
        </w:rPr>
        <w:t xml:space="preserve">CQC regulations, safeguarding obligations, professional registration standards and equalities legislation. Those unable to read English, use a smart phone or attend at a fixed time should be provided with an equal route to support otherwise technology would create exclusion. </w:t>
      </w:r>
    </w:p>
    <w:p w14:paraId="52AFA8CE" w14:textId="77777777" w:rsidR="00DB061D" w:rsidRDefault="002168B7">
      <w:pPr>
        <w:keepNext/>
        <w:spacing w:before="160" w:after="60"/>
        <w:jc w:val="left"/>
      </w:pPr>
      <w:r>
        <w:rPr>
          <w:b/>
          <w:bCs/>
          <w:color w:val="173B5C"/>
          <w:sz w:val="26"/>
          <w:szCs w:val="26"/>
        </w:rPr>
        <w:t>7. Workforce and Partnership Implementation</w:t>
      </w:r>
    </w:p>
    <w:p w14:paraId="37EBB5E3" w14:textId="674C91E7" w:rsidR="00DB061D" w:rsidRDefault="004A78E6">
      <w:pPr>
        <w:spacing w:after="120"/>
      </w:pPr>
      <w:r>
        <w:rPr>
          <w:color w:val="1E2A31"/>
        </w:rPr>
        <w:t>I p</w:t>
      </w:r>
      <w:r w:rsidR="00A116C6">
        <w:rPr>
          <w:color w:val="1E2A31"/>
        </w:rPr>
        <w:t>ropose to secure</w:t>
      </w:r>
      <w:r w:rsidR="002168B7">
        <w:rPr>
          <w:color w:val="1E2A31"/>
        </w:rPr>
        <w:t xml:space="preserve"> </w:t>
      </w:r>
      <w:r w:rsidR="00A116C6">
        <w:rPr>
          <w:color w:val="1E2A31"/>
        </w:rPr>
        <w:t>joint</w:t>
      </w:r>
      <w:r w:rsidR="002168B7">
        <w:rPr>
          <w:color w:val="1E2A31"/>
        </w:rPr>
        <w:t xml:space="preserve"> funded by a local authority and ICB through an outcomes-based agreement, with the provider of commissioned treatment as clinical host. </w:t>
      </w:r>
      <w:r w:rsidR="00F635B6">
        <w:rPr>
          <w:color w:val="1E2A31"/>
        </w:rPr>
        <w:t xml:space="preserve">I will </w:t>
      </w:r>
      <w:r w:rsidR="003547E7">
        <w:rPr>
          <w:color w:val="1E2A31"/>
        </w:rPr>
        <w:t>assemble a multidiscip</w:t>
      </w:r>
      <w:r w:rsidR="001357D2">
        <w:rPr>
          <w:color w:val="1E2A31"/>
        </w:rPr>
        <w:t xml:space="preserve">linary </w:t>
      </w:r>
      <w:proofErr w:type="gramStart"/>
      <w:r w:rsidR="002168B7">
        <w:rPr>
          <w:color w:val="1E2A31"/>
        </w:rPr>
        <w:t>team</w:t>
      </w:r>
      <w:proofErr w:type="gramEnd"/>
      <w:r w:rsidR="002168B7">
        <w:rPr>
          <w:color w:val="1E2A31"/>
        </w:rPr>
        <w:t xml:space="preserve"> should comprise a nurse or a prescribing clinician, a drug-and-alcohol practitioner, a peer navigator, a welfare adviser, an administrator, and a part-time digital safety lead. Liaison contacts will be nominated by community pharmacies, ambulance services, </w:t>
      </w:r>
      <w:r w:rsidR="002168B7">
        <w:rPr>
          <w:color w:val="1E2A31"/>
        </w:rPr>
        <w:lastRenderedPageBreak/>
        <w:t xml:space="preserve">emergency departments, probation, housing teams, GPs and charities. Incidents, delayed referrals and gaps will be subject to review in monthly meetings, whilst a lived-experience panel will be afforded voting membership at the steering group. </w:t>
      </w:r>
    </w:p>
    <w:p w14:paraId="68AD9124" w14:textId="77777777" w:rsidR="00DB061D" w:rsidRDefault="002168B7">
      <w:pPr>
        <w:keepNext/>
        <w:spacing w:before="160" w:after="60"/>
        <w:jc w:val="left"/>
      </w:pPr>
      <w:r>
        <w:rPr>
          <w:b/>
          <w:bCs/>
          <w:color w:val="173B5C"/>
          <w:sz w:val="26"/>
          <w:szCs w:val="26"/>
        </w:rPr>
        <w:t>8. Public and Community Involvement</w:t>
      </w:r>
    </w:p>
    <w:p w14:paraId="65A5FD73" w14:textId="2466BC7F" w:rsidR="00DB061D" w:rsidRDefault="004347C8">
      <w:pPr>
        <w:spacing w:after="120"/>
      </w:pPr>
      <w:r>
        <w:rPr>
          <w:color w:val="1E2A31"/>
        </w:rPr>
        <w:t xml:space="preserve">I </w:t>
      </w:r>
      <w:proofErr w:type="spellStart"/>
      <w:r w:rsidR="000640DB">
        <w:rPr>
          <w:color w:val="1E2A31"/>
        </w:rPr>
        <w:t>recognise</w:t>
      </w:r>
      <w:proofErr w:type="spellEnd"/>
      <w:r w:rsidR="000640DB">
        <w:rPr>
          <w:color w:val="1E2A31"/>
        </w:rPr>
        <w:t xml:space="preserve"> public</w:t>
      </w:r>
      <w:r w:rsidR="002168B7">
        <w:rPr>
          <w:color w:val="1E2A31"/>
        </w:rPr>
        <w:t xml:space="preserve"> participation is critical for legitimacy. Residents might root for a service that saves lives but fear a mobile unit will serve as a magnet for street drug use. Initial sessions can include an explanation of the model, an invitation for concerns, and an agreement for respectful site management that does not permit stigma to displace people from care. Messaging for campaigns should frame substance dependence as a health and social </w:t>
      </w:r>
      <w:r w:rsidR="005343F0">
        <w:rPr>
          <w:color w:val="1E2A31"/>
        </w:rPr>
        <w:t>problem but</w:t>
      </w:r>
      <w:r w:rsidR="002168B7">
        <w:rPr>
          <w:color w:val="1E2A31"/>
        </w:rPr>
        <w:t xml:space="preserve"> be clear about implications for community safety.  </w:t>
      </w:r>
    </w:p>
    <w:p w14:paraId="2BF909C8" w14:textId="77777777" w:rsidR="00DB061D" w:rsidRDefault="00DB061D">
      <w:pPr>
        <w:keepNext/>
        <w:spacing w:before="160" w:after="60"/>
        <w:jc w:val="left"/>
        <w:rPr>
          <w:b/>
          <w:bCs/>
          <w:color w:val="173B5C"/>
          <w:sz w:val="26"/>
          <w:szCs w:val="26"/>
        </w:rPr>
      </w:pPr>
    </w:p>
    <w:p w14:paraId="0BF911CE" w14:textId="77777777" w:rsidR="00DB061D" w:rsidRDefault="00DB061D">
      <w:pPr>
        <w:keepNext/>
        <w:spacing w:before="160" w:after="60"/>
        <w:jc w:val="left"/>
        <w:rPr>
          <w:b/>
          <w:bCs/>
          <w:color w:val="173B5C"/>
          <w:sz w:val="26"/>
          <w:szCs w:val="26"/>
        </w:rPr>
      </w:pPr>
    </w:p>
    <w:p w14:paraId="6D2CBEA3" w14:textId="77777777" w:rsidR="00DB061D" w:rsidRDefault="002168B7">
      <w:pPr>
        <w:keepNext/>
        <w:spacing w:before="160" w:after="60"/>
        <w:jc w:val="left"/>
      </w:pPr>
      <w:r>
        <w:rPr>
          <w:b/>
          <w:bCs/>
          <w:color w:val="173B5C"/>
          <w:sz w:val="26"/>
          <w:szCs w:val="26"/>
        </w:rPr>
        <w:t>9. Evaluation and Accountability</w:t>
      </w:r>
    </w:p>
    <w:p w14:paraId="689A52E5" w14:textId="0069DA51" w:rsidR="00DB061D" w:rsidRDefault="00C12EAB">
      <w:pPr>
        <w:spacing w:after="120"/>
      </w:pPr>
      <w:proofErr w:type="spellStart"/>
      <w:proofErr w:type="gramStart"/>
      <w:r>
        <w:rPr>
          <w:color w:val="1E2A31"/>
        </w:rPr>
        <w:t>i</w:t>
      </w:r>
      <w:proofErr w:type="spellEnd"/>
      <w:r w:rsidR="002168B7">
        <w:rPr>
          <w:color w:val="1E2A31"/>
        </w:rPr>
        <w:t xml:space="preserve"> will</w:t>
      </w:r>
      <w:proofErr w:type="gramEnd"/>
      <w:r w:rsidR="002168B7">
        <w:rPr>
          <w:color w:val="1E2A31"/>
        </w:rPr>
        <w:t xml:space="preserve"> </w:t>
      </w:r>
      <w:r>
        <w:rPr>
          <w:color w:val="1E2A31"/>
        </w:rPr>
        <w:t>evaluate</w:t>
      </w:r>
      <w:r w:rsidR="002168B7">
        <w:rPr>
          <w:color w:val="1E2A31"/>
        </w:rPr>
        <w:t xml:space="preserve"> the pilot with a pre-implementation baseline and, where possible, a matched locality. Quantitative data will be integrated with interviews to ensure that a potential increase in service use is properly understood; an increase in emergency contact could initially signify better detection rather than worse performance</w:t>
      </w:r>
      <w:r w:rsidR="00EB411D">
        <w:rPr>
          <w:color w:val="1E2A31"/>
        </w:rPr>
        <w:t>. I will</w:t>
      </w:r>
      <w:r w:rsidR="002168B7">
        <w:rPr>
          <w:color w:val="1E2A31"/>
        </w:rPr>
        <w:t xml:space="preserve"> Measures of success will include number of referrals completed, duration of engagement in treatment, number of naloxone kits distributed, number of non-fatal overdoses, emergency attendance, progress in housing, wellbeing and the cost per client engaged.</w:t>
      </w:r>
      <w:r w:rsidR="00B45E6B">
        <w:rPr>
          <w:color w:val="1E2A31"/>
        </w:rPr>
        <w:t xml:space="preserve"> I bel</w:t>
      </w:r>
      <w:r w:rsidR="00016E49">
        <w:rPr>
          <w:color w:val="1E2A31"/>
        </w:rPr>
        <w:t>ieve an</w:t>
      </w:r>
      <w:r w:rsidR="002168B7">
        <w:rPr>
          <w:color w:val="1E2A31"/>
        </w:rPr>
        <w:t xml:space="preserve"> </w:t>
      </w:r>
      <w:proofErr w:type="gramStart"/>
      <w:r w:rsidR="002168B7">
        <w:rPr>
          <w:color w:val="1E2A31"/>
        </w:rPr>
        <w:t>Independent</w:t>
      </w:r>
      <w:proofErr w:type="gramEnd"/>
      <w:r w:rsidR="002168B7">
        <w:rPr>
          <w:color w:val="1E2A31"/>
        </w:rPr>
        <w:t xml:space="preserve"> review is important because a pretty app or a high number of contacts is not evidence of better health. </w:t>
      </w:r>
    </w:p>
    <w:p w14:paraId="036B19C0" w14:textId="77777777" w:rsidR="00DB061D" w:rsidRDefault="002168B7">
      <w:pPr>
        <w:keepNext/>
        <w:spacing w:before="160" w:after="60"/>
        <w:jc w:val="left"/>
      </w:pPr>
      <w:r>
        <w:rPr>
          <w:b/>
          <w:bCs/>
          <w:color w:val="173B5C"/>
          <w:sz w:val="26"/>
          <w:szCs w:val="26"/>
        </w:rPr>
        <w:t>10. Final Recommendation</w:t>
      </w:r>
    </w:p>
    <w:p w14:paraId="3EC78635" w14:textId="70BC995C" w:rsidR="00DB061D" w:rsidRDefault="00016E49">
      <w:r>
        <w:rPr>
          <w:color w:val="1E2A31"/>
        </w:rPr>
        <w:t xml:space="preserve">I </w:t>
      </w:r>
      <w:r w:rsidR="00F27C5A">
        <w:rPr>
          <w:color w:val="1E2A31"/>
        </w:rPr>
        <w:t xml:space="preserve">recommend </w:t>
      </w:r>
      <w:r w:rsidR="002168B7">
        <w:rPr>
          <w:color w:val="1E2A31"/>
        </w:rPr>
        <w:t>Th</w:t>
      </w:r>
      <w:r w:rsidR="00F27C5A">
        <w:rPr>
          <w:color w:val="1E2A31"/>
        </w:rPr>
        <w:t>at</w:t>
      </w:r>
      <w:r w:rsidR="002168B7">
        <w:rPr>
          <w:color w:val="1E2A31"/>
        </w:rPr>
        <w:t> </w:t>
      </w:r>
      <w:r w:rsidR="00924750">
        <w:rPr>
          <w:color w:val="1E2A31"/>
        </w:rPr>
        <w:t>commissioners</w:t>
      </w:r>
      <w:r w:rsidR="002168B7">
        <w:rPr>
          <w:color w:val="1E2A31"/>
        </w:rPr>
        <w:t xml:space="preserve"> are asked to agree to a 12-month, co-designed pilot with protected funding, clear stop-or-adapt criteria and published findings. What really sets </w:t>
      </w:r>
      <w:proofErr w:type="spellStart"/>
      <w:r w:rsidR="002168B7">
        <w:rPr>
          <w:color w:val="1E2A31"/>
        </w:rPr>
        <w:t>RecoveryLink</w:t>
      </w:r>
      <w:proofErr w:type="spellEnd"/>
      <w:r w:rsidR="002168B7">
        <w:rPr>
          <w:color w:val="1E2A31"/>
        </w:rPr>
        <w:t xml:space="preserve"> apart isn’t the car or app – it’s the immediate safety, trusting relationships and coordinated follow-through. If th</w:t>
      </w:r>
      <w:r w:rsidR="00A44A28">
        <w:rPr>
          <w:color w:val="1E2A31"/>
        </w:rPr>
        <w:t xml:space="preserve">is </w:t>
      </w:r>
      <w:r w:rsidR="002168B7">
        <w:rPr>
          <w:color w:val="1E2A31"/>
        </w:rPr>
        <w:t xml:space="preserve">pilot can </w:t>
      </w:r>
      <w:proofErr w:type="spellStart"/>
      <w:r w:rsidR="002168B7">
        <w:rPr>
          <w:color w:val="1E2A31"/>
        </w:rPr>
        <w:t>realise</w:t>
      </w:r>
      <w:proofErr w:type="spellEnd"/>
      <w:r w:rsidR="002168B7">
        <w:rPr>
          <w:color w:val="1E2A31"/>
        </w:rPr>
        <w:t xml:space="preserve"> more equitable engagement with no detriment to privacy or safety, it should be scaled up through local partnerships and tailored to each UK nation. If the results are poor, </w:t>
      </w:r>
      <w:r w:rsidR="00A02E65">
        <w:rPr>
          <w:color w:val="1E2A31"/>
        </w:rPr>
        <w:t xml:space="preserve">I would recommend </w:t>
      </w:r>
      <w:r w:rsidR="004E65EC">
        <w:rPr>
          <w:color w:val="1E2A31"/>
        </w:rPr>
        <w:t xml:space="preserve">revising </w:t>
      </w:r>
      <w:r w:rsidR="002168B7">
        <w:rPr>
          <w:color w:val="1E2A31"/>
        </w:rPr>
        <w:t>the model should be amended not marketed with rosy publicity.</w:t>
      </w:r>
      <w:r w:rsidR="008E3E0D">
        <w:rPr>
          <w:color w:val="1E2A31"/>
        </w:rPr>
        <w:t xml:space="preserve"> </w:t>
      </w:r>
    </w:p>
    <w:p w14:paraId="07748695" w14:textId="77777777" w:rsidR="00DB061D" w:rsidRDefault="00DB061D">
      <w:pPr>
        <w:spacing w:after="40"/>
        <w:jc w:val="left"/>
        <w:rPr>
          <w:b/>
          <w:bCs/>
          <w:color w:val="173B5C"/>
          <w:sz w:val="34"/>
          <w:szCs w:val="34"/>
        </w:rPr>
      </w:pPr>
    </w:p>
    <w:p w14:paraId="1C5BC81D" w14:textId="77777777" w:rsidR="00DB061D" w:rsidRDefault="00DB061D">
      <w:pPr>
        <w:spacing w:after="40"/>
        <w:jc w:val="left"/>
        <w:rPr>
          <w:b/>
          <w:bCs/>
          <w:color w:val="173B5C"/>
          <w:sz w:val="34"/>
          <w:szCs w:val="34"/>
        </w:rPr>
      </w:pPr>
    </w:p>
    <w:p w14:paraId="0818CD0A" w14:textId="77777777" w:rsidR="00DB061D" w:rsidRDefault="00DB061D">
      <w:pPr>
        <w:spacing w:after="40"/>
        <w:jc w:val="left"/>
        <w:rPr>
          <w:b/>
          <w:bCs/>
          <w:color w:val="173B5C"/>
          <w:sz w:val="34"/>
          <w:szCs w:val="34"/>
        </w:rPr>
      </w:pPr>
    </w:p>
    <w:p w14:paraId="3A7EBD91" w14:textId="77777777" w:rsidR="00DB061D" w:rsidRDefault="00DB061D">
      <w:pPr>
        <w:spacing w:after="40"/>
        <w:jc w:val="left"/>
        <w:rPr>
          <w:b/>
          <w:bCs/>
          <w:color w:val="173B5C"/>
          <w:sz w:val="34"/>
          <w:szCs w:val="34"/>
        </w:rPr>
      </w:pPr>
    </w:p>
    <w:p w14:paraId="2B3B41B6" w14:textId="77777777" w:rsidR="00DB061D" w:rsidRDefault="00DB061D">
      <w:pPr>
        <w:spacing w:after="40"/>
        <w:jc w:val="left"/>
        <w:rPr>
          <w:b/>
          <w:bCs/>
          <w:color w:val="173B5C"/>
          <w:sz w:val="34"/>
          <w:szCs w:val="34"/>
        </w:rPr>
      </w:pPr>
    </w:p>
    <w:p w14:paraId="1B54BB63" w14:textId="77777777" w:rsidR="00DB061D" w:rsidRDefault="00DB061D">
      <w:pPr>
        <w:spacing w:after="40"/>
        <w:jc w:val="left"/>
        <w:rPr>
          <w:b/>
          <w:bCs/>
          <w:color w:val="173B5C"/>
          <w:sz w:val="34"/>
          <w:szCs w:val="34"/>
        </w:rPr>
      </w:pPr>
    </w:p>
    <w:p w14:paraId="1CA57765" w14:textId="77777777" w:rsidR="00DB061D" w:rsidRDefault="00DB061D">
      <w:pPr>
        <w:spacing w:after="40"/>
        <w:jc w:val="left"/>
        <w:rPr>
          <w:b/>
          <w:bCs/>
          <w:color w:val="173B5C"/>
          <w:sz w:val="34"/>
          <w:szCs w:val="34"/>
        </w:rPr>
      </w:pPr>
    </w:p>
    <w:p w14:paraId="12E21A89" w14:textId="77777777" w:rsidR="00DB061D" w:rsidRDefault="00DB061D">
      <w:pPr>
        <w:spacing w:after="40"/>
        <w:jc w:val="left"/>
        <w:rPr>
          <w:b/>
          <w:bCs/>
          <w:color w:val="173B5C"/>
          <w:sz w:val="34"/>
          <w:szCs w:val="34"/>
        </w:rPr>
      </w:pPr>
    </w:p>
    <w:p w14:paraId="0720C022" w14:textId="77777777" w:rsidR="00DB061D" w:rsidRDefault="00DB061D">
      <w:pPr>
        <w:spacing w:after="40"/>
        <w:jc w:val="left"/>
        <w:rPr>
          <w:b/>
          <w:bCs/>
          <w:color w:val="173B5C"/>
          <w:sz w:val="34"/>
          <w:szCs w:val="34"/>
        </w:rPr>
      </w:pPr>
    </w:p>
    <w:p w14:paraId="0E777AF9" w14:textId="77777777" w:rsidR="00DB061D" w:rsidRDefault="002168B7">
      <w:pPr>
        <w:spacing w:after="40"/>
        <w:jc w:val="left"/>
      </w:pPr>
      <w:r>
        <w:rPr>
          <w:b/>
          <w:bCs/>
          <w:color w:val="173B5C"/>
          <w:sz w:val="34"/>
          <w:szCs w:val="34"/>
        </w:rPr>
        <w:t>Reference List</w:t>
      </w:r>
    </w:p>
    <w:p w14:paraId="18B552CA" w14:textId="77777777" w:rsidR="00DB061D" w:rsidRDefault="00DB061D" w:rsidP="00B778BF">
      <w:pPr>
        <w:spacing w:line="276" w:lineRule="auto"/>
      </w:pPr>
    </w:p>
    <w:p w14:paraId="4D6A191E" w14:textId="447EA69A" w:rsidR="00DB061D" w:rsidRPr="003D701E" w:rsidRDefault="002168B7" w:rsidP="003D701E">
      <w:pPr>
        <w:pStyle w:val="ListParagraph"/>
        <w:numPr>
          <w:ilvl w:val="0"/>
          <w:numId w:val="4"/>
        </w:numPr>
        <w:spacing w:after="0" w:line="276" w:lineRule="auto"/>
        <w:rPr>
          <w:color w:val="1E2A31"/>
        </w:rPr>
      </w:pPr>
      <w:r w:rsidRPr="003D701E">
        <w:rPr>
          <w:color w:val="1E2A31"/>
        </w:rPr>
        <w:t>Black, C. (2021) Review of drugs part two: prevention, treatment and recovery. Available at: https://www.gov.uk/government/publications/review-of-drugs-phase-two-report/review-of-drugs-part-two-prevention-treatment-and-recovery (Accessed: 14 July 2026</w:t>
      </w:r>
      <w:proofErr w:type="gramStart"/>
      <w:r w:rsidRPr="003D701E">
        <w:rPr>
          <w:color w:val="1E2A31"/>
        </w:rPr>
        <w:t>).Care</w:t>
      </w:r>
      <w:proofErr w:type="gramEnd"/>
      <w:r w:rsidRPr="003D701E">
        <w:rPr>
          <w:color w:val="1E2A31"/>
        </w:rPr>
        <w:t xml:space="preserve"> Quality Commission (CQC) (2025) Regulation 12: Safe care and treatment. Available at: https://www.cqc.org.uk/guidance-regulation/providers/regulations-service-providers-and-managers/health-social-care-act/regulation-12 (Accessed: 14 July 2026).</w:t>
      </w:r>
    </w:p>
    <w:p w14:paraId="7A5278D3" w14:textId="77777777" w:rsidR="00DB061D" w:rsidRPr="003D701E" w:rsidRDefault="002168B7" w:rsidP="003D701E">
      <w:pPr>
        <w:pStyle w:val="ListParagraph"/>
        <w:numPr>
          <w:ilvl w:val="0"/>
          <w:numId w:val="4"/>
        </w:numPr>
        <w:spacing w:after="0" w:line="276" w:lineRule="auto"/>
        <w:rPr>
          <w:color w:val="1E2A31"/>
        </w:rPr>
      </w:pPr>
      <w:r w:rsidRPr="003D701E">
        <w:rPr>
          <w:color w:val="1E2A31"/>
        </w:rPr>
        <w:t>Data Protection Act 2018, c.12. Available at: https://www.legislation.gov.uk/ukpga/2018/12/contents (Accessed: 14 July 2026).</w:t>
      </w:r>
    </w:p>
    <w:p w14:paraId="67579787" w14:textId="77777777" w:rsidR="00A57D0B" w:rsidRDefault="00A57D0B" w:rsidP="00B778BF">
      <w:pPr>
        <w:spacing w:after="0" w:line="276" w:lineRule="auto"/>
        <w:rPr>
          <w:color w:val="1E2A31"/>
        </w:rPr>
      </w:pPr>
    </w:p>
    <w:p w14:paraId="48F22A31" w14:textId="0F882DAF" w:rsidR="00DB061D" w:rsidRDefault="00DB061D" w:rsidP="00B778BF">
      <w:pPr>
        <w:spacing w:after="0" w:line="276" w:lineRule="auto"/>
        <w:ind w:left="360"/>
        <w:rPr>
          <w:color w:val="1E2A31"/>
        </w:rPr>
      </w:pPr>
    </w:p>
    <w:p w14:paraId="0D497717" w14:textId="77777777" w:rsidR="00DB061D" w:rsidRPr="003D701E" w:rsidRDefault="002168B7" w:rsidP="003D701E">
      <w:pPr>
        <w:pStyle w:val="ListParagraph"/>
        <w:numPr>
          <w:ilvl w:val="0"/>
          <w:numId w:val="4"/>
        </w:numPr>
        <w:spacing w:after="0" w:line="276" w:lineRule="auto"/>
        <w:rPr>
          <w:color w:val="1E2A31"/>
        </w:rPr>
      </w:pPr>
      <w:r w:rsidRPr="003D701E">
        <w:rPr>
          <w:color w:val="1E2A31"/>
        </w:rPr>
        <w:t>Department of Health and Social Care (DHSC) (2024) Expansion of life-saving opioid overdose treatment. Available at: https://www.gov.uk/government/news/expansion-of-life-saving-opioid-overdose-treatment (Accessed: 14 July 2026).</w:t>
      </w:r>
    </w:p>
    <w:p w14:paraId="566A664D" w14:textId="77777777" w:rsidR="00DB061D" w:rsidRPr="003D701E" w:rsidRDefault="002168B7" w:rsidP="003D701E">
      <w:pPr>
        <w:pStyle w:val="ListParagraph"/>
        <w:numPr>
          <w:ilvl w:val="0"/>
          <w:numId w:val="4"/>
        </w:numPr>
        <w:spacing w:after="0" w:line="276" w:lineRule="auto"/>
        <w:rPr>
          <w:color w:val="1E2A31"/>
        </w:rPr>
      </w:pPr>
      <w:r w:rsidRPr="003D701E">
        <w:rPr>
          <w:color w:val="1E2A31"/>
        </w:rPr>
        <w:t xml:space="preserve">Eddie, D., Hoffman, L., Vilsaint, C., Abry, A., Bergman, B., Hoeppner, B., Weinstein, C. and Kelly, J.F. (2019) ‘Lived experience in new models of care for substance use disorder: a systematic review of peer recovery support services and recovery coaching’, Frontiers in Psychology, 10, 1052. </w:t>
      </w:r>
      <w:proofErr w:type="spellStart"/>
      <w:r w:rsidRPr="003D701E">
        <w:rPr>
          <w:color w:val="1E2A31"/>
        </w:rPr>
        <w:t>doi</w:t>
      </w:r>
      <w:proofErr w:type="spellEnd"/>
      <w:r w:rsidRPr="003D701E">
        <w:rPr>
          <w:color w:val="1E2A31"/>
        </w:rPr>
        <w:t>: 10.3389/fpsyg.2019.01052.</w:t>
      </w:r>
    </w:p>
    <w:p w14:paraId="4AE3739C" w14:textId="77777777" w:rsidR="00DB061D" w:rsidRPr="003D701E" w:rsidRDefault="002168B7" w:rsidP="003D701E">
      <w:pPr>
        <w:pStyle w:val="ListParagraph"/>
        <w:numPr>
          <w:ilvl w:val="0"/>
          <w:numId w:val="4"/>
        </w:numPr>
        <w:spacing w:after="0" w:line="276" w:lineRule="auto"/>
        <w:rPr>
          <w:color w:val="1E2A31"/>
        </w:rPr>
      </w:pPr>
      <w:r w:rsidRPr="003D701E">
        <w:rPr>
          <w:color w:val="1E2A31"/>
        </w:rPr>
        <w:t>Equality Act 2010, c.15. Available at: https://www.legislation.gov.uk/ukpga/2010/15/contents (Accessed: 14 July 2026).</w:t>
      </w:r>
    </w:p>
    <w:p w14:paraId="12D70722" w14:textId="77777777" w:rsidR="00DB061D" w:rsidRPr="003D701E" w:rsidRDefault="002168B7" w:rsidP="003D701E">
      <w:pPr>
        <w:pStyle w:val="ListParagraph"/>
        <w:numPr>
          <w:ilvl w:val="0"/>
          <w:numId w:val="4"/>
        </w:numPr>
        <w:spacing w:after="0" w:line="276" w:lineRule="auto"/>
        <w:rPr>
          <w:color w:val="1E2A31"/>
        </w:rPr>
      </w:pPr>
      <w:r w:rsidRPr="003D701E">
        <w:rPr>
          <w:color w:val="1E2A31"/>
        </w:rPr>
        <w:t>HM Government (2021) From harm to hope: A 10-year drugs plan to cut crime and save lives. Available at: https://www.gov.uk/government/publications/from-harm-to-hope-a-10-year-drugs-plan-to-cut-crime-and-save-lives (Accessed: 14 July 2026).</w:t>
      </w:r>
    </w:p>
    <w:p w14:paraId="5E396690" w14:textId="77777777" w:rsidR="00DB061D" w:rsidRPr="003D701E" w:rsidRDefault="002168B7" w:rsidP="003D701E">
      <w:pPr>
        <w:pStyle w:val="ListParagraph"/>
        <w:numPr>
          <w:ilvl w:val="0"/>
          <w:numId w:val="4"/>
        </w:numPr>
        <w:spacing w:after="0" w:line="276" w:lineRule="auto"/>
        <w:rPr>
          <w:color w:val="1E2A31"/>
        </w:rPr>
      </w:pPr>
      <w:r w:rsidRPr="003D701E">
        <w:rPr>
          <w:color w:val="1E2A31"/>
        </w:rPr>
        <w:t xml:space="preserve">Lin, C., Cousins, S.J., Zhu, Y., Clingan, S.E., Mooney, L.J., Kan, E., Wu, F. and Hser, Y-I. (2024) ‘A scoping review of social determinants of health’s impact on substance use disorders over the life course’, Journal of Substance Use and Addiction Treatment, 166, 209484. </w:t>
      </w:r>
      <w:proofErr w:type="spellStart"/>
      <w:r w:rsidRPr="003D701E">
        <w:rPr>
          <w:color w:val="1E2A31"/>
        </w:rPr>
        <w:t>doi</w:t>
      </w:r>
      <w:proofErr w:type="spellEnd"/>
      <w:r w:rsidRPr="003D701E">
        <w:rPr>
          <w:color w:val="1E2A31"/>
        </w:rPr>
        <w:t>: 10.1016/j.josat.2024.209484.</w:t>
      </w:r>
    </w:p>
    <w:p w14:paraId="5B207987" w14:textId="77777777" w:rsidR="00DB061D" w:rsidRDefault="002168B7" w:rsidP="003D701E">
      <w:pPr>
        <w:numPr>
          <w:ilvl w:val="0"/>
          <w:numId w:val="4"/>
        </w:numPr>
        <w:spacing w:after="0" w:line="276" w:lineRule="auto"/>
        <w:rPr>
          <w:color w:val="1E2A31"/>
        </w:rPr>
      </w:pPr>
      <w:r>
        <w:rPr>
          <w:color w:val="1E2A31"/>
        </w:rPr>
        <w:t xml:space="preserve">Lowrie, R., McPherson, A., Mair, F.S., Stock, K., Maguire, D., Paudyal, V. et al. (2024) ‘Holistic health and social care outreach for people experiencing homelessness with recent non-fatal overdose in Glasgow, Scotland: </w:t>
      </w:r>
      <w:proofErr w:type="gramStart"/>
      <w:r>
        <w:rPr>
          <w:color w:val="1E2A31"/>
        </w:rPr>
        <w:t>the</w:t>
      </w:r>
      <w:proofErr w:type="gramEnd"/>
      <w:r>
        <w:rPr>
          <w:color w:val="1E2A31"/>
        </w:rPr>
        <w:t xml:space="preserve"> </w:t>
      </w:r>
      <w:proofErr w:type="spellStart"/>
      <w:r>
        <w:rPr>
          <w:color w:val="1E2A31"/>
        </w:rPr>
        <w:t>PHOENIx</w:t>
      </w:r>
      <w:proofErr w:type="spellEnd"/>
      <w:r>
        <w:rPr>
          <w:color w:val="1E2A31"/>
        </w:rPr>
        <w:t xml:space="preserve"> pilot </w:t>
      </w:r>
      <w:proofErr w:type="spellStart"/>
      <w:r>
        <w:rPr>
          <w:color w:val="1E2A31"/>
        </w:rPr>
        <w:t>randomised</w:t>
      </w:r>
      <w:proofErr w:type="spellEnd"/>
      <w:r>
        <w:rPr>
          <w:color w:val="1E2A31"/>
        </w:rPr>
        <w:t xml:space="preserve"> controlled trial’, BMJ Public Health, 2, e000219. </w:t>
      </w:r>
      <w:proofErr w:type="spellStart"/>
      <w:r>
        <w:rPr>
          <w:color w:val="1E2A31"/>
        </w:rPr>
        <w:t>doi</w:t>
      </w:r>
      <w:proofErr w:type="spellEnd"/>
      <w:r>
        <w:rPr>
          <w:color w:val="1E2A31"/>
        </w:rPr>
        <w:t>: 10.1136/bmjph-2023-000219.</w:t>
      </w:r>
    </w:p>
    <w:p w14:paraId="07E31A5F" w14:textId="77777777" w:rsidR="00DB061D" w:rsidRPr="00493E38" w:rsidRDefault="002168B7" w:rsidP="003D701E">
      <w:pPr>
        <w:pStyle w:val="ListParagraph"/>
        <w:numPr>
          <w:ilvl w:val="0"/>
          <w:numId w:val="4"/>
        </w:numPr>
        <w:spacing w:after="0" w:line="276" w:lineRule="auto"/>
        <w:rPr>
          <w:color w:val="1E2A31"/>
        </w:rPr>
      </w:pPr>
      <w:r w:rsidRPr="00493E38">
        <w:rPr>
          <w:color w:val="1E2A31"/>
        </w:rPr>
        <w:t>McDonald, R. and Strang, J. (</w:t>
      </w:r>
      <w:proofErr w:type="gramStart"/>
      <w:r w:rsidRPr="00493E38">
        <w:rPr>
          <w:color w:val="1E2A31"/>
        </w:rPr>
        <w:t>2016) ‘</w:t>
      </w:r>
      <w:proofErr w:type="gramEnd"/>
      <w:r w:rsidRPr="00493E38">
        <w:rPr>
          <w:color w:val="1E2A31"/>
        </w:rPr>
        <w:t xml:space="preserve">Are take-home naloxone </w:t>
      </w:r>
      <w:proofErr w:type="spellStart"/>
      <w:r w:rsidRPr="00493E38">
        <w:rPr>
          <w:color w:val="1E2A31"/>
        </w:rPr>
        <w:t>programmes</w:t>
      </w:r>
      <w:proofErr w:type="spellEnd"/>
      <w:r w:rsidRPr="00493E38">
        <w:rPr>
          <w:color w:val="1E2A31"/>
        </w:rPr>
        <w:t xml:space="preserve"> effective? Systematic review </w:t>
      </w:r>
      <w:proofErr w:type="spellStart"/>
      <w:r w:rsidRPr="00493E38">
        <w:rPr>
          <w:color w:val="1E2A31"/>
        </w:rPr>
        <w:t>utilising</w:t>
      </w:r>
      <w:proofErr w:type="spellEnd"/>
      <w:r w:rsidRPr="00493E38">
        <w:rPr>
          <w:color w:val="1E2A31"/>
        </w:rPr>
        <w:t xml:space="preserve"> application of the Bradford Hill criteria’, Addiction, 111(7), pp. 1177–1187. </w:t>
      </w:r>
      <w:proofErr w:type="spellStart"/>
      <w:r w:rsidRPr="00493E38">
        <w:rPr>
          <w:color w:val="1E2A31"/>
        </w:rPr>
        <w:t>doi</w:t>
      </w:r>
      <w:proofErr w:type="spellEnd"/>
      <w:r w:rsidRPr="00493E38">
        <w:rPr>
          <w:color w:val="1E2A31"/>
        </w:rPr>
        <w:t>: 10.1111/add.13326.</w:t>
      </w:r>
    </w:p>
    <w:p w14:paraId="702FE99F" w14:textId="7396F206" w:rsidR="00DB061D" w:rsidRPr="00493E38" w:rsidRDefault="002168B7" w:rsidP="003D701E">
      <w:pPr>
        <w:pStyle w:val="ListParagraph"/>
        <w:numPr>
          <w:ilvl w:val="0"/>
          <w:numId w:val="4"/>
        </w:numPr>
        <w:spacing w:after="0" w:line="276" w:lineRule="auto"/>
        <w:rPr>
          <w:color w:val="1E2A31"/>
        </w:rPr>
      </w:pPr>
      <w:r w:rsidRPr="00493E38">
        <w:rPr>
          <w:color w:val="1E2A31"/>
        </w:rPr>
        <w:t xml:space="preserve">Misuse of Drugs Act 1971, c.38. Available at: </w:t>
      </w:r>
      <w:r w:rsidR="009A311A" w:rsidRPr="00493E38">
        <w:rPr>
          <w:color w:val="1E2A31"/>
        </w:rPr>
        <w:t xml:space="preserve">          </w:t>
      </w:r>
      <w:r w:rsidRPr="00493E38">
        <w:rPr>
          <w:color w:val="1E2A31"/>
        </w:rPr>
        <w:t>https://www.legislation.gov.uk/ukpga/1971/38/contents (Accessed: 14 July 2026).</w:t>
      </w:r>
    </w:p>
    <w:p w14:paraId="79226362" w14:textId="77777777" w:rsidR="00DB061D" w:rsidRPr="00493E38" w:rsidRDefault="002168B7" w:rsidP="003D701E">
      <w:pPr>
        <w:pStyle w:val="ListParagraph"/>
        <w:numPr>
          <w:ilvl w:val="0"/>
          <w:numId w:val="4"/>
        </w:numPr>
        <w:spacing w:after="0" w:line="276" w:lineRule="auto"/>
        <w:rPr>
          <w:color w:val="1E2A31"/>
        </w:rPr>
      </w:pPr>
      <w:r w:rsidRPr="00493E38">
        <w:rPr>
          <w:color w:val="1E2A31"/>
        </w:rPr>
        <w:lastRenderedPageBreak/>
        <w:t>National Institute for Health and Care Excellence (NICE) (2017) Drug misuse prevention: targeted interventions (NG64). Available at: https://www.nice.org.uk/guidance/ng64 (Accessed: 14 July 2026).</w:t>
      </w:r>
    </w:p>
    <w:p w14:paraId="374B92B9" w14:textId="77777777" w:rsidR="00DB061D" w:rsidRPr="00493E38" w:rsidRDefault="002168B7" w:rsidP="003D701E">
      <w:pPr>
        <w:pStyle w:val="ListParagraph"/>
        <w:numPr>
          <w:ilvl w:val="0"/>
          <w:numId w:val="4"/>
        </w:numPr>
        <w:spacing w:after="0" w:line="276" w:lineRule="auto"/>
        <w:rPr>
          <w:color w:val="1E2A31"/>
        </w:rPr>
      </w:pPr>
      <w:r w:rsidRPr="00493E38">
        <w:rPr>
          <w:color w:val="1E2A31"/>
        </w:rPr>
        <w:t>NHS England (2026) Using the Digital Technology Assessment Criteria (DTAC). Available at: https://www.digitalregulations.innovation.nhs.uk/regulations-and-guidance-for-developers/all-developers-guidance/using-the-digital-technology-assessment-criteria-dtac/ (Accessed: 14 July 2026).</w:t>
      </w:r>
    </w:p>
    <w:p w14:paraId="6948A13D" w14:textId="77777777" w:rsidR="00DB061D" w:rsidRPr="00493E38" w:rsidRDefault="002168B7" w:rsidP="003D701E">
      <w:pPr>
        <w:pStyle w:val="ListParagraph"/>
        <w:numPr>
          <w:ilvl w:val="0"/>
          <w:numId w:val="4"/>
        </w:numPr>
        <w:spacing w:after="0" w:line="276" w:lineRule="auto"/>
        <w:rPr>
          <w:color w:val="1E2A31"/>
        </w:rPr>
      </w:pPr>
      <w:r w:rsidRPr="00493E38">
        <w:rPr>
          <w:color w:val="1E2A31"/>
        </w:rPr>
        <w:t>Office for Health Improvement and Disparities (OHID) (2025a) Adult substance misuse treatment statistics 2024 to 2025. Available at: https://www.gov.uk/government/statistics/substance-misuse-treatment-for-adults-statistics-2024-to-2025/adult-substance-misuse-treatment-statistics-2024-to-2025-report (Accessed: 14 July 2026).</w:t>
      </w:r>
    </w:p>
    <w:p w14:paraId="225E9FCB" w14:textId="353E6A39" w:rsidR="00DB061D" w:rsidRPr="00493E38" w:rsidRDefault="002168B7" w:rsidP="003D701E">
      <w:pPr>
        <w:pStyle w:val="ListParagraph"/>
        <w:numPr>
          <w:ilvl w:val="0"/>
          <w:numId w:val="4"/>
        </w:numPr>
        <w:spacing w:after="0" w:line="276" w:lineRule="auto"/>
        <w:jc w:val="left"/>
        <w:rPr>
          <w:color w:val="1E2A31"/>
        </w:rPr>
      </w:pPr>
      <w:r w:rsidRPr="00493E38">
        <w:rPr>
          <w:color w:val="1E2A31"/>
        </w:rPr>
        <w:t>Office for Health Improvement and Disparities (OHID) (2025b) Supplying take-home naloxone without a prescription. Available at: https://www.gov.uk/guidance/supplying-take-home-naloxone-without-a-prescription (Accessed: 14 July 2026).</w:t>
      </w:r>
    </w:p>
    <w:p w14:paraId="2324E12D" w14:textId="3CB6C32B" w:rsidR="00DB061D" w:rsidRDefault="00DB061D" w:rsidP="00B778BF">
      <w:pPr>
        <w:spacing w:after="0" w:line="276" w:lineRule="auto"/>
        <w:ind w:left="720"/>
        <w:rPr>
          <w:color w:val="1E2A31"/>
        </w:rPr>
      </w:pPr>
    </w:p>
    <w:p w14:paraId="58DF3830" w14:textId="77777777" w:rsidR="00DB061D" w:rsidRPr="00493E38" w:rsidRDefault="002168B7" w:rsidP="003D701E">
      <w:pPr>
        <w:pStyle w:val="ListParagraph"/>
        <w:numPr>
          <w:ilvl w:val="0"/>
          <w:numId w:val="4"/>
        </w:numPr>
        <w:spacing w:after="0" w:line="276" w:lineRule="auto"/>
        <w:rPr>
          <w:color w:val="1E2A31"/>
        </w:rPr>
      </w:pPr>
      <w:r w:rsidRPr="00493E38">
        <w:rPr>
          <w:color w:val="1E2A31"/>
        </w:rPr>
        <w:t xml:space="preserve">O’Logbon, J., Wickersham, A., Williamson, C. and </w:t>
      </w:r>
      <w:proofErr w:type="spellStart"/>
      <w:r w:rsidRPr="00493E38">
        <w:rPr>
          <w:color w:val="1E2A31"/>
        </w:rPr>
        <w:t>Leightley</w:t>
      </w:r>
      <w:proofErr w:type="spellEnd"/>
      <w:r w:rsidRPr="00493E38">
        <w:rPr>
          <w:color w:val="1E2A31"/>
        </w:rPr>
        <w:t xml:space="preserve">, D. (2024) ‘The effectiveness of digital health technologies for reducing substance use among young people: a systematic review and meta-analysis’, Journal of Mental Health, 33(5), pp. 645–673. </w:t>
      </w:r>
      <w:proofErr w:type="spellStart"/>
      <w:r w:rsidRPr="00493E38">
        <w:rPr>
          <w:color w:val="1E2A31"/>
        </w:rPr>
        <w:t>doi</w:t>
      </w:r>
      <w:proofErr w:type="spellEnd"/>
      <w:r w:rsidRPr="00493E38">
        <w:rPr>
          <w:color w:val="1E2A31"/>
        </w:rPr>
        <w:t>: 10.1080/09638237.2023.2245902.</w:t>
      </w:r>
    </w:p>
    <w:p w14:paraId="067B762A" w14:textId="77777777" w:rsidR="00DB061D" w:rsidRDefault="002168B7" w:rsidP="003D701E">
      <w:pPr>
        <w:numPr>
          <w:ilvl w:val="0"/>
          <w:numId w:val="4"/>
        </w:numPr>
        <w:spacing w:after="100" w:line="276" w:lineRule="auto"/>
        <w:rPr>
          <w:color w:val="1E2A31"/>
        </w:rPr>
      </w:pPr>
      <w:r>
        <w:rPr>
          <w:color w:val="1E2A31"/>
        </w:rPr>
        <w:t xml:space="preserve">Parkes, T., Matheson, C., Carver, H., Budd, J., Liddell, D., Wallace, J. et al. (2022) ‘Assessing the feasibility, acceptability and accessibility of a peer-delivered intervention to reduce harm and improve the well-being of people who experience homelessness with problem substance use: the SHARPS study’, Harm Reduction Journal, 19, 10. </w:t>
      </w:r>
      <w:proofErr w:type="spellStart"/>
      <w:r>
        <w:rPr>
          <w:color w:val="1E2A31"/>
        </w:rPr>
        <w:t>doi</w:t>
      </w:r>
      <w:proofErr w:type="spellEnd"/>
      <w:r>
        <w:rPr>
          <w:color w:val="1E2A31"/>
        </w:rPr>
        <w:t>: 10.1186/s12954-021-00582-5.</w:t>
      </w:r>
    </w:p>
    <w:sectPr w:rsidR="00DB061D">
      <w:pgSz w:w="11909" w:h="16834"/>
      <w:pgMar w:top="1008" w:right="1224" w:bottom="1008" w:left="1224" w:header="360" w:footer="43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1BBC6" w14:textId="77777777" w:rsidR="009B111E" w:rsidRDefault="009B111E">
      <w:pPr>
        <w:spacing w:after="0" w:line="240" w:lineRule="auto"/>
      </w:pPr>
      <w:r>
        <w:separator/>
      </w:r>
    </w:p>
  </w:endnote>
  <w:endnote w:type="continuationSeparator" w:id="0">
    <w:p w14:paraId="45418181" w14:textId="77777777" w:rsidR="009B111E" w:rsidRDefault="009B11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B8DC82A-597F-4B8C-B215-7C9C1D6B0AD4}"/>
    <w:embedBold r:id="rId2" w:fontKey="{B0F5DE97-4E71-4AC2-B632-EA36740C6BEC}"/>
    <w:embedItalic r:id="rId3" w:fontKey="{FB10971D-6080-4169-8A2D-3CE9445A9916}"/>
    <w:embedBoldItalic r:id="rId4" w:fontKey="{2A969F0D-A183-4FAC-B60D-FCF10DABBDA3}"/>
  </w:font>
  <w:font w:name="Cambria">
    <w:panose1 w:val="02040503050406030204"/>
    <w:charset w:val="00"/>
    <w:family w:val="roman"/>
    <w:pitch w:val="variable"/>
    <w:sig w:usb0="E00006FF" w:usb1="420024FF" w:usb2="02000000" w:usb3="00000000" w:csb0="0000019F" w:csb1="00000000"/>
    <w:embedRegular r:id="rId5" w:fontKey="{597481A1-2078-4405-ABA0-37137878AB5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F30DA4" w14:textId="28DFB303" w:rsidR="00DB061D" w:rsidRDefault="002168B7">
    <w:pPr>
      <w:pBdr>
        <w:top w:val="nil"/>
        <w:left w:val="nil"/>
        <w:bottom w:val="nil"/>
        <w:right w:val="nil"/>
        <w:between w:val="nil"/>
      </w:pBdr>
      <w:tabs>
        <w:tab w:val="center" w:pos="4680"/>
        <w:tab w:val="right" w:pos="9360"/>
      </w:tabs>
      <w:spacing w:after="0" w:line="240" w:lineRule="auto"/>
      <w:jc w:val="center"/>
      <w:rPr>
        <w:color w:val="000000"/>
      </w:rPr>
    </w:pPr>
    <w:r>
      <w:rPr>
        <w:color w:val="687A83"/>
        <w:sz w:val="18"/>
        <w:szCs w:val="18"/>
      </w:rPr>
      <w:fldChar w:fldCharType="begin"/>
    </w:r>
    <w:r>
      <w:rPr>
        <w:color w:val="687A83"/>
        <w:sz w:val="18"/>
        <w:szCs w:val="18"/>
      </w:rPr>
      <w:instrText>PAGE</w:instrText>
    </w:r>
    <w:r>
      <w:rPr>
        <w:color w:val="687A83"/>
        <w:sz w:val="18"/>
        <w:szCs w:val="18"/>
      </w:rPr>
      <w:fldChar w:fldCharType="separate"/>
    </w:r>
    <w:r w:rsidR="00415CCB">
      <w:rPr>
        <w:noProof/>
        <w:color w:val="687A83"/>
        <w:sz w:val="18"/>
        <w:szCs w:val="18"/>
      </w:rPr>
      <w:t>1</w:t>
    </w:r>
    <w:r>
      <w:rPr>
        <w:color w:val="687A83"/>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23FA5" w14:textId="77777777" w:rsidR="009B111E" w:rsidRDefault="009B111E">
      <w:pPr>
        <w:spacing w:after="0" w:line="240" w:lineRule="auto"/>
      </w:pPr>
      <w:r>
        <w:separator/>
      </w:r>
    </w:p>
  </w:footnote>
  <w:footnote w:type="continuationSeparator" w:id="0">
    <w:p w14:paraId="72B2DF46" w14:textId="77777777" w:rsidR="009B111E" w:rsidRDefault="009B11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E231E4"/>
    <w:multiLevelType w:val="hybridMultilevel"/>
    <w:tmpl w:val="74AA2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832E6"/>
    <w:multiLevelType w:val="hybridMultilevel"/>
    <w:tmpl w:val="BB762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860BD9"/>
    <w:multiLevelType w:val="multilevel"/>
    <w:tmpl w:val="FFFFFFFF"/>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abstractNum w:abstractNumId="3" w15:restartNumberingAfterBreak="0">
    <w:nsid w:val="5EB051A6"/>
    <w:multiLevelType w:val="hybridMultilevel"/>
    <w:tmpl w:val="01AA4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32166253">
    <w:abstractNumId w:val="2"/>
  </w:num>
  <w:num w:numId="2" w16cid:durableId="277567939">
    <w:abstractNumId w:val="0"/>
  </w:num>
  <w:num w:numId="3" w16cid:durableId="1993097708">
    <w:abstractNumId w:val="1"/>
  </w:num>
  <w:num w:numId="4" w16cid:durableId="18231098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061D"/>
    <w:rsid w:val="0001589C"/>
    <w:rsid w:val="00015C9C"/>
    <w:rsid w:val="00016E49"/>
    <w:rsid w:val="000362B1"/>
    <w:rsid w:val="00040F16"/>
    <w:rsid w:val="000640DB"/>
    <w:rsid w:val="00073902"/>
    <w:rsid w:val="00073927"/>
    <w:rsid w:val="000775D7"/>
    <w:rsid w:val="0009769D"/>
    <w:rsid w:val="000B1E10"/>
    <w:rsid w:val="000F4C7C"/>
    <w:rsid w:val="00120BCF"/>
    <w:rsid w:val="001357D2"/>
    <w:rsid w:val="001A72C7"/>
    <w:rsid w:val="001B7978"/>
    <w:rsid w:val="001C668C"/>
    <w:rsid w:val="001E55D9"/>
    <w:rsid w:val="002168B7"/>
    <w:rsid w:val="0024081A"/>
    <w:rsid w:val="0025054C"/>
    <w:rsid w:val="00251CED"/>
    <w:rsid w:val="00252D42"/>
    <w:rsid w:val="00270A52"/>
    <w:rsid w:val="00286656"/>
    <w:rsid w:val="002A1BA1"/>
    <w:rsid w:val="00310B15"/>
    <w:rsid w:val="00337A25"/>
    <w:rsid w:val="003541BD"/>
    <w:rsid w:val="003547E7"/>
    <w:rsid w:val="0039323F"/>
    <w:rsid w:val="003A768B"/>
    <w:rsid w:val="003B0006"/>
    <w:rsid w:val="003D701E"/>
    <w:rsid w:val="003E524C"/>
    <w:rsid w:val="003F3265"/>
    <w:rsid w:val="003F722F"/>
    <w:rsid w:val="00415CCB"/>
    <w:rsid w:val="004268CB"/>
    <w:rsid w:val="0043096F"/>
    <w:rsid w:val="004347C8"/>
    <w:rsid w:val="00474C0C"/>
    <w:rsid w:val="00493E38"/>
    <w:rsid w:val="004A78E6"/>
    <w:rsid w:val="004E65EC"/>
    <w:rsid w:val="004F63FA"/>
    <w:rsid w:val="00512641"/>
    <w:rsid w:val="00514FA7"/>
    <w:rsid w:val="00520DFD"/>
    <w:rsid w:val="00526368"/>
    <w:rsid w:val="005343F0"/>
    <w:rsid w:val="005375F3"/>
    <w:rsid w:val="00543CA9"/>
    <w:rsid w:val="00572A24"/>
    <w:rsid w:val="005A174A"/>
    <w:rsid w:val="005A54BD"/>
    <w:rsid w:val="005B66AF"/>
    <w:rsid w:val="005D0449"/>
    <w:rsid w:val="005F33DC"/>
    <w:rsid w:val="0060698D"/>
    <w:rsid w:val="00616B52"/>
    <w:rsid w:val="00652AF3"/>
    <w:rsid w:val="00666735"/>
    <w:rsid w:val="0066697E"/>
    <w:rsid w:val="006C3367"/>
    <w:rsid w:val="006D2B44"/>
    <w:rsid w:val="006F0467"/>
    <w:rsid w:val="00722EBD"/>
    <w:rsid w:val="00725A8D"/>
    <w:rsid w:val="00736116"/>
    <w:rsid w:val="00761C7B"/>
    <w:rsid w:val="0076656A"/>
    <w:rsid w:val="00776486"/>
    <w:rsid w:val="007F50C9"/>
    <w:rsid w:val="007F6D1E"/>
    <w:rsid w:val="007F73DF"/>
    <w:rsid w:val="00813833"/>
    <w:rsid w:val="008163C1"/>
    <w:rsid w:val="00825CC4"/>
    <w:rsid w:val="00856886"/>
    <w:rsid w:val="00880226"/>
    <w:rsid w:val="008C1C4F"/>
    <w:rsid w:val="008E3E0D"/>
    <w:rsid w:val="008E7F20"/>
    <w:rsid w:val="00903090"/>
    <w:rsid w:val="009043B2"/>
    <w:rsid w:val="00906A28"/>
    <w:rsid w:val="009078B3"/>
    <w:rsid w:val="0091096B"/>
    <w:rsid w:val="00924750"/>
    <w:rsid w:val="0093564D"/>
    <w:rsid w:val="00950D92"/>
    <w:rsid w:val="00957E93"/>
    <w:rsid w:val="00983419"/>
    <w:rsid w:val="00991D0D"/>
    <w:rsid w:val="009933C0"/>
    <w:rsid w:val="009A311A"/>
    <w:rsid w:val="009B111E"/>
    <w:rsid w:val="009C3883"/>
    <w:rsid w:val="009C5556"/>
    <w:rsid w:val="009E515C"/>
    <w:rsid w:val="009E53D6"/>
    <w:rsid w:val="00A02E65"/>
    <w:rsid w:val="00A116C6"/>
    <w:rsid w:val="00A32C99"/>
    <w:rsid w:val="00A44A28"/>
    <w:rsid w:val="00A57D0B"/>
    <w:rsid w:val="00A914D4"/>
    <w:rsid w:val="00AA51D8"/>
    <w:rsid w:val="00B02DA6"/>
    <w:rsid w:val="00B0395A"/>
    <w:rsid w:val="00B06677"/>
    <w:rsid w:val="00B340C0"/>
    <w:rsid w:val="00B41821"/>
    <w:rsid w:val="00B45E6B"/>
    <w:rsid w:val="00B76359"/>
    <w:rsid w:val="00B7681E"/>
    <w:rsid w:val="00B778BF"/>
    <w:rsid w:val="00B82B1D"/>
    <w:rsid w:val="00B83FD0"/>
    <w:rsid w:val="00BD2072"/>
    <w:rsid w:val="00C066FA"/>
    <w:rsid w:val="00C12EAB"/>
    <w:rsid w:val="00C27B06"/>
    <w:rsid w:val="00C33A28"/>
    <w:rsid w:val="00C35B27"/>
    <w:rsid w:val="00C50E9E"/>
    <w:rsid w:val="00CB7794"/>
    <w:rsid w:val="00CD14AF"/>
    <w:rsid w:val="00CE129C"/>
    <w:rsid w:val="00CF419F"/>
    <w:rsid w:val="00D01F72"/>
    <w:rsid w:val="00D2027F"/>
    <w:rsid w:val="00D54FEF"/>
    <w:rsid w:val="00D9101C"/>
    <w:rsid w:val="00DB061D"/>
    <w:rsid w:val="00DD21B3"/>
    <w:rsid w:val="00E16BD1"/>
    <w:rsid w:val="00E50E88"/>
    <w:rsid w:val="00E57FD8"/>
    <w:rsid w:val="00E750B9"/>
    <w:rsid w:val="00EB411D"/>
    <w:rsid w:val="00EC3BA5"/>
    <w:rsid w:val="00EF5293"/>
    <w:rsid w:val="00F112DB"/>
    <w:rsid w:val="00F156EB"/>
    <w:rsid w:val="00F24371"/>
    <w:rsid w:val="00F27C5A"/>
    <w:rsid w:val="00F45496"/>
    <w:rsid w:val="00F47DCB"/>
    <w:rsid w:val="00F635B6"/>
    <w:rsid w:val="00F64DE3"/>
    <w:rsid w:val="00F702CF"/>
    <w:rsid w:val="00F97739"/>
    <w:rsid w:val="00FC5A64"/>
    <w:rsid w:val="00FE44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E2075"/>
  <w15:docId w15:val="{5D830E68-E49B-804A-9F8A-C8E38E7EC8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eastAsia="Calibri" w:hAnsi="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i/>
      <w:iCs/>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sz="8" w:space="4" w:color="4F81BD"/>
      </w:pBdr>
      <w:spacing w:after="300" w:line="240" w:lineRule="auto"/>
    </w:pPr>
    <w:rPr>
      <w:rFonts w:ascii="Calibri" w:eastAsia="Calibri" w:hAnsi="Calibri" w:cs="Calibri"/>
      <w:color w:val="17365D"/>
      <w:sz w:val="52"/>
      <w:szCs w:val="52"/>
    </w:rPr>
  </w:style>
  <w:style w:type="paragraph" w:styleId="Subtitle">
    <w:name w:val="Subtitle"/>
    <w:basedOn w:val="Normal"/>
    <w:next w:val="Normal"/>
    <w:uiPriority w:val="11"/>
    <w:qFormat/>
    <w:rPr>
      <w:rFonts w:ascii="Calibri" w:eastAsia="Calibri" w:hAnsi="Calibri" w:cs="Calibri"/>
      <w:i/>
      <w:iCs/>
      <w:color w:val="4F81BD"/>
      <w:sz w:val="24"/>
      <w:szCs w:val="24"/>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 w:type="table" w:customStyle="1" w:styleId="a3">
    <w:basedOn w:val="TableNormal0"/>
    <w:tblPr>
      <w:tblStyleRowBandSize w:val="1"/>
      <w:tblStyleColBandSize w:val="1"/>
      <w:tblCellMar>
        <w:top w:w="0" w:type="dxa"/>
        <w:left w:w="115" w:type="dxa"/>
        <w:bottom w:w="0" w:type="dxa"/>
        <w:right w:w="115" w:type="dxa"/>
      </w:tblCellMar>
    </w:tblPr>
  </w:style>
  <w:style w:type="table" w:customStyle="1" w:styleId="a4">
    <w:basedOn w:val="TableNormal0"/>
    <w:tblPr>
      <w:tblStyleRowBandSize w:val="1"/>
      <w:tblStyleColBandSize w:val="1"/>
      <w:tblCellMar>
        <w:top w:w="0" w:type="dxa"/>
        <w:left w:w="115" w:type="dxa"/>
        <w:bottom w:w="0" w:type="dxa"/>
        <w:right w:w="115" w:type="dxa"/>
      </w:tblCellMar>
    </w:tblPr>
  </w:style>
  <w:style w:type="table" w:customStyle="1" w:styleId="a5">
    <w:basedOn w:val="TableNormal0"/>
    <w:tblPr>
      <w:tblStyleRowBandSize w:val="1"/>
      <w:tblStyleColBandSize w:val="1"/>
      <w:tblCellMar>
        <w:top w:w="0" w:type="dxa"/>
        <w:left w:w="115" w:type="dxa"/>
        <w:bottom w:w="0" w:type="dxa"/>
        <w:right w:w="115" w:type="dxa"/>
      </w:tblCellMar>
    </w:tblPr>
  </w:style>
  <w:style w:type="table" w:customStyle="1" w:styleId="a6">
    <w:basedOn w:val="TableNormal0"/>
    <w:tblPr>
      <w:tblStyleRowBandSize w:val="1"/>
      <w:tblStyleColBandSize w:val="1"/>
      <w:tblCellMar>
        <w:top w:w="0" w:type="dxa"/>
        <w:left w:w="115" w:type="dxa"/>
        <w:bottom w:w="0" w:type="dxa"/>
        <w:right w:w="115" w:type="dxa"/>
      </w:tblCellMar>
    </w:tblPr>
  </w:style>
  <w:style w:type="table" w:customStyle="1" w:styleId="a7">
    <w:basedOn w:val="TableNormal0"/>
    <w:tblPr>
      <w:tblStyleRowBandSize w:val="1"/>
      <w:tblStyleColBandSize w:val="1"/>
      <w:tblCellMar>
        <w:top w:w="0" w:type="dxa"/>
        <w:left w:w="115" w:type="dxa"/>
        <w:bottom w:w="0" w:type="dxa"/>
        <w:right w:w="115" w:type="dxa"/>
      </w:tblCellMar>
    </w:tblPr>
  </w:style>
  <w:style w:type="table" w:customStyle="1" w:styleId="a8">
    <w:basedOn w:val="TableNormal0"/>
    <w:tblPr>
      <w:tblStyleRowBandSize w:val="1"/>
      <w:tblStyleColBandSize w:val="1"/>
      <w:tblCellMar>
        <w:top w:w="0" w:type="dxa"/>
        <w:left w:w="115" w:type="dxa"/>
        <w:bottom w:w="0" w:type="dxa"/>
        <w:right w:w="115" w:type="dxa"/>
      </w:tblCellMar>
    </w:tblPr>
  </w:style>
  <w:style w:type="table" w:customStyle="1" w:styleId="a9">
    <w:basedOn w:val="TableNormal0"/>
    <w:tblPr>
      <w:tblStyleRowBandSize w:val="1"/>
      <w:tblStyleColBandSize w:val="1"/>
      <w:tblCellMar>
        <w:top w:w="0" w:type="dxa"/>
        <w:left w:w="115" w:type="dxa"/>
        <w:bottom w:w="0" w:type="dxa"/>
        <w:right w:w="115" w:type="dxa"/>
      </w:tblCellMar>
    </w:tblPr>
  </w:style>
  <w:style w:type="table" w:customStyle="1" w:styleId="aa">
    <w:basedOn w:val="TableNormal0"/>
    <w:tblPr>
      <w:tblStyleRowBandSize w:val="1"/>
      <w:tblStyleColBandSize w:val="1"/>
      <w:tblCellMar>
        <w:top w:w="0" w:type="dxa"/>
        <w:left w:w="115" w:type="dxa"/>
        <w:bottom w:w="0" w:type="dxa"/>
        <w:right w:w="115" w:type="dxa"/>
      </w:tblCellMar>
    </w:tblPr>
  </w:style>
  <w:style w:type="table" w:customStyle="1" w:styleId="ab">
    <w:basedOn w:val="TableNormal0"/>
    <w:tblPr>
      <w:tblStyleRowBandSize w:val="1"/>
      <w:tblStyleColBandSize w:val="1"/>
      <w:tblCellMar>
        <w:top w:w="0" w:type="dxa"/>
        <w:left w:w="115" w:type="dxa"/>
        <w:bottom w:w="0" w:type="dxa"/>
        <w:right w:w="115" w:type="dxa"/>
      </w:tblCellMar>
    </w:tblPr>
  </w:style>
  <w:style w:type="table" w:customStyle="1" w:styleId="ac">
    <w:basedOn w:val="TableNormal0"/>
    <w:tblPr>
      <w:tblStyleRowBandSize w:val="1"/>
      <w:tblStyleColBandSize w:val="1"/>
      <w:tblCellMar>
        <w:top w:w="0" w:type="dxa"/>
        <w:left w:w="115" w:type="dxa"/>
        <w:bottom w:w="0" w:type="dxa"/>
        <w:right w:w="115" w:type="dxa"/>
      </w:tblCellMar>
    </w:tblPr>
  </w:style>
  <w:style w:type="table" w:customStyle="1" w:styleId="ad">
    <w:basedOn w:val="TableNormal0"/>
    <w:tblPr>
      <w:tblStyleRowBandSize w:val="1"/>
      <w:tblStyleColBandSize w:val="1"/>
      <w:tblCellMar>
        <w:top w:w="0" w:type="dxa"/>
        <w:left w:w="115" w:type="dxa"/>
        <w:bottom w:w="0" w:type="dxa"/>
        <w:right w:w="115" w:type="dxa"/>
      </w:tblCellMar>
    </w:tblPr>
  </w:style>
  <w:style w:type="table" w:customStyle="1" w:styleId="ae">
    <w:basedOn w:val="TableNormal0"/>
    <w:tblPr>
      <w:tblStyleRowBandSize w:val="1"/>
      <w:tblStyleColBandSize w:val="1"/>
      <w:tblCellMar>
        <w:top w:w="0" w:type="dxa"/>
        <w:left w:w="115" w:type="dxa"/>
        <w:bottom w:w="0" w:type="dxa"/>
        <w:right w:w="115" w:type="dxa"/>
      </w:tblCellMar>
    </w:tblPr>
  </w:style>
  <w:style w:type="table" w:customStyle="1" w:styleId="af">
    <w:basedOn w:val="TableNormal0"/>
    <w:tblPr>
      <w:tblStyleRowBandSize w:val="1"/>
      <w:tblStyleColBandSize w:val="1"/>
      <w:tblCellMar>
        <w:top w:w="0" w:type="dxa"/>
        <w:left w:w="115" w:type="dxa"/>
        <w:bottom w:w="0" w:type="dxa"/>
        <w:right w:w="115" w:type="dxa"/>
      </w:tblCellMar>
    </w:tblPr>
  </w:style>
  <w:style w:type="table" w:customStyle="1" w:styleId="af0">
    <w:basedOn w:val="TableNormal0"/>
    <w:tblPr>
      <w:tblStyleRowBandSize w:val="1"/>
      <w:tblStyleColBandSize w:val="1"/>
      <w:tblCellMar>
        <w:top w:w="0" w:type="dxa"/>
        <w:left w:w="115" w:type="dxa"/>
        <w:bottom w:w="0" w:type="dxa"/>
        <w:right w:w="115" w:type="dxa"/>
      </w:tblCellMar>
    </w:tblPr>
  </w:style>
  <w:style w:type="table" w:customStyle="1" w:styleId="af1">
    <w:basedOn w:val="TableNormal0"/>
    <w:tblPr>
      <w:tblStyleRowBandSize w:val="1"/>
      <w:tblStyleColBandSize w:val="1"/>
      <w:tblCellMar>
        <w:top w:w="0" w:type="dxa"/>
        <w:left w:w="115" w:type="dxa"/>
        <w:bottom w:w="0" w:type="dxa"/>
        <w:right w:w="115" w:type="dxa"/>
      </w:tblCellMar>
    </w:tblPr>
  </w:style>
  <w:style w:type="table" w:customStyle="1" w:styleId="af2">
    <w:basedOn w:val="TableNormal0"/>
    <w:tblPr>
      <w:tblStyleRowBandSize w:val="1"/>
      <w:tblStyleColBandSize w:val="1"/>
      <w:tblCellMar>
        <w:top w:w="0" w:type="dxa"/>
        <w:left w:w="115" w:type="dxa"/>
        <w:bottom w:w="0" w:type="dxa"/>
        <w:right w:w="115" w:type="dxa"/>
      </w:tblCellMar>
    </w:tblPr>
  </w:style>
  <w:style w:type="table" w:customStyle="1" w:styleId="af3">
    <w:basedOn w:val="TableNormal0"/>
    <w:tblPr>
      <w:tblStyleRowBandSize w:val="1"/>
      <w:tblStyleColBandSize w:val="1"/>
      <w:tblCellMar>
        <w:top w:w="0" w:type="dxa"/>
        <w:left w:w="115" w:type="dxa"/>
        <w:bottom w:w="0" w:type="dxa"/>
        <w:right w:w="115" w:type="dxa"/>
      </w:tblCellMar>
    </w:tblPr>
  </w:style>
  <w:style w:type="table" w:customStyle="1" w:styleId="af4">
    <w:basedOn w:val="TableNormal0"/>
    <w:tblPr>
      <w:tblStyleRowBandSize w:val="1"/>
      <w:tblStyleColBandSize w:val="1"/>
      <w:tblCellMar>
        <w:top w:w="0" w:type="dxa"/>
        <w:left w:w="115" w:type="dxa"/>
        <w:bottom w:w="0" w:type="dxa"/>
        <w:right w:w="115" w:type="dxa"/>
      </w:tblCellMar>
    </w:tblPr>
  </w:style>
  <w:style w:type="table" w:customStyle="1" w:styleId="af5">
    <w:basedOn w:val="TableNormal0"/>
    <w:tblPr>
      <w:tblStyleRowBandSize w:val="1"/>
      <w:tblStyleColBandSize w:val="1"/>
      <w:tblCellMar>
        <w:top w:w="0" w:type="dxa"/>
        <w:left w:w="115" w:type="dxa"/>
        <w:bottom w:w="0" w:type="dxa"/>
        <w:right w:w="115" w:type="dxa"/>
      </w:tblCellMar>
    </w:tblPr>
  </w:style>
  <w:style w:type="table" w:customStyle="1" w:styleId="af6">
    <w:basedOn w:val="TableNormal0"/>
    <w:tblPr>
      <w:tblStyleRowBandSize w:val="1"/>
      <w:tblStyleColBandSize w:val="1"/>
      <w:tblCellMar>
        <w:top w:w="0" w:type="dxa"/>
        <w:left w:w="115" w:type="dxa"/>
        <w:bottom w:w="0" w:type="dxa"/>
        <w:right w:w="115" w:type="dxa"/>
      </w:tblCellMar>
    </w:tblPr>
  </w:style>
  <w:style w:type="paragraph" w:styleId="ListParagraph">
    <w:name w:val="List Paragraph"/>
    <w:basedOn w:val="Normal"/>
    <w:uiPriority w:val="34"/>
    <w:qFormat/>
    <w:rsid w:val="00493E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2674</Words>
  <Characters>15245</Characters>
  <Application>Microsoft Office Word</Application>
  <DocSecurity>0</DocSecurity>
  <Lines>127</Lines>
  <Paragraphs>35</Paragraphs>
  <ScaleCrop>false</ScaleCrop>
  <Company/>
  <LinksUpToDate>false</LinksUpToDate>
  <CharactersWithSpaces>17884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Farzana Akhter (2331979)</cp:lastModifiedBy>
  <cp:revision>2</cp:revision>
  <dcterms:created xsi:type="dcterms:W3CDTF">2026-07-19T00:31:00Z</dcterms:created>
  <dcterms:modified xsi:type="dcterms:W3CDTF">2026-07-19T00:31:00Z</dcterms:modified>
</cp:coreProperties>
</file>