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4F3E" w:rsidRPr="00FB5C62" w:rsidRDefault="00414F3E" w:rsidP="007156BD">
      <w:pPr>
        <w:tabs>
          <w:tab w:val="left" w:pos="-720"/>
          <w:tab w:val="left" w:pos="0"/>
        </w:tabs>
        <w:suppressAutoHyphens/>
        <w:spacing w:line="276" w:lineRule="auto"/>
        <w:jc w:val="center"/>
        <w:rPr>
          <w:rFonts w:ascii="Perpetua" w:hAnsi="Perpetua" w:cs="Adobe Devanagari"/>
          <w:b/>
          <w:spacing w:val="-3"/>
          <w:sz w:val="26"/>
          <w:szCs w:val="26"/>
          <w:lang w:val="en-GB"/>
        </w:rPr>
      </w:pPr>
      <w:r w:rsidRPr="00FB5C62">
        <w:rPr>
          <w:rFonts w:ascii="Perpetua" w:hAnsi="Perpetua" w:cs="Adobe Devanagari"/>
          <w:b/>
          <w:spacing w:val="-3"/>
          <w:sz w:val="26"/>
          <w:szCs w:val="26"/>
          <w:lang w:val="en-GB"/>
        </w:rPr>
        <w:t>Error and Sweet Violence: Shakespeare and Renaissance Comedy and Tragedy</w:t>
      </w:r>
    </w:p>
    <w:p w:rsidR="00414F3E" w:rsidRPr="00FB5C62" w:rsidRDefault="00414F3E" w:rsidP="007156BD">
      <w:pPr>
        <w:tabs>
          <w:tab w:val="left" w:pos="-720"/>
          <w:tab w:val="left" w:pos="0"/>
        </w:tabs>
        <w:suppressAutoHyphens/>
        <w:spacing w:line="276" w:lineRule="auto"/>
        <w:jc w:val="center"/>
        <w:rPr>
          <w:rFonts w:ascii="Perpetua" w:hAnsi="Perpetua" w:cs="Adobe Devanagari"/>
          <w:spacing w:val="-3"/>
          <w:sz w:val="26"/>
          <w:szCs w:val="26"/>
          <w:lang w:val="en-GB"/>
        </w:rPr>
      </w:pPr>
      <w:r w:rsidRPr="00FB5C62">
        <w:rPr>
          <w:rFonts w:ascii="Perpetua" w:hAnsi="Perpetua" w:cs="Adobe Devanagari"/>
          <w:spacing w:val="-3"/>
          <w:sz w:val="26"/>
          <w:szCs w:val="26"/>
          <w:lang w:val="en-GB"/>
        </w:rPr>
        <w:t>HPEN</w:t>
      </w:r>
      <w:r w:rsidR="006C50AC" w:rsidRPr="00FB5C62">
        <w:rPr>
          <w:rFonts w:ascii="Perpetua" w:hAnsi="Perpetua" w:cs="Adobe Devanagari"/>
          <w:spacing w:val="-3"/>
          <w:sz w:val="26"/>
          <w:szCs w:val="26"/>
          <w:lang w:val="en-GB"/>
        </w:rPr>
        <w:t>5</w:t>
      </w:r>
      <w:r w:rsidRPr="00FB5C62">
        <w:rPr>
          <w:rFonts w:ascii="Perpetua" w:hAnsi="Perpetua" w:cs="Adobe Devanagari"/>
          <w:spacing w:val="-3"/>
          <w:sz w:val="26"/>
          <w:szCs w:val="26"/>
          <w:lang w:val="en-GB"/>
        </w:rPr>
        <w:t>00</w:t>
      </w:r>
      <w:r w:rsidR="006C50AC" w:rsidRPr="00FB5C62">
        <w:rPr>
          <w:rFonts w:ascii="Perpetua" w:hAnsi="Perpetua" w:cs="Adobe Devanagari"/>
          <w:spacing w:val="-3"/>
          <w:sz w:val="26"/>
          <w:szCs w:val="26"/>
          <w:lang w:val="en-GB"/>
        </w:rPr>
        <w:t>4</w:t>
      </w:r>
      <w:r w:rsidRPr="00FB5C62">
        <w:rPr>
          <w:rFonts w:ascii="Perpetua" w:hAnsi="Perpetua" w:cs="Adobe Devanagari"/>
          <w:spacing w:val="-3"/>
          <w:sz w:val="26"/>
          <w:szCs w:val="26"/>
          <w:lang w:val="en-GB"/>
        </w:rPr>
        <w:t>/</w:t>
      </w:r>
      <w:r w:rsidR="006C50AC" w:rsidRPr="00FB5C62">
        <w:rPr>
          <w:rFonts w:ascii="Perpetua" w:hAnsi="Perpetua" w:cs="Adobe Devanagari"/>
          <w:spacing w:val="-3"/>
          <w:sz w:val="26"/>
          <w:szCs w:val="26"/>
          <w:lang w:val="en-GB"/>
        </w:rPr>
        <w:t>6</w:t>
      </w:r>
      <w:r w:rsidRPr="00FB5C62">
        <w:rPr>
          <w:rFonts w:ascii="Perpetua" w:hAnsi="Perpetua" w:cs="Adobe Devanagari"/>
          <w:spacing w:val="-3"/>
          <w:sz w:val="26"/>
          <w:szCs w:val="26"/>
          <w:lang w:val="en-GB"/>
        </w:rPr>
        <w:t>00</w:t>
      </w:r>
      <w:r w:rsidR="006C50AC" w:rsidRPr="00FB5C62">
        <w:rPr>
          <w:rFonts w:ascii="Perpetua" w:hAnsi="Perpetua" w:cs="Adobe Devanagari"/>
          <w:spacing w:val="-3"/>
          <w:sz w:val="26"/>
          <w:szCs w:val="26"/>
          <w:lang w:val="en-GB"/>
        </w:rPr>
        <w:t>4</w:t>
      </w:r>
    </w:p>
    <w:p w:rsidR="00414F3E" w:rsidRPr="00FB5C62" w:rsidRDefault="00414F3E" w:rsidP="007156BD">
      <w:pPr>
        <w:tabs>
          <w:tab w:val="left" w:pos="-720"/>
          <w:tab w:val="left" w:pos="0"/>
        </w:tabs>
        <w:suppressAutoHyphens/>
        <w:spacing w:line="276" w:lineRule="auto"/>
        <w:jc w:val="center"/>
        <w:rPr>
          <w:rFonts w:ascii="Perpetua" w:hAnsi="Perpetua" w:cs="Adobe Devanagari"/>
          <w:spacing w:val="-3"/>
          <w:sz w:val="26"/>
          <w:szCs w:val="26"/>
          <w:lang w:val="en-GB"/>
        </w:rPr>
      </w:pPr>
      <w:r w:rsidRPr="00FB5C62">
        <w:rPr>
          <w:rFonts w:ascii="Perpetua" w:hAnsi="Perpetua" w:cs="Adobe Devanagari"/>
          <w:spacing w:val="-3"/>
          <w:sz w:val="26"/>
          <w:szCs w:val="26"/>
          <w:lang w:val="en-GB"/>
        </w:rPr>
        <w:t>LECTURE</w:t>
      </w:r>
    </w:p>
    <w:p w:rsidR="00414F3E" w:rsidRPr="00EC5382" w:rsidRDefault="00EC5382" w:rsidP="007156BD">
      <w:pPr>
        <w:tabs>
          <w:tab w:val="left" w:pos="-720"/>
          <w:tab w:val="left" w:pos="0"/>
        </w:tabs>
        <w:suppressAutoHyphens/>
        <w:spacing w:line="276" w:lineRule="auto"/>
        <w:jc w:val="center"/>
        <w:rPr>
          <w:rFonts w:ascii="Perpetua" w:hAnsi="Perpetua" w:cs="Adobe Devanagari"/>
          <w:b/>
          <w:spacing w:val="-3"/>
          <w:sz w:val="26"/>
          <w:szCs w:val="26"/>
          <w:lang w:val="en-GB"/>
        </w:rPr>
      </w:pPr>
      <w:r w:rsidRPr="00EC5382">
        <w:rPr>
          <w:rFonts w:ascii="Perpetua" w:hAnsi="Perpetua" w:cs="Adobe Devanagari"/>
          <w:b/>
          <w:spacing w:val="-3"/>
          <w:sz w:val="26"/>
          <w:szCs w:val="26"/>
          <w:lang w:val="en-GB"/>
        </w:rPr>
        <w:t xml:space="preserve">SHAKESPEARE, </w:t>
      </w:r>
      <w:r w:rsidRPr="00EC5382">
        <w:rPr>
          <w:rFonts w:ascii="Perpetua" w:hAnsi="Perpetua" w:cs="Adobe Devanagari"/>
          <w:b/>
          <w:i/>
          <w:spacing w:val="-3"/>
          <w:sz w:val="26"/>
          <w:szCs w:val="26"/>
          <w:lang w:val="en-GB"/>
        </w:rPr>
        <w:t>THE TRAGEDY OF OTHELLO THE MOOR OF VENICE</w:t>
      </w:r>
    </w:p>
    <w:p w:rsidR="00FB5C62" w:rsidRDefault="00FB5C62" w:rsidP="007156BD">
      <w:pPr>
        <w:tabs>
          <w:tab w:val="left" w:pos="-720"/>
          <w:tab w:val="left" w:pos="0"/>
        </w:tabs>
        <w:suppressAutoHyphens/>
        <w:spacing w:line="276" w:lineRule="auto"/>
        <w:rPr>
          <w:rFonts w:ascii="Perpetua" w:hAnsi="Perpetua" w:cs="Adobe Devanagari"/>
          <w:spacing w:val="-3"/>
          <w:sz w:val="26"/>
          <w:szCs w:val="26"/>
          <w:lang w:val="en-GB"/>
        </w:rPr>
      </w:pPr>
    </w:p>
    <w:p w:rsidR="00EC5382" w:rsidRPr="00C5232C" w:rsidRDefault="00EC5382" w:rsidP="007156BD">
      <w:pPr>
        <w:tabs>
          <w:tab w:val="left" w:pos="-720"/>
          <w:tab w:val="left" w:pos="0"/>
        </w:tabs>
        <w:suppressAutoHyphens/>
        <w:spacing w:line="276" w:lineRule="auto"/>
        <w:rPr>
          <w:rFonts w:ascii="Perpetua" w:hAnsi="Perpetua" w:cs="Adobe Devanagari"/>
          <w:b/>
          <w:spacing w:val="-3"/>
          <w:sz w:val="26"/>
          <w:szCs w:val="26"/>
          <w:lang w:val="en-GB"/>
        </w:rPr>
      </w:pPr>
    </w:p>
    <w:p w:rsidR="00EC5382" w:rsidRPr="00C5232C"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u w:val="single"/>
          <w:lang w:val="en-GB"/>
        </w:rPr>
      </w:pPr>
      <w:r w:rsidRPr="00C5232C">
        <w:rPr>
          <w:rFonts w:ascii="Perpetua" w:hAnsi="Perpetua" w:cs="Adobe Devanagari"/>
          <w:b/>
          <w:spacing w:val="-3"/>
          <w:sz w:val="26"/>
          <w:szCs w:val="26"/>
          <w:lang w:val="en-GB"/>
        </w:rPr>
        <w:t xml:space="preserve">The early textual history and performance of </w:t>
      </w:r>
      <w:r w:rsidRPr="00C5232C">
        <w:rPr>
          <w:rFonts w:ascii="Perpetua" w:hAnsi="Perpetua" w:cs="Adobe Devanagari"/>
          <w:b/>
          <w:i/>
          <w:spacing w:val="-3"/>
          <w:sz w:val="26"/>
          <w:szCs w:val="26"/>
          <w:lang w:val="en-GB"/>
        </w:rPr>
        <w:t>Othello</w:t>
      </w:r>
      <w:r w:rsidRPr="00C5232C">
        <w:rPr>
          <w:rFonts w:ascii="Perpetua" w:hAnsi="Perpetua" w:cs="Adobe Devanagari"/>
          <w:b/>
          <w:spacing w:val="-3"/>
          <w:sz w:val="26"/>
          <w:szCs w:val="26"/>
          <w:lang w:val="en-GB"/>
        </w:rPr>
        <w:t xml:space="preserve">: </w:t>
      </w:r>
      <w:r w:rsidRPr="001A3BB2">
        <w:rPr>
          <w:rFonts w:ascii="Perpetua" w:hAnsi="Perpetua" w:cs="Adobe Devanagari"/>
          <w:b/>
          <w:spacing w:val="-3"/>
          <w:sz w:val="26"/>
          <w:szCs w:val="26"/>
          <w:lang w:val="en-GB"/>
        </w:rPr>
        <w:t>authorial revision; more than one authoritative version of the text; indeterminate text</w:t>
      </w:r>
    </w:p>
    <w:p w:rsidR="00F76F92" w:rsidRDefault="00F76F92"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80628B" w:rsidRDefault="0080628B"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There are three early printed texts of </w:t>
      </w:r>
      <w:r>
        <w:rPr>
          <w:rFonts w:ascii="Perpetua" w:hAnsi="Perpetua" w:cs="Adobe Devanagari"/>
          <w:i/>
          <w:spacing w:val="-3"/>
          <w:sz w:val="26"/>
          <w:szCs w:val="26"/>
          <w:lang w:val="en-GB"/>
        </w:rPr>
        <w:t>Othello</w:t>
      </w:r>
      <w:r>
        <w:rPr>
          <w:rFonts w:ascii="Perpetua" w:hAnsi="Perpetua" w:cs="Adobe Devanagari"/>
          <w:spacing w:val="-3"/>
          <w:sz w:val="26"/>
          <w:szCs w:val="26"/>
          <w:lang w:val="en-GB"/>
        </w:rPr>
        <w:t>. The First Quarto was printed in 1622, nearly twenty years after the probable date of the writing and earliest performances of the play. The text of the First Folio, printed in 1623, is either from an independent manuscript or from an amended copy of Q1. The Second Quarto, printed in 1630, was likely printed from a copy of Q1, which had been corrected as a result of careful collation with F.</w:t>
      </w:r>
      <w:r w:rsidR="0028451E">
        <w:rPr>
          <w:rStyle w:val="FootnoteReference"/>
          <w:rFonts w:ascii="Perpetua" w:hAnsi="Perpetua" w:cs="Adobe Devanagari"/>
          <w:spacing w:val="-3"/>
          <w:sz w:val="26"/>
          <w:szCs w:val="26"/>
          <w:lang w:val="en-GB"/>
        </w:rPr>
        <w:footnoteReference w:id="1"/>
      </w:r>
      <w:r>
        <w:rPr>
          <w:rFonts w:ascii="Perpetua" w:hAnsi="Perpetua" w:cs="Adobe Devanagari"/>
          <w:spacing w:val="-3"/>
          <w:sz w:val="26"/>
          <w:szCs w:val="26"/>
          <w:lang w:val="en-GB"/>
        </w:rPr>
        <w:t xml:space="preserve"> </w:t>
      </w:r>
      <w:r w:rsidR="001A3BB2">
        <w:rPr>
          <w:rFonts w:ascii="Perpetua" w:hAnsi="Perpetua" w:cs="Adobe Devanagari"/>
          <w:spacing w:val="-3"/>
          <w:sz w:val="26"/>
          <w:szCs w:val="26"/>
          <w:lang w:val="en-GB"/>
        </w:rPr>
        <w:t>E</w:t>
      </w:r>
      <w:r>
        <w:rPr>
          <w:rFonts w:ascii="Perpetua" w:hAnsi="Perpetua" w:cs="Adobe Devanagari"/>
          <w:spacing w:val="-3"/>
          <w:sz w:val="26"/>
          <w:szCs w:val="26"/>
          <w:lang w:val="en-GB"/>
        </w:rPr>
        <w:t xml:space="preserve">ditors </w:t>
      </w:r>
      <w:r w:rsidR="001A3BB2">
        <w:rPr>
          <w:rFonts w:ascii="Perpetua" w:hAnsi="Perpetua" w:cs="Adobe Devanagari"/>
          <w:spacing w:val="-3"/>
          <w:sz w:val="26"/>
          <w:szCs w:val="26"/>
          <w:lang w:val="en-GB"/>
        </w:rPr>
        <w:t>must</w:t>
      </w:r>
      <w:r>
        <w:rPr>
          <w:rFonts w:ascii="Perpetua" w:hAnsi="Perpetua" w:cs="Adobe Devanagari"/>
          <w:spacing w:val="-3"/>
          <w:sz w:val="26"/>
          <w:szCs w:val="26"/>
          <w:lang w:val="en-GB"/>
        </w:rPr>
        <w:t xml:space="preserve"> decide which of these to use as th</w:t>
      </w:r>
      <w:r w:rsidR="001A3BB2">
        <w:rPr>
          <w:rFonts w:ascii="Perpetua" w:hAnsi="Perpetua" w:cs="Adobe Devanagari"/>
          <w:spacing w:val="-3"/>
          <w:sz w:val="26"/>
          <w:szCs w:val="26"/>
          <w:lang w:val="en-GB"/>
        </w:rPr>
        <w:t>e copy-text for their editions.</w:t>
      </w:r>
      <w:r w:rsidR="0028451E">
        <w:rPr>
          <w:rFonts w:ascii="Perpetua" w:hAnsi="Perpetua" w:cs="Adobe Devanagari"/>
          <w:spacing w:val="-3"/>
          <w:sz w:val="26"/>
          <w:szCs w:val="26"/>
          <w:lang w:val="en-GB"/>
        </w:rPr>
        <w:t xml:space="preserve"> ‘Textual experts today are more inclined than ever before to grant independent authority to the First Quarto and Folio editions, surmising that the latter reflects Shakespeare’s revision of the former.’</w:t>
      </w:r>
      <w:r w:rsidR="0028451E">
        <w:rPr>
          <w:rStyle w:val="FootnoteReference"/>
          <w:rFonts w:ascii="Perpetua" w:hAnsi="Perpetua" w:cs="Adobe Devanagari"/>
          <w:spacing w:val="-3"/>
          <w:sz w:val="26"/>
          <w:szCs w:val="26"/>
          <w:lang w:val="en-GB"/>
        </w:rPr>
        <w:footnoteReference w:id="2"/>
      </w:r>
    </w:p>
    <w:p w:rsidR="0080628B" w:rsidRPr="0080628B" w:rsidRDefault="0080628B"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5232C" w:rsidRDefault="00830963"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w:t>
      </w:r>
      <w:r w:rsidR="00F76F92">
        <w:rPr>
          <w:rFonts w:ascii="Perpetua" w:hAnsi="Perpetua" w:cs="Adobe Devanagari"/>
          <w:spacing w:val="-3"/>
          <w:sz w:val="26"/>
          <w:szCs w:val="26"/>
          <w:lang w:val="en-GB"/>
        </w:rPr>
        <w:t xml:space="preserve">The title page of the 1622 first edition of </w:t>
      </w:r>
      <w:r w:rsidR="00F76F92">
        <w:rPr>
          <w:rFonts w:ascii="Perpetua" w:hAnsi="Perpetua" w:cs="Adobe Devanagari"/>
          <w:i/>
          <w:spacing w:val="-3"/>
          <w:sz w:val="26"/>
          <w:szCs w:val="26"/>
          <w:lang w:val="en-GB"/>
        </w:rPr>
        <w:t>Othello</w:t>
      </w:r>
      <w:r w:rsidR="00F76F92">
        <w:rPr>
          <w:rFonts w:ascii="Perpetua" w:hAnsi="Perpetua" w:cs="Adobe Devanagari"/>
          <w:spacing w:val="-3"/>
          <w:sz w:val="26"/>
          <w:szCs w:val="26"/>
          <w:lang w:val="en-GB"/>
        </w:rPr>
        <w:t xml:space="preserve"> states that the play was acted not only at the open-air Globe but also indoors at Blackfriars; indeed, Office of Works records at court show</w:t>
      </w:r>
      <w:r>
        <w:rPr>
          <w:rFonts w:ascii="Perpetua" w:hAnsi="Perpetua" w:cs="Adobe Devanagari"/>
          <w:spacing w:val="-3"/>
          <w:sz w:val="26"/>
          <w:szCs w:val="26"/>
          <w:lang w:val="en-GB"/>
        </w:rPr>
        <w:t>’</w:t>
      </w:r>
      <w:r>
        <w:rPr>
          <w:rStyle w:val="FootnoteReference"/>
          <w:rFonts w:ascii="Perpetua" w:hAnsi="Perpetua" w:cs="Adobe Devanagari"/>
          <w:spacing w:val="-3"/>
          <w:sz w:val="26"/>
          <w:szCs w:val="26"/>
          <w:lang w:val="en-GB"/>
        </w:rPr>
        <w:footnoteReference w:id="3"/>
      </w:r>
      <w:r w:rsidR="00F76F92">
        <w:rPr>
          <w:rFonts w:ascii="Perpetua" w:hAnsi="Perpetua" w:cs="Adobe Devanagari"/>
          <w:spacing w:val="-3"/>
          <w:sz w:val="26"/>
          <w:szCs w:val="26"/>
          <w:lang w:val="en-GB"/>
        </w:rPr>
        <w:t xml:space="preserve"> that</w:t>
      </w:r>
      <w:r>
        <w:rPr>
          <w:rFonts w:ascii="Perpetua" w:hAnsi="Perpetua" w:cs="Adobe Devanagari"/>
          <w:spacing w:val="-3"/>
          <w:sz w:val="26"/>
          <w:szCs w:val="26"/>
          <w:lang w:val="en-GB"/>
        </w:rPr>
        <w:t xml:space="preserve"> </w:t>
      </w:r>
      <w:r w:rsidR="007156BD">
        <w:rPr>
          <w:rFonts w:ascii="Perpetua" w:hAnsi="Perpetua" w:cs="Adobe Devanagari"/>
          <w:i/>
          <w:spacing w:val="-3"/>
          <w:sz w:val="26"/>
          <w:szCs w:val="26"/>
          <w:lang w:val="en-GB"/>
        </w:rPr>
        <w:t>Othello</w:t>
      </w:r>
      <w:r w:rsidR="007156BD">
        <w:rPr>
          <w:rFonts w:ascii="Perpetua" w:hAnsi="Perpetua" w:cs="Adobe Devanagari"/>
          <w:spacing w:val="-3"/>
          <w:sz w:val="26"/>
          <w:szCs w:val="26"/>
          <w:lang w:val="en-GB"/>
        </w:rPr>
        <w:t xml:space="preserve"> was performed by the King’s Men at the Whitehall Banqueting House (i.e. at court), on All Saints’ Day, 1 November, 1604.</w:t>
      </w:r>
      <w:r w:rsidR="007156BD">
        <w:rPr>
          <w:rStyle w:val="FootnoteReference"/>
          <w:rFonts w:ascii="Perpetua" w:hAnsi="Perpetua" w:cs="Adobe Devanagari"/>
          <w:spacing w:val="-3"/>
          <w:sz w:val="26"/>
          <w:szCs w:val="26"/>
          <w:lang w:val="en-GB"/>
        </w:rPr>
        <w:footnoteReference w:id="4"/>
      </w:r>
      <w:r w:rsidR="00E54DC7">
        <w:rPr>
          <w:rFonts w:ascii="Perpetua" w:hAnsi="Perpetua" w:cs="Adobe Devanagari"/>
          <w:spacing w:val="-3"/>
          <w:sz w:val="26"/>
          <w:szCs w:val="26"/>
          <w:lang w:val="en-GB"/>
        </w:rPr>
        <w:t xml:space="preserve"> The tiring house – the Elizabethan ‘backstage’, dressing room, and point of entry and exit for the performers – would have needed to have been two storeys in height to match the staging requirements of the opening of </w:t>
      </w:r>
      <w:r w:rsidR="00E54DC7">
        <w:rPr>
          <w:rFonts w:ascii="Perpetua" w:hAnsi="Perpetua" w:cs="Adobe Devanagari"/>
          <w:i/>
          <w:spacing w:val="-3"/>
          <w:sz w:val="26"/>
          <w:szCs w:val="26"/>
          <w:lang w:val="en-GB"/>
        </w:rPr>
        <w:t>Othello</w:t>
      </w:r>
      <w:r w:rsidR="00E54DC7">
        <w:rPr>
          <w:rFonts w:ascii="Perpetua" w:hAnsi="Perpetua" w:cs="Adobe Devanagari"/>
          <w:spacing w:val="-3"/>
          <w:sz w:val="26"/>
          <w:szCs w:val="26"/>
          <w:lang w:val="en-GB"/>
        </w:rPr>
        <w:t>. ‘A practicable floor above the stage level of the tiring house […] suggests that a fairly substantial frame must have been built for the entire structure (as well as backstage stairs or ladders).’</w:t>
      </w:r>
      <w:r w:rsidR="00E54DC7">
        <w:rPr>
          <w:rStyle w:val="FootnoteReference"/>
          <w:rFonts w:ascii="Perpetua" w:hAnsi="Perpetua" w:cs="Adobe Devanagari"/>
          <w:spacing w:val="-3"/>
          <w:sz w:val="26"/>
          <w:szCs w:val="26"/>
          <w:lang w:val="en-GB"/>
        </w:rPr>
        <w:footnoteReference w:id="5"/>
      </w:r>
      <w:r w:rsidR="008C3F7B">
        <w:rPr>
          <w:rFonts w:ascii="Perpetua" w:hAnsi="Perpetua" w:cs="Adobe Devanagari"/>
          <w:spacing w:val="-3"/>
          <w:sz w:val="26"/>
          <w:szCs w:val="26"/>
          <w:lang w:val="en-GB"/>
        </w:rPr>
        <w:t xml:space="preserve"> </w:t>
      </w:r>
      <w:r>
        <w:rPr>
          <w:rFonts w:ascii="Perpetua" w:hAnsi="Perpetua" w:cs="Adobe Devanagari"/>
          <w:spacing w:val="-3"/>
          <w:sz w:val="26"/>
          <w:szCs w:val="26"/>
          <w:lang w:val="en-GB"/>
        </w:rPr>
        <w:t xml:space="preserve">In addition: </w:t>
      </w:r>
      <w:r w:rsidR="008C3F7B">
        <w:rPr>
          <w:rFonts w:ascii="Perpetua" w:hAnsi="Perpetua" w:cs="Adobe Devanagari"/>
          <w:spacing w:val="-3"/>
          <w:sz w:val="26"/>
          <w:szCs w:val="26"/>
          <w:lang w:val="en-GB"/>
        </w:rPr>
        <w:t xml:space="preserve">‘The King’s Men (Shakespeare’s company) certainly performed </w:t>
      </w:r>
      <w:r w:rsidR="008C3F7B">
        <w:rPr>
          <w:rFonts w:ascii="Perpetua" w:hAnsi="Perpetua" w:cs="Adobe Devanagari"/>
          <w:i/>
          <w:spacing w:val="-3"/>
          <w:sz w:val="26"/>
          <w:szCs w:val="26"/>
          <w:lang w:val="en-GB"/>
        </w:rPr>
        <w:t>Othello</w:t>
      </w:r>
      <w:r w:rsidR="008C3F7B">
        <w:rPr>
          <w:rFonts w:ascii="Perpetua" w:hAnsi="Perpetua" w:cs="Adobe Devanagari"/>
          <w:spacing w:val="-3"/>
          <w:sz w:val="26"/>
          <w:szCs w:val="26"/>
          <w:lang w:val="en-GB"/>
        </w:rPr>
        <w:t xml:space="preserve"> at Oxford in 1610, in a public venue but to enthusiastic scholarly acclaim.’</w:t>
      </w:r>
      <w:r w:rsidR="008C3F7B">
        <w:rPr>
          <w:rStyle w:val="FootnoteReference"/>
          <w:rFonts w:ascii="Perpetua" w:hAnsi="Perpetua" w:cs="Adobe Devanagari"/>
          <w:spacing w:val="-3"/>
          <w:sz w:val="26"/>
          <w:szCs w:val="26"/>
          <w:lang w:val="en-GB"/>
        </w:rPr>
        <w:footnoteReference w:id="6"/>
      </w:r>
      <w:r w:rsidR="00CB1D73">
        <w:rPr>
          <w:rFonts w:ascii="Perpetua" w:hAnsi="Perpetua" w:cs="Adobe Devanagari"/>
          <w:spacing w:val="-3"/>
          <w:sz w:val="26"/>
          <w:szCs w:val="26"/>
          <w:lang w:val="en-GB"/>
        </w:rPr>
        <w:t xml:space="preserve"> An academic spectator wrote that</w:t>
      </w:r>
    </w:p>
    <w:p w:rsidR="00CB1D73" w:rsidRPr="00CB1D73" w:rsidRDefault="00CB1D73" w:rsidP="00CB1D73">
      <w:pPr>
        <w:tabs>
          <w:tab w:val="left" w:pos="-720"/>
          <w:tab w:val="left" w:pos="0"/>
        </w:tabs>
        <w:suppressAutoHyphens/>
        <w:snapToGrid/>
        <w:ind w:left="1134" w:right="1134"/>
        <w:rPr>
          <w:rFonts w:ascii="Perpetua" w:hAnsi="Perpetua" w:cs="Adobe Devanagari"/>
          <w:spacing w:val="-3"/>
          <w:szCs w:val="24"/>
          <w:lang w:val="en-GB"/>
        </w:rPr>
      </w:pPr>
    </w:p>
    <w:p w:rsidR="00CB1D73" w:rsidRPr="00CB1D73" w:rsidRDefault="00CB1D73" w:rsidP="00CB1D73">
      <w:pPr>
        <w:tabs>
          <w:tab w:val="left" w:pos="-720"/>
          <w:tab w:val="left" w:pos="0"/>
        </w:tabs>
        <w:suppressAutoHyphens/>
        <w:snapToGrid/>
        <w:ind w:left="1134" w:right="1134"/>
        <w:rPr>
          <w:rFonts w:ascii="Perpetua" w:hAnsi="Perpetua" w:cs="Adobe Devanagari"/>
          <w:spacing w:val="-3"/>
          <w:szCs w:val="24"/>
          <w:lang w:val="en-GB"/>
        </w:rPr>
      </w:pPr>
      <w:proofErr w:type="gramStart"/>
      <w:r w:rsidRPr="00CB1D73">
        <w:rPr>
          <w:rFonts w:ascii="Perpetua" w:hAnsi="Perpetua" w:cs="Adobe Devanagari"/>
          <w:spacing w:val="-3"/>
          <w:szCs w:val="24"/>
          <w:lang w:val="en-GB"/>
        </w:rPr>
        <w:t>not</w:t>
      </w:r>
      <w:proofErr w:type="gramEnd"/>
      <w:r w:rsidRPr="00CB1D73">
        <w:rPr>
          <w:rFonts w:ascii="Perpetua" w:hAnsi="Perpetua" w:cs="Adobe Devanagari"/>
          <w:spacing w:val="-3"/>
          <w:szCs w:val="24"/>
          <w:lang w:val="en-GB"/>
        </w:rPr>
        <w:t xml:space="preserve"> only by their speech but also by their deeds they drew tears. – But indeed Desdemona, killed by her husband, although she always acted the matter very well, in her death moved us still more greatly; when lying in bed she implored the pity of those watching with her countenance alone.</w:t>
      </w:r>
      <w:r w:rsidRPr="00CB1D73">
        <w:rPr>
          <w:rStyle w:val="FootnoteReference"/>
          <w:rFonts w:ascii="Perpetua" w:hAnsi="Perpetua" w:cs="Adobe Devanagari"/>
          <w:spacing w:val="-3"/>
          <w:szCs w:val="24"/>
          <w:lang w:val="en-GB"/>
        </w:rPr>
        <w:footnoteReference w:id="7"/>
      </w:r>
    </w:p>
    <w:p w:rsidR="00DE169D" w:rsidRPr="00CB1D73" w:rsidRDefault="00DE169D" w:rsidP="00CB1D73">
      <w:pPr>
        <w:tabs>
          <w:tab w:val="left" w:pos="-720"/>
          <w:tab w:val="left" w:pos="0"/>
        </w:tabs>
        <w:suppressAutoHyphens/>
        <w:snapToGrid/>
        <w:ind w:left="1134" w:right="1134"/>
        <w:rPr>
          <w:rFonts w:ascii="Perpetua" w:hAnsi="Perpetua" w:cs="Adobe Devanagari"/>
          <w:spacing w:val="-3"/>
          <w:szCs w:val="24"/>
          <w:lang w:val="en-GB"/>
        </w:rPr>
      </w:pPr>
    </w:p>
    <w:p w:rsidR="00DE169D" w:rsidRDefault="00830963"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w:t>
      </w:r>
      <w:r w:rsidR="00F76F92">
        <w:rPr>
          <w:rFonts w:ascii="Perpetua" w:hAnsi="Perpetua" w:cs="Adobe Devanagari"/>
          <w:spacing w:val="-3"/>
          <w:sz w:val="26"/>
          <w:szCs w:val="26"/>
          <w:lang w:val="en-GB"/>
        </w:rPr>
        <w:t xml:space="preserve">Indoor venues such as Blackfriars and the halls at court and those used by the various boys’ troupes could presumably provide more thorough control of the illumination than at the </w:t>
      </w:r>
      <w:proofErr w:type="spellStart"/>
      <w:r w:rsidR="00F76F92">
        <w:rPr>
          <w:rFonts w:ascii="Perpetua" w:hAnsi="Perpetua" w:cs="Adobe Devanagari"/>
          <w:spacing w:val="-3"/>
          <w:sz w:val="26"/>
          <w:szCs w:val="26"/>
          <w:lang w:val="en-GB"/>
        </w:rPr>
        <w:t>amphitheaters</w:t>
      </w:r>
      <w:proofErr w:type="spellEnd"/>
      <w:r w:rsidR="00F76F92">
        <w:rPr>
          <w:rFonts w:ascii="Perpetua" w:hAnsi="Perpetua" w:cs="Adobe Devanagari"/>
          <w:spacing w:val="-3"/>
          <w:sz w:val="26"/>
          <w:szCs w:val="26"/>
          <w:lang w:val="en-GB"/>
        </w:rPr>
        <w:t xml:space="preserve"> by manipulating window shutters and employing artificial light, such as candles.</w:t>
      </w:r>
      <w:r>
        <w:rPr>
          <w:rFonts w:ascii="Perpetua" w:hAnsi="Perpetua" w:cs="Adobe Devanagari"/>
          <w:spacing w:val="-3"/>
          <w:sz w:val="26"/>
          <w:szCs w:val="26"/>
          <w:lang w:val="en-GB"/>
        </w:rPr>
        <w:t>’</w:t>
      </w:r>
      <w:r>
        <w:rPr>
          <w:rStyle w:val="FootnoteReference"/>
          <w:rFonts w:ascii="Perpetua" w:hAnsi="Perpetua" w:cs="Adobe Devanagari"/>
          <w:spacing w:val="-3"/>
          <w:sz w:val="26"/>
          <w:szCs w:val="26"/>
          <w:lang w:val="en-GB"/>
        </w:rPr>
        <w:footnoteReference w:id="8"/>
      </w:r>
      <w:r>
        <w:rPr>
          <w:rFonts w:ascii="Perpetua" w:hAnsi="Perpetua" w:cs="Adobe Devanagari"/>
          <w:spacing w:val="-3"/>
          <w:sz w:val="26"/>
          <w:szCs w:val="26"/>
          <w:lang w:val="en-GB"/>
        </w:rPr>
        <w:t xml:space="preserve"> </w:t>
      </w:r>
      <w:r w:rsidR="00DE169D">
        <w:rPr>
          <w:rFonts w:ascii="Perpetua" w:hAnsi="Perpetua" w:cs="Adobe Devanagari"/>
          <w:spacing w:val="-3"/>
          <w:sz w:val="26"/>
          <w:szCs w:val="26"/>
          <w:lang w:val="en-GB"/>
        </w:rPr>
        <w:t xml:space="preserve">When considering a play like </w:t>
      </w:r>
      <w:r w:rsidR="00DE169D">
        <w:rPr>
          <w:rFonts w:ascii="Perpetua" w:hAnsi="Perpetua" w:cs="Adobe Devanagari"/>
          <w:i/>
          <w:spacing w:val="-3"/>
          <w:sz w:val="26"/>
          <w:szCs w:val="26"/>
          <w:lang w:val="en-GB"/>
        </w:rPr>
        <w:t>Othello</w:t>
      </w:r>
      <w:r w:rsidR="00DE169D">
        <w:rPr>
          <w:rFonts w:ascii="Perpetua" w:hAnsi="Perpetua" w:cs="Adobe Devanagari"/>
          <w:spacing w:val="-3"/>
          <w:sz w:val="26"/>
          <w:szCs w:val="26"/>
          <w:lang w:val="en-GB"/>
        </w:rPr>
        <w:t xml:space="preserve"> being performed indoors in a banqueting hall at court as well as outdoors, at Oxford, or indeed at the Globe Theatre, it is interesting to interpret stage directions pertaining to the use of lights</w:t>
      </w:r>
      <w:r>
        <w:rPr>
          <w:rFonts w:ascii="Perpetua" w:hAnsi="Perpetua" w:cs="Adobe Devanagari"/>
          <w:spacing w:val="-3"/>
          <w:sz w:val="26"/>
          <w:szCs w:val="26"/>
          <w:lang w:val="en-GB"/>
        </w:rPr>
        <w:t>, torches,</w:t>
      </w:r>
      <w:r w:rsidR="00DE169D">
        <w:rPr>
          <w:rFonts w:ascii="Perpetua" w:hAnsi="Perpetua" w:cs="Adobe Devanagari"/>
          <w:spacing w:val="-3"/>
          <w:sz w:val="26"/>
          <w:szCs w:val="26"/>
          <w:lang w:val="en-GB"/>
        </w:rPr>
        <w:t xml:space="preserve"> or candles:</w:t>
      </w:r>
    </w:p>
    <w:p w:rsidR="00DE169D" w:rsidRPr="002A283E" w:rsidRDefault="00DE169D" w:rsidP="002A283E">
      <w:pPr>
        <w:tabs>
          <w:tab w:val="left" w:pos="-720"/>
          <w:tab w:val="left" w:pos="0"/>
        </w:tabs>
        <w:suppressAutoHyphens/>
        <w:snapToGrid/>
        <w:ind w:left="1134" w:right="1134"/>
        <w:rPr>
          <w:rFonts w:ascii="Perpetua" w:hAnsi="Perpetua" w:cs="Adobe Devanagari"/>
          <w:spacing w:val="-3"/>
          <w:szCs w:val="24"/>
          <w:lang w:val="en-GB"/>
        </w:rPr>
      </w:pPr>
    </w:p>
    <w:p w:rsidR="00DE169D" w:rsidRPr="002A283E" w:rsidRDefault="00DE169D" w:rsidP="002A283E">
      <w:pPr>
        <w:tabs>
          <w:tab w:val="left" w:pos="-720"/>
          <w:tab w:val="left" w:pos="0"/>
        </w:tabs>
        <w:suppressAutoHyphens/>
        <w:snapToGrid/>
        <w:ind w:left="1134" w:right="1134"/>
        <w:rPr>
          <w:rFonts w:ascii="Perpetua" w:hAnsi="Perpetua" w:cs="Adobe Devanagari"/>
          <w:spacing w:val="-3"/>
          <w:szCs w:val="24"/>
          <w:lang w:val="en-GB"/>
        </w:rPr>
      </w:pPr>
      <w:r w:rsidRPr="002A283E">
        <w:rPr>
          <w:rFonts w:ascii="Perpetua" w:hAnsi="Perpetua" w:cs="Adobe Devanagari"/>
          <w:spacing w:val="-3"/>
          <w:szCs w:val="24"/>
          <w:lang w:val="en-GB"/>
        </w:rPr>
        <w:t>For example, one might assume that lighting instruments like candles and torches would be employed in one way in daylight amphitheatres but in a different way in halls that were already lit by candles. Yet it seems that stage property lights carried by actors produced their effect not so much by illusionistic means, as by serving as emblems that signalled such information as when or where a scene takes place. Thus, when Othello enters Desdemona’s bedroom ‘</w:t>
      </w:r>
      <w:r w:rsidRPr="002A283E">
        <w:rPr>
          <w:rFonts w:ascii="Perpetua" w:hAnsi="Perpetua" w:cs="Adobe Devanagari"/>
          <w:i/>
          <w:spacing w:val="-3"/>
          <w:szCs w:val="24"/>
          <w:lang w:val="en-GB"/>
        </w:rPr>
        <w:t>with a light</w:t>
      </w:r>
      <w:r w:rsidRPr="002A283E">
        <w:rPr>
          <w:rFonts w:ascii="Perpetua" w:hAnsi="Perpetua" w:cs="Adobe Devanagari"/>
          <w:spacing w:val="-3"/>
          <w:szCs w:val="24"/>
          <w:lang w:val="en-GB"/>
        </w:rPr>
        <w:t xml:space="preserve">’ at the end of the play, the audience understood that the scene is supposed to take place at night, even if the scene was acted in broad daylight, because people carry candles only at night. The theatrical statement is that an </w:t>
      </w:r>
      <w:r w:rsidRPr="002A283E">
        <w:rPr>
          <w:rFonts w:ascii="Perpetua" w:hAnsi="Perpetua" w:cs="Adobe Devanagari"/>
          <w:i/>
          <w:spacing w:val="-3"/>
          <w:szCs w:val="24"/>
          <w:lang w:val="en-GB"/>
        </w:rPr>
        <w:t>instrument</w:t>
      </w:r>
      <w:r w:rsidRPr="002A283E">
        <w:rPr>
          <w:rFonts w:ascii="Perpetua" w:hAnsi="Perpetua" w:cs="Adobe Devanagari"/>
          <w:spacing w:val="-3"/>
          <w:szCs w:val="24"/>
          <w:lang w:val="en-GB"/>
        </w:rPr>
        <w:t xml:space="preserve"> of light was called into use. It was the instrument, or rather the imaginary need for the instrument, and not the light it produced, </w:t>
      </w:r>
      <w:proofErr w:type="gramStart"/>
      <w:r w:rsidRPr="002A283E">
        <w:rPr>
          <w:rFonts w:ascii="Perpetua" w:hAnsi="Perpetua" w:cs="Adobe Devanagari"/>
          <w:spacing w:val="-3"/>
          <w:szCs w:val="24"/>
          <w:lang w:val="en-GB"/>
        </w:rPr>
        <w:t>that</w:t>
      </w:r>
      <w:proofErr w:type="gramEnd"/>
      <w:r w:rsidRPr="002A283E">
        <w:rPr>
          <w:rFonts w:ascii="Perpetua" w:hAnsi="Perpetua" w:cs="Adobe Devanagari"/>
          <w:spacing w:val="-3"/>
          <w:szCs w:val="24"/>
          <w:lang w:val="en-GB"/>
        </w:rPr>
        <w:t xml:space="preserve"> represented the darkness. Thus, the emblem could work as well indoors or out of doors.</w:t>
      </w:r>
      <w:r w:rsidRPr="002A283E">
        <w:rPr>
          <w:rStyle w:val="FootnoteReference"/>
          <w:rFonts w:ascii="Perpetua" w:hAnsi="Perpetua" w:cs="Adobe Devanagari"/>
          <w:spacing w:val="-3"/>
          <w:szCs w:val="24"/>
          <w:lang w:val="en-GB"/>
        </w:rPr>
        <w:footnoteReference w:id="9"/>
      </w:r>
    </w:p>
    <w:p w:rsidR="006240E4" w:rsidRPr="002A283E" w:rsidRDefault="006240E4" w:rsidP="002A283E">
      <w:pPr>
        <w:tabs>
          <w:tab w:val="left" w:pos="-720"/>
          <w:tab w:val="left" w:pos="0"/>
        </w:tabs>
        <w:suppressAutoHyphens/>
        <w:snapToGrid/>
        <w:ind w:left="1134" w:right="1134"/>
        <w:rPr>
          <w:rFonts w:ascii="Perpetua" w:hAnsi="Perpetua" w:cs="Adobe Devanagari"/>
          <w:spacing w:val="-3"/>
          <w:szCs w:val="24"/>
          <w:lang w:val="en-GB"/>
        </w:rPr>
      </w:pPr>
    </w:p>
    <w:p w:rsidR="0065274D" w:rsidRDefault="006240E4"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Like several other plays of this period, </w:t>
      </w:r>
      <w:r>
        <w:rPr>
          <w:rFonts w:ascii="Perpetua" w:hAnsi="Perpetua" w:cs="Adobe Devanagari"/>
          <w:i/>
          <w:spacing w:val="-3"/>
          <w:sz w:val="26"/>
          <w:szCs w:val="26"/>
          <w:lang w:val="en-GB"/>
        </w:rPr>
        <w:t>Othello</w:t>
      </w:r>
      <w:r>
        <w:rPr>
          <w:rFonts w:ascii="Perpetua" w:hAnsi="Perpetua" w:cs="Adobe Devanagari"/>
          <w:spacing w:val="-3"/>
          <w:sz w:val="26"/>
          <w:szCs w:val="26"/>
          <w:lang w:val="en-GB"/>
        </w:rPr>
        <w:t xml:space="preserve"> on occasion draws attention to itself as a theatrical production. ‘When Othello says, ‘Were it my cue to fight, I should have known it / Without a Prompter’ [I.iii.84-85], he makes clear that the prompt to fight might also be the book-holder’s responsibility.’</w:t>
      </w:r>
      <w:r>
        <w:rPr>
          <w:rStyle w:val="FootnoteReference"/>
          <w:rFonts w:ascii="Perpetua" w:hAnsi="Perpetua" w:cs="Adobe Devanagari"/>
          <w:spacing w:val="-3"/>
          <w:sz w:val="26"/>
          <w:szCs w:val="26"/>
          <w:lang w:val="en-GB"/>
        </w:rPr>
        <w:footnoteReference w:id="10"/>
      </w:r>
      <w:r w:rsidR="0065274D">
        <w:rPr>
          <w:rFonts w:ascii="Perpetua" w:hAnsi="Perpetua" w:cs="Adobe Devanagari"/>
          <w:spacing w:val="-3"/>
          <w:sz w:val="26"/>
          <w:szCs w:val="26"/>
          <w:lang w:val="en-GB"/>
        </w:rPr>
        <w:t xml:space="preserve"> Perhaps most intriguingly, </w:t>
      </w:r>
      <w:r w:rsidR="0065274D">
        <w:rPr>
          <w:rFonts w:ascii="Perpetua" w:hAnsi="Perpetua" w:cs="Adobe Devanagari"/>
          <w:i/>
          <w:spacing w:val="-3"/>
          <w:sz w:val="26"/>
          <w:szCs w:val="26"/>
          <w:lang w:val="en-GB"/>
        </w:rPr>
        <w:t>Othello</w:t>
      </w:r>
      <w:r w:rsidR="0065274D">
        <w:rPr>
          <w:rFonts w:ascii="Perpetua" w:hAnsi="Perpetua" w:cs="Adobe Devanagari"/>
          <w:spacing w:val="-3"/>
          <w:sz w:val="26"/>
          <w:szCs w:val="26"/>
          <w:lang w:val="en-GB"/>
        </w:rPr>
        <w:t xml:space="preserve"> sheds light on the way in which ‘[e]</w:t>
      </w:r>
      <w:proofErr w:type="spellStart"/>
      <w:r w:rsidR="0065274D">
        <w:rPr>
          <w:rFonts w:ascii="Perpetua" w:hAnsi="Perpetua" w:cs="Adobe Devanagari"/>
          <w:spacing w:val="-3"/>
          <w:sz w:val="26"/>
          <w:szCs w:val="26"/>
          <w:lang w:val="en-GB"/>
        </w:rPr>
        <w:t>arly</w:t>
      </w:r>
      <w:proofErr w:type="spellEnd"/>
      <w:r w:rsidR="0065274D">
        <w:rPr>
          <w:rFonts w:ascii="Perpetua" w:hAnsi="Perpetua" w:cs="Adobe Devanagari"/>
          <w:spacing w:val="-3"/>
          <w:sz w:val="26"/>
          <w:szCs w:val="26"/>
          <w:lang w:val="en-GB"/>
        </w:rPr>
        <w:t xml:space="preserve"> modern drama at once fetishizes and demystifies objects, alternately investing them with magic and insisting that they are just dead things’:</w:t>
      </w:r>
    </w:p>
    <w:p w:rsidR="0065274D" w:rsidRPr="0065274D" w:rsidRDefault="0065274D" w:rsidP="0065274D">
      <w:pPr>
        <w:tabs>
          <w:tab w:val="left" w:pos="-720"/>
          <w:tab w:val="left" w:pos="0"/>
        </w:tabs>
        <w:suppressAutoHyphens/>
        <w:snapToGrid/>
        <w:ind w:left="1134" w:right="1134"/>
        <w:rPr>
          <w:rFonts w:ascii="Perpetua" w:hAnsi="Perpetua" w:cs="Adobe Devanagari"/>
          <w:spacing w:val="-3"/>
          <w:szCs w:val="24"/>
          <w:lang w:val="en-GB"/>
        </w:rPr>
      </w:pPr>
    </w:p>
    <w:p w:rsidR="0065274D" w:rsidRPr="0065274D" w:rsidRDefault="0065274D" w:rsidP="0065274D">
      <w:pPr>
        <w:tabs>
          <w:tab w:val="left" w:pos="-720"/>
          <w:tab w:val="left" w:pos="0"/>
        </w:tabs>
        <w:suppressAutoHyphens/>
        <w:snapToGrid/>
        <w:ind w:left="1134" w:right="1134"/>
        <w:rPr>
          <w:rFonts w:ascii="Perpetua" w:hAnsi="Perpetua" w:cs="Adobe Devanagari"/>
          <w:spacing w:val="-3"/>
          <w:szCs w:val="24"/>
          <w:lang w:val="en-GB"/>
        </w:rPr>
      </w:pPr>
      <w:r w:rsidRPr="0065274D">
        <w:rPr>
          <w:rFonts w:ascii="Perpetua" w:hAnsi="Perpetua" w:cs="Adobe Devanagari"/>
          <w:spacing w:val="-3"/>
          <w:szCs w:val="24"/>
          <w:lang w:val="en-GB"/>
        </w:rPr>
        <w:t xml:space="preserve">This ambivalence toward theatrical ‘luggage’ […] inscribes itself in the era’s most notorious prop: </w:t>
      </w:r>
      <w:r w:rsidRPr="0065274D">
        <w:rPr>
          <w:rFonts w:ascii="Perpetua" w:hAnsi="Perpetua" w:cs="Adobe Devanagari"/>
          <w:i/>
          <w:spacing w:val="-3"/>
          <w:szCs w:val="24"/>
          <w:lang w:val="en-GB"/>
        </w:rPr>
        <w:t>Othello</w:t>
      </w:r>
      <w:r w:rsidRPr="0065274D">
        <w:rPr>
          <w:rFonts w:ascii="Perpetua" w:hAnsi="Perpetua" w:cs="Adobe Devanagari"/>
          <w:spacing w:val="-3"/>
          <w:szCs w:val="24"/>
          <w:lang w:val="en-GB"/>
        </w:rPr>
        <w:t>’s mysterious handkerchief. In one account of its origins, the handkerchief’s pagan ‘magic in the web’ conjures up psychic Egyptian soothsayers, 200-year-old sibyls [prophetesses] in the throes of prophetic ecstasy, and dye made from the lovingly preserved hearts ripped from living virgin’s bodies (III.iv.55-74). But in a conflicting version, which reverses its earlier trajectory, the napkin is merely an ‘antique token’ given by Othello’s father to his mother (V.ii.216). When it came to the magic of objects, Shakespeare and his fellow theatrical workers could have it both ways. […] props were […] lightning-rods for the theatrical charm that lured paying audiences into the playhouses.</w:t>
      </w:r>
      <w:r>
        <w:rPr>
          <w:rStyle w:val="FootnoteReference"/>
          <w:rFonts w:ascii="Perpetua" w:hAnsi="Perpetua" w:cs="Adobe Devanagari"/>
          <w:spacing w:val="-3"/>
          <w:szCs w:val="24"/>
          <w:lang w:val="en-GB"/>
        </w:rPr>
        <w:footnoteReference w:id="11"/>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4115F3" w:rsidRDefault="004115F3"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cinquecento Venice, possession of a lady’s handkerchief was considered proof of adultery and </w:t>
      </w:r>
      <w:r>
        <w:rPr>
          <w:rFonts w:ascii="Perpetua" w:hAnsi="Perpetua" w:cs="Adobe Devanagari"/>
          <w:spacing w:val="-3"/>
          <w:sz w:val="26"/>
          <w:szCs w:val="26"/>
          <w:lang w:val="en-GB"/>
        </w:rPr>
        <w:lastRenderedPageBreak/>
        <w:t>led to stringent punishments.’</w:t>
      </w:r>
      <w:r>
        <w:rPr>
          <w:rStyle w:val="FootnoteReference"/>
          <w:rFonts w:ascii="Perpetua" w:hAnsi="Perpetua" w:cs="Adobe Devanagari"/>
          <w:spacing w:val="-3"/>
          <w:sz w:val="26"/>
          <w:szCs w:val="26"/>
          <w:lang w:val="en-GB"/>
        </w:rPr>
        <w:footnoteReference w:id="12"/>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1A3BB2" w:rsidRPr="00C5232C" w:rsidRDefault="001A3BB2"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391696">
        <w:rPr>
          <w:rFonts w:ascii="Perpetua" w:hAnsi="Perpetua" w:cs="Adobe Devanagari"/>
          <w:b/>
          <w:spacing w:val="-3"/>
          <w:sz w:val="26"/>
          <w:szCs w:val="26"/>
          <w:lang w:val="en-GB"/>
        </w:rPr>
        <w:t xml:space="preserve">The play’s genre, sources, and literary context: </w:t>
      </w:r>
      <w:proofErr w:type="spellStart"/>
      <w:r w:rsidRPr="00B851A4">
        <w:rPr>
          <w:rFonts w:ascii="Perpetua" w:hAnsi="Perpetua" w:cs="Adobe Devanagari"/>
          <w:b/>
          <w:spacing w:val="-3"/>
          <w:sz w:val="26"/>
          <w:szCs w:val="26"/>
          <w:lang w:val="en-GB"/>
        </w:rPr>
        <w:t>Giambattista</w:t>
      </w:r>
      <w:proofErr w:type="spellEnd"/>
      <w:r w:rsidRPr="00B851A4">
        <w:rPr>
          <w:rFonts w:ascii="Perpetua" w:hAnsi="Perpetua" w:cs="Adobe Devanagari"/>
          <w:b/>
          <w:spacing w:val="-3"/>
          <w:sz w:val="26"/>
          <w:szCs w:val="26"/>
          <w:lang w:val="en-GB"/>
        </w:rPr>
        <w:t xml:space="preserve"> </w:t>
      </w:r>
      <w:proofErr w:type="spellStart"/>
      <w:r w:rsidRPr="00B851A4">
        <w:rPr>
          <w:rFonts w:ascii="Perpetua" w:hAnsi="Perpetua" w:cs="Adobe Devanagari"/>
          <w:b/>
          <w:spacing w:val="-3"/>
          <w:sz w:val="26"/>
          <w:szCs w:val="26"/>
          <w:lang w:val="en-GB"/>
        </w:rPr>
        <w:t>Cinzio</w:t>
      </w:r>
      <w:proofErr w:type="spellEnd"/>
      <w:r w:rsidRPr="00B851A4">
        <w:rPr>
          <w:rFonts w:ascii="Perpetua" w:hAnsi="Perpetua" w:cs="Adobe Devanagari"/>
          <w:b/>
          <w:spacing w:val="-3"/>
          <w:sz w:val="26"/>
          <w:szCs w:val="26"/>
          <w:lang w:val="en-GB"/>
        </w:rPr>
        <w:t xml:space="preserve"> </w:t>
      </w:r>
      <w:proofErr w:type="spellStart"/>
      <w:r w:rsidRPr="00B851A4">
        <w:rPr>
          <w:rFonts w:ascii="Perpetua" w:hAnsi="Perpetua" w:cs="Adobe Devanagari"/>
          <w:b/>
          <w:spacing w:val="-3"/>
          <w:sz w:val="26"/>
          <w:szCs w:val="26"/>
          <w:lang w:val="en-GB"/>
        </w:rPr>
        <w:t>Giraldi</w:t>
      </w:r>
      <w:proofErr w:type="spellEnd"/>
      <w:r w:rsidRPr="00B851A4">
        <w:rPr>
          <w:rFonts w:ascii="Perpetua" w:hAnsi="Perpetua" w:cs="Adobe Devanagari"/>
          <w:b/>
          <w:spacing w:val="-3"/>
          <w:sz w:val="26"/>
          <w:szCs w:val="26"/>
          <w:lang w:val="en-GB"/>
        </w:rPr>
        <w:t xml:space="preserve">, </w:t>
      </w:r>
      <w:proofErr w:type="spellStart"/>
      <w:r w:rsidRPr="00B851A4">
        <w:rPr>
          <w:rFonts w:ascii="Perpetua" w:hAnsi="Perpetua" w:cs="Adobe Devanagari"/>
          <w:b/>
          <w:i/>
          <w:spacing w:val="-3"/>
          <w:sz w:val="26"/>
          <w:szCs w:val="26"/>
          <w:lang w:val="en-GB"/>
        </w:rPr>
        <w:t>Gli</w:t>
      </w:r>
      <w:proofErr w:type="spellEnd"/>
      <w:r w:rsidRPr="00B851A4">
        <w:rPr>
          <w:rFonts w:ascii="Perpetua" w:hAnsi="Perpetua" w:cs="Adobe Devanagari"/>
          <w:b/>
          <w:i/>
          <w:spacing w:val="-3"/>
          <w:sz w:val="26"/>
          <w:szCs w:val="26"/>
          <w:lang w:val="en-GB"/>
        </w:rPr>
        <w:t xml:space="preserve"> </w:t>
      </w:r>
      <w:proofErr w:type="spellStart"/>
      <w:r w:rsidRPr="00B851A4">
        <w:rPr>
          <w:rFonts w:ascii="Perpetua" w:hAnsi="Perpetua" w:cs="Adobe Devanagari"/>
          <w:b/>
          <w:i/>
          <w:spacing w:val="-3"/>
          <w:sz w:val="26"/>
          <w:szCs w:val="26"/>
          <w:lang w:val="en-GB"/>
        </w:rPr>
        <w:t>Ecatommiti</w:t>
      </w:r>
      <w:proofErr w:type="spellEnd"/>
      <w:r w:rsidRPr="00B851A4">
        <w:rPr>
          <w:rFonts w:ascii="Perpetua" w:hAnsi="Perpetua" w:cs="Adobe Devanagari"/>
          <w:b/>
          <w:spacing w:val="-3"/>
          <w:sz w:val="26"/>
          <w:szCs w:val="26"/>
          <w:lang w:val="en-GB"/>
        </w:rPr>
        <w:t xml:space="preserve"> (</w:t>
      </w:r>
      <w:r w:rsidRPr="00B851A4">
        <w:rPr>
          <w:rFonts w:ascii="Perpetua" w:hAnsi="Perpetua" w:cs="Adobe Devanagari"/>
          <w:b/>
          <w:i/>
          <w:spacing w:val="-3"/>
          <w:sz w:val="26"/>
          <w:szCs w:val="26"/>
          <w:lang w:val="en-GB"/>
        </w:rPr>
        <w:t>The Hundred Tales</w:t>
      </w:r>
      <w:r w:rsidRPr="00B851A4">
        <w:rPr>
          <w:rFonts w:ascii="Perpetua" w:hAnsi="Perpetua" w:cs="Adobe Devanagari"/>
          <w:b/>
          <w:spacing w:val="-3"/>
          <w:sz w:val="26"/>
          <w:szCs w:val="26"/>
          <w:lang w:val="en-GB"/>
        </w:rPr>
        <w:t>);</w:t>
      </w:r>
      <w:r w:rsidRPr="00C03FD5">
        <w:rPr>
          <w:rFonts w:ascii="Perpetua" w:hAnsi="Perpetua" w:cs="Adobe Devanagari"/>
          <w:b/>
          <w:spacing w:val="-3"/>
          <w:sz w:val="26"/>
          <w:szCs w:val="26"/>
          <w:lang w:val="en-GB"/>
        </w:rPr>
        <w:t xml:space="preserve"> Richard </w:t>
      </w:r>
      <w:proofErr w:type="spellStart"/>
      <w:r w:rsidRPr="00C03FD5">
        <w:rPr>
          <w:rFonts w:ascii="Perpetua" w:hAnsi="Perpetua" w:cs="Adobe Devanagari"/>
          <w:b/>
          <w:spacing w:val="-3"/>
          <w:sz w:val="26"/>
          <w:szCs w:val="26"/>
          <w:lang w:val="en-GB"/>
        </w:rPr>
        <w:t>Knolles’s</w:t>
      </w:r>
      <w:proofErr w:type="spellEnd"/>
      <w:r w:rsidRPr="00C03FD5">
        <w:rPr>
          <w:rFonts w:ascii="Perpetua" w:hAnsi="Perpetua" w:cs="Adobe Devanagari"/>
          <w:b/>
          <w:spacing w:val="-3"/>
          <w:sz w:val="26"/>
          <w:szCs w:val="26"/>
          <w:lang w:val="en-GB"/>
        </w:rPr>
        <w:t xml:space="preserve"> </w:t>
      </w:r>
      <w:r w:rsidRPr="00C03FD5">
        <w:rPr>
          <w:rFonts w:ascii="Perpetua" w:hAnsi="Perpetua" w:cs="Adobe Devanagari"/>
          <w:b/>
          <w:i/>
          <w:spacing w:val="-3"/>
          <w:sz w:val="26"/>
          <w:szCs w:val="26"/>
          <w:lang w:val="en-GB"/>
        </w:rPr>
        <w:t>History of the Turks</w:t>
      </w:r>
      <w:r w:rsidRPr="00C03FD5">
        <w:rPr>
          <w:rFonts w:ascii="Perpetua" w:hAnsi="Perpetua" w:cs="Adobe Devanagari"/>
          <w:b/>
          <w:spacing w:val="-3"/>
          <w:sz w:val="26"/>
          <w:szCs w:val="26"/>
          <w:lang w:val="en-GB"/>
        </w:rPr>
        <w:t>;</w:t>
      </w:r>
      <w:r w:rsidRPr="0028451E">
        <w:rPr>
          <w:rFonts w:ascii="Perpetua" w:hAnsi="Perpetua" w:cs="Adobe Devanagari"/>
          <w:b/>
          <w:spacing w:val="-3"/>
          <w:sz w:val="26"/>
          <w:szCs w:val="26"/>
          <w:lang w:val="en-GB"/>
        </w:rPr>
        <w:t xml:space="preserve"> tragedy of intrigue, or of consciousness; domestic tragedy; tragic morality play</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1A3BB2" w:rsidRDefault="00FF71CB"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Othello</w:t>
      </w:r>
      <w:r>
        <w:rPr>
          <w:rFonts w:ascii="Perpetua" w:hAnsi="Perpetua" w:cs="Adobe Devanagari"/>
          <w:spacing w:val="-3"/>
          <w:sz w:val="26"/>
          <w:szCs w:val="26"/>
          <w:lang w:val="en-GB"/>
        </w:rPr>
        <w:t xml:space="preserve"> has always been ranked among Shakespeare’s finest works, yet its disturbing finale, with Iago surviving, does not satisfy some critics’ sense of how the tragedy should end, and for others the play is primarily a ‘story of intrigue’ rather than having the variety, depth, power, atmosphere, or sweep of </w:t>
      </w:r>
      <w:r>
        <w:rPr>
          <w:rFonts w:ascii="Perpetua" w:hAnsi="Perpetua" w:cs="Adobe Devanagari"/>
          <w:i/>
          <w:spacing w:val="-3"/>
          <w:sz w:val="26"/>
          <w:szCs w:val="26"/>
          <w:lang w:val="en-GB"/>
        </w:rPr>
        <w:t>Hamlet</w:t>
      </w:r>
      <w:r>
        <w:rPr>
          <w:rFonts w:ascii="Perpetua" w:hAnsi="Perpetua" w:cs="Adobe Devanagari"/>
          <w:spacing w:val="-3"/>
          <w:sz w:val="26"/>
          <w:szCs w:val="26"/>
          <w:lang w:val="en-GB"/>
        </w:rPr>
        <w:t xml:space="preserve">, </w:t>
      </w:r>
      <w:r>
        <w:rPr>
          <w:rFonts w:ascii="Perpetua" w:hAnsi="Perpetua" w:cs="Adobe Devanagari"/>
          <w:i/>
          <w:spacing w:val="-3"/>
          <w:sz w:val="26"/>
          <w:szCs w:val="26"/>
          <w:lang w:val="en-GB"/>
        </w:rPr>
        <w:t>King Lear</w:t>
      </w:r>
      <w:r>
        <w:rPr>
          <w:rFonts w:ascii="Perpetua" w:hAnsi="Perpetua" w:cs="Adobe Devanagari"/>
          <w:spacing w:val="-3"/>
          <w:sz w:val="26"/>
          <w:szCs w:val="26"/>
          <w:lang w:val="en-GB"/>
        </w:rPr>
        <w:t xml:space="preserve">, </w:t>
      </w:r>
      <w:r>
        <w:rPr>
          <w:rFonts w:ascii="Perpetua" w:hAnsi="Perpetua" w:cs="Adobe Devanagari"/>
          <w:i/>
          <w:spacing w:val="-3"/>
          <w:sz w:val="26"/>
          <w:szCs w:val="26"/>
          <w:lang w:val="en-GB"/>
        </w:rPr>
        <w:t>Macbeth</w:t>
      </w:r>
      <w:r>
        <w:rPr>
          <w:rFonts w:ascii="Perpetua" w:hAnsi="Perpetua" w:cs="Adobe Devanagari"/>
          <w:spacing w:val="-3"/>
          <w:sz w:val="26"/>
          <w:szCs w:val="26"/>
          <w:lang w:val="en-GB"/>
        </w:rPr>
        <w:t xml:space="preserve">, or </w:t>
      </w:r>
      <w:r>
        <w:rPr>
          <w:rFonts w:ascii="Perpetua" w:hAnsi="Perpetua" w:cs="Adobe Devanagari"/>
          <w:i/>
          <w:spacing w:val="-3"/>
          <w:sz w:val="26"/>
          <w:szCs w:val="26"/>
          <w:lang w:val="en-GB"/>
        </w:rPr>
        <w:t>Antony and Cleopatra</w:t>
      </w:r>
      <w:r>
        <w:rPr>
          <w:rFonts w:ascii="Perpetua" w:hAnsi="Perpetua" w:cs="Adobe Devanagari"/>
          <w:spacing w:val="-3"/>
          <w:sz w:val="26"/>
          <w:szCs w:val="26"/>
          <w:lang w:val="en-GB"/>
        </w:rPr>
        <w:t xml:space="preserve">. </w:t>
      </w:r>
      <w:r w:rsidR="0028451E">
        <w:rPr>
          <w:rFonts w:ascii="Perpetua" w:hAnsi="Perpetua" w:cs="Adobe Devanagari"/>
          <w:spacing w:val="-3"/>
          <w:sz w:val="26"/>
          <w:szCs w:val="26"/>
          <w:lang w:val="en-GB"/>
        </w:rPr>
        <w:t xml:space="preserve">But </w:t>
      </w:r>
      <w:r w:rsidR="001A3BB2">
        <w:rPr>
          <w:rFonts w:ascii="Perpetua" w:hAnsi="Perpetua" w:cs="Adobe Devanagari"/>
          <w:i/>
          <w:spacing w:val="-3"/>
          <w:sz w:val="26"/>
          <w:szCs w:val="26"/>
          <w:lang w:val="en-GB"/>
        </w:rPr>
        <w:t>Othello</w:t>
      </w:r>
      <w:r w:rsidR="001A3BB2">
        <w:rPr>
          <w:rFonts w:ascii="Perpetua" w:hAnsi="Perpetua" w:cs="Adobe Devanagari"/>
          <w:spacing w:val="-3"/>
          <w:sz w:val="26"/>
          <w:szCs w:val="26"/>
          <w:lang w:val="en-GB"/>
        </w:rPr>
        <w:t xml:space="preserve">’s ‘grip upon the emotions of the audience’ is arguably more relentless and sustained than that of any of Shakespeare’s other great tragedies. </w:t>
      </w:r>
    </w:p>
    <w:p w:rsidR="001A3BB2" w:rsidRPr="0028451E" w:rsidRDefault="001A3BB2" w:rsidP="0028451E">
      <w:pPr>
        <w:tabs>
          <w:tab w:val="left" w:pos="-720"/>
          <w:tab w:val="left" w:pos="0"/>
        </w:tabs>
        <w:suppressAutoHyphens/>
        <w:snapToGrid/>
        <w:ind w:left="1134" w:right="1134"/>
        <w:rPr>
          <w:rFonts w:ascii="Perpetua" w:hAnsi="Perpetua" w:cs="Adobe Devanagari"/>
          <w:spacing w:val="-3"/>
          <w:szCs w:val="24"/>
          <w:lang w:val="en-GB"/>
        </w:rPr>
      </w:pPr>
    </w:p>
    <w:p w:rsidR="001A3BB2" w:rsidRPr="0028451E" w:rsidRDefault="001A3BB2" w:rsidP="0028451E">
      <w:pPr>
        <w:tabs>
          <w:tab w:val="left" w:pos="-720"/>
          <w:tab w:val="left" w:pos="0"/>
        </w:tabs>
        <w:suppressAutoHyphens/>
        <w:snapToGrid/>
        <w:ind w:left="1134" w:right="1134"/>
        <w:rPr>
          <w:rFonts w:ascii="Perpetua" w:hAnsi="Perpetua" w:cs="Adobe Devanagari"/>
          <w:spacing w:val="-3"/>
          <w:szCs w:val="24"/>
          <w:lang w:val="en-GB"/>
        </w:rPr>
      </w:pPr>
      <w:r w:rsidRPr="0028451E">
        <w:rPr>
          <w:rFonts w:ascii="Perpetua" w:hAnsi="Perpetua" w:cs="Adobe Devanagari"/>
          <w:spacing w:val="-3"/>
          <w:szCs w:val="24"/>
          <w:lang w:val="en-GB"/>
        </w:rPr>
        <w:t>The plot is completely simple, with no sub-plot and no distractions; the number of characters presented is small; above all, from the moment of the landing in Cyprus the action moves fast, and the tension steadily mounts, with hardly an instant’s relaxation, till the moment at which Othello kills himself; finally, the play is the nearest approach which Shakespeare made to a ‘domestic’ tragedy.</w:t>
      </w:r>
      <w:r w:rsidRPr="0028451E">
        <w:rPr>
          <w:rStyle w:val="FootnoteReference"/>
          <w:rFonts w:ascii="Perpetua" w:hAnsi="Perpetua" w:cs="Adobe Devanagari"/>
          <w:spacing w:val="-3"/>
          <w:szCs w:val="24"/>
          <w:lang w:val="en-GB"/>
        </w:rPr>
        <w:footnoteReference w:id="13"/>
      </w:r>
    </w:p>
    <w:p w:rsidR="001A3BB2" w:rsidRPr="0028451E" w:rsidRDefault="001A3BB2" w:rsidP="0028451E">
      <w:pPr>
        <w:tabs>
          <w:tab w:val="left" w:pos="-720"/>
          <w:tab w:val="left" w:pos="0"/>
        </w:tabs>
        <w:suppressAutoHyphens/>
        <w:snapToGrid/>
        <w:ind w:left="1134" w:right="1134"/>
        <w:rPr>
          <w:rFonts w:ascii="Perpetua" w:hAnsi="Perpetua" w:cs="Adobe Devanagari"/>
          <w:spacing w:val="-3"/>
          <w:szCs w:val="24"/>
          <w:lang w:val="en-GB"/>
        </w:rPr>
      </w:pPr>
    </w:p>
    <w:p w:rsidR="00C5232C" w:rsidRPr="00B851A4" w:rsidRDefault="00B851A4"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A direct source for </w:t>
      </w:r>
      <w:r>
        <w:rPr>
          <w:rFonts w:ascii="Perpetua" w:hAnsi="Perpetua" w:cs="Adobe Devanagari"/>
          <w:i/>
          <w:spacing w:val="-3"/>
          <w:sz w:val="26"/>
          <w:szCs w:val="26"/>
          <w:lang w:val="en-GB"/>
        </w:rPr>
        <w:t>Othello</w:t>
      </w:r>
      <w:r>
        <w:rPr>
          <w:rFonts w:ascii="Perpetua" w:hAnsi="Perpetua" w:cs="Adobe Devanagari"/>
          <w:spacing w:val="-3"/>
          <w:sz w:val="26"/>
          <w:szCs w:val="26"/>
          <w:lang w:val="en-GB"/>
        </w:rPr>
        <w:t xml:space="preserve"> was</w:t>
      </w:r>
      <w:r w:rsidRPr="00B851A4">
        <w:rPr>
          <w:rFonts w:ascii="Perpetua" w:hAnsi="Perpetua" w:cs="Adobe Devanagari"/>
          <w:spacing w:val="-3"/>
          <w:sz w:val="26"/>
          <w:szCs w:val="26"/>
          <w:lang w:val="en-GB"/>
        </w:rPr>
        <w:t xml:space="preserve"> </w:t>
      </w:r>
      <w:proofErr w:type="spellStart"/>
      <w:r w:rsidRPr="00B851A4">
        <w:rPr>
          <w:rFonts w:ascii="Perpetua" w:hAnsi="Perpetua" w:cs="Adobe Devanagari"/>
          <w:spacing w:val="-3"/>
          <w:sz w:val="26"/>
          <w:szCs w:val="26"/>
          <w:lang w:val="en-GB"/>
        </w:rPr>
        <w:t>Giambattista</w:t>
      </w:r>
      <w:proofErr w:type="spellEnd"/>
      <w:r w:rsidRPr="00B851A4">
        <w:rPr>
          <w:rFonts w:ascii="Perpetua" w:hAnsi="Perpetua" w:cs="Adobe Devanagari"/>
          <w:spacing w:val="-3"/>
          <w:sz w:val="26"/>
          <w:szCs w:val="26"/>
          <w:lang w:val="en-GB"/>
        </w:rPr>
        <w:t xml:space="preserve"> </w:t>
      </w:r>
      <w:proofErr w:type="spellStart"/>
      <w:r w:rsidRPr="00B851A4">
        <w:rPr>
          <w:rFonts w:ascii="Perpetua" w:hAnsi="Perpetua" w:cs="Adobe Devanagari"/>
          <w:spacing w:val="-3"/>
          <w:sz w:val="26"/>
          <w:szCs w:val="26"/>
          <w:lang w:val="en-GB"/>
        </w:rPr>
        <w:t>Cinzio</w:t>
      </w:r>
      <w:proofErr w:type="spellEnd"/>
      <w:r w:rsidRPr="00B851A4">
        <w:rPr>
          <w:rFonts w:ascii="Perpetua" w:hAnsi="Perpetua" w:cs="Adobe Devanagari"/>
          <w:spacing w:val="-3"/>
          <w:sz w:val="26"/>
          <w:szCs w:val="26"/>
          <w:lang w:val="en-GB"/>
        </w:rPr>
        <w:t xml:space="preserve"> </w:t>
      </w:r>
      <w:proofErr w:type="spellStart"/>
      <w:r w:rsidRPr="00B851A4">
        <w:rPr>
          <w:rFonts w:ascii="Perpetua" w:hAnsi="Perpetua" w:cs="Adobe Devanagari"/>
          <w:spacing w:val="-3"/>
          <w:sz w:val="26"/>
          <w:szCs w:val="26"/>
          <w:lang w:val="en-GB"/>
        </w:rPr>
        <w:t>Giraldi</w:t>
      </w:r>
      <w:proofErr w:type="spellEnd"/>
      <w:r w:rsidRPr="00B851A4">
        <w:rPr>
          <w:rFonts w:ascii="Perpetua" w:hAnsi="Perpetua" w:cs="Adobe Devanagari"/>
          <w:spacing w:val="-3"/>
          <w:sz w:val="26"/>
          <w:szCs w:val="26"/>
          <w:lang w:val="en-GB"/>
        </w:rPr>
        <w:t xml:space="preserve">, </w:t>
      </w:r>
      <w:proofErr w:type="spellStart"/>
      <w:r w:rsidRPr="00B851A4">
        <w:rPr>
          <w:rFonts w:ascii="Perpetua" w:hAnsi="Perpetua" w:cs="Adobe Devanagari"/>
          <w:i/>
          <w:spacing w:val="-3"/>
          <w:sz w:val="26"/>
          <w:szCs w:val="26"/>
          <w:lang w:val="en-GB"/>
        </w:rPr>
        <w:t>Gli</w:t>
      </w:r>
      <w:proofErr w:type="spellEnd"/>
      <w:r w:rsidRPr="00B851A4">
        <w:rPr>
          <w:rFonts w:ascii="Perpetua" w:hAnsi="Perpetua" w:cs="Adobe Devanagari"/>
          <w:i/>
          <w:spacing w:val="-3"/>
          <w:sz w:val="26"/>
          <w:szCs w:val="26"/>
          <w:lang w:val="en-GB"/>
        </w:rPr>
        <w:t xml:space="preserve"> </w:t>
      </w:r>
      <w:proofErr w:type="spellStart"/>
      <w:r w:rsidRPr="00B851A4">
        <w:rPr>
          <w:rFonts w:ascii="Perpetua" w:hAnsi="Perpetua" w:cs="Adobe Devanagari"/>
          <w:i/>
          <w:spacing w:val="-3"/>
          <w:sz w:val="26"/>
          <w:szCs w:val="26"/>
          <w:lang w:val="en-GB"/>
        </w:rPr>
        <w:t>Ecatommiti</w:t>
      </w:r>
      <w:proofErr w:type="spellEnd"/>
      <w:r w:rsidRPr="00B851A4">
        <w:rPr>
          <w:rFonts w:ascii="Perpetua" w:hAnsi="Perpetua" w:cs="Adobe Devanagari"/>
          <w:spacing w:val="-3"/>
          <w:sz w:val="26"/>
          <w:szCs w:val="26"/>
          <w:lang w:val="en-GB"/>
        </w:rPr>
        <w:t xml:space="preserve"> (</w:t>
      </w:r>
      <w:r w:rsidRPr="00B851A4">
        <w:rPr>
          <w:rFonts w:ascii="Perpetua" w:hAnsi="Perpetua" w:cs="Adobe Devanagari"/>
          <w:i/>
          <w:spacing w:val="-3"/>
          <w:sz w:val="26"/>
          <w:szCs w:val="26"/>
          <w:lang w:val="en-GB"/>
        </w:rPr>
        <w:t>The Hundred Tales</w:t>
      </w:r>
      <w:r w:rsidRPr="00B851A4">
        <w:rPr>
          <w:rFonts w:ascii="Perpetua" w:hAnsi="Perpetua" w:cs="Adobe Devanagari"/>
          <w:spacing w:val="-3"/>
          <w:sz w:val="26"/>
          <w:szCs w:val="26"/>
          <w:lang w:val="en-GB"/>
        </w:rPr>
        <w:t>)</w:t>
      </w:r>
      <w:r>
        <w:rPr>
          <w:rFonts w:ascii="Perpetua" w:hAnsi="Perpetua" w:cs="Adobe Devanagari"/>
          <w:spacing w:val="-3"/>
          <w:sz w:val="26"/>
          <w:szCs w:val="26"/>
          <w:lang w:val="en-GB"/>
        </w:rPr>
        <w:t xml:space="preserve"> (sometimes rendered </w:t>
      </w:r>
      <w:proofErr w:type="spellStart"/>
      <w:r>
        <w:rPr>
          <w:rFonts w:ascii="Perpetua" w:hAnsi="Perpetua" w:cs="Adobe Devanagari"/>
          <w:i/>
          <w:spacing w:val="-3"/>
          <w:sz w:val="26"/>
          <w:szCs w:val="26"/>
          <w:lang w:val="en-GB"/>
        </w:rPr>
        <w:t>Hecatommithi</w:t>
      </w:r>
      <w:proofErr w:type="spellEnd"/>
      <w:r>
        <w:rPr>
          <w:rFonts w:ascii="Perpetua" w:hAnsi="Perpetua" w:cs="Adobe Devanagari"/>
          <w:spacing w:val="-3"/>
          <w:sz w:val="26"/>
          <w:szCs w:val="26"/>
          <w:lang w:val="en-GB"/>
        </w:rPr>
        <w:t xml:space="preserve"> by </w:t>
      </w:r>
      <w:proofErr w:type="spellStart"/>
      <w:r w:rsidR="0080628B">
        <w:rPr>
          <w:rFonts w:ascii="Perpetua" w:hAnsi="Perpetua" w:cs="Adobe Devanagari"/>
          <w:spacing w:val="-3"/>
          <w:sz w:val="26"/>
          <w:szCs w:val="26"/>
          <w:lang w:val="en-GB"/>
        </w:rPr>
        <w:t>Giraldi</w:t>
      </w:r>
      <w:proofErr w:type="spellEnd"/>
      <w:r w:rsidR="0080628B">
        <w:rPr>
          <w:rFonts w:ascii="Perpetua" w:hAnsi="Perpetua" w:cs="Adobe Devanagari"/>
          <w:spacing w:val="-3"/>
          <w:sz w:val="26"/>
          <w:szCs w:val="26"/>
          <w:lang w:val="en-GB"/>
        </w:rPr>
        <w:t xml:space="preserve"> </w:t>
      </w:r>
      <w:proofErr w:type="spellStart"/>
      <w:r>
        <w:rPr>
          <w:rFonts w:ascii="Perpetua" w:hAnsi="Perpetua" w:cs="Adobe Devanagari"/>
          <w:spacing w:val="-3"/>
          <w:sz w:val="26"/>
          <w:szCs w:val="26"/>
          <w:lang w:val="en-GB"/>
        </w:rPr>
        <w:t>Cinthio</w:t>
      </w:r>
      <w:proofErr w:type="spellEnd"/>
      <w:r>
        <w:rPr>
          <w:rFonts w:ascii="Perpetua" w:hAnsi="Perpetua" w:cs="Adobe Devanagari"/>
          <w:spacing w:val="-3"/>
          <w:sz w:val="26"/>
          <w:szCs w:val="26"/>
          <w:lang w:val="en-GB"/>
        </w:rPr>
        <w:t>)</w:t>
      </w:r>
      <w:r w:rsidR="0080628B">
        <w:rPr>
          <w:rFonts w:ascii="Perpetua" w:hAnsi="Perpetua" w:cs="Adobe Devanagari"/>
          <w:spacing w:val="-3"/>
          <w:sz w:val="26"/>
          <w:szCs w:val="26"/>
          <w:lang w:val="en-GB"/>
        </w:rPr>
        <w:t>, published in Venice in 1566</w:t>
      </w:r>
      <w:r>
        <w:rPr>
          <w:rFonts w:ascii="Perpetua" w:hAnsi="Perpetua" w:cs="Adobe Devanagari"/>
          <w:spacing w:val="-3"/>
          <w:sz w:val="26"/>
          <w:szCs w:val="26"/>
          <w:lang w:val="en-GB"/>
        </w:rPr>
        <w:t>.</w:t>
      </w:r>
      <w:r w:rsidR="0080628B">
        <w:rPr>
          <w:rFonts w:ascii="Perpetua" w:hAnsi="Perpetua" w:cs="Adobe Devanagari"/>
          <w:spacing w:val="-3"/>
          <w:sz w:val="26"/>
          <w:szCs w:val="26"/>
          <w:lang w:val="en-GB"/>
        </w:rPr>
        <w:t xml:space="preserve"> A French translation was published in Paris in 1584.</w:t>
      </w:r>
      <w:r>
        <w:rPr>
          <w:rFonts w:ascii="Perpetua" w:hAnsi="Perpetua" w:cs="Adobe Devanagari"/>
          <w:spacing w:val="-3"/>
          <w:sz w:val="26"/>
          <w:szCs w:val="26"/>
          <w:lang w:val="en-GB"/>
        </w:rPr>
        <w:t xml:space="preserve"> This collection of linked tales provides the story of a Moorish commander deluded by his ensign (standard-bearer) into believing that his young wife has been unfaithful to him with another soldier. Its tone is moral and apparently recommends that a young Venetian girl of high birth should not marry against her family’s wishes, especially with someone separated by nature, heaven (religion), and mode of life.</w:t>
      </w:r>
    </w:p>
    <w:p w:rsidR="00B851A4" w:rsidRDefault="00B851A4"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5232C" w:rsidRDefault="004C6907"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Blacks were believed to be descendants of Ham</w:t>
      </w:r>
      <w:r w:rsidR="00DE783F">
        <w:rPr>
          <w:rFonts w:ascii="Perpetua" w:hAnsi="Perpetua" w:cs="Adobe Devanagari"/>
          <w:spacing w:val="-3"/>
          <w:sz w:val="26"/>
          <w:szCs w:val="26"/>
          <w:lang w:val="en-GB"/>
        </w:rPr>
        <w:t>, whose son Canaan was cursed by Noah in the Book of Genesis. Seventeenth-century attempts were made to relate the name Ham to a Hebrew word for ‘black’, ‘burnt’, or ‘hot’. A dramatic stereotype emerged that aroused both the fascination of the exotic and fear and prejudice. Qualities associated with the stereotype include sexual potency and excess and therefore danger to white womanhood, obscenity, easily aroused passions, courage, pride, guilelessness (yet contradictorily also cunning), and credulity.</w:t>
      </w:r>
    </w:p>
    <w:p w:rsidR="00C5232C" w:rsidRDefault="00B851A4"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It is also known that Shakespea</w:t>
      </w:r>
      <w:r w:rsidRPr="00B851A4">
        <w:rPr>
          <w:rFonts w:ascii="Perpetua" w:hAnsi="Perpetua" w:cs="Adobe Devanagari"/>
          <w:spacing w:val="-3"/>
          <w:sz w:val="26"/>
          <w:szCs w:val="26"/>
          <w:lang w:val="en-GB"/>
        </w:rPr>
        <w:t xml:space="preserve">re drew upon travel literature in writing </w:t>
      </w:r>
      <w:r w:rsidRPr="00B851A4">
        <w:rPr>
          <w:rFonts w:ascii="Perpetua" w:hAnsi="Perpetua" w:cs="Adobe Devanagari"/>
          <w:i/>
          <w:spacing w:val="-3"/>
          <w:sz w:val="26"/>
          <w:szCs w:val="26"/>
          <w:lang w:val="en-GB"/>
        </w:rPr>
        <w:t>Othello</w:t>
      </w:r>
      <w:r w:rsidRPr="00B851A4">
        <w:rPr>
          <w:rFonts w:ascii="Perpetua" w:hAnsi="Perpetua" w:cs="Adobe Devanagari"/>
          <w:spacing w:val="-3"/>
          <w:sz w:val="26"/>
          <w:szCs w:val="26"/>
          <w:lang w:val="en-GB"/>
        </w:rPr>
        <w:t xml:space="preserve">, including </w:t>
      </w:r>
      <w:r w:rsidRPr="00B851A4">
        <w:rPr>
          <w:rFonts w:ascii="Perpetua" w:hAnsi="Perpetua"/>
          <w:sz w:val="26"/>
          <w:szCs w:val="26"/>
        </w:rPr>
        <w:t>Richard Hakluyt</w:t>
      </w:r>
      <w:r>
        <w:rPr>
          <w:rFonts w:ascii="Perpetua" w:hAnsi="Perpetua"/>
          <w:sz w:val="26"/>
          <w:szCs w:val="26"/>
        </w:rPr>
        <w:t>’s</w:t>
      </w:r>
      <w:r w:rsidRPr="00B851A4">
        <w:rPr>
          <w:rFonts w:ascii="Perpetua" w:hAnsi="Perpetua"/>
          <w:sz w:val="26"/>
          <w:szCs w:val="26"/>
        </w:rPr>
        <w:t xml:space="preserve"> </w:t>
      </w:r>
      <w:r w:rsidRPr="00B851A4">
        <w:rPr>
          <w:rFonts w:ascii="Perpetua" w:hAnsi="Perpetua"/>
          <w:i/>
          <w:sz w:val="26"/>
          <w:szCs w:val="26"/>
        </w:rPr>
        <w:t xml:space="preserve">The </w:t>
      </w:r>
      <w:proofErr w:type="spellStart"/>
      <w:r w:rsidRPr="00B851A4">
        <w:rPr>
          <w:rFonts w:ascii="Perpetua" w:hAnsi="Perpetua"/>
          <w:i/>
          <w:sz w:val="26"/>
          <w:szCs w:val="26"/>
        </w:rPr>
        <w:t>Principall</w:t>
      </w:r>
      <w:proofErr w:type="spellEnd"/>
      <w:r w:rsidRPr="00B851A4">
        <w:rPr>
          <w:rFonts w:ascii="Perpetua" w:hAnsi="Perpetua"/>
          <w:i/>
          <w:sz w:val="26"/>
          <w:szCs w:val="26"/>
        </w:rPr>
        <w:t xml:space="preserve"> Navigations, </w:t>
      </w:r>
      <w:proofErr w:type="spellStart"/>
      <w:r w:rsidRPr="00B851A4">
        <w:rPr>
          <w:rFonts w:ascii="Perpetua" w:hAnsi="Perpetua"/>
          <w:i/>
          <w:sz w:val="26"/>
          <w:szCs w:val="26"/>
        </w:rPr>
        <w:t>Voiages</w:t>
      </w:r>
      <w:proofErr w:type="spellEnd"/>
      <w:r w:rsidRPr="00B851A4">
        <w:rPr>
          <w:rFonts w:ascii="Perpetua" w:hAnsi="Perpetua"/>
          <w:i/>
          <w:sz w:val="26"/>
          <w:szCs w:val="26"/>
        </w:rPr>
        <w:t xml:space="preserve"> and </w:t>
      </w:r>
      <w:proofErr w:type="spellStart"/>
      <w:r w:rsidRPr="00B851A4">
        <w:rPr>
          <w:rFonts w:ascii="Perpetua" w:hAnsi="Perpetua"/>
          <w:i/>
          <w:sz w:val="26"/>
          <w:szCs w:val="26"/>
        </w:rPr>
        <w:t>Discoueries</w:t>
      </w:r>
      <w:proofErr w:type="spellEnd"/>
      <w:r w:rsidRPr="00B851A4">
        <w:rPr>
          <w:rFonts w:ascii="Perpetua" w:hAnsi="Perpetua"/>
          <w:i/>
          <w:sz w:val="26"/>
          <w:szCs w:val="26"/>
        </w:rPr>
        <w:t xml:space="preserve"> of the English Nation</w:t>
      </w:r>
      <w:r w:rsidRPr="00B851A4">
        <w:rPr>
          <w:rFonts w:ascii="Perpetua" w:hAnsi="Perpetua"/>
          <w:sz w:val="26"/>
          <w:szCs w:val="26"/>
        </w:rPr>
        <w:t xml:space="preserve"> (1589), </w:t>
      </w:r>
      <w:r>
        <w:rPr>
          <w:rFonts w:ascii="Perpetua" w:hAnsi="Perpetua"/>
          <w:sz w:val="26"/>
          <w:szCs w:val="26"/>
        </w:rPr>
        <w:t xml:space="preserve">which was </w:t>
      </w:r>
      <w:r w:rsidRPr="00B851A4">
        <w:rPr>
          <w:rFonts w:ascii="Perpetua" w:hAnsi="Perpetua"/>
          <w:sz w:val="26"/>
          <w:szCs w:val="26"/>
        </w:rPr>
        <w:t xml:space="preserve">collated with </w:t>
      </w:r>
      <w:r w:rsidRPr="00B851A4">
        <w:rPr>
          <w:rFonts w:ascii="Perpetua" w:hAnsi="Perpetua"/>
          <w:i/>
          <w:sz w:val="26"/>
          <w:szCs w:val="26"/>
        </w:rPr>
        <w:t xml:space="preserve">The </w:t>
      </w:r>
      <w:proofErr w:type="spellStart"/>
      <w:r w:rsidRPr="00B851A4">
        <w:rPr>
          <w:rFonts w:ascii="Perpetua" w:hAnsi="Perpetua"/>
          <w:i/>
          <w:sz w:val="26"/>
          <w:szCs w:val="26"/>
        </w:rPr>
        <w:t>Principall</w:t>
      </w:r>
      <w:proofErr w:type="spellEnd"/>
      <w:r w:rsidRPr="00B851A4">
        <w:rPr>
          <w:rFonts w:ascii="Perpetua" w:hAnsi="Perpetua"/>
          <w:i/>
          <w:sz w:val="26"/>
          <w:szCs w:val="26"/>
        </w:rPr>
        <w:t xml:space="preserve"> Navigations</w:t>
      </w:r>
      <w:r w:rsidRPr="00B851A4">
        <w:rPr>
          <w:rFonts w:ascii="Perpetua" w:hAnsi="Perpetua"/>
          <w:sz w:val="26"/>
          <w:szCs w:val="26"/>
        </w:rPr>
        <w:t>,</w:t>
      </w:r>
      <w:r>
        <w:rPr>
          <w:rFonts w:ascii="Perpetua" w:hAnsi="Perpetua"/>
          <w:sz w:val="26"/>
          <w:szCs w:val="26"/>
        </w:rPr>
        <w:t xml:space="preserve"> Volume </w:t>
      </w:r>
      <w:r w:rsidRPr="00B851A4">
        <w:rPr>
          <w:rFonts w:ascii="Perpetua" w:hAnsi="Perpetua"/>
          <w:sz w:val="26"/>
          <w:szCs w:val="26"/>
        </w:rPr>
        <w:t>III</w:t>
      </w:r>
      <w:r>
        <w:rPr>
          <w:rFonts w:ascii="Perpetua" w:hAnsi="Perpetua"/>
          <w:sz w:val="26"/>
          <w:szCs w:val="26"/>
        </w:rPr>
        <w:t xml:space="preserve">, in </w:t>
      </w:r>
      <w:r w:rsidRPr="00B851A4">
        <w:rPr>
          <w:rFonts w:ascii="Perpetua" w:hAnsi="Perpetua"/>
          <w:sz w:val="26"/>
          <w:szCs w:val="26"/>
        </w:rPr>
        <w:t>1600</w:t>
      </w:r>
      <w:r>
        <w:rPr>
          <w:rFonts w:ascii="Perpetua" w:hAnsi="Perpetua"/>
          <w:sz w:val="26"/>
          <w:szCs w:val="26"/>
        </w:rPr>
        <w:t>.</w:t>
      </w:r>
    </w:p>
    <w:p w:rsidR="00B851A4" w:rsidRDefault="00B851A4"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C5232C">
        <w:rPr>
          <w:rFonts w:ascii="Perpetua" w:hAnsi="Perpetua" w:cs="Adobe Devanagari"/>
          <w:b/>
          <w:spacing w:val="-3"/>
          <w:sz w:val="26"/>
          <w:szCs w:val="26"/>
          <w:lang w:val="en-GB"/>
        </w:rPr>
        <w:t>Othello as a ‘moor’; racial stereotyping</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171D7E" w:rsidRDefault="00171D7E"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Shakespeare negotiates the source material by creating a Christian African who is pitted against a diabolical white man.</w:t>
      </w:r>
      <w:r w:rsidR="004115F3">
        <w:rPr>
          <w:rFonts w:ascii="Perpetua" w:hAnsi="Perpetua" w:cs="Adobe Devanagari"/>
          <w:spacing w:val="-3"/>
          <w:sz w:val="26"/>
          <w:szCs w:val="26"/>
          <w:lang w:val="en-GB"/>
        </w:rPr>
        <w:t xml:space="preserve"> But there appears to be deliberate provocation: ‘Not until the third scene is the Moor named, and the delay undoubtedly dramatizes Othello’s blackness and the audience’s shared prejudices which are vividly conjured up by Iago’s pictorial visions of carnal knowledge.’</w:t>
      </w:r>
      <w:r w:rsidR="004115F3">
        <w:rPr>
          <w:rStyle w:val="FootnoteReference"/>
          <w:rFonts w:ascii="Perpetua" w:hAnsi="Perpetua" w:cs="Adobe Devanagari"/>
          <w:spacing w:val="-3"/>
          <w:sz w:val="26"/>
          <w:szCs w:val="26"/>
          <w:lang w:val="en-GB"/>
        </w:rPr>
        <w:footnoteReference w:id="14"/>
      </w:r>
    </w:p>
    <w:p w:rsidR="00900A37" w:rsidRPr="00900A37" w:rsidRDefault="00900A37" w:rsidP="00900A37">
      <w:pPr>
        <w:tabs>
          <w:tab w:val="left" w:pos="-720"/>
          <w:tab w:val="left" w:pos="0"/>
        </w:tabs>
        <w:suppressAutoHyphens/>
        <w:snapToGrid/>
        <w:ind w:left="1134" w:right="1134"/>
        <w:rPr>
          <w:rFonts w:ascii="Perpetua" w:hAnsi="Perpetua" w:cs="Adobe Devanagari"/>
          <w:spacing w:val="-3"/>
          <w:szCs w:val="24"/>
          <w:lang w:val="en-GB"/>
        </w:rPr>
      </w:pPr>
    </w:p>
    <w:p w:rsidR="00900A37" w:rsidRPr="00900A37" w:rsidRDefault="00900A37" w:rsidP="00900A37">
      <w:pPr>
        <w:tabs>
          <w:tab w:val="left" w:pos="-720"/>
          <w:tab w:val="left" w:pos="0"/>
        </w:tabs>
        <w:suppressAutoHyphens/>
        <w:snapToGrid/>
        <w:ind w:left="1134" w:right="1134"/>
        <w:rPr>
          <w:rFonts w:ascii="Perpetua" w:hAnsi="Perpetua" w:cs="Adobe Devanagari"/>
          <w:spacing w:val="-3"/>
          <w:szCs w:val="24"/>
          <w:lang w:val="en-GB"/>
        </w:rPr>
      </w:pPr>
      <w:r w:rsidRPr="00900A37">
        <w:rPr>
          <w:rFonts w:ascii="Perpetua" w:hAnsi="Perpetua" w:cs="Adobe Devanagari"/>
          <w:spacing w:val="-3"/>
          <w:szCs w:val="24"/>
          <w:lang w:val="en-GB"/>
        </w:rPr>
        <w:t xml:space="preserve">The image of Othello conjured up by Iago beneath Brabantio’s window conforms to the contemporary dramatic stereotype of the libidinous, predatory Moor, passed down from medieval morality plays, and supplemented by empirical ‘evidence’ found in early modern travelogues. […] The opening act of </w:t>
      </w:r>
      <w:r w:rsidRPr="00900A37">
        <w:rPr>
          <w:rFonts w:ascii="Perpetua" w:hAnsi="Perpetua" w:cs="Adobe Devanagari"/>
          <w:i/>
          <w:spacing w:val="-3"/>
          <w:szCs w:val="24"/>
          <w:lang w:val="en-GB"/>
        </w:rPr>
        <w:t>Othello</w:t>
      </w:r>
      <w:r w:rsidRPr="00900A37">
        <w:rPr>
          <w:rFonts w:ascii="Perpetua" w:hAnsi="Perpetua" w:cs="Adobe Devanagari"/>
          <w:spacing w:val="-3"/>
          <w:szCs w:val="24"/>
          <w:lang w:val="en-GB"/>
        </w:rPr>
        <w:t xml:space="preserve"> could be read as a direct challenge to such representations of the Moor figure. Iago’s crude description of the black Othello ‘</w:t>
      </w:r>
      <w:proofErr w:type="spellStart"/>
      <w:r w:rsidRPr="00900A37">
        <w:rPr>
          <w:rFonts w:ascii="Perpetua" w:hAnsi="Perpetua" w:cs="Adobe Devanagari"/>
          <w:spacing w:val="-3"/>
          <w:szCs w:val="24"/>
          <w:lang w:val="en-GB"/>
        </w:rPr>
        <w:t>tupping</w:t>
      </w:r>
      <w:proofErr w:type="spellEnd"/>
      <w:r w:rsidRPr="00900A37">
        <w:rPr>
          <w:rFonts w:ascii="Perpetua" w:hAnsi="Perpetua" w:cs="Adobe Devanagari"/>
          <w:spacing w:val="-3"/>
          <w:szCs w:val="24"/>
          <w:lang w:val="en-GB"/>
        </w:rPr>
        <w:t>’ (1.1.88) the white Desdemona seems to have been set up for contradiction, as the so-called sex-beast proceeds to deal calmly and authoritatively with Brabantio’s insults and with the pressing concerns of the imminent invasion.</w:t>
      </w:r>
      <w:r w:rsidRPr="00900A37">
        <w:rPr>
          <w:rStyle w:val="FootnoteReference"/>
          <w:rFonts w:ascii="Perpetua" w:hAnsi="Perpetua" w:cs="Adobe Devanagari"/>
          <w:spacing w:val="-3"/>
          <w:szCs w:val="24"/>
          <w:lang w:val="en-GB"/>
        </w:rPr>
        <w:footnoteReference w:id="15"/>
      </w:r>
    </w:p>
    <w:p w:rsidR="00900A37" w:rsidRPr="00900A37" w:rsidRDefault="00900A37" w:rsidP="00900A37">
      <w:pPr>
        <w:tabs>
          <w:tab w:val="left" w:pos="-720"/>
          <w:tab w:val="left" w:pos="0"/>
        </w:tabs>
        <w:suppressAutoHyphens/>
        <w:snapToGrid/>
        <w:ind w:left="1134" w:right="1134"/>
        <w:rPr>
          <w:rFonts w:ascii="Perpetua" w:hAnsi="Perpetua" w:cs="Adobe Devanagari"/>
          <w:spacing w:val="-3"/>
          <w:szCs w:val="24"/>
          <w:lang w:val="en-GB"/>
        </w:rPr>
      </w:pPr>
    </w:p>
    <w:p w:rsidR="00900A37" w:rsidRDefault="004115F3"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Othello internalizes the cultural values of Venice, but there remains an otherness which divides him from that culture and provides him access to his own culture only through the exotic ascriptions of European colonial discourse.</w:t>
      </w:r>
    </w:p>
    <w:p w:rsidR="00D21727" w:rsidRPr="00D21727" w:rsidRDefault="00D21727" w:rsidP="00D21727">
      <w:pPr>
        <w:tabs>
          <w:tab w:val="left" w:pos="-720"/>
          <w:tab w:val="left" w:pos="0"/>
        </w:tabs>
        <w:suppressAutoHyphens/>
        <w:snapToGrid/>
        <w:ind w:left="1134" w:right="1134"/>
        <w:rPr>
          <w:rFonts w:ascii="Perpetua" w:hAnsi="Perpetua" w:cs="Adobe Devanagari"/>
          <w:spacing w:val="-3"/>
          <w:szCs w:val="24"/>
          <w:lang w:val="en-GB"/>
        </w:rPr>
      </w:pPr>
    </w:p>
    <w:p w:rsidR="00966FD9" w:rsidRPr="00D21727" w:rsidRDefault="00966FD9" w:rsidP="00D21727">
      <w:pPr>
        <w:tabs>
          <w:tab w:val="left" w:pos="-720"/>
          <w:tab w:val="left" w:pos="0"/>
        </w:tabs>
        <w:suppressAutoHyphens/>
        <w:snapToGrid/>
        <w:ind w:left="1134" w:right="1134"/>
        <w:rPr>
          <w:rFonts w:ascii="Perpetua" w:hAnsi="Perpetua" w:cs="Adobe Devanagari"/>
          <w:spacing w:val="-3"/>
          <w:szCs w:val="24"/>
          <w:lang w:val="en-GB"/>
        </w:rPr>
      </w:pPr>
      <w:r w:rsidRPr="00D21727">
        <w:rPr>
          <w:rFonts w:ascii="Perpetua" w:hAnsi="Perpetua" w:cs="Adobe Devanagari"/>
          <w:spacing w:val="-3"/>
          <w:szCs w:val="24"/>
          <w:lang w:val="en-GB"/>
        </w:rPr>
        <w:t>Just a few lines after Desdemona has declared her passionate love for her husband to the Senate, Othello presents his feelings in somewhat contrasting terms. He insists that it is to please Desdemona, and not to satisfy the erotic desires of a new husband, that drives him to request his wife accompany him to Cyprus: [Read: I.iii.262-66] The lines can be read as a prime example of Othello’s ‘double consciousness’. Aware of how he appears through the eyes of a typical Venetian, he attempts to present himself as sexually ‘defunct’, as unlike</w:t>
      </w:r>
      <w:r w:rsidR="00D21727" w:rsidRPr="00D21727">
        <w:rPr>
          <w:rFonts w:ascii="Perpetua" w:hAnsi="Perpetua" w:cs="Adobe Devanagari"/>
          <w:spacing w:val="-3"/>
          <w:szCs w:val="24"/>
          <w:lang w:val="en-GB"/>
        </w:rPr>
        <w:t xml:space="preserve"> the prejudiced view of the hypersexual Moor as he can be. Yet they could equally well be read as the shrewd words of an experienced general in a tight spot. Where there is a tendency in our day to equate a strong sexual libido with masculinity, the early modern view was rather different: too much sex weakened the male both physically and mentally. In declaring his resistance to the delights of conjugality, then, Othello preserves his role as saviour of the nation, a role that has helped make his marriage acceptable to the state in the first place.</w:t>
      </w:r>
      <w:r w:rsidR="00D21727" w:rsidRPr="00D21727">
        <w:rPr>
          <w:rStyle w:val="FootnoteReference"/>
          <w:rFonts w:ascii="Perpetua" w:hAnsi="Perpetua" w:cs="Adobe Devanagari"/>
          <w:spacing w:val="-3"/>
          <w:szCs w:val="24"/>
          <w:lang w:val="en-GB"/>
        </w:rPr>
        <w:footnoteReference w:id="16"/>
      </w:r>
    </w:p>
    <w:p w:rsidR="00966FD9" w:rsidRDefault="00966FD9"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D21727" w:rsidRDefault="00E332D1"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Although being a military general places Othello in a socially elevated position, he is not noble and lacks the privileges and security of noblemen. He is only as good as his last service.</w:t>
      </w:r>
      <w:r w:rsidR="00A37021">
        <w:rPr>
          <w:rFonts w:ascii="Perpetua" w:hAnsi="Perpetua" w:cs="Adobe Devanagari"/>
          <w:spacing w:val="-3"/>
          <w:sz w:val="26"/>
          <w:szCs w:val="26"/>
          <w:lang w:val="en-GB"/>
        </w:rPr>
        <w:t xml:space="preserve"> How confident is Othello?</w:t>
      </w:r>
      <w:r w:rsidR="00171D7E">
        <w:rPr>
          <w:rFonts w:ascii="Perpetua" w:hAnsi="Perpetua" w:cs="Adobe Devanagari"/>
          <w:spacing w:val="-3"/>
          <w:sz w:val="26"/>
          <w:szCs w:val="26"/>
          <w:lang w:val="en-GB"/>
        </w:rPr>
        <w:t xml:space="preserve"> He expresses pride and confidence in his own achievements and position. </w:t>
      </w:r>
      <w:r w:rsidR="00A37021">
        <w:rPr>
          <w:rFonts w:ascii="Perpetua" w:hAnsi="Perpetua" w:cs="Adobe Devanagari"/>
          <w:spacing w:val="-3"/>
          <w:sz w:val="26"/>
          <w:szCs w:val="26"/>
          <w:lang w:val="en-GB"/>
        </w:rPr>
        <w:t>Is he confident to begin with and undermined only by Iago’s</w:t>
      </w:r>
      <w:r w:rsidR="00171D7E">
        <w:rPr>
          <w:rFonts w:ascii="Perpetua" w:hAnsi="Perpetua" w:cs="Adobe Devanagari"/>
          <w:spacing w:val="-3"/>
          <w:sz w:val="26"/>
          <w:szCs w:val="26"/>
          <w:lang w:val="en-GB"/>
        </w:rPr>
        <w:t xml:space="preserve"> racist</w:t>
      </w:r>
      <w:r w:rsidR="00A37021">
        <w:rPr>
          <w:rFonts w:ascii="Perpetua" w:hAnsi="Perpetua" w:cs="Adobe Devanagari"/>
          <w:spacing w:val="-3"/>
          <w:sz w:val="26"/>
          <w:szCs w:val="26"/>
          <w:lang w:val="en-GB"/>
        </w:rPr>
        <w:t xml:space="preserve"> insinuations, or was he lacking in </w:t>
      </w:r>
      <w:r w:rsidR="00A37021">
        <w:rPr>
          <w:rFonts w:ascii="Perpetua" w:hAnsi="Perpetua" w:cs="Adobe Devanagari"/>
          <w:spacing w:val="-3"/>
          <w:sz w:val="26"/>
          <w:szCs w:val="26"/>
          <w:lang w:val="en-GB"/>
        </w:rPr>
        <w:lastRenderedPageBreak/>
        <w:t>confidence to begin with, perhaps because of unconscious racial prejudice?</w:t>
      </w:r>
    </w:p>
    <w:p w:rsidR="00F13266" w:rsidRPr="00F13266" w:rsidRDefault="00F13266" w:rsidP="00F13266">
      <w:pPr>
        <w:tabs>
          <w:tab w:val="left" w:pos="-720"/>
          <w:tab w:val="left" w:pos="0"/>
        </w:tabs>
        <w:suppressAutoHyphens/>
        <w:snapToGrid/>
        <w:ind w:left="1134" w:right="1134"/>
        <w:rPr>
          <w:rFonts w:ascii="Perpetua" w:hAnsi="Perpetua" w:cs="Adobe Devanagari"/>
          <w:spacing w:val="-3"/>
          <w:szCs w:val="24"/>
          <w:lang w:val="en-GB"/>
        </w:rPr>
      </w:pPr>
    </w:p>
    <w:p w:rsidR="00C5232C" w:rsidRPr="00F13266" w:rsidRDefault="00542930" w:rsidP="00F13266">
      <w:pPr>
        <w:tabs>
          <w:tab w:val="left" w:pos="-720"/>
          <w:tab w:val="left" w:pos="0"/>
        </w:tabs>
        <w:suppressAutoHyphens/>
        <w:snapToGrid/>
        <w:ind w:left="1134" w:right="1134"/>
        <w:rPr>
          <w:rFonts w:ascii="Perpetua" w:hAnsi="Perpetua" w:cs="Adobe Devanagari"/>
          <w:spacing w:val="-3"/>
          <w:szCs w:val="24"/>
          <w:lang w:val="en-GB"/>
        </w:rPr>
      </w:pPr>
      <w:r w:rsidRPr="00F13266">
        <w:rPr>
          <w:rFonts w:ascii="Perpetua" w:hAnsi="Perpetua" w:cs="Adobe Devanagari"/>
          <w:spacing w:val="-3"/>
          <w:szCs w:val="24"/>
          <w:lang w:val="en-GB"/>
        </w:rPr>
        <w:t>How [Othello’s] transformation from eloquent warrior to vengeful murderer is accounted for is central to an interpretation of the play’s racial politics. Mid-point in the drama and about half-way through what is commonly known as the ‘Temptation Scene’, Othello soliloquizes:</w:t>
      </w:r>
    </w:p>
    <w:p w:rsidR="00542930" w:rsidRPr="00F13266" w:rsidRDefault="00542930" w:rsidP="00F13266">
      <w:pPr>
        <w:tabs>
          <w:tab w:val="left" w:pos="-720"/>
          <w:tab w:val="left" w:pos="0"/>
        </w:tabs>
        <w:suppressAutoHyphens/>
        <w:snapToGrid/>
        <w:ind w:left="1134" w:right="1134"/>
        <w:rPr>
          <w:rFonts w:ascii="Perpetua" w:hAnsi="Perpetua" w:cs="Adobe Devanagari"/>
          <w:spacing w:val="-3"/>
          <w:szCs w:val="24"/>
          <w:lang w:val="en-GB"/>
        </w:rPr>
      </w:pPr>
    </w:p>
    <w:p w:rsidR="00542930" w:rsidRPr="00F13266" w:rsidRDefault="00F13266" w:rsidP="00F13266">
      <w:pPr>
        <w:tabs>
          <w:tab w:val="left" w:pos="-720"/>
          <w:tab w:val="left" w:pos="0"/>
        </w:tabs>
        <w:suppressAutoHyphens/>
        <w:snapToGrid/>
        <w:ind w:left="2160" w:right="1134"/>
        <w:rPr>
          <w:rFonts w:ascii="Perpetua" w:hAnsi="Perpetua" w:cs="Adobe Devanagari"/>
          <w:spacing w:val="-3"/>
          <w:szCs w:val="24"/>
          <w:lang w:val="en-GB"/>
        </w:rPr>
      </w:pPr>
      <w:r>
        <w:rPr>
          <w:rFonts w:ascii="Perpetua" w:hAnsi="Perpetua" w:cs="Adobe Devanagari"/>
          <w:spacing w:val="-3"/>
          <w:szCs w:val="24"/>
          <w:lang w:val="en-GB"/>
        </w:rPr>
        <w:tab/>
      </w:r>
      <w:r>
        <w:rPr>
          <w:rFonts w:ascii="Perpetua" w:hAnsi="Perpetua" w:cs="Adobe Devanagari"/>
          <w:spacing w:val="-3"/>
          <w:szCs w:val="24"/>
          <w:lang w:val="en-GB"/>
        </w:rPr>
        <w:tab/>
      </w:r>
      <w:r>
        <w:rPr>
          <w:rFonts w:ascii="Perpetua" w:hAnsi="Perpetua" w:cs="Adobe Devanagari"/>
          <w:spacing w:val="-3"/>
          <w:szCs w:val="24"/>
          <w:lang w:val="en-GB"/>
        </w:rPr>
        <w:tab/>
      </w:r>
      <w:r w:rsidR="00542930" w:rsidRPr="00F13266">
        <w:rPr>
          <w:rFonts w:ascii="Perpetua" w:hAnsi="Perpetua" w:cs="Adobe Devanagari"/>
          <w:spacing w:val="-3"/>
          <w:szCs w:val="24"/>
          <w:lang w:val="en-GB"/>
        </w:rPr>
        <w:t>Haply for I am black</w:t>
      </w:r>
    </w:p>
    <w:p w:rsidR="00542930" w:rsidRPr="00F13266" w:rsidRDefault="00542930" w:rsidP="00F13266">
      <w:pPr>
        <w:tabs>
          <w:tab w:val="left" w:pos="-720"/>
          <w:tab w:val="left" w:pos="0"/>
        </w:tabs>
        <w:suppressAutoHyphens/>
        <w:snapToGrid/>
        <w:ind w:left="2160" w:right="1134"/>
        <w:rPr>
          <w:rFonts w:ascii="Perpetua" w:hAnsi="Perpetua" w:cs="Adobe Devanagari"/>
          <w:spacing w:val="-3"/>
          <w:szCs w:val="24"/>
          <w:lang w:val="en-GB"/>
        </w:rPr>
      </w:pPr>
      <w:r w:rsidRPr="00F13266">
        <w:rPr>
          <w:rFonts w:ascii="Perpetua" w:hAnsi="Perpetua" w:cs="Adobe Devanagari"/>
          <w:spacing w:val="-3"/>
          <w:szCs w:val="24"/>
          <w:lang w:val="en-GB"/>
        </w:rPr>
        <w:t>And have not those soft parts of conversation</w:t>
      </w:r>
    </w:p>
    <w:p w:rsidR="00542930" w:rsidRPr="00F13266" w:rsidRDefault="00542930" w:rsidP="00F13266">
      <w:pPr>
        <w:tabs>
          <w:tab w:val="left" w:pos="-720"/>
          <w:tab w:val="left" w:pos="0"/>
        </w:tabs>
        <w:suppressAutoHyphens/>
        <w:snapToGrid/>
        <w:ind w:left="2160" w:right="1134"/>
        <w:rPr>
          <w:rFonts w:ascii="Perpetua" w:hAnsi="Perpetua" w:cs="Adobe Devanagari"/>
          <w:spacing w:val="-3"/>
          <w:szCs w:val="24"/>
          <w:lang w:val="en-GB"/>
        </w:rPr>
      </w:pPr>
      <w:r w:rsidRPr="00F13266">
        <w:rPr>
          <w:rFonts w:ascii="Perpetua" w:hAnsi="Perpetua" w:cs="Adobe Devanagari"/>
          <w:spacing w:val="-3"/>
          <w:szCs w:val="24"/>
          <w:lang w:val="en-GB"/>
        </w:rPr>
        <w:t xml:space="preserve">That </w:t>
      </w:r>
      <w:proofErr w:type="spellStart"/>
      <w:r w:rsidRPr="00F13266">
        <w:rPr>
          <w:rFonts w:ascii="Perpetua" w:hAnsi="Perpetua" w:cs="Adobe Devanagari"/>
          <w:spacing w:val="-3"/>
          <w:szCs w:val="24"/>
          <w:lang w:val="en-GB"/>
        </w:rPr>
        <w:t>chamberers</w:t>
      </w:r>
      <w:proofErr w:type="spellEnd"/>
      <w:r w:rsidRPr="00F13266">
        <w:rPr>
          <w:rFonts w:ascii="Perpetua" w:hAnsi="Perpetua" w:cs="Adobe Devanagari"/>
          <w:spacing w:val="-3"/>
          <w:szCs w:val="24"/>
          <w:lang w:val="en-GB"/>
        </w:rPr>
        <w:t xml:space="preserve"> have, or for I am declined</w:t>
      </w:r>
    </w:p>
    <w:p w:rsidR="00542930" w:rsidRPr="00F13266" w:rsidRDefault="00542930" w:rsidP="00F13266">
      <w:pPr>
        <w:tabs>
          <w:tab w:val="left" w:pos="-720"/>
          <w:tab w:val="left" w:pos="0"/>
        </w:tabs>
        <w:suppressAutoHyphens/>
        <w:snapToGrid/>
        <w:ind w:left="2160" w:right="1134"/>
        <w:rPr>
          <w:rFonts w:ascii="Perpetua" w:hAnsi="Perpetua" w:cs="Adobe Devanagari"/>
          <w:spacing w:val="-3"/>
          <w:szCs w:val="24"/>
          <w:lang w:val="en-GB"/>
        </w:rPr>
      </w:pPr>
      <w:r w:rsidRPr="00F13266">
        <w:rPr>
          <w:rFonts w:ascii="Perpetua" w:hAnsi="Perpetua" w:cs="Adobe Devanagari"/>
          <w:spacing w:val="-3"/>
          <w:szCs w:val="24"/>
          <w:lang w:val="en-GB"/>
        </w:rPr>
        <w:t xml:space="preserve">Into the </w:t>
      </w:r>
      <w:proofErr w:type="spellStart"/>
      <w:r w:rsidRPr="00F13266">
        <w:rPr>
          <w:rFonts w:ascii="Perpetua" w:hAnsi="Perpetua" w:cs="Adobe Devanagari"/>
          <w:spacing w:val="-3"/>
          <w:szCs w:val="24"/>
          <w:lang w:val="en-GB"/>
        </w:rPr>
        <w:t>vale</w:t>
      </w:r>
      <w:proofErr w:type="spellEnd"/>
      <w:r w:rsidRPr="00F13266">
        <w:rPr>
          <w:rFonts w:ascii="Perpetua" w:hAnsi="Perpetua" w:cs="Adobe Devanagari"/>
          <w:spacing w:val="-3"/>
          <w:szCs w:val="24"/>
          <w:lang w:val="en-GB"/>
        </w:rPr>
        <w:t xml:space="preserve"> of years – yet that’s not much – </w:t>
      </w:r>
    </w:p>
    <w:p w:rsidR="00542930" w:rsidRPr="00F13266" w:rsidRDefault="00542930" w:rsidP="00F13266">
      <w:pPr>
        <w:tabs>
          <w:tab w:val="left" w:pos="-720"/>
          <w:tab w:val="left" w:pos="0"/>
        </w:tabs>
        <w:suppressAutoHyphens/>
        <w:snapToGrid/>
        <w:ind w:left="2160" w:right="1134"/>
        <w:rPr>
          <w:rFonts w:ascii="Perpetua" w:hAnsi="Perpetua" w:cs="Adobe Devanagari"/>
          <w:spacing w:val="-3"/>
          <w:szCs w:val="24"/>
          <w:lang w:val="en-GB"/>
        </w:rPr>
      </w:pPr>
      <w:r w:rsidRPr="00F13266">
        <w:rPr>
          <w:rFonts w:ascii="Perpetua" w:hAnsi="Perpetua" w:cs="Adobe Devanagari"/>
          <w:spacing w:val="-3"/>
          <w:szCs w:val="24"/>
          <w:lang w:val="en-GB"/>
        </w:rPr>
        <w:t>She’s gone, I am abused, and my relief</w:t>
      </w:r>
    </w:p>
    <w:p w:rsidR="00542930" w:rsidRPr="00F13266" w:rsidRDefault="00542930" w:rsidP="00F13266">
      <w:pPr>
        <w:tabs>
          <w:tab w:val="left" w:pos="-720"/>
          <w:tab w:val="left" w:pos="0"/>
        </w:tabs>
        <w:suppressAutoHyphens/>
        <w:snapToGrid/>
        <w:ind w:left="2160" w:right="1134"/>
        <w:rPr>
          <w:rFonts w:ascii="Perpetua" w:hAnsi="Perpetua" w:cs="Adobe Devanagari"/>
          <w:spacing w:val="-3"/>
          <w:szCs w:val="24"/>
          <w:lang w:val="en-GB"/>
        </w:rPr>
      </w:pPr>
      <w:r w:rsidRPr="00F13266">
        <w:rPr>
          <w:rFonts w:ascii="Perpetua" w:hAnsi="Perpetua" w:cs="Adobe Devanagari"/>
          <w:spacing w:val="-3"/>
          <w:szCs w:val="24"/>
          <w:lang w:val="en-GB"/>
        </w:rPr>
        <w:t>Must be to loathe her. O curse of marriage</w:t>
      </w:r>
    </w:p>
    <w:p w:rsidR="00542930" w:rsidRPr="00F13266" w:rsidRDefault="00542930" w:rsidP="00F13266">
      <w:pPr>
        <w:tabs>
          <w:tab w:val="left" w:pos="-720"/>
          <w:tab w:val="left" w:pos="0"/>
        </w:tabs>
        <w:suppressAutoHyphens/>
        <w:snapToGrid/>
        <w:ind w:left="2160" w:right="1134"/>
        <w:rPr>
          <w:rFonts w:ascii="Perpetua" w:hAnsi="Perpetua" w:cs="Adobe Devanagari"/>
          <w:spacing w:val="-3"/>
          <w:szCs w:val="24"/>
          <w:lang w:val="en-GB"/>
        </w:rPr>
      </w:pPr>
      <w:r w:rsidRPr="00F13266">
        <w:rPr>
          <w:rFonts w:ascii="Perpetua" w:hAnsi="Perpetua" w:cs="Adobe Devanagari"/>
          <w:spacing w:val="-3"/>
          <w:szCs w:val="24"/>
          <w:lang w:val="en-GB"/>
        </w:rPr>
        <w:t>That we can call these delicate creatures ours</w:t>
      </w:r>
    </w:p>
    <w:p w:rsidR="00542930" w:rsidRPr="00F13266" w:rsidRDefault="00542930" w:rsidP="00F13266">
      <w:pPr>
        <w:tabs>
          <w:tab w:val="left" w:pos="-720"/>
          <w:tab w:val="left" w:pos="0"/>
        </w:tabs>
        <w:suppressAutoHyphens/>
        <w:snapToGrid/>
        <w:ind w:left="2160" w:right="1134"/>
        <w:rPr>
          <w:rFonts w:ascii="Perpetua" w:hAnsi="Perpetua" w:cs="Adobe Devanagari"/>
          <w:spacing w:val="-3"/>
          <w:szCs w:val="24"/>
          <w:lang w:val="en-GB"/>
        </w:rPr>
      </w:pPr>
      <w:r w:rsidRPr="00F13266">
        <w:rPr>
          <w:rFonts w:ascii="Perpetua" w:hAnsi="Perpetua" w:cs="Adobe Devanagari"/>
          <w:spacing w:val="-3"/>
          <w:szCs w:val="24"/>
          <w:lang w:val="en-GB"/>
        </w:rPr>
        <w:t>And not their appetites!</w:t>
      </w:r>
    </w:p>
    <w:p w:rsidR="00542930" w:rsidRPr="00F13266" w:rsidRDefault="00F13266" w:rsidP="00F13266">
      <w:pPr>
        <w:tabs>
          <w:tab w:val="left" w:pos="-720"/>
          <w:tab w:val="left" w:pos="0"/>
        </w:tabs>
        <w:suppressAutoHyphens/>
        <w:snapToGrid/>
        <w:ind w:left="2160" w:right="1134"/>
        <w:rPr>
          <w:rFonts w:ascii="Perpetua" w:hAnsi="Perpetua" w:cs="Adobe Devanagari"/>
          <w:spacing w:val="-3"/>
          <w:szCs w:val="24"/>
          <w:lang w:val="en-GB"/>
        </w:rPr>
      </w:pPr>
      <w:r>
        <w:rPr>
          <w:rFonts w:ascii="Perpetua" w:hAnsi="Perpetua" w:cs="Adobe Devanagari"/>
          <w:spacing w:val="-3"/>
          <w:szCs w:val="24"/>
          <w:lang w:val="en-GB"/>
        </w:rPr>
        <w:tab/>
      </w:r>
      <w:r>
        <w:rPr>
          <w:rFonts w:ascii="Perpetua" w:hAnsi="Perpetua" w:cs="Adobe Devanagari"/>
          <w:spacing w:val="-3"/>
          <w:szCs w:val="24"/>
          <w:lang w:val="en-GB"/>
        </w:rPr>
        <w:tab/>
      </w:r>
      <w:r>
        <w:rPr>
          <w:rFonts w:ascii="Perpetua" w:hAnsi="Perpetua" w:cs="Adobe Devanagari"/>
          <w:spacing w:val="-3"/>
          <w:szCs w:val="24"/>
          <w:lang w:val="en-GB"/>
        </w:rPr>
        <w:tab/>
      </w:r>
      <w:r>
        <w:rPr>
          <w:rFonts w:ascii="Perpetua" w:hAnsi="Perpetua" w:cs="Adobe Devanagari"/>
          <w:spacing w:val="-3"/>
          <w:szCs w:val="24"/>
          <w:lang w:val="en-GB"/>
        </w:rPr>
        <w:tab/>
      </w:r>
      <w:r w:rsidR="00542930" w:rsidRPr="00F13266">
        <w:rPr>
          <w:rFonts w:ascii="Perpetua" w:hAnsi="Perpetua" w:cs="Adobe Devanagari"/>
          <w:spacing w:val="-3"/>
          <w:szCs w:val="24"/>
          <w:lang w:val="en-GB"/>
        </w:rPr>
        <w:t>(3.3.267-74)</w:t>
      </w:r>
    </w:p>
    <w:p w:rsidR="00542930" w:rsidRPr="00F13266" w:rsidRDefault="00542930" w:rsidP="00F13266">
      <w:pPr>
        <w:tabs>
          <w:tab w:val="left" w:pos="-720"/>
          <w:tab w:val="left" w:pos="0"/>
        </w:tabs>
        <w:suppressAutoHyphens/>
        <w:snapToGrid/>
        <w:ind w:left="1134" w:right="1134"/>
        <w:rPr>
          <w:rFonts w:ascii="Perpetua" w:hAnsi="Perpetua" w:cs="Adobe Devanagari"/>
          <w:spacing w:val="-3"/>
          <w:szCs w:val="24"/>
          <w:lang w:val="en-GB"/>
        </w:rPr>
      </w:pPr>
    </w:p>
    <w:p w:rsidR="00542930" w:rsidRPr="00F13266" w:rsidRDefault="00542930" w:rsidP="00F13266">
      <w:pPr>
        <w:tabs>
          <w:tab w:val="left" w:pos="-720"/>
          <w:tab w:val="left" w:pos="0"/>
        </w:tabs>
        <w:suppressAutoHyphens/>
        <w:snapToGrid/>
        <w:ind w:left="1134" w:right="1134"/>
        <w:rPr>
          <w:rFonts w:ascii="Perpetua" w:hAnsi="Perpetua" w:cs="Adobe Devanagari"/>
          <w:spacing w:val="-3"/>
          <w:szCs w:val="24"/>
          <w:lang w:val="en-GB"/>
        </w:rPr>
      </w:pPr>
      <w:r w:rsidRPr="00F13266">
        <w:rPr>
          <w:rFonts w:ascii="Perpetua" w:hAnsi="Perpetua" w:cs="Adobe Devanagari"/>
          <w:spacing w:val="-3"/>
          <w:szCs w:val="24"/>
          <w:lang w:val="en-GB"/>
        </w:rPr>
        <w:t xml:space="preserve">It is a speech that captures in miniature the ambivalent nature of the play. We hear in the rhythms and hesitations of the lines Othello’s movement from self-doubt to a fleeting rally of confidence, followed by a retreat into the generalizing habit of misogyny. Othello considers his colour, his culture, and his age to be viable reasons for his wife’s infidelity, his articulation of </w:t>
      </w:r>
      <w:r w:rsidRPr="00F13266">
        <w:rPr>
          <w:rFonts w:ascii="Perpetua" w:hAnsi="Perpetua" w:cs="Adobe Devanagari"/>
          <w:i/>
          <w:spacing w:val="-3"/>
          <w:szCs w:val="24"/>
          <w:lang w:val="en-GB"/>
        </w:rPr>
        <w:t>three</w:t>
      </w:r>
      <w:r w:rsidRPr="00F13266">
        <w:rPr>
          <w:rFonts w:ascii="Perpetua" w:hAnsi="Perpetua" w:cs="Adobe Devanagari"/>
          <w:spacing w:val="-3"/>
          <w:szCs w:val="24"/>
          <w:lang w:val="en-GB"/>
        </w:rPr>
        <w:t xml:space="preserve"> possibilities complicating a straightforward reading of his situation. Nonetheless, the primary position of ‘black’ in the speech, its inseparability from the lack of ‘soft parts of conversation’, and his apparent dismissal of age as a significant factor (though the grammar is ambiguous here) all point to skin colour as the hero’s chief ‘disadvantage’. If read as confirmation that a Venetian world view has finally infiltrated the hero, these lines support an idea of Shakespeare as a playwright both of and beyond his age, who gives us in </w:t>
      </w:r>
      <w:r w:rsidRPr="00F13266">
        <w:rPr>
          <w:rFonts w:ascii="Perpetua" w:hAnsi="Perpetua" w:cs="Adobe Devanagari"/>
          <w:i/>
          <w:spacing w:val="-3"/>
          <w:szCs w:val="24"/>
          <w:lang w:val="en-GB"/>
        </w:rPr>
        <w:t>Othello</w:t>
      </w:r>
      <w:r w:rsidRPr="00F13266">
        <w:rPr>
          <w:rFonts w:ascii="Perpetua" w:hAnsi="Perpetua" w:cs="Adobe Devanagari"/>
          <w:spacing w:val="-3"/>
          <w:szCs w:val="24"/>
          <w:lang w:val="en-GB"/>
        </w:rPr>
        <w:t xml:space="preserve"> a glimpse of what </w:t>
      </w:r>
      <w:r w:rsidRPr="00F13266">
        <w:rPr>
          <w:rFonts w:ascii="Perpetua" w:hAnsi="Perpetua" w:cs="Adobe Devanagari"/>
          <w:i/>
          <w:spacing w:val="-3"/>
          <w:szCs w:val="24"/>
          <w:lang w:val="en-GB"/>
        </w:rPr>
        <w:t>might be</w:t>
      </w:r>
      <w:r w:rsidRPr="00F13266">
        <w:rPr>
          <w:rFonts w:ascii="Perpetua" w:hAnsi="Perpetua" w:cs="Adobe Devanagari"/>
          <w:spacing w:val="-3"/>
          <w:szCs w:val="24"/>
          <w:lang w:val="en-GB"/>
        </w:rPr>
        <w:t xml:space="preserve"> before reminding us of what </w:t>
      </w:r>
      <w:r w:rsidRPr="00F13266">
        <w:rPr>
          <w:rFonts w:ascii="Perpetua" w:hAnsi="Perpetua" w:cs="Adobe Devanagari"/>
          <w:i/>
          <w:spacing w:val="-3"/>
          <w:szCs w:val="24"/>
          <w:lang w:val="en-GB"/>
        </w:rPr>
        <w:t>is</w:t>
      </w:r>
      <w:r w:rsidRPr="00F13266">
        <w:rPr>
          <w:rFonts w:ascii="Perpetua" w:hAnsi="Perpetua" w:cs="Adobe Devanagari"/>
          <w:spacing w:val="-3"/>
          <w:szCs w:val="24"/>
          <w:lang w:val="en-GB"/>
        </w:rPr>
        <w:t>. The audience is encouraged to place blame not on the black ‘outsider’, but on the white majority whose values have corrupted him.</w:t>
      </w:r>
      <w:r w:rsidR="00F13266">
        <w:rPr>
          <w:rStyle w:val="FootnoteReference"/>
          <w:rFonts w:ascii="Perpetua" w:hAnsi="Perpetua" w:cs="Adobe Devanagari"/>
          <w:spacing w:val="-3"/>
          <w:szCs w:val="24"/>
          <w:lang w:val="en-GB"/>
        </w:rPr>
        <w:footnoteReference w:id="17"/>
      </w:r>
    </w:p>
    <w:p w:rsidR="00C5232C" w:rsidRPr="00F13266" w:rsidRDefault="00C5232C" w:rsidP="00F13266">
      <w:pPr>
        <w:tabs>
          <w:tab w:val="left" w:pos="-720"/>
          <w:tab w:val="left" w:pos="0"/>
        </w:tabs>
        <w:suppressAutoHyphens/>
        <w:snapToGrid/>
        <w:ind w:left="1134" w:right="1134"/>
        <w:rPr>
          <w:rFonts w:ascii="Perpetua" w:hAnsi="Perpetua" w:cs="Adobe Devanagari"/>
          <w:spacing w:val="-3"/>
          <w:szCs w:val="24"/>
          <w:lang w:val="en-GB"/>
        </w:rPr>
      </w:pPr>
    </w:p>
    <w:p w:rsidR="00C5232C" w:rsidRP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7D69B0">
        <w:rPr>
          <w:rFonts w:ascii="Perpetua" w:hAnsi="Perpetua" w:cs="Adobe Devanagari"/>
          <w:b/>
          <w:spacing w:val="-3"/>
          <w:sz w:val="26"/>
          <w:szCs w:val="26"/>
          <w:lang w:val="en-GB"/>
        </w:rPr>
        <w:t>‘Blackness’ as a word, a construct, not reducible to racial type or skin colour; ‘black’ as an adjective used to describe what one has a certain attitude toward, associated with the perception of sin and death</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5232C" w:rsidRPr="007D69B0" w:rsidRDefault="007D69B0"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the English language of the early modern period, the word ‘heart’ is not reducible in meaning to the muscle that pumps blood through the arteries. Similarly ‘blackness’ in </w:t>
      </w:r>
      <w:r>
        <w:rPr>
          <w:rFonts w:ascii="Perpetua" w:hAnsi="Perpetua" w:cs="Adobe Devanagari"/>
          <w:i/>
          <w:spacing w:val="-3"/>
          <w:sz w:val="26"/>
          <w:szCs w:val="26"/>
          <w:lang w:val="en-GB"/>
        </w:rPr>
        <w:t>Othello</w:t>
      </w:r>
      <w:r>
        <w:rPr>
          <w:rFonts w:ascii="Perpetua" w:hAnsi="Perpetua" w:cs="Adobe Devanagari"/>
          <w:spacing w:val="-3"/>
          <w:sz w:val="26"/>
          <w:szCs w:val="26"/>
          <w:lang w:val="en-GB"/>
        </w:rPr>
        <w:t xml:space="preserve"> is not reducible to race or skin colour, for it is a word that is used to describe an attitude, or something about which one has an attitude, such as shame. ‘Black’, therefore, is a word that signifies a construct of meanings </w:t>
      </w:r>
      <w:r w:rsidR="00391696">
        <w:rPr>
          <w:rFonts w:ascii="Perpetua" w:hAnsi="Perpetua" w:cs="Adobe Devanagari"/>
          <w:spacing w:val="-3"/>
          <w:sz w:val="26"/>
          <w:szCs w:val="26"/>
          <w:lang w:val="en-GB"/>
        </w:rPr>
        <w:t xml:space="preserve">such as </w:t>
      </w:r>
      <w:r>
        <w:rPr>
          <w:rFonts w:ascii="Perpetua" w:hAnsi="Perpetua" w:cs="Adobe Devanagari"/>
          <w:spacing w:val="-3"/>
          <w:sz w:val="26"/>
          <w:szCs w:val="26"/>
          <w:lang w:val="en-GB"/>
        </w:rPr>
        <w:t>sexual</w:t>
      </w:r>
      <w:r w:rsidR="00391696">
        <w:rPr>
          <w:rFonts w:ascii="Perpetua" w:hAnsi="Perpetua" w:cs="Adobe Devanagari"/>
          <w:spacing w:val="-3"/>
          <w:sz w:val="26"/>
          <w:szCs w:val="26"/>
          <w:lang w:val="en-GB"/>
        </w:rPr>
        <w:t xml:space="preserve">ly </w:t>
      </w:r>
      <w:r>
        <w:rPr>
          <w:rFonts w:ascii="Perpetua" w:hAnsi="Perpetua" w:cs="Adobe Devanagari"/>
          <w:spacing w:val="-3"/>
          <w:sz w:val="26"/>
          <w:szCs w:val="26"/>
          <w:lang w:val="en-GB"/>
        </w:rPr>
        <w:t>excess</w:t>
      </w:r>
      <w:r w:rsidR="00391696">
        <w:rPr>
          <w:rFonts w:ascii="Perpetua" w:hAnsi="Perpetua" w:cs="Adobe Devanagari"/>
          <w:spacing w:val="-3"/>
          <w:sz w:val="26"/>
          <w:szCs w:val="26"/>
          <w:lang w:val="en-GB"/>
        </w:rPr>
        <w:t>ive</w:t>
      </w:r>
      <w:r>
        <w:rPr>
          <w:rFonts w:ascii="Perpetua" w:hAnsi="Perpetua" w:cs="Adobe Devanagari"/>
          <w:spacing w:val="-3"/>
          <w:sz w:val="26"/>
          <w:szCs w:val="26"/>
          <w:lang w:val="en-GB"/>
        </w:rPr>
        <w:t xml:space="preserve">, </w:t>
      </w:r>
      <w:r w:rsidR="00391696">
        <w:rPr>
          <w:rFonts w:ascii="Perpetua" w:hAnsi="Perpetua" w:cs="Adobe Devanagari"/>
          <w:spacing w:val="-3"/>
          <w:sz w:val="26"/>
          <w:szCs w:val="26"/>
          <w:lang w:val="en-GB"/>
        </w:rPr>
        <w:t xml:space="preserve">deeply stained with dirt, soiled, foul, having deadly purposes, malignant, and </w:t>
      </w:r>
      <w:r w:rsidR="00391696">
        <w:rPr>
          <w:rFonts w:ascii="Perpetua" w:hAnsi="Perpetua" w:cs="Adobe Devanagari"/>
          <w:spacing w:val="-3"/>
          <w:sz w:val="26"/>
          <w:szCs w:val="26"/>
          <w:lang w:val="en-GB"/>
        </w:rPr>
        <w:t>extending to</w:t>
      </w:r>
      <w:r w:rsidR="00391696">
        <w:rPr>
          <w:rFonts w:ascii="Perpetua" w:hAnsi="Perpetua" w:cs="Adobe Devanagari"/>
          <w:spacing w:val="-3"/>
          <w:sz w:val="26"/>
          <w:szCs w:val="26"/>
          <w:lang w:val="en-GB"/>
        </w:rPr>
        <w:t xml:space="preserve"> associations with sin, death, and</w:t>
      </w:r>
      <w:r w:rsidR="00391696">
        <w:rPr>
          <w:rFonts w:ascii="Perpetua" w:hAnsi="Perpetua" w:cs="Adobe Devanagari"/>
          <w:spacing w:val="-3"/>
          <w:sz w:val="26"/>
          <w:szCs w:val="26"/>
          <w:lang w:val="en-GB"/>
        </w:rPr>
        <w:t xml:space="preserve"> the devil</w:t>
      </w:r>
      <w:r>
        <w:rPr>
          <w:rFonts w:ascii="Perpetua" w:hAnsi="Perpetua" w:cs="Adobe Devanagari"/>
          <w:spacing w:val="-3"/>
          <w:sz w:val="26"/>
          <w:szCs w:val="26"/>
          <w:lang w:val="en-GB"/>
        </w:rPr>
        <w:t>.</w:t>
      </w:r>
      <w:r w:rsidR="00391696">
        <w:rPr>
          <w:rStyle w:val="FootnoteReference"/>
          <w:rFonts w:ascii="Perpetua" w:hAnsi="Perpetua" w:cs="Adobe Devanagari"/>
          <w:spacing w:val="-3"/>
          <w:sz w:val="26"/>
          <w:szCs w:val="26"/>
          <w:lang w:val="en-GB"/>
        </w:rPr>
        <w:footnoteReference w:id="18"/>
      </w:r>
      <w:r>
        <w:rPr>
          <w:rFonts w:ascii="Perpetua" w:hAnsi="Perpetua" w:cs="Adobe Devanagari"/>
          <w:spacing w:val="-3"/>
          <w:sz w:val="26"/>
          <w:szCs w:val="26"/>
          <w:lang w:val="en-GB"/>
        </w:rPr>
        <w:t xml:space="preserve"> </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C5232C">
        <w:rPr>
          <w:rFonts w:ascii="Perpetua" w:hAnsi="Perpetua" w:cs="Adobe Devanagari"/>
          <w:b/>
          <w:spacing w:val="-3"/>
          <w:sz w:val="26"/>
          <w:szCs w:val="26"/>
          <w:lang w:val="en-GB"/>
        </w:rPr>
        <w:t>Gender (stereotyping)</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5232C" w:rsidRPr="00C01C4A" w:rsidRDefault="00C01C4A" w:rsidP="00C01C4A">
      <w:pPr>
        <w:tabs>
          <w:tab w:val="left" w:pos="-720"/>
          <w:tab w:val="left" w:pos="0"/>
        </w:tabs>
        <w:suppressAutoHyphens/>
        <w:snapToGrid/>
        <w:ind w:left="1134" w:right="1134"/>
        <w:rPr>
          <w:rFonts w:ascii="Perpetua" w:hAnsi="Perpetua" w:cs="Adobe Devanagari"/>
          <w:spacing w:val="-3"/>
          <w:szCs w:val="24"/>
          <w:lang w:val="en-GB"/>
        </w:rPr>
      </w:pPr>
      <w:r w:rsidRPr="00C01C4A">
        <w:rPr>
          <w:rFonts w:ascii="Perpetua" w:hAnsi="Perpetua" w:cs="Adobe Devanagari"/>
          <w:spacing w:val="-3"/>
          <w:szCs w:val="24"/>
          <w:lang w:val="en-GB"/>
        </w:rPr>
        <w:t>Desdemona’s frank admission of her sexual feelings for Othello in front of the Senate further challenges the stereotype of the lascivious Moor. Asked to confirm if she ‘was half the wooer’ (1.3.176), she declares:</w:t>
      </w:r>
    </w:p>
    <w:p w:rsidR="00C01C4A" w:rsidRPr="00C01C4A" w:rsidRDefault="00C01C4A" w:rsidP="00C01C4A">
      <w:pPr>
        <w:tabs>
          <w:tab w:val="left" w:pos="-720"/>
          <w:tab w:val="left" w:pos="0"/>
        </w:tabs>
        <w:suppressAutoHyphens/>
        <w:snapToGrid/>
        <w:ind w:left="1134" w:right="1134"/>
        <w:rPr>
          <w:rFonts w:ascii="Perpetua" w:hAnsi="Perpetua" w:cs="Adobe Devanagari"/>
          <w:spacing w:val="-3"/>
          <w:szCs w:val="24"/>
          <w:lang w:val="en-GB"/>
        </w:rPr>
      </w:pPr>
    </w:p>
    <w:p w:rsidR="00C01C4A" w:rsidRPr="00C01C4A" w:rsidRDefault="00C01C4A" w:rsidP="00C01C4A">
      <w:pPr>
        <w:tabs>
          <w:tab w:val="left" w:pos="-720"/>
          <w:tab w:val="left" w:pos="0"/>
        </w:tabs>
        <w:suppressAutoHyphens/>
        <w:snapToGrid/>
        <w:ind w:left="1440" w:right="1134"/>
        <w:rPr>
          <w:rFonts w:ascii="Perpetua" w:hAnsi="Perpetua" w:cs="Adobe Devanagari"/>
          <w:spacing w:val="-3"/>
          <w:szCs w:val="24"/>
          <w:lang w:val="en-GB"/>
        </w:rPr>
      </w:pPr>
      <w:r w:rsidRPr="00C01C4A">
        <w:rPr>
          <w:rFonts w:ascii="Perpetua" w:hAnsi="Perpetua" w:cs="Adobe Devanagari"/>
          <w:spacing w:val="-3"/>
          <w:szCs w:val="24"/>
          <w:lang w:val="en-GB"/>
        </w:rPr>
        <w:t>That I did love the Moor to live with him</w:t>
      </w:r>
    </w:p>
    <w:p w:rsidR="00C01C4A" w:rsidRPr="00C01C4A" w:rsidRDefault="00C01C4A" w:rsidP="00C01C4A">
      <w:pPr>
        <w:tabs>
          <w:tab w:val="left" w:pos="-720"/>
          <w:tab w:val="left" w:pos="0"/>
        </w:tabs>
        <w:suppressAutoHyphens/>
        <w:snapToGrid/>
        <w:ind w:left="1440" w:right="1134"/>
        <w:rPr>
          <w:rFonts w:ascii="Perpetua" w:hAnsi="Perpetua" w:cs="Adobe Devanagari"/>
          <w:spacing w:val="-3"/>
          <w:szCs w:val="24"/>
          <w:lang w:val="en-GB"/>
        </w:rPr>
      </w:pPr>
      <w:r w:rsidRPr="00C01C4A">
        <w:rPr>
          <w:rFonts w:ascii="Perpetua" w:hAnsi="Perpetua" w:cs="Adobe Devanagari"/>
          <w:spacing w:val="-3"/>
          <w:szCs w:val="24"/>
          <w:lang w:val="en-GB"/>
        </w:rPr>
        <w:t>My downright violence and scorn of fortunes</w:t>
      </w:r>
    </w:p>
    <w:p w:rsidR="00C01C4A" w:rsidRPr="00C01C4A" w:rsidRDefault="00C01C4A" w:rsidP="00C01C4A">
      <w:pPr>
        <w:tabs>
          <w:tab w:val="left" w:pos="-720"/>
          <w:tab w:val="left" w:pos="0"/>
        </w:tabs>
        <w:suppressAutoHyphens/>
        <w:snapToGrid/>
        <w:ind w:left="1440" w:right="1134"/>
        <w:rPr>
          <w:rFonts w:ascii="Perpetua" w:hAnsi="Perpetua" w:cs="Adobe Devanagari"/>
          <w:spacing w:val="-3"/>
          <w:szCs w:val="24"/>
          <w:lang w:val="en-GB"/>
        </w:rPr>
      </w:pPr>
      <w:r w:rsidRPr="00C01C4A">
        <w:rPr>
          <w:rFonts w:ascii="Perpetua" w:hAnsi="Perpetua" w:cs="Adobe Devanagari"/>
          <w:spacing w:val="-3"/>
          <w:szCs w:val="24"/>
          <w:lang w:val="en-GB"/>
        </w:rPr>
        <w:t>May trumpet to the world.</w:t>
      </w:r>
    </w:p>
    <w:p w:rsidR="00C01C4A" w:rsidRPr="00C01C4A" w:rsidRDefault="00C01C4A" w:rsidP="00C01C4A">
      <w:pPr>
        <w:tabs>
          <w:tab w:val="left" w:pos="-720"/>
          <w:tab w:val="left" w:pos="0"/>
        </w:tabs>
        <w:suppressAutoHyphens/>
        <w:snapToGrid/>
        <w:ind w:left="1440" w:right="1134"/>
        <w:rPr>
          <w:rFonts w:ascii="Perpetua" w:hAnsi="Perpetua" w:cs="Adobe Devanagari"/>
          <w:spacing w:val="-3"/>
          <w:szCs w:val="24"/>
          <w:lang w:val="en-GB"/>
        </w:rPr>
      </w:pPr>
      <w:r>
        <w:rPr>
          <w:rFonts w:ascii="Perpetua" w:hAnsi="Perpetua" w:cs="Adobe Devanagari"/>
          <w:spacing w:val="-3"/>
          <w:szCs w:val="24"/>
          <w:lang w:val="en-GB"/>
        </w:rPr>
        <w:tab/>
      </w:r>
      <w:r>
        <w:rPr>
          <w:rFonts w:ascii="Perpetua" w:hAnsi="Perpetua" w:cs="Adobe Devanagari"/>
          <w:spacing w:val="-3"/>
          <w:szCs w:val="24"/>
          <w:lang w:val="en-GB"/>
        </w:rPr>
        <w:tab/>
      </w:r>
      <w:r>
        <w:rPr>
          <w:rFonts w:ascii="Perpetua" w:hAnsi="Perpetua" w:cs="Adobe Devanagari"/>
          <w:spacing w:val="-3"/>
          <w:szCs w:val="24"/>
          <w:lang w:val="en-GB"/>
        </w:rPr>
        <w:tab/>
      </w:r>
      <w:r>
        <w:rPr>
          <w:rFonts w:ascii="Perpetua" w:hAnsi="Perpetua" w:cs="Adobe Devanagari"/>
          <w:spacing w:val="-3"/>
          <w:szCs w:val="24"/>
          <w:lang w:val="en-GB"/>
        </w:rPr>
        <w:tab/>
      </w:r>
      <w:r>
        <w:rPr>
          <w:rFonts w:ascii="Perpetua" w:hAnsi="Perpetua" w:cs="Adobe Devanagari"/>
          <w:spacing w:val="-3"/>
          <w:szCs w:val="24"/>
          <w:lang w:val="en-GB"/>
        </w:rPr>
        <w:tab/>
      </w:r>
      <w:r w:rsidRPr="00C01C4A">
        <w:rPr>
          <w:rFonts w:ascii="Perpetua" w:hAnsi="Perpetua" w:cs="Adobe Devanagari"/>
          <w:spacing w:val="-3"/>
          <w:szCs w:val="24"/>
          <w:lang w:val="en-GB"/>
        </w:rPr>
        <w:t>(1.3.249-51)</w:t>
      </w:r>
    </w:p>
    <w:p w:rsidR="00C01C4A" w:rsidRPr="00C01C4A" w:rsidRDefault="00C01C4A" w:rsidP="00C01C4A">
      <w:pPr>
        <w:tabs>
          <w:tab w:val="left" w:pos="-720"/>
          <w:tab w:val="left" w:pos="0"/>
        </w:tabs>
        <w:suppressAutoHyphens/>
        <w:snapToGrid/>
        <w:ind w:left="1134" w:right="1134"/>
        <w:rPr>
          <w:rFonts w:ascii="Perpetua" w:hAnsi="Perpetua" w:cs="Adobe Devanagari"/>
          <w:spacing w:val="-3"/>
          <w:szCs w:val="24"/>
          <w:lang w:val="en-GB"/>
        </w:rPr>
      </w:pPr>
    </w:p>
    <w:p w:rsidR="00C01C4A" w:rsidRPr="00C01C4A" w:rsidRDefault="00C01C4A" w:rsidP="00C01C4A">
      <w:pPr>
        <w:tabs>
          <w:tab w:val="left" w:pos="-720"/>
          <w:tab w:val="left" w:pos="0"/>
        </w:tabs>
        <w:suppressAutoHyphens/>
        <w:snapToGrid/>
        <w:ind w:left="1134" w:right="1134"/>
        <w:rPr>
          <w:rFonts w:ascii="Perpetua" w:hAnsi="Perpetua" w:cs="Adobe Devanagari"/>
          <w:spacing w:val="-3"/>
          <w:szCs w:val="24"/>
          <w:lang w:val="en-GB"/>
        </w:rPr>
      </w:pPr>
      <w:r w:rsidRPr="00C01C4A">
        <w:rPr>
          <w:rFonts w:ascii="Perpetua" w:hAnsi="Perpetua" w:cs="Adobe Devanagari"/>
          <w:spacing w:val="-3"/>
          <w:szCs w:val="24"/>
          <w:lang w:val="en-GB"/>
        </w:rPr>
        <w:t>In rejecting wealth, convention and sexual reticence at this juncture, Desdemona is confounding an entire belief system.</w:t>
      </w:r>
      <w:r>
        <w:rPr>
          <w:rStyle w:val="FootnoteReference"/>
          <w:rFonts w:ascii="Perpetua" w:hAnsi="Perpetua" w:cs="Adobe Devanagari"/>
          <w:spacing w:val="-3"/>
          <w:szCs w:val="24"/>
          <w:lang w:val="en-GB"/>
        </w:rPr>
        <w:footnoteReference w:id="19"/>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BA1E41" w:rsidRDefault="00275FF6"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w:t>
      </w:r>
      <w:r>
        <w:rPr>
          <w:rFonts w:ascii="Perpetua" w:hAnsi="Perpetua" w:cs="Adobe Devanagari"/>
          <w:i/>
          <w:spacing w:val="-3"/>
          <w:sz w:val="26"/>
          <w:szCs w:val="26"/>
          <w:lang w:val="en-GB"/>
        </w:rPr>
        <w:t>Othello</w:t>
      </w:r>
      <w:r>
        <w:rPr>
          <w:rFonts w:ascii="Perpetua" w:hAnsi="Perpetua" w:cs="Adobe Devanagari"/>
          <w:spacing w:val="-3"/>
          <w:sz w:val="26"/>
          <w:szCs w:val="26"/>
          <w:lang w:val="en-GB"/>
        </w:rPr>
        <w:t>, a</w:t>
      </w:r>
      <w:r w:rsidR="007D69B0">
        <w:rPr>
          <w:rFonts w:ascii="Perpetua" w:hAnsi="Perpetua" w:cs="Adobe Devanagari"/>
          <w:spacing w:val="-3"/>
          <w:sz w:val="26"/>
          <w:szCs w:val="26"/>
          <w:lang w:val="en-GB"/>
        </w:rPr>
        <w:t xml:space="preserve"> mature, male African of modest sexual inclination is yoked to a youthful, white female who publicly reveals a bold sexual appetite. I</w:t>
      </w:r>
      <w:r w:rsidR="00BA1E41">
        <w:rPr>
          <w:rFonts w:ascii="Perpetua" w:hAnsi="Perpetua" w:cs="Adobe Devanagari"/>
          <w:spacing w:val="-3"/>
          <w:sz w:val="26"/>
          <w:szCs w:val="26"/>
          <w:lang w:val="en-GB"/>
        </w:rPr>
        <w:t>n being ‘free and open about her longings for a Moor’, Desdemona is ‘highly transgressive’.</w:t>
      </w:r>
      <w:r w:rsidR="00BA1E41">
        <w:rPr>
          <w:rStyle w:val="FootnoteReference"/>
          <w:rFonts w:ascii="Perpetua" w:hAnsi="Perpetua" w:cs="Adobe Devanagari"/>
          <w:spacing w:val="-3"/>
          <w:sz w:val="26"/>
          <w:szCs w:val="26"/>
          <w:lang w:val="en-GB"/>
        </w:rPr>
        <w:footnoteReference w:id="20"/>
      </w:r>
      <w:r w:rsidR="00E332D1">
        <w:rPr>
          <w:rFonts w:ascii="Perpetua" w:hAnsi="Perpetua" w:cs="Adobe Devanagari"/>
          <w:spacing w:val="-3"/>
          <w:sz w:val="26"/>
          <w:szCs w:val="26"/>
          <w:lang w:val="en-GB"/>
        </w:rPr>
        <w:t xml:space="preserve"> Iago appropriates Desdemona’s word ‘violence’ to convince Roderigo that her attraction to Othello was ‘not love but “a violent commencement in her” (1.3.345), which is bound to burn itself out’.</w:t>
      </w:r>
      <w:r w:rsidR="00E332D1">
        <w:rPr>
          <w:rStyle w:val="FootnoteReference"/>
          <w:rFonts w:ascii="Perpetua" w:hAnsi="Perpetua" w:cs="Adobe Devanagari"/>
          <w:spacing w:val="-3"/>
          <w:sz w:val="26"/>
          <w:szCs w:val="26"/>
          <w:lang w:val="en-GB"/>
        </w:rPr>
        <w:footnoteReference w:id="21"/>
      </w:r>
    </w:p>
    <w:p w:rsidR="00966FD9" w:rsidRPr="00966FD9" w:rsidRDefault="00966FD9" w:rsidP="00966FD9">
      <w:pPr>
        <w:tabs>
          <w:tab w:val="left" w:pos="-720"/>
          <w:tab w:val="left" w:pos="0"/>
        </w:tabs>
        <w:suppressAutoHyphens/>
        <w:snapToGrid/>
        <w:ind w:left="1134" w:right="1134"/>
        <w:rPr>
          <w:rFonts w:ascii="Perpetua" w:hAnsi="Perpetua" w:cs="Adobe Devanagari"/>
          <w:spacing w:val="-3"/>
          <w:szCs w:val="24"/>
          <w:lang w:val="en-GB"/>
        </w:rPr>
      </w:pPr>
    </w:p>
    <w:p w:rsidR="00C01C4A" w:rsidRPr="00966FD9" w:rsidRDefault="00966FD9" w:rsidP="00966FD9">
      <w:pPr>
        <w:tabs>
          <w:tab w:val="left" w:pos="-720"/>
          <w:tab w:val="left" w:pos="0"/>
        </w:tabs>
        <w:suppressAutoHyphens/>
        <w:snapToGrid/>
        <w:ind w:left="1134" w:right="1134"/>
        <w:rPr>
          <w:rFonts w:ascii="Perpetua" w:hAnsi="Perpetua" w:cs="Adobe Devanagari"/>
          <w:spacing w:val="-3"/>
          <w:szCs w:val="24"/>
          <w:lang w:val="en-GB"/>
        </w:rPr>
      </w:pPr>
      <w:r w:rsidRPr="00966FD9">
        <w:rPr>
          <w:rFonts w:ascii="Perpetua" w:hAnsi="Perpetua" w:cs="Adobe Devanagari"/>
          <w:spacing w:val="-3"/>
          <w:szCs w:val="24"/>
          <w:lang w:val="en-GB"/>
        </w:rPr>
        <w:t>As far as most Venetians are concerned, ‘natural’ feeling is that which corresponds to societal norms: a woman ‘naturally’ desires a man of her own class and colour – and preferably one chosen by her father. What seems to lurk beneath this suppression of female agency, however, is a strong fear of the uncontrollability of women’s sexuality, and it is this fear that Iago plays on in his intimate conversations with Othello.</w:t>
      </w:r>
      <w:r w:rsidRPr="00966FD9">
        <w:rPr>
          <w:rStyle w:val="FootnoteReference"/>
          <w:rFonts w:ascii="Perpetua" w:hAnsi="Perpetua" w:cs="Adobe Devanagari"/>
          <w:spacing w:val="-3"/>
          <w:szCs w:val="24"/>
          <w:lang w:val="en-GB"/>
        </w:rPr>
        <w:footnoteReference w:id="22"/>
      </w:r>
    </w:p>
    <w:p w:rsidR="00C5232C" w:rsidRPr="00966FD9" w:rsidRDefault="00C5232C" w:rsidP="00966FD9">
      <w:pPr>
        <w:tabs>
          <w:tab w:val="left" w:pos="-720"/>
          <w:tab w:val="left" w:pos="0"/>
        </w:tabs>
        <w:suppressAutoHyphens/>
        <w:snapToGrid/>
        <w:ind w:left="1134" w:right="1134"/>
        <w:rPr>
          <w:rFonts w:ascii="Perpetua" w:hAnsi="Perpetua" w:cs="Adobe Devanagari"/>
          <w:spacing w:val="-3"/>
          <w:szCs w:val="24"/>
          <w:lang w:val="en-GB"/>
        </w:rPr>
      </w:pPr>
    </w:p>
    <w:p w:rsidR="00966FD9" w:rsidRPr="00C5232C" w:rsidRDefault="00966FD9"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C5232C">
        <w:rPr>
          <w:rFonts w:ascii="Perpetua" w:hAnsi="Perpetua" w:cs="Adobe Devanagari"/>
          <w:b/>
          <w:spacing w:val="-3"/>
          <w:sz w:val="26"/>
          <w:szCs w:val="26"/>
          <w:lang w:val="en-GB"/>
        </w:rPr>
        <w:t>The play’s central concern with ‘normal’ and ‘abnormal’ sexuality</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5232C" w:rsidRDefault="00171D7E"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w:t>
      </w:r>
      <w:r>
        <w:rPr>
          <w:rFonts w:ascii="Perpetua" w:hAnsi="Perpetua" w:cs="Adobe Devanagari"/>
          <w:i/>
          <w:spacing w:val="-3"/>
          <w:sz w:val="26"/>
          <w:szCs w:val="26"/>
          <w:lang w:val="en-GB"/>
        </w:rPr>
        <w:t>Othello</w:t>
      </w:r>
      <w:r>
        <w:rPr>
          <w:rFonts w:ascii="Perpetua" w:hAnsi="Perpetua" w:cs="Adobe Devanagari"/>
          <w:spacing w:val="-3"/>
          <w:sz w:val="26"/>
          <w:szCs w:val="26"/>
          <w:lang w:val="en-GB"/>
        </w:rPr>
        <w:t>, the honourable and self-restrained African is pitted against a sensual and debased white man who arguably lusts after his wife</w:t>
      </w:r>
      <w:r w:rsidR="007D69B0">
        <w:rPr>
          <w:rFonts w:ascii="Perpetua" w:hAnsi="Perpetua" w:cs="Adobe Devanagari"/>
          <w:spacing w:val="-3"/>
          <w:sz w:val="26"/>
          <w:szCs w:val="26"/>
          <w:lang w:val="en-GB"/>
        </w:rPr>
        <w:t>.</w:t>
      </w:r>
      <w:r>
        <w:rPr>
          <w:rFonts w:ascii="Perpetua" w:hAnsi="Perpetua" w:cs="Adobe Devanagari"/>
          <w:spacing w:val="-3"/>
          <w:sz w:val="26"/>
          <w:szCs w:val="26"/>
          <w:lang w:val="en-GB"/>
        </w:rPr>
        <w:t xml:space="preserve"> </w:t>
      </w:r>
      <w:r w:rsidR="00900A37">
        <w:rPr>
          <w:rFonts w:ascii="Perpetua" w:hAnsi="Perpetua" w:cs="Adobe Devanagari"/>
          <w:spacing w:val="-3"/>
          <w:sz w:val="26"/>
          <w:szCs w:val="26"/>
          <w:lang w:val="en-GB"/>
        </w:rPr>
        <w:t>According to Bickley and Stevens:</w:t>
      </w:r>
    </w:p>
    <w:p w:rsidR="00900A37" w:rsidRPr="00C01C4A" w:rsidRDefault="00900A37" w:rsidP="00C01C4A">
      <w:pPr>
        <w:tabs>
          <w:tab w:val="left" w:pos="-720"/>
          <w:tab w:val="left" w:pos="0"/>
        </w:tabs>
        <w:suppressAutoHyphens/>
        <w:snapToGrid/>
        <w:ind w:left="1134" w:right="1134"/>
        <w:rPr>
          <w:rFonts w:ascii="Perpetua" w:hAnsi="Perpetua" w:cs="Adobe Devanagari"/>
          <w:spacing w:val="-3"/>
          <w:szCs w:val="24"/>
          <w:lang w:val="en-GB"/>
        </w:rPr>
      </w:pPr>
    </w:p>
    <w:p w:rsidR="00900A37" w:rsidRPr="00C01C4A" w:rsidRDefault="00900A37" w:rsidP="00C01C4A">
      <w:pPr>
        <w:tabs>
          <w:tab w:val="left" w:pos="-720"/>
          <w:tab w:val="left" w:pos="0"/>
        </w:tabs>
        <w:suppressAutoHyphens/>
        <w:snapToGrid/>
        <w:ind w:left="1134" w:right="1134"/>
        <w:rPr>
          <w:rFonts w:ascii="Perpetua" w:hAnsi="Perpetua" w:cs="Adobe Devanagari"/>
          <w:spacing w:val="-3"/>
          <w:szCs w:val="24"/>
          <w:lang w:val="en-GB"/>
        </w:rPr>
      </w:pPr>
      <w:r w:rsidRPr="00C01C4A">
        <w:rPr>
          <w:rFonts w:ascii="Perpetua" w:hAnsi="Perpetua" w:cs="Adobe Devanagari"/>
          <w:spacing w:val="-3"/>
          <w:szCs w:val="24"/>
          <w:lang w:val="en-GB"/>
        </w:rPr>
        <w:t xml:space="preserve">Iago is the play’s self-styled sex expert. Playing on his status as experienced married man, he offers Roderigo his ‘wisdom’ on the inherent instability of erotic desire and the need to control ‘carnal stings’ (1.3.331). He puts his linguistic powers to work to plant a variety of lewd visual scenarios into the imagination of his victims: Desdemona and Othello ‘making the beast with two backs’ (1.1.115) (to torment Brabantio); Desdemona and Cassio ‘paddling’ palms (to torment Roderigo); and Cassio laying his thigh over Iago and kissing him, in the middle of an erotic dream of Desdemona (to torment Othello). </w:t>
      </w:r>
      <w:r w:rsidRPr="00C01C4A">
        <w:rPr>
          <w:rFonts w:ascii="Perpetua" w:hAnsi="Perpetua" w:cs="Adobe Devanagari"/>
          <w:spacing w:val="-3"/>
          <w:szCs w:val="24"/>
          <w:lang w:val="en-GB"/>
        </w:rPr>
        <w:lastRenderedPageBreak/>
        <w:t>Indeed, to acquire a ‘feel’ for the bawdy of early seventeenth-century England one need look no further than Iago, whose locker-room vernacular places him squarely in the military world, ensuring that all take him for the blunt soldier, never stopping to question what might lie beneath his plain-speaking exterior.</w:t>
      </w:r>
      <w:r w:rsidRPr="00C01C4A">
        <w:rPr>
          <w:rStyle w:val="FootnoteReference"/>
          <w:rFonts w:ascii="Perpetua" w:hAnsi="Perpetua" w:cs="Adobe Devanagari"/>
          <w:spacing w:val="-3"/>
          <w:szCs w:val="24"/>
          <w:lang w:val="en-GB"/>
        </w:rPr>
        <w:footnoteReference w:id="23"/>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A37021" w:rsidRDefault="00A37021"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Critics have discussed the possibility that Iago’s desire is homoerotic, and even that he desires Othello, but this may be merely an attempt to </w:t>
      </w:r>
      <w:r w:rsidR="0089542E">
        <w:rPr>
          <w:rFonts w:ascii="Perpetua" w:hAnsi="Perpetua" w:cs="Adobe Devanagari"/>
          <w:spacing w:val="-3"/>
          <w:sz w:val="26"/>
          <w:szCs w:val="26"/>
          <w:lang w:val="en-GB"/>
        </w:rPr>
        <w:t>provide a motive for his malignity. It is possible to interpret him as simultaneously disgusted and fascinated with Othello and Desdemona’s sexuality. In contrast to Othello, Iago’s speech is libidinous, duplicitously so, and insinuating. His sexual imagination has been described as pornographic and racist; it is represented as dangerous, excessive, and threatening.</w:t>
      </w:r>
    </w:p>
    <w:p w:rsidR="00A37021" w:rsidRDefault="00A37021"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B851A4" w:rsidRDefault="00B851A4"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Desdemona’s father, Brabantio, is more liberal than either Roderigo or Iago</w:t>
      </w:r>
      <w:r w:rsidR="00171D7E">
        <w:rPr>
          <w:rFonts w:ascii="Perpetua" w:hAnsi="Perpetua" w:cs="Adobe Devanagari"/>
          <w:spacing w:val="-3"/>
          <w:sz w:val="26"/>
          <w:szCs w:val="26"/>
          <w:lang w:val="en-GB"/>
        </w:rPr>
        <w:t>, yet racial prejudice is latent and rises up when his daughter’s elopement is acknowledged</w:t>
      </w:r>
      <w:r w:rsidR="00391696">
        <w:rPr>
          <w:rFonts w:ascii="Perpetua" w:hAnsi="Perpetua" w:cs="Adobe Devanagari"/>
          <w:spacing w:val="-3"/>
          <w:sz w:val="26"/>
          <w:szCs w:val="26"/>
          <w:lang w:val="en-GB"/>
        </w:rPr>
        <w:t xml:space="preserve"> and the prospect of miscegenation is raised</w:t>
      </w:r>
      <w:r w:rsidR="00171D7E">
        <w:rPr>
          <w:rFonts w:ascii="Perpetua" w:hAnsi="Perpetua" w:cs="Adobe Devanagari"/>
          <w:spacing w:val="-3"/>
          <w:sz w:val="26"/>
          <w:szCs w:val="26"/>
          <w:lang w:val="en-GB"/>
        </w:rPr>
        <w:t>.</w:t>
      </w:r>
    </w:p>
    <w:p w:rsidR="00C01C4A" w:rsidRPr="00C01C4A" w:rsidRDefault="00C01C4A" w:rsidP="00C01C4A">
      <w:pPr>
        <w:tabs>
          <w:tab w:val="left" w:pos="-720"/>
          <w:tab w:val="left" w:pos="0"/>
        </w:tabs>
        <w:suppressAutoHyphens/>
        <w:snapToGrid/>
        <w:ind w:left="1134" w:right="1134"/>
        <w:rPr>
          <w:rFonts w:ascii="Perpetua" w:hAnsi="Perpetua" w:cs="Adobe Devanagari"/>
          <w:spacing w:val="-3"/>
          <w:szCs w:val="24"/>
          <w:lang w:val="en-GB"/>
        </w:rPr>
      </w:pPr>
    </w:p>
    <w:p w:rsidR="00C01C4A" w:rsidRPr="00C01C4A" w:rsidRDefault="00C01C4A" w:rsidP="00C01C4A">
      <w:pPr>
        <w:tabs>
          <w:tab w:val="left" w:pos="-720"/>
          <w:tab w:val="left" w:pos="0"/>
        </w:tabs>
        <w:suppressAutoHyphens/>
        <w:snapToGrid/>
        <w:ind w:left="1134" w:right="1134"/>
        <w:rPr>
          <w:rFonts w:ascii="Perpetua" w:hAnsi="Perpetua" w:cs="Adobe Devanagari"/>
          <w:spacing w:val="-3"/>
          <w:szCs w:val="24"/>
          <w:lang w:val="en-GB"/>
        </w:rPr>
      </w:pPr>
      <w:r w:rsidRPr="00C01C4A">
        <w:rPr>
          <w:rFonts w:ascii="Perpetua" w:hAnsi="Perpetua" w:cs="Adobe Devanagari"/>
          <w:spacing w:val="-3"/>
          <w:szCs w:val="24"/>
          <w:lang w:val="en-GB"/>
        </w:rPr>
        <w:t>For an aristocratic Venetian such as Brabantio, consensual sex between a black man and a white woman goes against ‘all rules of nature’ (1.3.102) and can only be explained if the Moor, true to his stereotype, is found to have administered ‘mixtures powerful o’er the blood’ (1.3.105) to get his evil way. That his daughter can publicly contradict this ‘natural’ explanation is a shock from which he never recovers.</w:t>
      </w:r>
      <w:r w:rsidRPr="00C01C4A">
        <w:rPr>
          <w:rStyle w:val="FootnoteReference"/>
          <w:rFonts w:ascii="Perpetua" w:hAnsi="Perpetua" w:cs="Adobe Devanagari"/>
          <w:spacing w:val="-3"/>
          <w:szCs w:val="24"/>
          <w:lang w:val="en-GB"/>
        </w:rPr>
        <w:footnoteReference w:id="24"/>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89542E" w:rsidRDefault="00C7714D" w:rsidP="007156BD">
      <w:pPr>
        <w:tabs>
          <w:tab w:val="left" w:pos="-720"/>
          <w:tab w:val="left" w:pos="0"/>
        </w:tabs>
        <w:suppressAutoHyphens/>
        <w:snapToGrid/>
        <w:spacing w:line="276" w:lineRule="auto"/>
        <w:rPr>
          <w:rFonts w:ascii="Perpetua" w:hAnsi="Perpetua"/>
          <w:sz w:val="26"/>
          <w:szCs w:val="26"/>
        </w:rPr>
      </w:pPr>
      <w:r>
        <w:rPr>
          <w:rFonts w:ascii="Perpetua" w:hAnsi="Perpetua" w:cs="Adobe Devanagari"/>
          <w:spacing w:val="-3"/>
          <w:sz w:val="26"/>
          <w:szCs w:val="26"/>
          <w:lang w:val="en-GB"/>
        </w:rPr>
        <w:t>I</w:t>
      </w:r>
      <w:r>
        <w:rPr>
          <w:rFonts w:ascii="Perpetua" w:hAnsi="Perpetua" w:cs="Adobe Devanagari"/>
          <w:spacing w:val="-3"/>
          <w:sz w:val="26"/>
          <w:szCs w:val="26"/>
          <w:lang w:val="en-GB"/>
        </w:rPr>
        <w:t>t has been suggested that</w:t>
      </w:r>
      <w:r>
        <w:rPr>
          <w:rFonts w:ascii="Perpetua" w:hAnsi="Perpetua" w:cs="Adobe Devanagari"/>
          <w:spacing w:val="-3"/>
          <w:sz w:val="26"/>
          <w:szCs w:val="26"/>
          <w:lang w:val="en-GB"/>
        </w:rPr>
        <w:t xml:space="preserve"> h</w:t>
      </w:r>
      <w:r w:rsidR="0089542E">
        <w:rPr>
          <w:rFonts w:ascii="Perpetua" w:hAnsi="Perpetua" w:cs="Adobe Devanagari"/>
          <w:spacing w:val="-3"/>
          <w:sz w:val="26"/>
          <w:szCs w:val="26"/>
          <w:lang w:val="en-GB"/>
        </w:rPr>
        <w:t>aving been accused of being a whore, Desdemona appears like an alabaster statue towards the close of the play, as though she reverts to the binary opposite of having too much sexuality</w:t>
      </w:r>
      <w:r>
        <w:rPr>
          <w:rFonts w:ascii="Perpetua" w:hAnsi="Perpetua" w:cs="Adobe Devanagari"/>
          <w:spacing w:val="-3"/>
          <w:sz w:val="26"/>
          <w:szCs w:val="26"/>
          <w:lang w:val="en-GB"/>
        </w:rPr>
        <w:t>;</w:t>
      </w:r>
      <w:r w:rsidR="0089542E">
        <w:rPr>
          <w:rFonts w:ascii="Perpetua" w:hAnsi="Perpetua" w:cs="Adobe Devanagari"/>
          <w:spacing w:val="-3"/>
          <w:sz w:val="26"/>
          <w:szCs w:val="26"/>
          <w:lang w:val="en-GB"/>
        </w:rPr>
        <w:t xml:space="preserve"> t</w:t>
      </w:r>
      <w:r>
        <w:rPr>
          <w:rFonts w:ascii="Perpetua" w:hAnsi="Perpetua" w:cs="Adobe Devanagari"/>
          <w:spacing w:val="-3"/>
          <w:sz w:val="26"/>
          <w:szCs w:val="26"/>
          <w:lang w:val="en-GB"/>
        </w:rPr>
        <w:t>hat is,</w:t>
      </w:r>
      <w:r w:rsidR="0089542E">
        <w:rPr>
          <w:rFonts w:ascii="Perpetua" w:hAnsi="Perpetua" w:cs="Adobe Devanagari"/>
          <w:spacing w:val="-3"/>
          <w:sz w:val="26"/>
          <w:szCs w:val="26"/>
          <w:lang w:val="en-GB"/>
        </w:rPr>
        <w:t xml:space="preserve"> having too little.</w:t>
      </w:r>
      <w:r>
        <w:rPr>
          <w:rFonts w:ascii="Perpetua" w:hAnsi="Perpetua" w:cs="Adobe Devanagari"/>
          <w:spacing w:val="-3"/>
          <w:sz w:val="26"/>
          <w:szCs w:val="26"/>
          <w:lang w:val="en-GB"/>
        </w:rPr>
        <w:t xml:space="preserve"> Binary </w:t>
      </w:r>
      <w:r>
        <w:rPr>
          <w:rFonts w:ascii="Perpetua" w:hAnsi="Perpetua"/>
          <w:sz w:val="26"/>
          <w:szCs w:val="26"/>
        </w:rPr>
        <w:t>opposit</w:t>
      </w:r>
      <w:r>
        <w:rPr>
          <w:rFonts w:ascii="Perpetua" w:hAnsi="Perpetua"/>
          <w:sz w:val="26"/>
          <w:szCs w:val="26"/>
        </w:rPr>
        <w:t>es are</w:t>
      </w:r>
      <w:r>
        <w:rPr>
          <w:rFonts w:ascii="Perpetua" w:hAnsi="Perpetua"/>
          <w:sz w:val="26"/>
          <w:szCs w:val="26"/>
        </w:rPr>
        <w:t xml:space="preserve"> polarized terms that are defined by their opposition to each other</w:t>
      </w:r>
      <w:r w:rsidRPr="00AE7659">
        <w:rPr>
          <w:rFonts w:ascii="Perpetua" w:hAnsi="Perpetua"/>
          <w:sz w:val="26"/>
          <w:szCs w:val="26"/>
        </w:rPr>
        <w:t>.</w:t>
      </w:r>
      <w:r>
        <w:rPr>
          <w:rFonts w:ascii="Perpetua" w:hAnsi="Perpetua"/>
          <w:sz w:val="26"/>
          <w:szCs w:val="26"/>
        </w:rPr>
        <w:t xml:space="preserve"> </w:t>
      </w:r>
      <w:r>
        <w:rPr>
          <w:rFonts w:ascii="Perpetua" w:hAnsi="Perpetua"/>
          <w:sz w:val="26"/>
          <w:szCs w:val="26"/>
        </w:rPr>
        <w:t>They</w:t>
      </w:r>
      <w:r w:rsidRPr="00097604">
        <w:rPr>
          <w:rFonts w:ascii="Perpetua" w:hAnsi="Perpetua"/>
          <w:sz w:val="26"/>
          <w:szCs w:val="26"/>
        </w:rPr>
        <w:t xml:space="preserve"> </w:t>
      </w:r>
      <w:r w:rsidRPr="00AE7659">
        <w:rPr>
          <w:rFonts w:ascii="Perpetua" w:hAnsi="Perpetua"/>
          <w:sz w:val="26"/>
          <w:szCs w:val="26"/>
        </w:rPr>
        <w:t>arise only by repressing differences within the opposed terms or entities.</w:t>
      </w:r>
      <w:r>
        <w:rPr>
          <w:rFonts w:ascii="Perpetua" w:hAnsi="Perpetua"/>
          <w:sz w:val="26"/>
          <w:szCs w:val="26"/>
        </w:rPr>
        <w:t xml:space="preserve"> In her transgression, Desdemona had perhaps been fashioning a space between opposites, but accused of sexual immorality she reverts to </w:t>
      </w:r>
      <w:r w:rsidRPr="00AE7659">
        <w:rPr>
          <w:rFonts w:ascii="Perpetua" w:hAnsi="Perpetua"/>
          <w:sz w:val="26"/>
          <w:szCs w:val="26"/>
        </w:rPr>
        <w:t>accept</w:t>
      </w:r>
      <w:r>
        <w:rPr>
          <w:rFonts w:ascii="Perpetua" w:hAnsi="Perpetua"/>
          <w:sz w:val="26"/>
          <w:szCs w:val="26"/>
        </w:rPr>
        <w:t>ing</w:t>
      </w:r>
      <w:r w:rsidRPr="00AE7659">
        <w:rPr>
          <w:rFonts w:ascii="Perpetua" w:hAnsi="Perpetua"/>
          <w:sz w:val="26"/>
          <w:szCs w:val="26"/>
        </w:rPr>
        <w:t xml:space="preserve"> crucial structural elements of society and the associated value systems, and therefore </w:t>
      </w:r>
      <w:r>
        <w:rPr>
          <w:rFonts w:ascii="Perpetua" w:hAnsi="Perpetua"/>
          <w:sz w:val="26"/>
          <w:szCs w:val="26"/>
        </w:rPr>
        <w:t xml:space="preserve">her </w:t>
      </w:r>
      <w:r>
        <w:rPr>
          <w:rFonts w:ascii="Perpetua" w:hAnsi="Perpetua"/>
          <w:sz w:val="26"/>
          <w:szCs w:val="26"/>
        </w:rPr>
        <w:t>genuine</w:t>
      </w:r>
      <w:r w:rsidRPr="00AE7659">
        <w:rPr>
          <w:rFonts w:ascii="Perpetua" w:hAnsi="Perpetua"/>
          <w:sz w:val="26"/>
          <w:szCs w:val="26"/>
        </w:rPr>
        <w:t xml:space="preserve"> subversion is contained.</w:t>
      </w:r>
    </w:p>
    <w:p w:rsidR="00D21727" w:rsidRDefault="00D21727"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01C4A" w:rsidRPr="00C5232C" w:rsidRDefault="00C01C4A"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161752">
        <w:rPr>
          <w:rFonts w:ascii="Perpetua" w:hAnsi="Perpetua" w:cs="Adobe Devanagari"/>
          <w:b/>
          <w:spacing w:val="-3"/>
          <w:sz w:val="26"/>
          <w:szCs w:val="26"/>
          <w:lang w:val="en-GB"/>
        </w:rPr>
        <w:t>Othello’s tragic error and questions of fidelity, sexual jealousy, faithfulness, cynicism, trust, doubt, belief, knowledge, scepticism, proof,</w:t>
      </w:r>
      <w:r w:rsidRPr="007111BA">
        <w:rPr>
          <w:rFonts w:ascii="Perpetua" w:hAnsi="Perpetua" w:cs="Adobe Devanagari"/>
          <w:b/>
          <w:spacing w:val="-3"/>
          <w:sz w:val="26"/>
          <w:szCs w:val="26"/>
          <w:highlight w:val="yellow"/>
          <w:lang w:val="en-GB"/>
        </w:rPr>
        <w:t xml:space="preserve"> </w:t>
      </w:r>
      <w:r w:rsidRPr="007111BA">
        <w:rPr>
          <w:rFonts w:ascii="Perpetua" w:hAnsi="Perpetua" w:cs="Adobe Devanagari"/>
          <w:b/>
          <w:spacing w:val="-3"/>
          <w:sz w:val="26"/>
          <w:szCs w:val="26"/>
          <w:lang w:val="en-GB"/>
        </w:rPr>
        <w:t>seeming &amp; reality, acting the truth or wearing a mask,</w:t>
      </w:r>
      <w:r w:rsidRPr="00C5232C">
        <w:rPr>
          <w:rFonts w:ascii="Perpetua" w:hAnsi="Perpetua" w:cs="Adobe Devanagari"/>
          <w:b/>
          <w:spacing w:val="-3"/>
          <w:sz w:val="26"/>
          <w:szCs w:val="26"/>
          <w:lang w:val="en-GB"/>
        </w:rPr>
        <w:t xml:space="preserve"> verbal deception</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7111BA" w:rsidRDefault="007111BA" w:rsidP="007111B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an essay on early modern naturalistic acting, </w:t>
      </w:r>
      <w:proofErr w:type="spellStart"/>
      <w:r>
        <w:rPr>
          <w:rFonts w:ascii="Perpetua" w:hAnsi="Perpetua" w:cs="Adobe Devanagari"/>
          <w:spacing w:val="-3"/>
          <w:sz w:val="26"/>
          <w:szCs w:val="26"/>
          <w:lang w:val="en-GB"/>
        </w:rPr>
        <w:t>Jacalyn</w:t>
      </w:r>
      <w:proofErr w:type="spellEnd"/>
      <w:r>
        <w:rPr>
          <w:rFonts w:ascii="Perpetua" w:hAnsi="Perpetua" w:cs="Adobe Devanagari"/>
          <w:spacing w:val="-3"/>
          <w:sz w:val="26"/>
          <w:szCs w:val="26"/>
          <w:lang w:val="en-GB"/>
        </w:rPr>
        <w:t xml:space="preserve"> Royce writes the following:</w:t>
      </w:r>
    </w:p>
    <w:p w:rsidR="007111BA" w:rsidRPr="00B86B44" w:rsidRDefault="007111BA" w:rsidP="007111BA">
      <w:pPr>
        <w:tabs>
          <w:tab w:val="left" w:pos="-720"/>
          <w:tab w:val="left" w:pos="0"/>
        </w:tabs>
        <w:suppressAutoHyphens/>
        <w:snapToGrid/>
        <w:ind w:left="1134" w:right="1134"/>
        <w:rPr>
          <w:rFonts w:ascii="Perpetua" w:hAnsi="Perpetua" w:cs="Adobe Devanagari"/>
          <w:spacing w:val="-3"/>
          <w:szCs w:val="24"/>
          <w:lang w:val="en-GB"/>
        </w:rPr>
      </w:pPr>
    </w:p>
    <w:p w:rsidR="007111BA" w:rsidRPr="00B86B44" w:rsidRDefault="007111BA" w:rsidP="007111BA">
      <w:pPr>
        <w:tabs>
          <w:tab w:val="left" w:pos="-720"/>
          <w:tab w:val="left" w:pos="0"/>
        </w:tabs>
        <w:suppressAutoHyphens/>
        <w:snapToGrid/>
        <w:ind w:left="1134" w:right="1134"/>
        <w:rPr>
          <w:rFonts w:ascii="Perpetua" w:hAnsi="Perpetua" w:cs="Adobe Devanagari"/>
          <w:spacing w:val="-3"/>
          <w:szCs w:val="24"/>
          <w:lang w:val="en-GB"/>
        </w:rPr>
      </w:pPr>
      <w:r w:rsidRPr="00B86B44">
        <w:rPr>
          <w:rFonts w:ascii="Perpetua" w:hAnsi="Perpetua" w:cs="Adobe Devanagari"/>
          <w:spacing w:val="-3"/>
          <w:szCs w:val="24"/>
          <w:lang w:val="en-GB"/>
        </w:rPr>
        <w:t xml:space="preserve">The frequency with which so many other characters call Iago ‘Honest Iago’ indicates his success as an actor. If Iago didn’t inform the audience himself, they would be duped by his lies along with the characters. Shakespeare designed the </w:t>
      </w:r>
      <w:r w:rsidRPr="00B86B44">
        <w:rPr>
          <w:rFonts w:ascii="Perpetua" w:hAnsi="Perpetua" w:cs="Adobe Devanagari"/>
          <w:spacing w:val="-3"/>
          <w:szCs w:val="24"/>
          <w:lang w:val="en-GB"/>
        </w:rPr>
        <w:lastRenderedPageBreak/>
        <w:t xml:space="preserve">structure of </w:t>
      </w:r>
      <w:r w:rsidRPr="00B86B44">
        <w:rPr>
          <w:rFonts w:ascii="Perpetua" w:hAnsi="Perpetua" w:cs="Adobe Devanagari"/>
          <w:i/>
          <w:spacing w:val="-3"/>
          <w:szCs w:val="24"/>
          <w:lang w:val="en-GB"/>
        </w:rPr>
        <w:t>Othello</w:t>
      </w:r>
      <w:r w:rsidRPr="00B86B44">
        <w:rPr>
          <w:rFonts w:ascii="Perpetua" w:hAnsi="Perpetua" w:cs="Adobe Devanagari"/>
          <w:spacing w:val="-3"/>
          <w:szCs w:val="24"/>
          <w:lang w:val="en-GB"/>
        </w:rPr>
        <w:t xml:space="preserve"> so that it does not require the actor personating Iago to provide any physical or vocal markers of </w:t>
      </w:r>
      <w:proofErr w:type="spellStart"/>
      <w:r w:rsidRPr="00B86B44">
        <w:rPr>
          <w:rFonts w:ascii="Perpetua" w:hAnsi="Perpetua" w:cs="Adobe Devanagari"/>
          <w:spacing w:val="-3"/>
          <w:szCs w:val="24"/>
          <w:lang w:val="en-GB"/>
        </w:rPr>
        <w:t>fictionality</w:t>
      </w:r>
      <w:proofErr w:type="spellEnd"/>
      <w:r w:rsidRPr="00B86B44">
        <w:rPr>
          <w:rFonts w:ascii="Perpetua" w:hAnsi="Perpetua" w:cs="Adobe Devanagari"/>
          <w:spacing w:val="-3"/>
          <w:szCs w:val="24"/>
          <w:lang w:val="en-GB"/>
        </w:rPr>
        <w:t xml:space="preserve">. The script allows Iago to counterfeit ‘Honest Iago’ well and, at the same time, allows the actor to personate Iago without needing to play some scenes badly by displaying the artifice. Since Iago tells the audience his plans and rationale, the actor playing Iago need not </w:t>
      </w:r>
      <w:r w:rsidRPr="00B86B44">
        <w:rPr>
          <w:rFonts w:ascii="Perpetua" w:hAnsi="Perpetua" w:cs="Adobe Devanagari"/>
          <w:i/>
          <w:spacing w:val="-3"/>
          <w:szCs w:val="24"/>
          <w:lang w:val="en-GB"/>
        </w:rPr>
        <w:t>appear</w:t>
      </w:r>
      <w:r w:rsidRPr="00B86B44">
        <w:rPr>
          <w:rFonts w:ascii="Perpetua" w:hAnsi="Perpetua" w:cs="Adobe Devanagari"/>
          <w:spacing w:val="-3"/>
          <w:szCs w:val="24"/>
          <w:lang w:val="en-GB"/>
        </w:rPr>
        <w:t xml:space="preserve"> to be lying during the scenes of forged emotions and loyalties in order for the audience to recognize Iago’s forgery. Conversely, if the play required the actor to make it clear to the audience that Iago was lying </w:t>
      </w:r>
      <w:r w:rsidRPr="00B86B44">
        <w:rPr>
          <w:rFonts w:ascii="Perpetua" w:hAnsi="Perpetua" w:cs="Adobe Devanagari"/>
          <w:i/>
          <w:spacing w:val="-3"/>
          <w:szCs w:val="24"/>
          <w:lang w:val="en-GB"/>
        </w:rPr>
        <w:t>while</w:t>
      </w:r>
      <w:r w:rsidRPr="00B86B44">
        <w:rPr>
          <w:rFonts w:ascii="Perpetua" w:hAnsi="Perpetua" w:cs="Adobe Devanagari"/>
          <w:spacing w:val="-3"/>
          <w:szCs w:val="24"/>
          <w:lang w:val="en-GB"/>
        </w:rPr>
        <w:t xml:space="preserve"> Iago lied to the other characters, the actor would need to overact or to make mistakes in disguising Iago’s intentions. In that case, Iago’s ‘acting’ would fool no one in the story – or, at least, the audience might have trouble believing that the characters are deceived. The combination of good personating by the actor and good counterfeiting by the character makes plausible Emilia’s inability to recognize her husband as the instigator of violence.</w:t>
      </w:r>
      <w:r w:rsidRPr="00B86B44">
        <w:rPr>
          <w:rStyle w:val="FootnoteReference"/>
          <w:rFonts w:ascii="Perpetua" w:hAnsi="Perpetua" w:cs="Adobe Devanagari"/>
          <w:spacing w:val="-3"/>
          <w:szCs w:val="24"/>
          <w:lang w:val="en-GB"/>
        </w:rPr>
        <w:footnoteReference w:id="25"/>
      </w:r>
    </w:p>
    <w:p w:rsidR="007111BA" w:rsidRDefault="007111BA" w:rsidP="007111BA">
      <w:pPr>
        <w:tabs>
          <w:tab w:val="left" w:pos="-720"/>
          <w:tab w:val="left" w:pos="0"/>
        </w:tabs>
        <w:suppressAutoHyphens/>
        <w:snapToGrid/>
        <w:spacing w:line="276" w:lineRule="auto"/>
        <w:rPr>
          <w:rFonts w:ascii="Perpetua" w:hAnsi="Perpetua" w:cs="Adobe Devanagari"/>
          <w:spacing w:val="-3"/>
          <w:sz w:val="26"/>
          <w:szCs w:val="26"/>
          <w:lang w:val="en-GB"/>
        </w:rPr>
      </w:pPr>
    </w:p>
    <w:p w:rsidR="00654C21" w:rsidRDefault="00654C21" w:rsidP="00654C21">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‘Iago is often viewed by critics as the consummate rhetorician, whose social class denies him the opportunity to show off his linguistic virtuosity in public, obliging him instead to test it out in private situations.’</w:t>
      </w:r>
      <w:r>
        <w:rPr>
          <w:rStyle w:val="FootnoteReference"/>
          <w:rFonts w:ascii="Perpetua" w:hAnsi="Perpetua" w:cs="Adobe Devanagari"/>
          <w:spacing w:val="-3"/>
          <w:sz w:val="26"/>
          <w:szCs w:val="26"/>
          <w:lang w:val="en-GB"/>
        </w:rPr>
        <w:footnoteReference w:id="26"/>
      </w:r>
    </w:p>
    <w:p w:rsidR="00654C21" w:rsidRPr="0029540B" w:rsidRDefault="00654C21" w:rsidP="00654C21">
      <w:pPr>
        <w:tabs>
          <w:tab w:val="left" w:pos="-720"/>
          <w:tab w:val="left" w:pos="0"/>
        </w:tabs>
        <w:suppressAutoHyphens/>
        <w:snapToGrid/>
        <w:ind w:left="1134" w:right="1134"/>
        <w:rPr>
          <w:rFonts w:ascii="Perpetua" w:hAnsi="Perpetua" w:cs="Adobe Devanagari"/>
          <w:spacing w:val="-3"/>
          <w:szCs w:val="24"/>
          <w:lang w:val="en-GB"/>
        </w:rPr>
      </w:pPr>
    </w:p>
    <w:p w:rsidR="00654C21" w:rsidRPr="0029540B" w:rsidRDefault="00654C21" w:rsidP="00654C21">
      <w:pPr>
        <w:tabs>
          <w:tab w:val="left" w:pos="-720"/>
          <w:tab w:val="left" w:pos="0"/>
        </w:tabs>
        <w:suppressAutoHyphens/>
        <w:snapToGrid/>
        <w:ind w:left="1134" w:right="1134"/>
        <w:rPr>
          <w:rFonts w:ascii="Perpetua" w:hAnsi="Perpetua" w:cs="Adobe Devanagari"/>
          <w:spacing w:val="-3"/>
          <w:szCs w:val="24"/>
          <w:lang w:val="en-GB"/>
        </w:rPr>
      </w:pPr>
      <w:r w:rsidRPr="0029540B">
        <w:rPr>
          <w:rFonts w:ascii="Perpetua" w:hAnsi="Perpetua" w:cs="Adobe Devanagari"/>
          <w:spacing w:val="-3"/>
          <w:szCs w:val="24"/>
          <w:lang w:val="en-GB"/>
        </w:rPr>
        <w:t>Iago’s sophisticated understanding of language allows him to disrupt the linguistic confidence and decorum of others. His verbal manipulations are exercised first on the relatively easy target, Roderigo, then on the rather more challenging figure of Cassio and, finally, on his ‘prize’ victim, Othello. In one scene, Iago attempts to force Cassio out of his ‘gentlemanly’ habit of speaking: [II.iii.18-23]. Played out here is a tussle between two modes of discourse: that of courtly love and that of a crude demotic [ordinary colloquial speech]. Iago’s following up of words such as ‘exquisite’ with the suggesting metaphor of ‘full of game’ is not only an invitation to Cassio to lower his social standing by taking on the idiom of common misogyny, it also draws attention to the register and tone. Is the language of courtly love no more than a verbal cover-up for brute physical desire?</w:t>
      </w:r>
      <w:r w:rsidRPr="0029540B">
        <w:rPr>
          <w:rStyle w:val="FootnoteReference"/>
          <w:rFonts w:ascii="Perpetua" w:hAnsi="Perpetua" w:cs="Adobe Devanagari"/>
          <w:spacing w:val="-3"/>
          <w:szCs w:val="24"/>
          <w:lang w:val="en-GB"/>
        </w:rPr>
        <w:footnoteReference w:id="27"/>
      </w:r>
    </w:p>
    <w:p w:rsidR="00654C21" w:rsidRPr="0029540B" w:rsidRDefault="00654C21" w:rsidP="00654C21">
      <w:pPr>
        <w:tabs>
          <w:tab w:val="left" w:pos="-720"/>
          <w:tab w:val="left" w:pos="0"/>
        </w:tabs>
        <w:suppressAutoHyphens/>
        <w:snapToGrid/>
        <w:ind w:left="1134" w:right="1134"/>
        <w:rPr>
          <w:rFonts w:ascii="Perpetua" w:hAnsi="Perpetua" w:cs="Adobe Devanagari"/>
          <w:spacing w:val="-3"/>
          <w:szCs w:val="24"/>
          <w:lang w:val="en-GB"/>
        </w:rPr>
      </w:pPr>
    </w:p>
    <w:p w:rsidR="007111BA" w:rsidRDefault="007111BA" w:rsidP="007111B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According to Bickley and Stevens: </w:t>
      </w:r>
    </w:p>
    <w:p w:rsidR="007111BA" w:rsidRPr="003961B8" w:rsidRDefault="007111BA" w:rsidP="007111BA">
      <w:pPr>
        <w:tabs>
          <w:tab w:val="left" w:pos="-720"/>
          <w:tab w:val="left" w:pos="0"/>
        </w:tabs>
        <w:suppressAutoHyphens/>
        <w:snapToGrid/>
        <w:ind w:left="1134" w:right="1134"/>
        <w:rPr>
          <w:rFonts w:ascii="Perpetua" w:hAnsi="Perpetua" w:cs="Adobe Devanagari"/>
          <w:spacing w:val="-3"/>
          <w:szCs w:val="24"/>
          <w:lang w:val="en-GB"/>
        </w:rPr>
      </w:pPr>
    </w:p>
    <w:p w:rsidR="007111BA" w:rsidRPr="003961B8" w:rsidRDefault="007111BA" w:rsidP="007111BA">
      <w:pPr>
        <w:tabs>
          <w:tab w:val="left" w:pos="-720"/>
          <w:tab w:val="left" w:pos="0"/>
        </w:tabs>
        <w:suppressAutoHyphens/>
        <w:snapToGrid/>
        <w:ind w:left="1134" w:right="1134"/>
        <w:rPr>
          <w:rFonts w:ascii="Perpetua" w:hAnsi="Perpetua" w:cs="Adobe Devanagari"/>
          <w:spacing w:val="-3"/>
          <w:szCs w:val="24"/>
          <w:lang w:val="en-GB"/>
        </w:rPr>
      </w:pPr>
      <w:r w:rsidRPr="003961B8">
        <w:rPr>
          <w:rFonts w:ascii="Perpetua" w:hAnsi="Perpetua" w:cs="Adobe Devanagari"/>
          <w:i/>
          <w:spacing w:val="-3"/>
          <w:szCs w:val="24"/>
          <w:lang w:val="en-GB"/>
        </w:rPr>
        <w:t>Othello</w:t>
      </w:r>
      <w:r w:rsidRPr="003961B8">
        <w:rPr>
          <w:rFonts w:ascii="Perpetua" w:hAnsi="Perpetua" w:cs="Adobe Devanagari"/>
          <w:spacing w:val="-3"/>
          <w:szCs w:val="24"/>
          <w:lang w:val="en-GB"/>
        </w:rPr>
        <w:t xml:space="preserve"> is especially notable for its insistence on making the audience hyper-conscious of the words they hear spoken. As the play progresses, so the usual transparency of verbal communication begins to thicken and, rather like when we are made to think about the operation of breathing, the process is rendered strange and unnatural.</w:t>
      </w:r>
      <w:r w:rsidRPr="003961B8">
        <w:rPr>
          <w:rStyle w:val="FootnoteReference"/>
          <w:rFonts w:ascii="Perpetua" w:hAnsi="Perpetua" w:cs="Adobe Devanagari"/>
          <w:spacing w:val="-3"/>
          <w:szCs w:val="24"/>
          <w:lang w:val="en-GB"/>
        </w:rPr>
        <w:footnoteReference w:id="28"/>
      </w:r>
    </w:p>
    <w:p w:rsidR="007111BA" w:rsidRPr="003961B8" w:rsidRDefault="007111BA" w:rsidP="007111BA">
      <w:pPr>
        <w:tabs>
          <w:tab w:val="left" w:pos="-720"/>
          <w:tab w:val="left" w:pos="0"/>
        </w:tabs>
        <w:suppressAutoHyphens/>
        <w:snapToGrid/>
        <w:ind w:left="1134" w:right="1134"/>
        <w:rPr>
          <w:rFonts w:ascii="Perpetua" w:hAnsi="Perpetua" w:cs="Adobe Devanagari"/>
          <w:spacing w:val="-3"/>
          <w:szCs w:val="24"/>
          <w:lang w:val="en-GB"/>
        </w:rPr>
      </w:pPr>
    </w:p>
    <w:p w:rsidR="007111BA" w:rsidRPr="002D78F4" w:rsidRDefault="002D78F4" w:rsidP="007111B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w:t>
      </w:r>
      <w:r>
        <w:rPr>
          <w:rFonts w:ascii="Perpetua" w:hAnsi="Perpetua" w:cs="Adobe Devanagari"/>
          <w:i/>
          <w:spacing w:val="-3"/>
          <w:sz w:val="26"/>
          <w:szCs w:val="26"/>
          <w:lang w:val="en-GB"/>
        </w:rPr>
        <w:t>Othello</w:t>
      </w:r>
      <w:r>
        <w:rPr>
          <w:rFonts w:ascii="Perpetua" w:hAnsi="Perpetua" w:cs="Adobe Devanagari"/>
          <w:spacing w:val="-3"/>
          <w:sz w:val="26"/>
          <w:szCs w:val="26"/>
          <w:lang w:val="en-GB"/>
        </w:rPr>
        <w:t>, the idea that language reveals, hides, and even creates truth and reality is perhaps even more prominent than in many other plays of the period.</w:t>
      </w:r>
      <w:r w:rsidR="00FF71CB">
        <w:rPr>
          <w:rFonts w:ascii="Perpetua" w:hAnsi="Perpetua" w:cs="Adobe Devanagari"/>
          <w:spacing w:val="-3"/>
          <w:sz w:val="26"/>
          <w:szCs w:val="26"/>
          <w:lang w:val="en-GB"/>
        </w:rPr>
        <w:t xml:space="preserve"> The language has been described as </w:t>
      </w:r>
      <w:r w:rsidR="00A75237">
        <w:rPr>
          <w:rFonts w:ascii="Perpetua" w:hAnsi="Perpetua" w:cs="Adobe Devanagari"/>
          <w:spacing w:val="-3"/>
          <w:sz w:val="26"/>
          <w:szCs w:val="26"/>
          <w:lang w:val="en-GB"/>
        </w:rPr>
        <w:t xml:space="preserve">highly coloured, rich in sound and phrase, but ‘turned to discord by the ugly, cynical intellectuality of </w:t>
      </w:r>
      <w:r w:rsidR="00A75237">
        <w:rPr>
          <w:rFonts w:ascii="Perpetua" w:hAnsi="Perpetua" w:cs="Adobe Devanagari"/>
          <w:spacing w:val="-3"/>
          <w:sz w:val="26"/>
          <w:szCs w:val="26"/>
          <w:lang w:val="en-GB"/>
        </w:rPr>
        <w:lastRenderedPageBreak/>
        <w:t>Iago’.</w:t>
      </w:r>
      <w:r w:rsidR="00A75237">
        <w:rPr>
          <w:rStyle w:val="FootnoteReference"/>
          <w:rFonts w:ascii="Perpetua" w:hAnsi="Perpetua" w:cs="Adobe Devanagari"/>
          <w:spacing w:val="-3"/>
          <w:sz w:val="26"/>
          <w:szCs w:val="26"/>
          <w:lang w:val="en-GB"/>
        </w:rPr>
        <w:footnoteReference w:id="29"/>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A44068" w:rsidRPr="00161752" w:rsidRDefault="00A44068"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‘Othello and the Stake of the </w:t>
      </w:r>
      <w:proofErr w:type="gramStart"/>
      <w:r>
        <w:rPr>
          <w:rFonts w:ascii="Perpetua" w:hAnsi="Perpetua" w:cs="Adobe Devanagari"/>
          <w:spacing w:val="-3"/>
          <w:sz w:val="26"/>
          <w:szCs w:val="26"/>
          <w:lang w:val="en-GB"/>
        </w:rPr>
        <w:t>Other</w:t>
      </w:r>
      <w:proofErr w:type="gramEnd"/>
      <w:r>
        <w:rPr>
          <w:rFonts w:ascii="Perpetua" w:hAnsi="Perpetua" w:cs="Adobe Devanagari"/>
          <w:spacing w:val="-3"/>
          <w:sz w:val="26"/>
          <w:szCs w:val="26"/>
          <w:lang w:val="en-GB"/>
        </w:rPr>
        <w:t>’,</w:t>
      </w:r>
      <w:r>
        <w:rPr>
          <w:rStyle w:val="FootnoteReference"/>
          <w:rFonts w:ascii="Perpetua" w:hAnsi="Perpetua" w:cs="Adobe Devanagari"/>
          <w:spacing w:val="-3"/>
          <w:sz w:val="26"/>
          <w:szCs w:val="26"/>
          <w:lang w:val="en-GB"/>
        </w:rPr>
        <w:footnoteReference w:id="30"/>
      </w:r>
      <w:r w:rsidR="00161752">
        <w:rPr>
          <w:rFonts w:ascii="Perpetua" w:hAnsi="Perpetua" w:cs="Adobe Devanagari"/>
          <w:spacing w:val="-3"/>
          <w:sz w:val="26"/>
          <w:szCs w:val="26"/>
          <w:lang w:val="en-GB"/>
        </w:rPr>
        <w:t xml:space="preserve"> </w:t>
      </w:r>
      <w:r w:rsidR="00161752">
        <w:rPr>
          <w:rFonts w:ascii="Perpetua" w:hAnsi="Perpetua" w:cs="Adobe Devanagari"/>
          <w:spacing w:val="-3"/>
          <w:sz w:val="26"/>
          <w:szCs w:val="26"/>
          <w:lang w:val="en-GB"/>
        </w:rPr>
        <w:t>Stanley Cavell</w:t>
      </w:r>
      <w:r w:rsidR="00161752">
        <w:rPr>
          <w:rFonts w:ascii="Perpetua" w:hAnsi="Perpetua" w:cs="Adobe Devanagari"/>
          <w:spacing w:val="-3"/>
          <w:sz w:val="26"/>
          <w:szCs w:val="26"/>
          <w:lang w:val="en-GB"/>
        </w:rPr>
        <w:t xml:space="preserve"> explores </w:t>
      </w:r>
      <w:r w:rsidR="00161752">
        <w:rPr>
          <w:rFonts w:ascii="Perpetua" w:hAnsi="Perpetua" w:cs="Adobe Devanagari"/>
          <w:i/>
          <w:spacing w:val="-3"/>
          <w:sz w:val="26"/>
          <w:szCs w:val="26"/>
          <w:lang w:val="en-GB"/>
        </w:rPr>
        <w:t>Othello</w:t>
      </w:r>
      <w:r w:rsidR="00161752">
        <w:rPr>
          <w:rFonts w:ascii="Perpetua" w:hAnsi="Perpetua" w:cs="Adobe Devanagari"/>
          <w:spacing w:val="-3"/>
          <w:sz w:val="26"/>
          <w:szCs w:val="26"/>
          <w:lang w:val="en-GB"/>
        </w:rPr>
        <w:t xml:space="preserve"> in terms of ‘the deep connections between tragedy and scepticism, both of which are fuelled, he maintains, by a fierce denial of belief</w:t>
      </w:r>
      <w:r w:rsidR="00FA78FC">
        <w:rPr>
          <w:rFonts w:ascii="Perpetua" w:hAnsi="Perpetua" w:cs="Adobe Devanagari"/>
          <w:spacing w:val="-3"/>
          <w:sz w:val="26"/>
          <w:szCs w:val="26"/>
          <w:lang w:val="en-GB"/>
        </w:rPr>
        <w:t>’</w:t>
      </w:r>
      <w:r w:rsidR="00161752">
        <w:rPr>
          <w:rFonts w:ascii="Perpetua" w:hAnsi="Perpetua" w:cs="Adobe Devanagari"/>
          <w:spacing w:val="-3"/>
          <w:sz w:val="26"/>
          <w:szCs w:val="26"/>
          <w:lang w:val="en-GB"/>
        </w:rPr>
        <w:t xml:space="preserve">. ‘Othello wishes to deny that Desdemona is less than perfect; he cannot forgive her for being </w:t>
      </w:r>
      <w:r w:rsidR="00161752">
        <w:rPr>
          <w:rFonts w:ascii="Perpetua" w:hAnsi="Perpetua" w:cs="Adobe Devanagari"/>
          <w:i/>
          <w:spacing w:val="-3"/>
          <w:sz w:val="26"/>
          <w:szCs w:val="26"/>
          <w:lang w:val="en-GB"/>
        </w:rPr>
        <w:t>other</w:t>
      </w:r>
      <w:r w:rsidR="00161752">
        <w:rPr>
          <w:rFonts w:ascii="Perpetua" w:hAnsi="Perpetua" w:cs="Adobe Devanagari"/>
          <w:spacing w:val="-3"/>
          <w:sz w:val="26"/>
          <w:szCs w:val="26"/>
          <w:lang w:val="en-GB"/>
        </w:rPr>
        <w:t xml:space="preserve"> than himself’. According to </w:t>
      </w:r>
      <w:proofErr w:type="spellStart"/>
      <w:r w:rsidR="00161752">
        <w:rPr>
          <w:rFonts w:ascii="Perpetua" w:hAnsi="Perpetua" w:cs="Adobe Devanagari"/>
          <w:spacing w:val="-3"/>
          <w:sz w:val="26"/>
          <w:szCs w:val="26"/>
          <w:lang w:val="en-GB"/>
        </w:rPr>
        <w:t>Hapgood</w:t>
      </w:r>
      <w:proofErr w:type="spellEnd"/>
      <w:r w:rsidR="00161752">
        <w:rPr>
          <w:rFonts w:ascii="Perpetua" w:hAnsi="Perpetua" w:cs="Adobe Devanagari"/>
          <w:spacing w:val="-3"/>
          <w:sz w:val="26"/>
          <w:szCs w:val="26"/>
          <w:lang w:val="en-GB"/>
        </w:rPr>
        <w:t xml:space="preserve">: ‘Such denial of belief in an unwelcome reality is highly resonant; it may be seen in Desdemona, Iago, and other characters as well. But to Cavell it is Othello’s appalled discovery of Desdemona’s sexuality, not her presumed </w:t>
      </w:r>
      <w:proofErr w:type="gramStart"/>
      <w:r w:rsidR="00161752">
        <w:rPr>
          <w:rFonts w:ascii="Perpetua" w:hAnsi="Perpetua" w:cs="Adobe Devanagari"/>
          <w:spacing w:val="-3"/>
          <w:sz w:val="26"/>
          <w:szCs w:val="26"/>
          <w:lang w:val="en-GB"/>
        </w:rPr>
        <w:t>infidelity, that</w:t>
      </w:r>
      <w:proofErr w:type="gramEnd"/>
      <w:r w:rsidR="00161752">
        <w:rPr>
          <w:rFonts w:ascii="Perpetua" w:hAnsi="Perpetua" w:cs="Adobe Devanagari"/>
          <w:spacing w:val="-3"/>
          <w:sz w:val="26"/>
          <w:szCs w:val="26"/>
          <w:lang w:val="en-GB"/>
        </w:rPr>
        <w:t xml:space="preserve"> causes his change of heart.’</w:t>
      </w:r>
      <w:r w:rsidR="00161752">
        <w:rPr>
          <w:rStyle w:val="FootnoteReference"/>
          <w:rFonts w:ascii="Perpetua" w:hAnsi="Perpetua" w:cs="Adobe Devanagari"/>
          <w:spacing w:val="-3"/>
          <w:sz w:val="26"/>
          <w:szCs w:val="26"/>
          <w:lang w:val="en-GB"/>
        </w:rPr>
        <w:footnoteReference w:id="31"/>
      </w:r>
    </w:p>
    <w:p w:rsidR="00FE349E" w:rsidRDefault="00FE349E"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161752" w:rsidRPr="00C5232C" w:rsidRDefault="00161752"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Pr="00C5232C"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FE349E">
        <w:rPr>
          <w:rFonts w:ascii="Perpetua" w:hAnsi="Perpetua"/>
          <w:b/>
          <w:spacing w:val="-3"/>
          <w:sz w:val="26"/>
          <w:szCs w:val="26"/>
        </w:rPr>
        <w:t>Inwardness and subjectivity that are simultaneously bodily, psychological and spiritual; the idea of extraction of moral and psychological knowledge from within the human body (‘Othello: By heaven, I’ll know thy thoughts. / Iago: You cannot, if my heart were in your hand’. III.iii.166-67)</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2D78F4" w:rsidRDefault="002D78F4"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In Act III, Scene iii, lines 166-68, Othello declares to Iago, ‘By heaven, I’ll know thy thoughts’, to which Iago responds, ‘</w:t>
      </w:r>
      <w:proofErr w:type="gramStart"/>
      <w:r>
        <w:rPr>
          <w:rFonts w:ascii="Perpetua" w:hAnsi="Perpetua" w:cs="Adobe Devanagari"/>
          <w:spacing w:val="-3"/>
          <w:sz w:val="26"/>
          <w:szCs w:val="26"/>
          <w:lang w:val="en-GB"/>
        </w:rPr>
        <w:t>You</w:t>
      </w:r>
      <w:proofErr w:type="gramEnd"/>
      <w:r>
        <w:rPr>
          <w:rFonts w:ascii="Perpetua" w:hAnsi="Perpetua" w:cs="Adobe Devanagari"/>
          <w:spacing w:val="-3"/>
          <w:sz w:val="26"/>
          <w:szCs w:val="26"/>
          <w:lang w:val="en-GB"/>
        </w:rPr>
        <w:t xml:space="preserve"> cannot, if my heart were in your hand; / Nor shall not whilst ’tis in my custody.’ This moment of inscrutability provides an index to the whole play’s preoccupations with</w:t>
      </w:r>
      <w:r w:rsidR="00FE349E">
        <w:rPr>
          <w:rFonts w:ascii="Perpetua" w:hAnsi="Perpetua" w:cs="Adobe Devanagari"/>
          <w:spacing w:val="-3"/>
          <w:sz w:val="26"/>
          <w:szCs w:val="26"/>
          <w:lang w:val="en-GB"/>
        </w:rPr>
        <w:t xml:space="preserve"> trust,</w:t>
      </w:r>
      <w:r>
        <w:rPr>
          <w:rFonts w:ascii="Perpetua" w:hAnsi="Perpetua" w:cs="Adobe Devanagari"/>
          <w:spacing w:val="-3"/>
          <w:sz w:val="26"/>
          <w:szCs w:val="26"/>
          <w:lang w:val="en-GB"/>
        </w:rPr>
        <w:t xml:space="preserve"> doubt</w:t>
      </w:r>
      <w:r w:rsidR="00161752">
        <w:rPr>
          <w:rFonts w:ascii="Perpetua" w:hAnsi="Perpetua" w:cs="Adobe Devanagari"/>
          <w:spacing w:val="-3"/>
          <w:sz w:val="26"/>
          <w:szCs w:val="26"/>
          <w:lang w:val="en-GB"/>
        </w:rPr>
        <w:t>, scepticism,</w:t>
      </w:r>
      <w:r>
        <w:rPr>
          <w:rFonts w:ascii="Perpetua" w:hAnsi="Perpetua" w:cs="Adobe Devanagari"/>
          <w:spacing w:val="-3"/>
          <w:sz w:val="26"/>
          <w:szCs w:val="26"/>
          <w:lang w:val="en-GB"/>
        </w:rPr>
        <w:t xml:space="preserve"> and the desire for proof. Iago seems to suggest that despite the notion that somehow anatomically moral and psychological knowledge of another person can be extracted from within their body, </w:t>
      </w:r>
      <w:r w:rsidR="00FE349E">
        <w:rPr>
          <w:rFonts w:ascii="Perpetua" w:hAnsi="Perpetua" w:cs="Adobe Devanagari"/>
          <w:spacing w:val="-3"/>
          <w:sz w:val="26"/>
          <w:szCs w:val="26"/>
          <w:lang w:val="en-GB"/>
        </w:rPr>
        <w:t>the body is ultimately opaque, impenetrable in this sense.</w:t>
      </w:r>
    </w:p>
    <w:p w:rsidR="00B86B44" w:rsidRDefault="00B86B44"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5232C" w:rsidRP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5232C" w:rsidRPr="00161752" w:rsidRDefault="00EC5382" w:rsidP="00A9444C">
      <w:pPr>
        <w:pStyle w:val="ListParagraph"/>
        <w:numPr>
          <w:ilvl w:val="0"/>
          <w:numId w:val="8"/>
        </w:numPr>
        <w:tabs>
          <w:tab w:val="left" w:pos="-720"/>
          <w:tab w:val="left" w:pos="0"/>
        </w:tabs>
        <w:suppressAutoHyphens/>
        <w:snapToGrid/>
        <w:spacing w:line="276" w:lineRule="auto"/>
        <w:rPr>
          <w:rFonts w:ascii="Perpetua" w:hAnsi="Perpetua" w:cs="Adobe Devanagari"/>
          <w:spacing w:val="-3"/>
          <w:sz w:val="26"/>
          <w:szCs w:val="26"/>
          <w:lang w:val="en-GB"/>
        </w:rPr>
      </w:pPr>
      <w:r w:rsidRPr="00161752">
        <w:rPr>
          <w:rFonts w:ascii="Perpetua" w:hAnsi="Perpetua" w:cs="Adobe Devanagari"/>
          <w:b/>
          <w:spacing w:val="-3"/>
          <w:sz w:val="26"/>
          <w:szCs w:val="26"/>
          <w:lang w:val="en-GB"/>
        </w:rPr>
        <w:t>Judgement, justice, and revenge (‘a wild kind of justice’)</w:t>
      </w:r>
      <w:r w:rsidR="00161752" w:rsidRPr="00161752">
        <w:rPr>
          <w:rFonts w:ascii="Perpetua" w:hAnsi="Perpetua" w:cs="Adobe Devanagari"/>
          <w:b/>
          <w:spacing w:val="-3"/>
          <w:sz w:val="26"/>
          <w:szCs w:val="26"/>
          <w:lang w:val="en-GB"/>
        </w:rPr>
        <w:t>; and</w:t>
      </w:r>
    </w:p>
    <w:p w:rsidR="00EC5382"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161752">
        <w:rPr>
          <w:rFonts w:ascii="Perpetua" w:hAnsi="Perpetua" w:cs="Adobe Devanagari"/>
          <w:b/>
          <w:spacing w:val="-3"/>
          <w:sz w:val="26"/>
          <w:szCs w:val="26"/>
          <w:lang w:val="en-GB"/>
        </w:rPr>
        <w:t>Fear of deep and complex feelings; anxieties about control</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03FD5" w:rsidRDefault="00C03FD5"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One focus of the very intense relationships between Desdemona, Othello, and Iago involves questions of control:</w:t>
      </w:r>
    </w:p>
    <w:p w:rsidR="00C03FD5" w:rsidRPr="00C03FD5" w:rsidRDefault="00C03FD5" w:rsidP="00C03FD5">
      <w:pPr>
        <w:tabs>
          <w:tab w:val="left" w:pos="-720"/>
          <w:tab w:val="left" w:pos="0"/>
        </w:tabs>
        <w:suppressAutoHyphens/>
        <w:snapToGrid/>
        <w:ind w:left="1134" w:right="1134"/>
        <w:rPr>
          <w:rFonts w:ascii="Perpetua" w:hAnsi="Perpetua" w:cs="Adobe Devanagari"/>
          <w:spacing w:val="-3"/>
          <w:szCs w:val="24"/>
          <w:lang w:val="en-GB"/>
        </w:rPr>
      </w:pPr>
    </w:p>
    <w:p w:rsidR="00C03FD5" w:rsidRPr="00C03FD5" w:rsidRDefault="00C03FD5" w:rsidP="00C03FD5">
      <w:pPr>
        <w:tabs>
          <w:tab w:val="left" w:pos="-720"/>
          <w:tab w:val="left" w:pos="0"/>
        </w:tabs>
        <w:suppressAutoHyphens/>
        <w:snapToGrid/>
        <w:ind w:left="1134" w:right="1134"/>
        <w:rPr>
          <w:rFonts w:ascii="Perpetua" w:hAnsi="Perpetua" w:cs="Adobe Devanagari"/>
          <w:spacing w:val="-3"/>
          <w:szCs w:val="24"/>
          <w:lang w:val="en-GB"/>
        </w:rPr>
      </w:pPr>
      <w:r w:rsidRPr="00C03FD5">
        <w:rPr>
          <w:rFonts w:ascii="Perpetua" w:hAnsi="Perpetua" w:cs="Adobe Devanagari"/>
          <w:spacing w:val="-3"/>
          <w:szCs w:val="24"/>
          <w:lang w:val="en-GB"/>
        </w:rPr>
        <w:t xml:space="preserve">All the leading characters are strong-willed. None of them knows when to stop. When at the beginning Othello and Desdemona dominate, they feel ‘free’ and sure of themselves, wonderfully poised and self-controlled. Their self-possession will be lost, utterly […], as their inner and domestic lives are thrown into chaos. As Iago more and more takes control, he more and more defines the world of then play. It is one of torment and cruelty […], in which impulses toward destruction and self-destruction have been released, in which sexual passion turns perverse to the point of madness, in which the controlled violence of </w:t>
      </w:r>
      <w:r w:rsidRPr="00C03FD5">
        <w:rPr>
          <w:rFonts w:ascii="Perpetua" w:hAnsi="Perpetua" w:cs="Adobe Devanagari"/>
          <w:spacing w:val="-3"/>
          <w:szCs w:val="24"/>
          <w:lang w:val="en-GB"/>
        </w:rPr>
        <w:lastRenderedPageBreak/>
        <w:t>justice because a mask for revenge. This has become a world in which consequences enormously exceed their causes […]. The consequent sufferings also release overwhelming surges of grief, pity, and – ironically – love. Eventually, the chaos extends so far that Iago himself loses control, and chance and circumstance increasingly take charge […].</w:t>
      </w:r>
      <w:r w:rsidRPr="00C03FD5">
        <w:rPr>
          <w:rStyle w:val="FootnoteReference"/>
          <w:rFonts w:ascii="Perpetua" w:hAnsi="Perpetua" w:cs="Adobe Devanagari"/>
          <w:spacing w:val="-3"/>
          <w:szCs w:val="24"/>
          <w:lang w:val="en-GB"/>
        </w:rPr>
        <w:footnoteReference w:id="32"/>
      </w:r>
    </w:p>
    <w:p w:rsidR="00161752" w:rsidRPr="00C03FD5" w:rsidRDefault="00161752" w:rsidP="00C03FD5">
      <w:pPr>
        <w:tabs>
          <w:tab w:val="left" w:pos="-720"/>
          <w:tab w:val="left" w:pos="0"/>
        </w:tabs>
        <w:suppressAutoHyphens/>
        <w:snapToGrid/>
        <w:ind w:left="1134" w:right="1134"/>
        <w:rPr>
          <w:rFonts w:ascii="Perpetua" w:hAnsi="Perpetua" w:cs="Adobe Devanagari"/>
          <w:spacing w:val="-3"/>
          <w:szCs w:val="24"/>
          <w:lang w:val="en-GB"/>
        </w:rPr>
      </w:pPr>
    </w:p>
    <w:p w:rsidR="00161752" w:rsidRPr="00D21727" w:rsidRDefault="00161752" w:rsidP="00161752">
      <w:pPr>
        <w:tabs>
          <w:tab w:val="left" w:pos="-720"/>
          <w:tab w:val="left" w:pos="0"/>
        </w:tabs>
        <w:suppressAutoHyphens/>
        <w:snapToGrid/>
        <w:ind w:left="1134" w:right="1134"/>
        <w:rPr>
          <w:rFonts w:ascii="Perpetua" w:hAnsi="Perpetua" w:cs="Adobe Devanagari"/>
          <w:spacing w:val="-3"/>
          <w:szCs w:val="24"/>
          <w:lang w:val="en-GB"/>
        </w:rPr>
      </w:pPr>
      <w:r w:rsidRPr="00D21727">
        <w:rPr>
          <w:rFonts w:ascii="Perpetua" w:hAnsi="Perpetua" w:cs="Adobe Devanagari"/>
          <w:spacing w:val="-3"/>
          <w:szCs w:val="24"/>
          <w:lang w:val="en-GB"/>
        </w:rPr>
        <w:t xml:space="preserve">It is a commonly held view that the killing of Desdemona materializes the early modern association of death and sex. In Elizabethan English ‘to die’ could mean to orgasm, a metaphor which carried with it a sense of oblivion and annihilation far removed from our modern use of the verb ‘to come’. In stage and screen performances, Othello often suffocates Desdemona in a manner evoking the throes of orgasm, a </w:t>
      </w:r>
      <w:proofErr w:type="spellStart"/>
      <w:r w:rsidRPr="00D21727">
        <w:rPr>
          <w:rFonts w:ascii="Perpetua" w:hAnsi="Perpetua" w:cs="Adobe Devanagari"/>
          <w:spacing w:val="-3"/>
          <w:szCs w:val="24"/>
          <w:lang w:val="en-GB"/>
        </w:rPr>
        <w:t>necro</w:t>
      </w:r>
      <w:proofErr w:type="spellEnd"/>
      <w:r w:rsidRPr="00D21727">
        <w:rPr>
          <w:rFonts w:ascii="Perpetua" w:hAnsi="Perpetua" w:cs="Adobe Devanagari"/>
          <w:spacing w:val="-3"/>
          <w:szCs w:val="24"/>
          <w:lang w:val="en-GB"/>
        </w:rPr>
        <w:t>-erotic coincidence which seems to be underscored, even ritualized, in the rhetorical patterning of Othello’s dying words: [V.ii.356-57].</w:t>
      </w:r>
      <w:r w:rsidRPr="00D21727">
        <w:rPr>
          <w:rStyle w:val="FootnoteReference"/>
          <w:rFonts w:ascii="Perpetua" w:hAnsi="Perpetua" w:cs="Adobe Devanagari"/>
          <w:spacing w:val="-3"/>
          <w:szCs w:val="24"/>
          <w:lang w:val="en-GB"/>
        </w:rPr>
        <w:footnoteReference w:id="33"/>
      </w:r>
    </w:p>
    <w:p w:rsidR="00161752" w:rsidRPr="00D21727" w:rsidRDefault="00161752" w:rsidP="00161752">
      <w:pPr>
        <w:tabs>
          <w:tab w:val="left" w:pos="-720"/>
          <w:tab w:val="left" w:pos="0"/>
        </w:tabs>
        <w:suppressAutoHyphens/>
        <w:snapToGrid/>
        <w:ind w:left="1134" w:right="1134"/>
        <w:rPr>
          <w:rFonts w:ascii="Perpetua" w:hAnsi="Perpetua" w:cs="Adobe Devanagari"/>
          <w:spacing w:val="-3"/>
          <w:szCs w:val="24"/>
          <w:lang w:val="en-GB"/>
        </w:rPr>
      </w:pP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C5232C">
        <w:rPr>
          <w:rFonts w:ascii="Perpetua" w:hAnsi="Perpetua" w:cs="Adobe Devanagari"/>
          <w:b/>
          <w:spacing w:val="-3"/>
          <w:sz w:val="26"/>
          <w:szCs w:val="26"/>
          <w:lang w:val="en-GB"/>
        </w:rPr>
        <w:t xml:space="preserve">Narrative, storytelling, </w:t>
      </w:r>
      <w:r w:rsidRPr="00A75237">
        <w:rPr>
          <w:rFonts w:ascii="Perpetua" w:hAnsi="Perpetua" w:cs="Adobe Devanagari"/>
          <w:b/>
          <w:spacing w:val="-3"/>
          <w:sz w:val="26"/>
          <w:szCs w:val="26"/>
          <w:lang w:val="en-GB"/>
        </w:rPr>
        <w:t>monologue, self-fashioning</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A75237" w:rsidRPr="00A44068" w:rsidRDefault="00111D6F" w:rsidP="00654C21">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As Bickley and Stevens observe, the imagery used in the play to describe Desdemona’s reception of Othello’s traveller’s tales is ‘that of the appetite, commonly associated – both then and now – with erotic desire’.</w:t>
      </w:r>
      <w:r>
        <w:rPr>
          <w:rStyle w:val="FootnoteReference"/>
          <w:rFonts w:ascii="Perpetua" w:hAnsi="Perpetua" w:cs="Adobe Devanagari"/>
          <w:spacing w:val="-3"/>
          <w:sz w:val="26"/>
          <w:szCs w:val="26"/>
          <w:lang w:val="en-GB"/>
        </w:rPr>
        <w:footnoteReference w:id="34"/>
      </w:r>
      <w:r>
        <w:rPr>
          <w:rFonts w:ascii="Perpetua" w:hAnsi="Perpetua" w:cs="Adobe Devanagari"/>
          <w:spacing w:val="-3"/>
          <w:sz w:val="26"/>
          <w:szCs w:val="26"/>
          <w:lang w:val="en-GB"/>
        </w:rPr>
        <w:t xml:space="preserve"> Read Act I, Scene iii, lines 127-68, especially 148-49.</w:t>
      </w:r>
      <w:r w:rsidR="00654C21">
        <w:rPr>
          <w:rFonts w:ascii="Perpetua" w:hAnsi="Perpetua" w:cs="Adobe Devanagari"/>
          <w:spacing w:val="-3"/>
          <w:sz w:val="26"/>
          <w:szCs w:val="26"/>
          <w:lang w:val="en-GB"/>
        </w:rPr>
        <w:t xml:space="preserve"> </w:t>
      </w:r>
      <w:r w:rsidR="003961B8">
        <w:rPr>
          <w:rFonts w:ascii="Perpetua" w:hAnsi="Perpetua" w:cs="Adobe Devanagari"/>
          <w:spacing w:val="-3"/>
          <w:sz w:val="26"/>
          <w:szCs w:val="26"/>
          <w:lang w:val="en-GB"/>
        </w:rPr>
        <w:t>‘Referring back to Othello’s wooing of Desdemona through “bragging and telling her fantastical lies” (2.1.221), [Iago] asks Roderigo to consider whether she will “love him still for prating?” (2.1.222)’</w:t>
      </w:r>
      <w:r w:rsidR="003961B8">
        <w:rPr>
          <w:rStyle w:val="FootnoteReference"/>
          <w:rFonts w:ascii="Perpetua" w:hAnsi="Perpetua" w:cs="Adobe Devanagari"/>
          <w:spacing w:val="-3"/>
          <w:sz w:val="26"/>
          <w:szCs w:val="26"/>
          <w:lang w:val="en-GB"/>
        </w:rPr>
        <w:footnoteReference w:id="35"/>
      </w:r>
      <w:r w:rsidR="003961B8">
        <w:rPr>
          <w:rFonts w:ascii="Perpetua" w:hAnsi="Perpetua" w:cs="Adobe Devanagari"/>
          <w:spacing w:val="-3"/>
          <w:sz w:val="26"/>
          <w:szCs w:val="26"/>
          <w:lang w:val="en-GB"/>
        </w:rPr>
        <w:t xml:space="preserve"> </w:t>
      </w:r>
      <w:r w:rsidR="00A75237">
        <w:rPr>
          <w:rFonts w:ascii="Perpetua" w:hAnsi="Perpetua" w:cs="Adobe Devanagari"/>
          <w:spacing w:val="-3"/>
          <w:sz w:val="26"/>
          <w:szCs w:val="26"/>
          <w:lang w:val="en-GB"/>
        </w:rPr>
        <w:t>Certainly in terms of style, Othello is given to heroic overstatement, as compared with Iago’s rationalism, and</w:t>
      </w:r>
      <w:r w:rsidR="00A44068">
        <w:rPr>
          <w:rFonts w:ascii="Perpetua" w:hAnsi="Perpetua" w:cs="Adobe Devanagari"/>
          <w:spacing w:val="-3"/>
          <w:sz w:val="26"/>
          <w:szCs w:val="26"/>
          <w:lang w:val="en-GB"/>
        </w:rPr>
        <w:t xml:space="preserve"> both F.R. </w:t>
      </w:r>
      <w:proofErr w:type="spellStart"/>
      <w:r w:rsidR="00A44068">
        <w:rPr>
          <w:rFonts w:ascii="Perpetua" w:hAnsi="Perpetua" w:cs="Adobe Devanagari"/>
          <w:spacing w:val="-3"/>
          <w:sz w:val="26"/>
          <w:szCs w:val="26"/>
          <w:lang w:val="en-GB"/>
        </w:rPr>
        <w:t>Leavis</w:t>
      </w:r>
      <w:proofErr w:type="spellEnd"/>
      <w:r w:rsidR="00A44068">
        <w:rPr>
          <w:rFonts w:ascii="Perpetua" w:hAnsi="Perpetua" w:cs="Adobe Devanagari"/>
          <w:spacing w:val="-3"/>
          <w:sz w:val="26"/>
          <w:szCs w:val="26"/>
          <w:lang w:val="en-GB"/>
        </w:rPr>
        <w:t xml:space="preserve"> and </w:t>
      </w:r>
      <w:r w:rsidR="00A75237">
        <w:rPr>
          <w:rFonts w:ascii="Perpetua" w:hAnsi="Perpetua" w:cs="Adobe Devanagari"/>
          <w:spacing w:val="-3"/>
          <w:sz w:val="26"/>
          <w:szCs w:val="26"/>
          <w:lang w:val="en-GB"/>
        </w:rPr>
        <w:t>T.S. Eliot described Othello as a self-dramatizer.</w:t>
      </w:r>
      <w:r w:rsidR="00A44068">
        <w:rPr>
          <w:rFonts w:ascii="Perpetua" w:hAnsi="Perpetua" w:cs="Adobe Devanagari"/>
          <w:spacing w:val="-3"/>
          <w:sz w:val="26"/>
          <w:szCs w:val="26"/>
          <w:lang w:val="en-GB"/>
        </w:rPr>
        <w:t xml:space="preserve"> In </w:t>
      </w:r>
      <w:r w:rsidR="00A44068">
        <w:rPr>
          <w:rFonts w:ascii="Perpetua" w:hAnsi="Perpetua" w:cs="Adobe Devanagari"/>
          <w:i/>
          <w:spacing w:val="-3"/>
          <w:sz w:val="26"/>
          <w:szCs w:val="26"/>
          <w:lang w:val="en-GB"/>
        </w:rPr>
        <w:t>Renaissance Self-Fashioning</w:t>
      </w:r>
      <w:r w:rsidR="00A44068">
        <w:rPr>
          <w:rFonts w:ascii="Perpetua" w:hAnsi="Perpetua" w:cs="Adobe Devanagari"/>
          <w:spacing w:val="-3"/>
          <w:sz w:val="26"/>
          <w:szCs w:val="26"/>
          <w:lang w:val="en-GB"/>
        </w:rPr>
        <w:t>, Stephen Greenblatt puts this self-dramatization in the context of the ‘self-fashioning’ of writers of the Renaissance, such as Marlowe.</w:t>
      </w:r>
      <w:r w:rsidR="00A44068">
        <w:rPr>
          <w:rStyle w:val="FootnoteReference"/>
          <w:rFonts w:ascii="Perpetua" w:hAnsi="Perpetua" w:cs="Adobe Devanagari"/>
          <w:spacing w:val="-3"/>
          <w:sz w:val="26"/>
          <w:szCs w:val="26"/>
          <w:lang w:val="en-GB"/>
        </w:rPr>
        <w:footnoteReference w:id="36"/>
      </w:r>
    </w:p>
    <w:p w:rsidR="00A75237" w:rsidRDefault="00A75237" w:rsidP="00654C21">
      <w:pPr>
        <w:tabs>
          <w:tab w:val="left" w:pos="-720"/>
          <w:tab w:val="left" w:pos="0"/>
        </w:tabs>
        <w:suppressAutoHyphens/>
        <w:snapToGrid/>
        <w:spacing w:line="276" w:lineRule="auto"/>
        <w:rPr>
          <w:rFonts w:ascii="Perpetua" w:hAnsi="Perpetua" w:cs="Adobe Devanagari"/>
          <w:spacing w:val="-3"/>
          <w:sz w:val="26"/>
          <w:szCs w:val="26"/>
          <w:lang w:val="en-GB"/>
        </w:rPr>
      </w:pPr>
    </w:p>
    <w:p w:rsidR="0029540B" w:rsidRDefault="00E332D1" w:rsidP="00654C21">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The attraction Desdemona feels towards Othello consists of his cultural mobility, which contrasts with </w:t>
      </w:r>
      <w:r w:rsidR="00A37021">
        <w:rPr>
          <w:rFonts w:ascii="Perpetua" w:hAnsi="Perpetua" w:cs="Adobe Devanagari"/>
          <w:spacing w:val="-3"/>
          <w:sz w:val="26"/>
          <w:szCs w:val="26"/>
          <w:lang w:val="en-GB"/>
        </w:rPr>
        <w:t>her immobility. Her situation as an unmarried young woman appears to have immured her in her father’s household, so Brabantio, her father, wonders how she ‘got out’. He indicates that her elopement is not unlike his dream, suggesting that his fears may have led to her confinement.</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654C21" w:rsidRDefault="00654C21"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r w:rsidRPr="00A75237">
        <w:rPr>
          <w:rFonts w:ascii="Perpetua" w:hAnsi="Perpetua"/>
          <w:b/>
          <w:spacing w:val="-3"/>
          <w:sz w:val="26"/>
          <w:szCs w:val="26"/>
        </w:rPr>
        <w:t>The notion of controlling or being controlled by fate; Calvinist theological doctrine of predestination</w:t>
      </w:r>
      <w:r w:rsidRPr="00C5232C">
        <w:rPr>
          <w:rFonts w:ascii="Perpetua" w:hAnsi="Perpetua" w:cs="Adobe Devanagari"/>
          <w:b/>
          <w:spacing w:val="-3"/>
          <w:sz w:val="26"/>
          <w:szCs w:val="26"/>
          <w:lang w:val="en-GB"/>
        </w:rPr>
        <w:t xml:space="preserve"> </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2D78F4" w:rsidRPr="00A75237" w:rsidRDefault="002D78F4" w:rsidP="007156B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Iago invokes the notion of a cruel God who has predestined him for malignity.</w:t>
      </w:r>
      <w:r w:rsidR="00A75237">
        <w:rPr>
          <w:rFonts w:ascii="Perpetua" w:hAnsi="Perpetua" w:cs="Adobe Devanagari"/>
          <w:spacing w:val="-3"/>
          <w:sz w:val="26"/>
          <w:szCs w:val="26"/>
          <w:lang w:val="en-GB"/>
        </w:rPr>
        <w:t xml:space="preserve"> It is worth comparing this reflection with those of Doctor Faustus and Giovanni, in </w:t>
      </w:r>
      <w:proofErr w:type="spellStart"/>
      <w:r w:rsidR="00A75237">
        <w:rPr>
          <w:rFonts w:ascii="Perpetua" w:hAnsi="Perpetua" w:cs="Adobe Devanagari"/>
          <w:i/>
          <w:spacing w:val="-3"/>
          <w:sz w:val="26"/>
          <w:szCs w:val="26"/>
          <w:lang w:val="en-GB"/>
        </w:rPr>
        <w:t>’Tis</w:t>
      </w:r>
      <w:proofErr w:type="spellEnd"/>
      <w:r w:rsidR="00A75237">
        <w:rPr>
          <w:rFonts w:ascii="Perpetua" w:hAnsi="Perpetua" w:cs="Adobe Devanagari"/>
          <w:i/>
          <w:spacing w:val="-3"/>
          <w:sz w:val="26"/>
          <w:szCs w:val="26"/>
          <w:lang w:val="en-GB"/>
        </w:rPr>
        <w:t xml:space="preserve"> Pity</w:t>
      </w:r>
      <w:r w:rsidR="00A75237">
        <w:rPr>
          <w:rFonts w:ascii="Perpetua" w:hAnsi="Perpetua" w:cs="Adobe Devanagari"/>
          <w:spacing w:val="-3"/>
          <w:sz w:val="26"/>
          <w:szCs w:val="26"/>
          <w:lang w:val="en-GB"/>
        </w:rPr>
        <w:t>.</w:t>
      </w: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C5232C" w:rsidRDefault="00C5232C" w:rsidP="007156BD">
      <w:pPr>
        <w:tabs>
          <w:tab w:val="left" w:pos="-720"/>
          <w:tab w:val="left" w:pos="0"/>
        </w:tabs>
        <w:suppressAutoHyphens/>
        <w:snapToGrid/>
        <w:spacing w:line="276" w:lineRule="auto"/>
        <w:rPr>
          <w:rFonts w:ascii="Perpetua" w:hAnsi="Perpetua" w:cs="Adobe Devanagari"/>
          <w:spacing w:val="-3"/>
          <w:sz w:val="26"/>
          <w:szCs w:val="26"/>
          <w:lang w:val="en-GB"/>
        </w:rPr>
      </w:pPr>
    </w:p>
    <w:p w:rsidR="00EC5382" w:rsidRPr="00C5232C" w:rsidRDefault="00EC5382" w:rsidP="007156BD">
      <w:pPr>
        <w:pStyle w:val="ListParagraph"/>
        <w:numPr>
          <w:ilvl w:val="0"/>
          <w:numId w:val="8"/>
        </w:numPr>
        <w:tabs>
          <w:tab w:val="left" w:pos="-720"/>
          <w:tab w:val="left" w:pos="0"/>
        </w:tabs>
        <w:suppressAutoHyphens/>
        <w:snapToGrid/>
        <w:spacing w:line="276" w:lineRule="auto"/>
        <w:rPr>
          <w:rFonts w:ascii="Perpetua" w:hAnsi="Perpetua" w:cs="Adobe Devanagari"/>
          <w:b/>
          <w:spacing w:val="-3"/>
          <w:sz w:val="26"/>
          <w:szCs w:val="26"/>
          <w:lang w:val="en-GB"/>
        </w:rPr>
      </w:pPr>
      <w:bookmarkStart w:id="0" w:name="_GoBack"/>
      <w:bookmarkEnd w:id="0"/>
      <w:r w:rsidRPr="00C5232C">
        <w:rPr>
          <w:rFonts w:ascii="Perpetua" w:hAnsi="Perpetua" w:cs="Adobe Devanagari"/>
          <w:b/>
          <w:spacing w:val="-3"/>
          <w:sz w:val="26"/>
          <w:szCs w:val="26"/>
          <w:lang w:val="en-GB"/>
        </w:rPr>
        <w:t>The malcontent or ‘Machiavellian’ Iago’s active malignity (‘motiveless malignity’?) and hatred</w:t>
      </w:r>
    </w:p>
    <w:p w:rsidR="00F34EFD" w:rsidRDefault="00F34EFD" w:rsidP="007156BD">
      <w:pPr>
        <w:tabs>
          <w:tab w:val="left" w:pos="-720"/>
          <w:tab w:val="left" w:pos="0"/>
        </w:tabs>
        <w:suppressAutoHyphens/>
        <w:spacing w:line="276" w:lineRule="auto"/>
        <w:rPr>
          <w:rFonts w:ascii="Perpetua" w:hAnsi="Perpetua" w:cs="Adobe Devanagari"/>
          <w:spacing w:val="-3"/>
          <w:sz w:val="26"/>
          <w:szCs w:val="26"/>
          <w:lang w:val="en-GB"/>
        </w:rPr>
      </w:pPr>
    </w:p>
    <w:p w:rsidR="00900A37" w:rsidRDefault="00900A37" w:rsidP="007156BD">
      <w:pPr>
        <w:tabs>
          <w:tab w:val="left" w:pos="-720"/>
          <w:tab w:val="left" w:pos="0"/>
        </w:tabs>
        <w:suppressAutoHyphens/>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According to Bickley and Stevens, among other critics, what clearly lies beneath Iago’s plain-speaking exterior is ‘a seething hatred for his master’.</w:t>
      </w:r>
      <w:r>
        <w:rPr>
          <w:rStyle w:val="FootnoteReference"/>
          <w:rFonts w:ascii="Perpetua" w:hAnsi="Perpetua" w:cs="Adobe Devanagari"/>
          <w:spacing w:val="-3"/>
          <w:sz w:val="26"/>
          <w:szCs w:val="26"/>
          <w:lang w:val="en-GB"/>
        </w:rPr>
        <w:footnoteReference w:id="37"/>
      </w:r>
      <w:r w:rsidR="00171D7E">
        <w:rPr>
          <w:rFonts w:ascii="Perpetua" w:hAnsi="Perpetua" w:cs="Adobe Devanagari"/>
          <w:spacing w:val="-3"/>
          <w:sz w:val="26"/>
          <w:szCs w:val="26"/>
          <w:lang w:val="en-GB"/>
        </w:rPr>
        <w:t xml:space="preserve"> This malignity is often considered motiveless, or of inadequate motive, but this ignores the racial issues with which the play is concerned. He only grudgingly recognises Othello’s qualities and is jealous over Cassio’s preferment, and his arrogant racism fuels his contempt.</w:t>
      </w:r>
    </w:p>
    <w:p w:rsidR="00C5232C" w:rsidRDefault="00C5232C" w:rsidP="007156BD">
      <w:pPr>
        <w:tabs>
          <w:tab w:val="left" w:pos="-720"/>
          <w:tab w:val="left" w:pos="0"/>
        </w:tabs>
        <w:suppressAutoHyphens/>
        <w:spacing w:line="276" w:lineRule="auto"/>
        <w:rPr>
          <w:rFonts w:ascii="Perpetua" w:hAnsi="Perpetua" w:cs="Adobe Devanagari"/>
          <w:spacing w:val="-3"/>
          <w:sz w:val="26"/>
          <w:szCs w:val="26"/>
          <w:lang w:val="en-GB"/>
        </w:rPr>
      </w:pPr>
    </w:p>
    <w:p w:rsidR="00C5232C" w:rsidRPr="00C5232C" w:rsidRDefault="00C5232C" w:rsidP="007156BD">
      <w:pPr>
        <w:tabs>
          <w:tab w:val="left" w:pos="-720"/>
          <w:tab w:val="left" w:pos="0"/>
        </w:tabs>
        <w:suppressAutoHyphens/>
        <w:spacing w:line="276" w:lineRule="auto"/>
        <w:rPr>
          <w:rFonts w:ascii="Perpetua" w:hAnsi="Perpetua" w:cs="Adobe Devanagari"/>
          <w:spacing w:val="-3"/>
          <w:sz w:val="26"/>
          <w:szCs w:val="26"/>
          <w:lang w:val="en-GB"/>
        </w:rPr>
      </w:pPr>
    </w:p>
    <w:sectPr w:rsidR="00C5232C" w:rsidRPr="00C5232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32D1" w:rsidRDefault="00E332D1" w:rsidP="00D43544">
      <w:r>
        <w:separator/>
      </w:r>
    </w:p>
  </w:endnote>
  <w:endnote w:type="continuationSeparator" w:id="0">
    <w:p w:rsidR="00E332D1" w:rsidRDefault="00E332D1" w:rsidP="00D43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w:panose1 w:val="02070409020205020404"/>
    <w:charset w:val="00"/>
    <w:family w:val="modern"/>
    <w:notTrueType/>
    <w:pitch w:val="fixed"/>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BatangChe">
    <w:panose1 w:val="02030609000101010101"/>
    <w:charset w:val="81"/>
    <w:family w:val="modern"/>
    <w:pitch w:val="fixed"/>
    <w:sig w:usb0="B00002AF" w:usb1="69D77CFB" w:usb2="00000030" w:usb3="00000000" w:csb0="0008009F"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0195809"/>
      <w:docPartObj>
        <w:docPartGallery w:val="Page Numbers (Bottom of Page)"/>
        <w:docPartUnique/>
      </w:docPartObj>
    </w:sdtPr>
    <w:sdtEndPr>
      <w:rPr>
        <w:noProof/>
      </w:rPr>
    </w:sdtEndPr>
    <w:sdtContent>
      <w:p w:rsidR="00E332D1" w:rsidRDefault="00E332D1">
        <w:pPr>
          <w:pStyle w:val="Footer"/>
          <w:jc w:val="center"/>
        </w:pPr>
        <w:r>
          <w:fldChar w:fldCharType="begin"/>
        </w:r>
        <w:r>
          <w:instrText xml:space="preserve"> PAGE   \* MERGEFORMAT </w:instrText>
        </w:r>
        <w:r>
          <w:fldChar w:fldCharType="separate"/>
        </w:r>
        <w:r w:rsidR="00FA78FC">
          <w:rPr>
            <w:noProof/>
          </w:rPr>
          <w:t>11</w:t>
        </w:r>
        <w:r>
          <w:rPr>
            <w:noProof/>
          </w:rPr>
          <w:fldChar w:fldCharType="end"/>
        </w:r>
      </w:p>
    </w:sdtContent>
  </w:sdt>
  <w:p w:rsidR="00E332D1" w:rsidRDefault="00E332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32D1" w:rsidRDefault="00E332D1" w:rsidP="00D43544">
      <w:r>
        <w:separator/>
      </w:r>
    </w:p>
  </w:footnote>
  <w:footnote w:type="continuationSeparator" w:id="0">
    <w:p w:rsidR="00E332D1" w:rsidRDefault="00E332D1" w:rsidP="00D43544">
      <w:r>
        <w:continuationSeparator/>
      </w:r>
    </w:p>
  </w:footnote>
  <w:footnote w:id="1">
    <w:p w:rsidR="0028451E" w:rsidRPr="0028451E" w:rsidRDefault="0028451E">
      <w:pPr>
        <w:pStyle w:val="FootnoteText"/>
        <w:rPr>
          <w:rFonts w:ascii="Perpetua" w:hAnsi="Perpetua"/>
          <w:lang w:val="en-GB"/>
        </w:rPr>
      </w:pPr>
      <w:r w:rsidRPr="0028451E">
        <w:rPr>
          <w:rStyle w:val="FootnoteReference"/>
          <w:rFonts w:ascii="Perpetua" w:hAnsi="Perpetua"/>
        </w:rPr>
        <w:footnoteRef/>
      </w:r>
      <w:r w:rsidRPr="0028451E">
        <w:rPr>
          <w:rFonts w:ascii="Perpetua" w:hAnsi="Perpetua"/>
        </w:rPr>
        <w:t xml:space="preserve"> </w:t>
      </w:r>
      <w:r>
        <w:rPr>
          <w:rFonts w:ascii="Perpetua" w:hAnsi="Perpetua"/>
        </w:rPr>
        <w:t xml:space="preserve">William Shakespeare, </w:t>
      </w:r>
      <w:r>
        <w:rPr>
          <w:rFonts w:ascii="Perpetua" w:hAnsi="Perpetua"/>
          <w:i/>
        </w:rPr>
        <w:t>Othello</w:t>
      </w:r>
      <w:r>
        <w:rPr>
          <w:rFonts w:ascii="Perpetua" w:hAnsi="Perpetua"/>
        </w:rPr>
        <w:t>, ed. by M.R. Ridley, The Arden Shakespeare (London: Routledge, 1993), p. xv</w:t>
      </w:r>
      <w:r>
        <w:rPr>
          <w:rFonts w:ascii="Perpetua" w:hAnsi="Perpetua"/>
        </w:rPr>
        <w:t>i</w:t>
      </w:r>
      <w:r>
        <w:rPr>
          <w:rFonts w:ascii="Perpetua" w:hAnsi="Perpetua"/>
        </w:rPr>
        <w:t>.</w:t>
      </w:r>
    </w:p>
  </w:footnote>
  <w:footnote w:id="2">
    <w:p w:rsidR="0028451E" w:rsidRPr="0028451E" w:rsidRDefault="0028451E">
      <w:pPr>
        <w:pStyle w:val="FootnoteText"/>
        <w:rPr>
          <w:rFonts w:ascii="Perpetua" w:hAnsi="Perpetua"/>
          <w:lang w:val="en-GB"/>
        </w:rPr>
      </w:pPr>
      <w:r w:rsidRPr="0028451E">
        <w:rPr>
          <w:rStyle w:val="FootnoteReference"/>
          <w:rFonts w:ascii="Perpetua" w:hAnsi="Perpetua"/>
        </w:rPr>
        <w:footnoteRef/>
      </w:r>
      <w:r w:rsidRPr="0028451E">
        <w:rPr>
          <w:rFonts w:ascii="Perpetua" w:hAnsi="Perpetua"/>
        </w:rPr>
        <w:t xml:space="preserve"> </w:t>
      </w:r>
      <w:r>
        <w:rPr>
          <w:rFonts w:ascii="Perpetua" w:hAnsi="Perpetua"/>
        </w:rPr>
        <w:t xml:space="preserve">Robert </w:t>
      </w:r>
      <w:proofErr w:type="spellStart"/>
      <w:r>
        <w:rPr>
          <w:rFonts w:ascii="Perpetua" w:hAnsi="Perpetua"/>
        </w:rPr>
        <w:t>Hapgood</w:t>
      </w:r>
      <w:proofErr w:type="spellEnd"/>
      <w:r>
        <w:rPr>
          <w:rFonts w:ascii="Perpetua" w:hAnsi="Perpetua"/>
        </w:rPr>
        <w:t>, ‘</w:t>
      </w:r>
      <w:r w:rsidRPr="0028451E">
        <w:rPr>
          <w:rFonts w:ascii="Perpetua" w:hAnsi="Perpetua"/>
          <w:i/>
        </w:rPr>
        <w:t>Othello</w:t>
      </w:r>
      <w:r>
        <w:rPr>
          <w:rFonts w:ascii="Perpetua" w:hAnsi="Perpetua"/>
        </w:rPr>
        <w:t xml:space="preserve">’, in </w:t>
      </w:r>
      <w:r>
        <w:rPr>
          <w:rFonts w:ascii="Perpetua" w:hAnsi="Perpetua"/>
          <w:i/>
        </w:rPr>
        <w:t>Shakespeare: A Bibliographical Guide</w:t>
      </w:r>
      <w:r>
        <w:rPr>
          <w:rFonts w:ascii="Perpetua" w:hAnsi="Perpetua"/>
        </w:rPr>
        <w:t xml:space="preserve">, ed. by Stanley Wells, new </w:t>
      </w:r>
      <w:proofErr w:type="spellStart"/>
      <w:r>
        <w:rPr>
          <w:rFonts w:ascii="Perpetua" w:hAnsi="Perpetua"/>
        </w:rPr>
        <w:t>edn</w:t>
      </w:r>
      <w:proofErr w:type="spellEnd"/>
      <w:r>
        <w:rPr>
          <w:rFonts w:ascii="Perpetua" w:hAnsi="Perpetua"/>
        </w:rPr>
        <w:t xml:space="preserve"> (Oxford: Clarendon Press, 1990; </w:t>
      </w:r>
      <w:proofErr w:type="spellStart"/>
      <w:r>
        <w:rPr>
          <w:rFonts w:ascii="Perpetua" w:hAnsi="Perpetua"/>
        </w:rPr>
        <w:t>repr</w:t>
      </w:r>
      <w:proofErr w:type="spellEnd"/>
      <w:r>
        <w:rPr>
          <w:rFonts w:ascii="Perpetua" w:hAnsi="Perpetua"/>
        </w:rPr>
        <w:t>. 1997), pp. 223-40 (p. 223).</w:t>
      </w:r>
    </w:p>
  </w:footnote>
  <w:footnote w:id="3">
    <w:p w:rsidR="00E332D1" w:rsidRPr="00830963" w:rsidRDefault="00E332D1">
      <w:pPr>
        <w:pStyle w:val="FootnoteText"/>
        <w:rPr>
          <w:rFonts w:ascii="Perpetua" w:hAnsi="Perpetua"/>
          <w:lang w:val="en-GB"/>
        </w:rPr>
      </w:pPr>
      <w:r w:rsidRPr="00830963">
        <w:rPr>
          <w:rStyle w:val="FootnoteReference"/>
          <w:rFonts w:ascii="Perpetua" w:hAnsi="Perpetua"/>
        </w:rPr>
        <w:footnoteRef/>
      </w:r>
      <w:r w:rsidRPr="00830963">
        <w:rPr>
          <w:rFonts w:ascii="Perpetua" w:hAnsi="Perpetua"/>
        </w:rPr>
        <w:t xml:space="preserve"> </w:t>
      </w:r>
      <w:r>
        <w:rPr>
          <w:rFonts w:ascii="Perpetua" w:hAnsi="Perpetua"/>
        </w:rPr>
        <w:t xml:space="preserve">R.B. Graves, ‘Lighting’, in Richard Dutton, ed., </w:t>
      </w:r>
      <w:proofErr w:type="gramStart"/>
      <w:r>
        <w:rPr>
          <w:rFonts w:ascii="Perpetua" w:hAnsi="Perpetua"/>
          <w:i/>
        </w:rPr>
        <w:t>The</w:t>
      </w:r>
      <w:proofErr w:type="gramEnd"/>
      <w:r>
        <w:rPr>
          <w:rFonts w:ascii="Perpetua" w:hAnsi="Perpetua"/>
          <w:i/>
        </w:rPr>
        <w:t xml:space="preserve"> Oxford Handbook of Early Modern Theatre</w:t>
      </w:r>
      <w:r>
        <w:rPr>
          <w:rFonts w:ascii="Perpetua" w:hAnsi="Perpetua"/>
        </w:rPr>
        <w:t xml:space="preserve"> (Oxford: Oxford University Press, 2009), pp. 528-42 (p. 535).</w:t>
      </w:r>
    </w:p>
  </w:footnote>
  <w:footnote w:id="4">
    <w:p w:rsidR="00E332D1" w:rsidRPr="007156BD" w:rsidRDefault="00E332D1">
      <w:pPr>
        <w:pStyle w:val="FootnoteText"/>
        <w:rPr>
          <w:rFonts w:ascii="Perpetua" w:hAnsi="Perpetua"/>
          <w:lang w:val="en-GB"/>
        </w:rPr>
      </w:pPr>
      <w:r w:rsidRPr="007156BD">
        <w:rPr>
          <w:rStyle w:val="FootnoteReference"/>
          <w:rFonts w:ascii="Perpetua" w:hAnsi="Perpetua"/>
        </w:rPr>
        <w:footnoteRef/>
      </w:r>
      <w:r w:rsidRPr="007156BD">
        <w:rPr>
          <w:rFonts w:ascii="Perpetua" w:hAnsi="Perpetua"/>
        </w:rPr>
        <w:t xml:space="preserve"> </w:t>
      </w:r>
      <w:r>
        <w:rPr>
          <w:rFonts w:ascii="Perpetua" w:hAnsi="Perpetua"/>
        </w:rPr>
        <w:t xml:space="preserve">John H. </w:t>
      </w:r>
      <w:proofErr w:type="spellStart"/>
      <w:r>
        <w:rPr>
          <w:rFonts w:ascii="Perpetua" w:hAnsi="Perpetua"/>
        </w:rPr>
        <w:t>Astington</w:t>
      </w:r>
      <w:proofErr w:type="spellEnd"/>
      <w:r>
        <w:rPr>
          <w:rFonts w:ascii="Perpetua" w:hAnsi="Perpetua"/>
        </w:rPr>
        <w:t xml:space="preserve">, ‘Court Theatre’, in </w:t>
      </w:r>
      <w:proofErr w:type="gramStart"/>
      <w:r>
        <w:rPr>
          <w:rFonts w:ascii="Perpetua" w:hAnsi="Perpetua"/>
          <w:i/>
        </w:rPr>
        <w:t>The</w:t>
      </w:r>
      <w:proofErr w:type="gramEnd"/>
      <w:r>
        <w:rPr>
          <w:rFonts w:ascii="Perpetua" w:hAnsi="Perpetua"/>
          <w:i/>
        </w:rPr>
        <w:t xml:space="preserve"> Oxford Handbook of Early Modern Theatre</w:t>
      </w:r>
      <w:r>
        <w:rPr>
          <w:rFonts w:ascii="Perpetua" w:hAnsi="Perpetua"/>
        </w:rPr>
        <w:t>, pp. 307-22 (p. 314).</w:t>
      </w:r>
    </w:p>
  </w:footnote>
  <w:footnote w:id="5">
    <w:p w:rsidR="00E332D1" w:rsidRPr="00E54DC7" w:rsidRDefault="00E332D1">
      <w:pPr>
        <w:pStyle w:val="FootnoteText"/>
        <w:rPr>
          <w:rFonts w:ascii="Perpetua" w:hAnsi="Perpetua"/>
          <w:lang w:val="en-GB"/>
        </w:rPr>
      </w:pPr>
      <w:r w:rsidRPr="00E54DC7">
        <w:rPr>
          <w:rStyle w:val="FootnoteReference"/>
          <w:rFonts w:ascii="Perpetua" w:hAnsi="Perpetua"/>
        </w:rPr>
        <w:footnoteRef/>
      </w:r>
      <w:r w:rsidRPr="00E54DC7">
        <w:rPr>
          <w:rFonts w:ascii="Perpetua" w:hAnsi="Perpetua"/>
        </w:rPr>
        <w:t xml:space="preserve"> </w:t>
      </w:r>
      <w:proofErr w:type="spellStart"/>
      <w:r>
        <w:rPr>
          <w:rFonts w:ascii="Perpetua" w:hAnsi="Perpetua"/>
        </w:rPr>
        <w:t>Astington</w:t>
      </w:r>
      <w:proofErr w:type="spellEnd"/>
      <w:r>
        <w:rPr>
          <w:rFonts w:ascii="Perpetua" w:hAnsi="Perpetua"/>
        </w:rPr>
        <w:t>, p. 318.</w:t>
      </w:r>
    </w:p>
  </w:footnote>
  <w:footnote w:id="6">
    <w:p w:rsidR="00E332D1" w:rsidRPr="008C3F7B" w:rsidRDefault="00E332D1">
      <w:pPr>
        <w:pStyle w:val="FootnoteText"/>
        <w:rPr>
          <w:rFonts w:ascii="Perpetua" w:hAnsi="Perpetua"/>
          <w:lang w:val="en-GB"/>
        </w:rPr>
      </w:pPr>
      <w:r w:rsidRPr="008C3F7B">
        <w:rPr>
          <w:rStyle w:val="FootnoteReference"/>
          <w:rFonts w:ascii="Perpetua" w:hAnsi="Perpetua"/>
        </w:rPr>
        <w:footnoteRef/>
      </w:r>
      <w:r w:rsidRPr="008C3F7B">
        <w:rPr>
          <w:rFonts w:ascii="Perpetua" w:hAnsi="Perpetua"/>
        </w:rPr>
        <w:t xml:space="preserve"> </w:t>
      </w:r>
      <w:r>
        <w:rPr>
          <w:rFonts w:ascii="Perpetua" w:hAnsi="Perpetua"/>
        </w:rPr>
        <w:t xml:space="preserve">Alan H. Nelson, ‘The Universities and the Inns of Court’, in </w:t>
      </w:r>
      <w:proofErr w:type="gramStart"/>
      <w:r>
        <w:rPr>
          <w:rFonts w:ascii="Perpetua" w:hAnsi="Perpetua"/>
          <w:i/>
        </w:rPr>
        <w:t>The</w:t>
      </w:r>
      <w:proofErr w:type="gramEnd"/>
      <w:r>
        <w:rPr>
          <w:rFonts w:ascii="Perpetua" w:hAnsi="Perpetua"/>
          <w:i/>
        </w:rPr>
        <w:t xml:space="preserve"> Oxford Handbook of Early Modern Theatre</w:t>
      </w:r>
      <w:r>
        <w:rPr>
          <w:rFonts w:ascii="Perpetua" w:hAnsi="Perpetua"/>
        </w:rPr>
        <w:t>, pp. 280-91 (p. 284).</w:t>
      </w:r>
    </w:p>
  </w:footnote>
  <w:footnote w:id="7">
    <w:p w:rsidR="00E332D1" w:rsidRPr="00CB1D73" w:rsidRDefault="00E332D1">
      <w:pPr>
        <w:pStyle w:val="FootnoteText"/>
        <w:rPr>
          <w:rFonts w:ascii="Perpetua" w:hAnsi="Perpetua"/>
          <w:lang w:val="en-GB"/>
        </w:rPr>
      </w:pPr>
      <w:r w:rsidRPr="00CB1D73">
        <w:rPr>
          <w:rStyle w:val="FootnoteReference"/>
          <w:rFonts w:ascii="Perpetua" w:hAnsi="Perpetua"/>
        </w:rPr>
        <w:footnoteRef/>
      </w:r>
      <w:r w:rsidRPr="00CB1D73">
        <w:rPr>
          <w:rFonts w:ascii="Perpetua" w:hAnsi="Perpetua"/>
        </w:rPr>
        <w:t xml:space="preserve"> </w:t>
      </w:r>
      <w:r>
        <w:rPr>
          <w:rFonts w:ascii="Perpetua" w:hAnsi="Perpetua"/>
        </w:rPr>
        <w:t xml:space="preserve">Quoted by G. </w:t>
      </w:r>
      <w:proofErr w:type="spellStart"/>
      <w:r>
        <w:rPr>
          <w:rFonts w:ascii="Perpetua" w:hAnsi="Perpetua"/>
        </w:rPr>
        <w:t>Tillotson</w:t>
      </w:r>
      <w:proofErr w:type="spellEnd"/>
      <w:r>
        <w:rPr>
          <w:rFonts w:ascii="Perpetua" w:hAnsi="Perpetua"/>
        </w:rPr>
        <w:t xml:space="preserve">, </w:t>
      </w:r>
      <w:r>
        <w:rPr>
          <w:rFonts w:ascii="Perpetua" w:hAnsi="Perpetua"/>
          <w:i/>
        </w:rPr>
        <w:t>Times Literary Supplement</w:t>
      </w:r>
      <w:r>
        <w:rPr>
          <w:rFonts w:ascii="Perpetua" w:hAnsi="Perpetua"/>
        </w:rPr>
        <w:t xml:space="preserve">, 20 July 1933, p. 494, cited in Andrew </w:t>
      </w:r>
      <w:proofErr w:type="spellStart"/>
      <w:r>
        <w:rPr>
          <w:rFonts w:ascii="Perpetua" w:hAnsi="Perpetua"/>
        </w:rPr>
        <w:t>Gurr</w:t>
      </w:r>
      <w:proofErr w:type="spellEnd"/>
      <w:r>
        <w:rPr>
          <w:rFonts w:ascii="Perpetua" w:hAnsi="Perpetua"/>
        </w:rPr>
        <w:t xml:space="preserve">, </w:t>
      </w:r>
      <w:r>
        <w:rPr>
          <w:rFonts w:ascii="Perpetua" w:hAnsi="Perpetua"/>
          <w:i/>
        </w:rPr>
        <w:t>The Shakespearean Stage, 1574-1642</w:t>
      </w:r>
      <w:r>
        <w:rPr>
          <w:rFonts w:ascii="Perpetua" w:hAnsi="Perpetua"/>
        </w:rPr>
        <w:t xml:space="preserve"> (Cambridge: Cambridge University Press, 1970), p. 152.</w:t>
      </w:r>
    </w:p>
  </w:footnote>
  <w:footnote w:id="8">
    <w:p w:rsidR="00E332D1" w:rsidRPr="00830963" w:rsidRDefault="00E332D1">
      <w:pPr>
        <w:pStyle w:val="FootnoteText"/>
        <w:rPr>
          <w:rFonts w:ascii="Perpetua" w:hAnsi="Perpetua"/>
          <w:lang w:val="en-GB"/>
        </w:rPr>
      </w:pPr>
      <w:r w:rsidRPr="00830963">
        <w:rPr>
          <w:rStyle w:val="FootnoteReference"/>
          <w:rFonts w:ascii="Perpetua" w:hAnsi="Perpetua"/>
        </w:rPr>
        <w:footnoteRef/>
      </w:r>
      <w:r w:rsidRPr="00830963">
        <w:rPr>
          <w:rFonts w:ascii="Perpetua" w:hAnsi="Perpetua"/>
        </w:rPr>
        <w:t xml:space="preserve"> </w:t>
      </w:r>
      <w:r>
        <w:rPr>
          <w:rFonts w:ascii="Perpetua" w:hAnsi="Perpetua"/>
        </w:rPr>
        <w:t>Graves, p. 535.</w:t>
      </w:r>
    </w:p>
  </w:footnote>
  <w:footnote w:id="9">
    <w:p w:rsidR="00E332D1" w:rsidRPr="00DE169D" w:rsidRDefault="00E332D1">
      <w:pPr>
        <w:pStyle w:val="FootnoteText"/>
        <w:rPr>
          <w:rFonts w:ascii="Perpetua" w:hAnsi="Perpetua"/>
          <w:lang w:val="en-GB"/>
        </w:rPr>
      </w:pPr>
      <w:r w:rsidRPr="00DE169D">
        <w:rPr>
          <w:rStyle w:val="FootnoteReference"/>
          <w:rFonts w:ascii="Perpetua" w:hAnsi="Perpetua"/>
        </w:rPr>
        <w:footnoteRef/>
      </w:r>
      <w:r w:rsidRPr="00DE169D">
        <w:rPr>
          <w:rFonts w:ascii="Perpetua" w:hAnsi="Perpetua"/>
        </w:rPr>
        <w:t xml:space="preserve"> </w:t>
      </w:r>
      <w:r>
        <w:rPr>
          <w:rFonts w:ascii="Perpetua" w:hAnsi="Perpetua"/>
        </w:rPr>
        <w:t>Graves, p. 529.</w:t>
      </w:r>
    </w:p>
  </w:footnote>
  <w:footnote w:id="10">
    <w:p w:rsidR="00E332D1" w:rsidRPr="006240E4" w:rsidRDefault="00E332D1">
      <w:pPr>
        <w:pStyle w:val="FootnoteText"/>
        <w:rPr>
          <w:rFonts w:ascii="Perpetua" w:hAnsi="Perpetua"/>
          <w:lang w:val="en-GB"/>
        </w:rPr>
      </w:pPr>
      <w:r w:rsidRPr="006240E4">
        <w:rPr>
          <w:rStyle w:val="FootnoteReference"/>
          <w:rFonts w:ascii="Perpetua" w:hAnsi="Perpetua"/>
        </w:rPr>
        <w:footnoteRef/>
      </w:r>
      <w:r w:rsidRPr="006240E4">
        <w:rPr>
          <w:rFonts w:ascii="Perpetua" w:hAnsi="Perpetua"/>
        </w:rPr>
        <w:t xml:space="preserve"> </w:t>
      </w:r>
      <w:r>
        <w:rPr>
          <w:rFonts w:ascii="Perpetua" w:hAnsi="Perpetua"/>
        </w:rPr>
        <w:t xml:space="preserve">Tiffany Stern, ‘Actors’ Parts’, in </w:t>
      </w:r>
      <w:proofErr w:type="gramStart"/>
      <w:r>
        <w:rPr>
          <w:rFonts w:ascii="Perpetua" w:hAnsi="Perpetua"/>
          <w:i/>
        </w:rPr>
        <w:t>The</w:t>
      </w:r>
      <w:proofErr w:type="gramEnd"/>
      <w:r>
        <w:rPr>
          <w:rFonts w:ascii="Perpetua" w:hAnsi="Perpetua"/>
          <w:i/>
        </w:rPr>
        <w:t xml:space="preserve"> Oxford Handbook of Early Modern Theatre</w:t>
      </w:r>
      <w:r>
        <w:rPr>
          <w:rFonts w:ascii="Perpetua" w:hAnsi="Perpetua"/>
        </w:rPr>
        <w:t>, pp. 496-512 (p. 510).</w:t>
      </w:r>
    </w:p>
  </w:footnote>
  <w:footnote w:id="11">
    <w:p w:rsidR="00E332D1" w:rsidRPr="0065274D" w:rsidRDefault="00E332D1">
      <w:pPr>
        <w:pStyle w:val="FootnoteText"/>
        <w:rPr>
          <w:rFonts w:ascii="Perpetua" w:hAnsi="Perpetua"/>
          <w:lang w:val="en-GB"/>
        </w:rPr>
      </w:pPr>
      <w:r w:rsidRPr="0065274D">
        <w:rPr>
          <w:rStyle w:val="FootnoteReference"/>
          <w:rFonts w:ascii="Perpetua" w:hAnsi="Perpetua"/>
        </w:rPr>
        <w:footnoteRef/>
      </w:r>
      <w:r w:rsidRPr="0065274D">
        <w:rPr>
          <w:rFonts w:ascii="Perpetua" w:hAnsi="Perpetua"/>
        </w:rPr>
        <w:t xml:space="preserve"> </w:t>
      </w:r>
      <w:r>
        <w:rPr>
          <w:rFonts w:ascii="Perpetua" w:hAnsi="Perpetua"/>
        </w:rPr>
        <w:t xml:space="preserve">Andrew </w:t>
      </w:r>
      <w:proofErr w:type="spellStart"/>
      <w:r>
        <w:rPr>
          <w:rFonts w:ascii="Perpetua" w:hAnsi="Perpetua"/>
        </w:rPr>
        <w:t>Sofer</w:t>
      </w:r>
      <w:proofErr w:type="spellEnd"/>
      <w:r>
        <w:rPr>
          <w:rFonts w:ascii="Perpetua" w:hAnsi="Perpetua"/>
        </w:rPr>
        <w:t xml:space="preserve">, ‘Properties’, in </w:t>
      </w:r>
      <w:proofErr w:type="gramStart"/>
      <w:r>
        <w:rPr>
          <w:rFonts w:ascii="Perpetua" w:hAnsi="Perpetua"/>
          <w:i/>
        </w:rPr>
        <w:t>The</w:t>
      </w:r>
      <w:proofErr w:type="gramEnd"/>
      <w:r>
        <w:rPr>
          <w:rFonts w:ascii="Perpetua" w:hAnsi="Perpetua"/>
          <w:i/>
        </w:rPr>
        <w:t xml:space="preserve"> Oxford Handbook of Early Modern Theatre</w:t>
      </w:r>
      <w:r>
        <w:rPr>
          <w:rFonts w:ascii="Perpetua" w:hAnsi="Perpetua"/>
        </w:rPr>
        <w:t>, pp. 560-74 (p. 571).</w:t>
      </w:r>
    </w:p>
  </w:footnote>
  <w:footnote w:id="12">
    <w:p w:rsidR="004115F3" w:rsidRPr="004115F3" w:rsidRDefault="004115F3">
      <w:pPr>
        <w:pStyle w:val="FootnoteText"/>
        <w:rPr>
          <w:rFonts w:ascii="Perpetua" w:hAnsi="Perpetua"/>
          <w:lang w:val="en-GB"/>
        </w:rPr>
      </w:pPr>
      <w:r w:rsidRPr="004115F3">
        <w:rPr>
          <w:rStyle w:val="FootnoteReference"/>
          <w:rFonts w:ascii="Perpetua" w:hAnsi="Perpetua"/>
        </w:rPr>
        <w:footnoteRef/>
      </w:r>
      <w:r w:rsidRPr="004115F3">
        <w:rPr>
          <w:rFonts w:ascii="Perpetua" w:hAnsi="Perpetua"/>
        </w:rPr>
        <w:t xml:space="preserve"> </w:t>
      </w:r>
      <w:r>
        <w:rPr>
          <w:rFonts w:ascii="Perpetua" w:hAnsi="Perpetua"/>
        </w:rPr>
        <w:t xml:space="preserve">Karen Newman, ‘“And wash the Ethiop white”: Femininity and the Monstrous in </w:t>
      </w:r>
      <w:r>
        <w:rPr>
          <w:rFonts w:ascii="Perpetua" w:hAnsi="Perpetua"/>
          <w:i/>
        </w:rPr>
        <w:t>Othello</w:t>
      </w:r>
      <w:r>
        <w:rPr>
          <w:rFonts w:ascii="Perpetua" w:hAnsi="Perpetua"/>
        </w:rPr>
        <w:t xml:space="preserve">’, in </w:t>
      </w:r>
      <w:r>
        <w:rPr>
          <w:rFonts w:ascii="Perpetua" w:hAnsi="Perpetua"/>
          <w:i/>
        </w:rPr>
        <w:t>Shakespeare Reproduced: The Text in History and Ideology</w:t>
      </w:r>
      <w:r>
        <w:rPr>
          <w:rFonts w:ascii="Perpetua" w:hAnsi="Perpetua"/>
        </w:rPr>
        <w:t>, ed. by Jean E. Howard and Marion F. O’Connor (London: Methuen, 1987), pp. 141-62 (p. 15</w:t>
      </w:r>
      <w:r w:rsidR="0080628B">
        <w:rPr>
          <w:rFonts w:ascii="Perpetua" w:hAnsi="Perpetua"/>
        </w:rPr>
        <w:t>5</w:t>
      </w:r>
      <w:r>
        <w:rPr>
          <w:rFonts w:ascii="Perpetua" w:hAnsi="Perpetua"/>
        </w:rPr>
        <w:t>).</w:t>
      </w:r>
    </w:p>
  </w:footnote>
  <w:footnote w:id="13">
    <w:p w:rsidR="001A3BB2" w:rsidRPr="001A3BB2" w:rsidRDefault="001A3BB2">
      <w:pPr>
        <w:pStyle w:val="FootnoteText"/>
        <w:rPr>
          <w:rFonts w:ascii="Perpetua" w:hAnsi="Perpetua"/>
          <w:lang w:val="en-GB"/>
        </w:rPr>
      </w:pPr>
      <w:r w:rsidRPr="001A3BB2">
        <w:rPr>
          <w:rStyle w:val="FootnoteReference"/>
          <w:rFonts w:ascii="Perpetua" w:hAnsi="Perpetua"/>
        </w:rPr>
        <w:footnoteRef/>
      </w:r>
      <w:r w:rsidRPr="001A3BB2">
        <w:rPr>
          <w:rFonts w:ascii="Perpetua" w:hAnsi="Perpetua"/>
        </w:rPr>
        <w:t xml:space="preserve"> </w:t>
      </w:r>
      <w:r>
        <w:rPr>
          <w:rFonts w:ascii="Perpetua" w:hAnsi="Perpetua"/>
          <w:i/>
        </w:rPr>
        <w:t>Othello</w:t>
      </w:r>
      <w:r>
        <w:rPr>
          <w:rFonts w:ascii="Perpetua" w:hAnsi="Perpetua"/>
        </w:rPr>
        <w:t>, ed. by Ridley,</w:t>
      </w:r>
      <w:r w:rsidR="0028451E">
        <w:rPr>
          <w:rFonts w:ascii="Perpetua" w:hAnsi="Perpetua"/>
        </w:rPr>
        <w:t xml:space="preserve"> p. xlv.</w:t>
      </w:r>
    </w:p>
  </w:footnote>
  <w:footnote w:id="14">
    <w:p w:rsidR="004115F3" w:rsidRPr="004115F3" w:rsidRDefault="004115F3">
      <w:pPr>
        <w:pStyle w:val="FootnoteText"/>
        <w:rPr>
          <w:rFonts w:ascii="Perpetua" w:hAnsi="Perpetua"/>
          <w:lang w:val="en-GB"/>
        </w:rPr>
      </w:pPr>
      <w:r w:rsidRPr="004115F3">
        <w:rPr>
          <w:rStyle w:val="FootnoteReference"/>
          <w:rFonts w:ascii="Perpetua" w:hAnsi="Perpetua"/>
        </w:rPr>
        <w:footnoteRef/>
      </w:r>
      <w:r w:rsidRPr="004115F3">
        <w:rPr>
          <w:rFonts w:ascii="Perpetua" w:hAnsi="Perpetua"/>
        </w:rPr>
        <w:t xml:space="preserve"> </w:t>
      </w:r>
      <w:r>
        <w:rPr>
          <w:rFonts w:ascii="Perpetua" w:hAnsi="Perpetua"/>
        </w:rPr>
        <w:t>Newman, p</w:t>
      </w:r>
      <w:r>
        <w:rPr>
          <w:rFonts w:ascii="Perpetua" w:hAnsi="Perpetua"/>
        </w:rPr>
        <w:t>. 151</w:t>
      </w:r>
      <w:r>
        <w:rPr>
          <w:rFonts w:ascii="Perpetua" w:hAnsi="Perpetua"/>
        </w:rPr>
        <w:t>.</w:t>
      </w:r>
    </w:p>
  </w:footnote>
  <w:footnote w:id="15">
    <w:p w:rsidR="00E332D1" w:rsidRPr="00900A37" w:rsidRDefault="00E332D1" w:rsidP="00900A37">
      <w:pPr>
        <w:pStyle w:val="FootnoteText"/>
        <w:rPr>
          <w:rFonts w:ascii="Perpetua" w:hAnsi="Perpetua"/>
          <w:lang w:val="en-GB"/>
        </w:rPr>
      </w:pPr>
      <w:r w:rsidRPr="00900A37">
        <w:rPr>
          <w:rStyle w:val="FootnoteReference"/>
          <w:rFonts w:ascii="Perpetua" w:hAnsi="Perpetua"/>
        </w:rPr>
        <w:footnoteRef/>
      </w:r>
      <w:r w:rsidRPr="00900A37">
        <w:rPr>
          <w:rFonts w:ascii="Perpetua" w:hAnsi="Perpetua"/>
        </w:rPr>
        <w:t xml:space="preserve"> </w:t>
      </w:r>
      <w:r>
        <w:rPr>
          <w:rFonts w:ascii="Perpetua" w:hAnsi="Perpetua"/>
        </w:rPr>
        <w:t xml:space="preserve">Pamela Bickley and Jenny Stevens, </w:t>
      </w:r>
      <w:r>
        <w:rPr>
          <w:rFonts w:ascii="Perpetua" w:hAnsi="Perpetua"/>
          <w:i/>
        </w:rPr>
        <w:t>Essential Shakespeare: The Arden Guide to Text and Interpretation</w:t>
      </w:r>
      <w:r>
        <w:rPr>
          <w:rFonts w:ascii="Perpetua" w:hAnsi="Perpetua"/>
        </w:rPr>
        <w:t xml:space="preserve"> (London: Bloomsbury, 2013; </w:t>
      </w:r>
      <w:proofErr w:type="spellStart"/>
      <w:r>
        <w:rPr>
          <w:rFonts w:ascii="Perpetua" w:hAnsi="Perpetua"/>
        </w:rPr>
        <w:t>repr</w:t>
      </w:r>
      <w:proofErr w:type="spellEnd"/>
      <w:r>
        <w:rPr>
          <w:rFonts w:ascii="Perpetua" w:hAnsi="Perpetua"/>
        </w:rPr>
        <w:t>. 2014), p. 126.</w:t>
      </w:r>
    </w:p>
  </w:footnote>
  <w:footnote w:id="16">
    <w:p w:rsidR="00E332D1" w:rsidRPr="00D21727" w:rsidRDefault="00E332D1">
      <w:pPr>
        <w:pStyle w:val="FootnoteText"/>
        <w:rPr>
          <w:rFonts w:ascii="Perpetua" w:hAnsi="Perpetua"/>
          <w:lang w:val="en-GB"/>
        </w:rPr>
      </w:pPr>
      <w:r w:rsidRPr="00D21727">
        <w:rPr>
          <w:rStyle w:val="FootnoteReference"/>
          <w:rFonts w:ascii="Perpetua" w:hAnsi="Perpetua"/>
        </w:rPr>
        <w:footnoteRef/>
      </w:r>
      <w:r w:rsidRPr="00D21727">
        <w:rPr>
          <w:rFonts w:ascii="Perpetua" w:hAnsi="Perpetua"/>
        </w:rPr>
        <w:t xml:space="preserve"> </w:t>
      </w:r>
      <w:r>
        <w:rPr>
          <w:rFonts w:ascii="Perpetua" w:hAnsi="Perpetua"/>
        </w:rPr>
        <w:t>Bickley and Stevens, p. 129.</w:t>
      </w:r>
    </w:p>
  </w:footnote>
  <w:footnote w:id="17">
    <w:p w:rsidR="00E332D1" w:rsidRPr="00F13266" w:rsidRDefault="00E332D1">
      <w:pPr>
        <w:pStyle w:val="FootnoteText"/>
        <w:rPr>
          <w:rFonts w:ascii="Perpetua" w:hAnsi="Perpetua"/>
          <w:lang w:val="en-GB"/>
        </w:rPr>
      </w:pPr>
      <w:r w:rsidRPr="00F13266">
        <w:rPr>
          <w:rStyle w:val="FootnoteReference"/>
          <w:rFonts w:ascii="Perpetua" w:hAnsi="Perpetua"/>
        </w:rPr>
        <w:footnoteRef/>
      </w:r>
      <w:r w:rsidRPr="00F13266">
        <w:rPr>
          <w:rFonts w:ascii="Perpetua" w:hAnsi="Perpetua"/>
        </w:rPr>
        <w:t xml:space="preserve"> </w:t>
      </w:r>
      <w:r>
        <w:rPr>
          <w:rFonts w:ascii="Perpetua" w:hAnsi="Perpetua"/>
        </w:rPr>
        <w:t>Bickley and Stevens, pp. 123-24.</w:t>
      </w:r>
    </w:p>
  </w:footnote>
  <w:footnote w:id="18">
    <w:p w:rsidR="00391696" w:rsidRPr="00391696" w:rsidRDefault="00391696">
      <w:pPr>
        <w:pStyle w:val="FootnoteText"/>
        <w:rPr>
          <w:rFonts w:ascii="Perpetua" w:hAnsi="Perpetua"/>
          <w:lang w:val="en-GB"/>
        </w:rPr>
      </w:pPr>
      <w:r w:rsidRPr="00391696">
        <w:rPr>
          <w:rStyle w:val="FootnoteReference"/>
          <w:rFonts w:ascii="Perpetua" w:hAnsi="Perpetua"/>
        </w:rPr>
        <w:footnoteRef/>
      </w:r>
      <w:r w:rsidRPr="00391696">
        <w:rPr>
          <w:rFonts w:ascii="Perpetua" w:hAnsi="Perpetua"/>
        </w:rPr>
        <w:t xml:space="preserve"> </w:t>
      </w:r>
      <w:r>
        <w:rPr>
          <w:rFonts w:ascii="Perpetua" w:hAnsi="Perpetua"/>
        </w:rPr>
        <w:t>See Newman, pp. 145-47.</w:t>
      </w:r>
    </w:p>
  </w:footnote>
  <w:footnote w:id="19">
    <w:p w:rsidR="00E332D1" w:rsidRPr="00C01C4A" w:rsidRDefault="00E332D1">
      <w:pPr>
        <w:pStyle w:val="FootnoteText"/>
        <w:rPr>
          <w:rFonts w:ascii="Perpetua" w:hAnsi="Perpetua"/>
          <w:lang w:val="en-GB"/>
        </w:rPr>
      </w:pPr>
      <w:r w:rsidRPr="00C01C4A">
        <w:rPr>
          <w:rStyle w:val="FootnoteReference"/>
          <w:rFonts w:ascii="Perpetua" w:hAnsi="Perpetua"/>
        </w:rPr>
        <w:footnoteRef/>
      </w:r>
      <w:r w:rsidRPr="00C01C4A">
        <w:rPr>
          <w:rFonts w:ascii="Perpetua" w:hAnsi="Perpetua"/>
        </w:rPr>
        <w:t xml:space="preserve"> </w:t>
      </w:r>
      <w:r>
        <w:rPr>
          <w:rFonts w:ascii="Perpetua" w:hAnsi="Perpetua"/>
        </w:rPr>
        <w:t>Bickley and Stevens, p. 127.</w:t>
      </w:r>
    </w:p>
  </w:footnote>
  <w:footnote w:id="20">
    <w:p w:rsidR="00E332D1" w:rsidRPr="00BA1E41" w:rsidRDefault="00E332D1">
      <w:pPr>
        <w:pStyle w:val="FootnoteText"/>
        <w:rPr>
          <w:rFonts w:ascii="Perpetua" w:hAnsi="Perpetua"/>
          <w:lang w:val="en-GB"/>
        </w:rPr>
      </w:pPr>
      <w:r w:rsidRPr="00BA1E41">
        <w:rPr>
          <w:rStyle w:val="FootnoteReference"/>
          <w:rFonts w:ascii="Perpetua" w:hAnsi="Perpetua"/>
        </w:rPr>
        <w:footnoteRef/>
      </w:r>
      <w:r w:rsidRPr="00BA1E41">
        <w:rPr>
          <w:rFonts w:ascii="Perpetua" w:hAnsi="Perpetua"/>
        </w:rPr>
        <w:t xml:space="preserve"> </w:t>
      </w:r>
      <w:r>
        <w:rPr>
          <w:rFonts w:ascii="Perpetua" w:hAnsi="Perpetua"/>
        </w:rPr>
        <w:t>Bickley and Stevens, p. 127.</w:t>
      </w:r>
    </w:p>
  </w:footnote>
  <w:footnote w:id="21">
    <w:p w:rsidR="00E332D1" w:rsidRPr="00E332D1" w:rsidRDefault="00E332D1">
      <w:pPr>
        <w:pStyle w:val="FootnoteText"/>
        <w:rPr>
          <w:rFonts w:ascii="Perpetua" w:hAnsi="Perpetua"/>
          <w:lang w:val="en-GB"/>
        </w:rPr>
      </w:pPr>
      <w:r w:rsidRPr="00E332D1">
        <w:rPr>
          <w:rStyle w:val="FootnoteReference"/>
          <w:rFonts w:ascii="Perpetua" w:hAnsi="Perpetua"/>
        </w:rPr>
        <w:footnoteRef/>
      </w:r>
      <w:r w:rsidRPr="00E332D1">
        <w:rPr>
          <w:rFonts w:ascii="Perpetua" w:hAnsi="Perpetua"/>
        </w:rPr>
        <w:t xml:space="preserve"> </w:t>
      </w:r>
      <w:r>
        <w:rPr>
          <w:rFonts w:ascii="Perpetua" w:hAnsi="Perpetua"/>
        </w:rPr>
        <w:t>Bickley and Stevens, p. 128.</w:t>
      </w:r>
    </w:p>
  </w:footnote>
  <w:footnote w:id="22">
    <w:p w:rsidR="00E332D1" w:rsidRPr="00966FD9" w:rsidRDefault="00E332D1">
      <w:pPr>
        <w:pStyle w:val="FootnoteText"/>
        <w:rPr>
          <w:rFonts w:ascii="Perpetua" w:hAnsi="Perpetua"/>
          <w:lang w:val="en-GB"/>
        </w:rPr>
      </w:pPr>
      <w:r w:rsidRPr="00966FD9">
        <w:rPr>
          <w:rStyle w:val="FootnoteReference"/>
          <w:rFonts w:ascii="Perpetua" w:hAnsi="Perpetua"/>
        </w:rPr>
        <w:footnoteRef/>
      </w:r>
      <w:r w:rsidRPr="00966FD9">
        <w:rPr>
          <w:rFonts w:ascii="Perpetua" w:hAnsi="Perpetua"/>
        </w:rPr>
        <w:t xml:space="preserve"> </w:t>
      </w:r>
      <w:r>
        <w:rPr>
          <w:rFonts w:ascii="Perpetua" w:hAnsi="Perpetua"/>
        </w:rPr>
        <w:t>Bickley and Stevens, p. 128.</w:t>
      </w:r>
    </w:p>
  </w:footnote>
  <w:footnote w:id="23">
    <w:p w:rsidR="00E332D1" w:rsidRPr="00900A37" w:rsidRDefault="00E332D1">
      <w:pPr>
        <w:pStyle w:val="FootnoteText"/>
        <w:rPr>
          <w:rFonts w:ascii="Perpetua" w:hAnsi="Perpetua"/>
          <w:lang w:val="en-GB"/>
        </w:rPr>
      </w:pPr>
      <w:r w:rsidRPr="00900A37">
        <w:rPr>
          <w:rStyle w:val="FootnoteReference"/>
          <w:rFonts w:ascii="Perpetua" w:hAnsi="Perpetua"/>
        </w:rPr>
        <w:footnoteRef/>
      </w:r>
      <w:r w:rsidRPr="00900A37">
        <w:rPr>
          <w:rFonts w:ascii="Perpetua" w:hAnsi="Perpetua"/>
        </w:rPr>
        <w:t xml:space="preserve"> </w:t>
      </w:r>
      <w:r>
        <w:rPr>
          <w:rFonts w:ascii="Perpetua" w:hAnsi="Perpetua"/>
        </w:rPr>
        <w:t>Bickley and Stevens, p. 126.</w:t>
      </w:r>
    </w:p>
  </w:footnote>
  <w:footnote w:id="24">
    <w:p w:rsidR="00E332D1" w:rsidRPr="00C01C4A" w:rsidRDefault="00E332D1">
      <w:pPr>
        <w:pStyle w:val="FootnoteText"/>
        <w:rPr>
          <w:rFonts w:ascii="Perpetua" w:hAnsi="Perpetua"/>
          <w:lang w:val="en-GB"/>
        </w:rPr>
      </w:pPr>
      <w:r w:rsidRPr="00C01C4A">
        <w:rPr>
          <w:rStyle w:val="FootnoteReference"/>
          <w:rFonts w:ascii="Perpetua" w:hAnsi="Perpetua"/>
        </w:rPr>
        <w:footnoteRef/>
      </w:r>
      <w:r w:rsidRPr="00C01C4A">
        <w:rPr>
          <w:rFonts w:ascii="Perpetua" w:hAnsi="Perpetua"/>
        </w:rPr>
        <w:t xml:space="preserve"> </w:t>
      </w:r>
      <w:r>
        <w:rPr>
          <w:rFonts w:ascii="Perpetua" w:hAnsi="Perpetua"/>
        </w:rPr>
        <w:t>Bickley and Stevens, p. 127.</w:t>
      </w:r>
    </w:p>
  </w:footnote>
  <w:footnote w:id="25">
    <w:p w:rsidR="00E332D1" w:rsidRPr="00B86B44" w:rsidRDefault="00E332D1" w:rsidP="007111BA">
      <w:pPr>
        <w:pStyle w:val="FootnoteText"/>
        <w:rPr>
          <w:rFonts w:ascii="Perpetua" w:hAnsi="Perpetua"/>
          <w:lang w:val="en-GB"/>
        </w:rPr>
      </w:pPr>
      <w:r w:rsidRPr="00B86B44">
        <w:rPr>
          <w:rStyle w:val="FootnoteReference"/>
          <w:rFonts w:ascii="Perpetua" w:hAnsi="Perpetua"/>
        </w:rPr>
        <w:footnoteRef/>
      </w:r>
      <w:r w:rsidRPr="00B86B44">
        <w:rPr>
          <w:rFonts w:ascii="Perpetua" w:hAnsi="Perpetua"/>
        </w:rPr>
        <w:t xml:space="preserve"> </w:t>
      </w:r>
      <w:proofErr w:type="spellStart"/>
      <w:r>
        <w:rPr>
          <w:rFonts w:ascii="Perpetua" w:hAnsi="Perpetua"/>
        </w:rPr>
        <w:t>Jacalyn</w:t>
      </w:r>
      <w:proofErr w:type="spellEnd"/>
      <w:r>
        <w:rPr>
          <w:rFonts w:ascii="Perpetua" w:hAnsi="Perpetua"/>
        </w:rPr>
        <w:t xml:space="preserve"> Royce, ‘Early Modern Naturalistic Acting: The Role of the Globe in the Development of Personation’, in </w:t>
      </w:r>
      <w:proofErr w:type="gramStart"/>
      <w:r>
        <w:rPr>
          <w:rFonts w:ascii="Perpetua" w:hAnsi="Perpetua"/>
          <w:i/>
        </w:rPr>
        <w:t>The</w:t>
      </w:r>
      <w:proofErr w:type="gramEnd"/>
      <w:r>
        <w:rPr>
          <w:rFonts w:ascii="Perpetua" w:hAnsi="Perpetua"/>
          <w:i/>
        </w:rPr>
        <w:t xml:space="preserve"> Oxford Handbook of Early Modern Theatre</w:t>
      </w:r>
      <w:r>
        <w:rPr>
          <w:rFonts w:ascii="Perpetua" w:hAnsi="Perpetua"/>
        </w:rPr>
        <w:t>, pp. 477-95 (p. 480).</w:t>
      </w:r>
    </w:p>
  </w:footnote>
  <w:footnote w:id="26">
    <w:p w:rsidR="00E332D1" w:rsidRPr="0029540B" w:rsidRDefault="00E332D1" w:rsidP="00654C21">
      <w:pPr>
        <w:pStyle w:val="FootnoteText"/>
        <w:rPr>
          <w:rFonts w:ascii="Perpetua" w:hAnsi="Perpetua"/>
          <w:lang w:val="en-GB"/>
        </w:rPr>
      </w:pPr>
      <w:r w:rsidRPr="0029540B">
        <w:rPr>
          <w:rStyle w:val="FootnoteReference"/>
          <w:rFonts w:ascii="Perpetua" w:hAnsi="Perpetua"/>
        </w:rPr>
        <w:footnoteRef/>
      </w:r>
      <w:r w:rsidRPr="0029540B">
        <w:rPr>
          <w:rFonts w:ascii="Perpetua" w:hAnsi="Perpetua"/>
        </w:rPr>
        <w:t xml:space="preserve"> </w:t>
      </w:r>
      <w:r>
        <w:rPr>
          <w:rFonts w:ascii="Perpetua" w:hAnsi="Perpetua"/>
        </w:rPr>
        <w:t>Bickley and Stevens, p. 132.</w:t>
      </w:r>
    </w:p>
  </w:footnote>
  <w:footnote w:id="27">
    <w:p w:rsidR="00E332D1" w:rsidRPr="0029540B" w:rsidRDefault="00E332D1" w:rsidP="00654C21">
      <w:pPr>
        <w:pStyle w:val="FootnoteText"/>
        <w:rPr>
          <w:rFonts w:ascii="Perpetua" w:hAnsi="Perpetua"/>
          <w:lang w:val="en-GB"/>
        </w:rPr>
      </w:pPr>
      <w:r w:rsidRPr="0029540B">
        <w:rPr>
          <w:rStyle w:val="FootnoteReference"/>
          <w:rFonts w:ascii="Perpetua" w:hAnsi="Perpetua"/>
        </w:rPr>
        <w:footnoteRef/>
      </w:r>
      <w:r w:rsidRPr="0029540B">
        <w:rPr>
          <w:rFonts w:ascii="Perpetua" w:hAnsi="Perpetua"/>
        </w:rPr>
        <w:t xml:space="preserve"> </w:t>
      </w:r>
      <w:r>
        <w:rPr>
          <w:rFonts w:ascii="Perpetua" w:hAnsi="Perpetua"/>
        </w:rPr>
        <w:t>Bickley and Stevens, pp. 132-33.</w:t>
      </w:r>
    </w:p>
  </w:footnote>
  <w:footnote w:id="28">
    <w:p w:rsidR="00E332D1" w:rsidRPr="003961B8" w:rsidRDefault="00E332D1" w:rsidP="007111BA">
      <w:pPr>
        <w:pStyle w:val="FootnoteText"/>
        <w:rPr>
          <w:rFonts w:ascii="Perpetua" w:hAnsi="Perpetua"/>
          <w:lang w:val="en-GB"/>
        </w:rPr>
      </w:pPr>
      <w:r w:rsidRPr="003961B8">
        <w:rPr>
          <w:rStyle w:val="FootnoteReference"/>
          <w:rFonts w:ascii="Perpetua" w:hAnsi="Perpetua"/>
        </w:rPr>
        <w:footnoteRef/>
      </w:r>
      <w:r w:rsidRPr="003961B8">
        <w:rPr>
          <w:rFonts w:ascii="Perpetua" w:hAnsi="Perpetua"/>
        </w:rPr>
        <w:t xml:space="preserve"> </w:t>
      </w:r>
      <w:r>
        <w:rPr>
          <w:rFonts w:ascii="Perpetua" w:hAnsi="Perpetua"/>
        </w:rPr>
        <w:t>Bickley and Stevens, p. 130.</w:t>
      </w:r>
    </w:p>
  </w:footnote>
  <w:footnote w:id="29">
    <w:p w:rsidR="00A75237" w:rsidRPr="00A75237" w:rsidRDefault="00A75237">
      <w:pPr>
        <w:pStyle w:val="FootnoteText"/>
        <w:rPr>
          <w:rFonts w:ascii="Perpetua" w:hAnsi="Perpetua"/>
          <w:lang w:val="en-GB"/>
        </w:rPr>
      </w:pPr>
      <w:r w:rsidRPr="00A75237">
        <w:rPr>
          <w:rStyle w:val="FootnoteReference"/>
          <w:rFonts w:ascii="Perpetua" w:hAnsi="Perpetua"/>
        </w:rPr>
        <w:footnoteRef/>
      </w:r>
      <w:r w:rsidRPr="00A75237">
        <w:rPr>
          <w:rFonts w:ascii="Perpetua" w:hAnsi="Perpetua"/>
        </w:rPr>
        <w:t xml:space="preserve"> </w:t>
      </w:r>
      <w:proofErr w:type="spellStart"/>
      <w:r>
        <w:rPr>
          <w:rFonts w:ascii="Perpetua" w:hAnsi="Perpetua"/>
        </w:rPr>
        <w:t>Hapgood</w:t>
      </w:r>
      <w:proofErr w:type="spellEnd"/>
      <w:r>
        <w:rPr>
          <w:rFonts w:ascii="Perpetua" w:hAnsi="Perpetua"/>
        </w:rPr>
        <w:t>, p. 224.</w:t>
      </w:r>
    </w:p>
  </w:footnote>
  <w:footnote w:id="30">
    <w:p w:rsidR="00A44068" w:rsidRPr="00A44068" w:rsidRDefault="00A44068">
      <w:pPr>
        <w:pStyle w:val="FootnoteText"/>
        <w:rPr>
          <w:rFonts w:ascii="Perpetua" w:hAnsi="Perpetua"/>
          <w:lang w:val="en-GB"/>
        </w:rPr>
      </w:pPr>
      <w:r w:rsidRPr="00A44068">
        <w:rPr>
          <w:rStyle w:val="FootnoteReference"/>
          <w:rFonts w:ascii="Perpetua" w:hAnsi="Perpetua"/>
        </w:rPr>
        <w:footnoteRef/>
      </w:r>
      <w:r w:rsidRPr="00A44068">
        <w:rPr>
          <w:rFonts w:ascii="Perpetua" w:hAnsi="Perpetua"/>
        </w:rPr>
        <w:t xml:space="preserve"> </w:t>
      </w:r>
      <w:r>
        <w:rPr>
          <w:rFonts w:ascii="Perpetua" w:hAnsi="Perpetua"/>
        </w:rPr>
        <w:t xml:space="preserve">Stanley Cavell, </w:t>
      </w:r>
      <w:r>
        <w:rPr>
          <w:rFonts w:ascii="Perpetua" w:hAnsi="Perpetua"/>
          <w:i/>
        </w:rPr>
        <w:t>Disowning Knowledge in Six Plays of Shakespeare</w:t>
      </w:r>
      <w:r>
        <w:rPr>
          <w:rFonts w:ascii="Perpetua" w:hAnsi="Perpetua"/>
        </w:rPr>
        <w:t xml:space="preserve"> (Cambridge: Cambridge University Press, 1987), Ch. 3, pp. 125-42.</w:t>
      </w:r>
    </w:p>
  </w:footnote>
  <w:footnote w:id="31">
    <w:p w:rsidR="00161752" w:rsidRPr="00161752" w:rsidRDefault="00161752">
      <w:pPr>
        <w:pStyle w:val="FootnoteText"/>
        <w:rPr>
          <w:rFonts w:ascii="Perpetua" w:hAnsi="Perpetua"/>
          <w:lang w:val="en-GB"/>
        </w:rPr>
      </w:pPr>
      <w:r w:rsidRPr="00161752">
        <w:rPr>
          <w:rStyle w:val="FootnoteReference"/>
          <w:rFonts w:ascii="Perpetua" w:hAnsi="Perpetua"/>
        </w:rPr>
        <w:footnoteRef/>
      </w:r>
      <w:r w:rsidRPr="00161752">
        <w:rPr>
          <w:rFonts w:ascii="Perpetua" w:hAnsi="Perpetua"/>
        </w:rPr>
        <w:t xml:space="preserve"> </w:t>
      </w:r>
      <w:proofErr w:type="spellStart"/>
      <w:r>
        <w:rPr>
          <w:rFonts w:ascii="Perpetua" w:hAnsi="Perpetua"/>
        </w:rPr>
        <w:t>Hapgood</w:t>
      </w:r>
      <w:proofErr w:type="spellEnd"/>
      <w:r>
        <w:rPr>
          <w:rFonts w:ascii="Perpetua" w:hAnsi="Perpetua"/>
        </w:rPr>
        <w:t>, p. 229.</w:t>
      </w:r>
    </w:p>
  </w:footnote>
  <w:footnote w:id="32">
    <w:p w:rsidR="00C03FD5" w:rsidRPr="00C03FD5" w:rsidRDefault="00C03FD5">
      <w:pPr>
        <w:pStyle w:val="FootnoteText"/>
        <w:rPr>
          <w:rFonts w:ascii="Perpetua" w:hAnsi="Perpetua"/>
          <w:lang w:val="en-GB"/>
        </w:rPr>
      </w:pPr>
      <w:r w:rsidRPr="00C03FD5">
        <w:rPr>
          <w:rStyle w:val="FootnoteReference"/>
          <w:rFonts w:ascii="Perpetua" w:hAnsi="Perpetua"/>
        </w:rPr>
        <w:footnoteRef/>
      </w:r>
      <w:r w:rsidRPr="00C03FD5">
        <w:rPr>
          <w:rFonts w:ascii="Perpetua" w:hAnsi="Perpetua"/>
        </w:rPr>
        <w:t xml:space="preserve"> </w:t>
      </w:r>
      <w:proofErr w:type="spellStart"/>
      <w:r>
        <w:rPr>
          <w:rFonts w:ascii="Perpetua" w:hAnsi="Perpetua"/>
        </w:rPr>
        <w:t>Hapgood</w:t>
      </w:r>
      <w:proofErr w:type="spellEnd"/>
      <w:r>
        <w:rPr>
          <w:rFonts w:ascii="Perpetua" w:hAnsi="Perpetua"/>
        </w:rPr>
        <w:t>, p. 231.</w:t>
      </w:r>
    </w:p>
  </w:footnote>
  <w:footnote w:id="33">
    <w:p w:rsidR="00161752" w:rsidRPr="00D21727" w:rsidRDefault="00161752" w:rsidP="00161752">
      <w:pPr>
        <w:pStyle w:val="FootnoteText"/>
        <w:rPr>
          <w:rFonts w:ascii="Perpetua" w:hAnsi="Perpetua"/>
          <w:lang w:val="en-GB"/>
        </w:rPr>
      </w:pPr>
      <w:r w:rsidRPr="00D21727">
        <w:rPr>
          <w:rStyle w:val="FootnoteReference"/>
          <w:rFonts w:ascii="Perpetua" w:hAnsi="Perpetua"/>
        </w:rPr>
        <w:footnoteRef/>
      </w:r>
      <w:r w:rsidRPr="00D21727">
        <w:rPr>
          <w:rFonts w:ascii="Perpetua" w:hAnsi="Perpetua"/>
        </w:rPr>
        <w:t xml:space="preserve"> </w:t>
      </w:r>
      <w:r>
        <w:rPr>
          <w:rFonts w:ascii="Perpetua" w:hAnsi="Perpetua"/>
        </w:rPr>
        <w:t>Bickley and Stevens, p. 130.</w:t>
      </w:r>
    </w:p>
  </w:footnote>
  <w:footnote w:id="34">
    <w:p w:rsidR="00E332D1" w:rsidRPr="00111D6F" w:rsidRDefault="00E332D1">
      <w:pPr>
        <w:pStyle w:val="FootnoteText"/>
        <w:rPr>
          <w:rFonts w:ascii="Perpetua" w:hAnsi="Perpetua"/>
          <w:lang w:val="en-GB"/>
        </w:rPr>
      </w:pPr>
      <w:r w:rsidRPr="00111D6F">
        <w:rPr>
          <w:rStyle w:val="FootnoteReference"/>
          <w:rFonts w:ascii="Perpetua" w:hAnsi="Perpetua"/>
        </w:rPr>
        <w:footnoteRef/>
      </w:r>
      <w:r w:rsidRPr="00111D6F">
        <w:rPr>
          <w:rFonts w:ascii="Perpetua" w:hAnsi="Perpetua"/>
        </w:rPr>
        <w:t xml:space="preserve"> </w:t>
      </w:r>
      <w:r>
        <w:rPr>
          <w:rFonts w:ascii="Perpetua" w:hAnsi="Perpetua"/>
        </w:rPr>
        <w:t>Bickley and Stevens, p. 127.</w:t>
      </w:r>
    </w:p>
  </w:footnote>
  <w:footnote w:id="35">
    <w:p w:rsidR="00E332D1" w:rsidRPr="003961B8" w:rsidRDefault="00E332D1">
      <w:pPr>
        <w:pStyle w:val="FootnoteText"/>
        <w:rPr>
          <w:rFonts w:ascii="Perpetua" w:hAnsi="Perpetua"/>
          <w:lang w:val="en-GB"/>
        </w:rPr>
      </w:pPr>
      <w:r w:rsidRPr="003961B8">
        <w:rPr>
          <w:rStyle w:val="FootnoteReference"/>
          <w:rFonts w:ascii="Perpetua" w:hAnsi="Perpetua"/>
        </w:rPr>
        <w:footnoteRef/>
      </w:r>
      <w:r w:rsidRPr="003961B8">
        <w:rPr>
          <w:rFonts w:ascii="Perpetua" w:hAnsi="Perpetua"/>
        </w:rPr>
        <w:t xml:space="preserve"> </w:t>
      </w:r>
      <w:r>
        <w:rPr>
          <w:rFonts w:ascii="Perpetua" w:hAnsi="Perpetua"/>
        </w:rPr>
        <w:t>Bickley and Stevens, p. 132.</w:t>
      </w:r>
    </w:p>
  </w:footnote>
  <w:footnote w:id="36">
    <w:p w:rsidR="00A44068" w:rsidRPr="00A44068" w:rsidRDefault="00A44068">
      <w:pPr>
        <w:pStyle w:val="FootnoteText"/>
        <w:rPr>
          <w:rFonts w:ascii="Perpetua" w:hAnsi="Perpetua"/>
          <w:lang w:val="en-GB"/>
        </w:rPr>
      </w:pPr>
      <w:r w:rsidRPr="00A44068">
        <w:rPr>
          <w:rStyle w:val="FootnoteReference"/>
          <w:rFonts w:ascii="Perpetua" w:hAnsi="Perpetua"/>
        </w:rPr>
        <w:footnoteRef/>
      </w:r>
      <w:r w:rsidRPr="00A44068">
        <w:rPr>
          <w:rFonts w:ascii="Perpetua" w:hAnsi="Perpetua"/>
        </w:rPr>
        <w:t xml:space="preserve"> </w:t>
      </w:r>
      <w:r>
        <w:rPr>
          <w:rFonts w:ascii="Perpetua" w:hAnsi="Perpetua"/>
        </w:rPr>
        <w:t xml:space="preserve">Stephen Greenblatt, </w:t>
      </w:r>
      <w:r>
        <w:rPr>
          <w:rFonts w:ascii="Perpetua" w:hAnsi="Perpetua"/>
          <w:i/>
        </w:rPr>
        <w:t>Renaissance Self-Fashioning</w:t>
      </w:r>
      <w:r>
        <w:rPr>
          <w:rFonts w:ascii="Perpetua" w:hAnsi="Perpetua"/>
        </w:rPr>
        <w:t xml:space="preserve"> (Chicago, Ill., 1980), cited in </w:t>
      </w:r>
      <w:proofErr w:type="spellStart"/>
      <w:r>
        <w:rPr>
          <w:rFonts w:ascii="Perpetua" w:hAnsi="Perpetua"/>
        </w:rPr>
        <w:t>Hapgood</w:t>
      </w:r>
      <w:proofErr w:type="spellEnd"/>
      <w:r>
        <w:rPr>
          <w:rFonts w:ascii="Perpetua" w:hAnsi="Perpetua"/>
        </w:rPr>
        <w:t>, p. 229.</w:t>
      </w:r>
    </w:p>
  </w:footnote>
  <w:footnote w:id="37">
    <w:p w:rsidR="00E332D1" w:rsidRPr="00900A37" w:rsidRDefault="00E332D1">
      <w:pPr>
        <w:pStyle w:val="FootnoteText"/>
        <w:rPr>
          <w:rFonts w:ascii="Perpetua" w:hAnsi="Perpetua"/>
          <w:lang w:val="en-GB"/>
        </w:rPr>
      </w:pPr>
      <w:r w:rsidRPr="00900A37">
        <w:rPr>
          <w:rStyle w:val="FootnoteReference"/>
          <w:rFonts w:ascii="Perpetua" w:hAnsi="Perpetua"/>
        </w:rPr>
        <w:footnoteRef/>
      </w:r>
      <w:r w:rsidRPr="00900A37">
        <w:rPr>
          <w:rFonts w:ascii="Perpetua" w:hAnsi="Perpetua"/>
        </w:rPr>
        <w:t xml:space="preserve"> </w:t>
      </w:r>
      <w:r>
        <w:rPr>
          <w:rFonts w:ascii="Perpetua" w:hAnsi="Perpetua"/>
        </w:rPr>
        <w:t>Bickley and Stevens, p. 126.</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AA5D2C"/>
    <w:multiLevelType w:val="hybridMultilevel"/>
    <w:tmpl w:val="01845F4A"/>
    <w:lvl w:ilvl="0" w:tplc="0B0C34D6">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50D9A"/>
    <w:multiLevelType w:val="hybridMultilevel"/>
    <w:tmpl w:val="DEE218AA"/>
    <w:lvl w:ilvl="0" w:tplc="CB8EC4B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076809"/>
    <w:multiLevelType w:val="hybridMultilevel"/>
    <w:tmpl w:val="0C9651A8"/>
    <w:lvl w:ilvl="0" w:tplc="E9F0441C">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C70105"/>
    <w:multiLevelType w:val="hybridMultilevel"/>
    <w:tmpl w:val="42623984"/>
    <w:lvl w:ilvl="0" w:tplc="04C67B08">
      <w:start w:val="1"/>
      <w:numFmt w:val="lowerRoman"/>
      <w:lvlText w:val="(%1)"/>
      <w:lvlJc w:val="left"/>
      <w:pPr>
        <w:ind w:left="1080" w:hanging="720"/>
      </w:pPr>
      <w:rPr>
        <w:rFonts w:hint="default"/>
        <w:b/>
        <w:sz w:val="26"/>
        <w:szCs w:val="2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7145DD"/>
    <w:multiLevelType w:val="hybridMultilevel"/>
    <w:tmpl w:val="60028DE4"/>
    <w:lvl w:ilvl="0" w:tplc="FFE20FFA">
      <w:start w:val="1"/>
      <w:numFmt w:val="lowerRoman"/>
      <w:lvlText w:val="(%1)"/>
      <w:lvlJc w:val="left"/>
      <w:pPr>
        <w:ind w:left="1080" w:hanging="72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2890B05"/>
    <w:multiLevelType w:val="hybridMultilevel"/>
    <w:tmpl w:val="B89E2486"/>
    <w:lvl w:ilvl="0" w:tplc="72908030">
      <w:start w:val="1"/>
      <w:numFmt w:val="lowerRoman"/>
      <w:lvlText w:val="(%1)"/>
      <w:lvlJc w:val="left"/>
      <w:pPr>
        <w:ind w:left="720" w:hanging="360"/>
      </w:pPr>
      <w:rPr>
        <w:rFonts w:hint="default"/>
        <w:sz w:val="26"/>
        <w:szCs w:val="2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EE2D6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1A9567D"/>
    <w:multiLevelType w:val="hybridMultilevel"/>
    <w:tmpl w:val="2298A56A"/>
    <w:lvl w:ilvl="0" w:tplc="3F5CFDB6">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1"/>
  </w:num>
  <w:num w:numId="4">
    <w:abstractNumId w:val="6"/>
  </w:num>
  <w:num w:numId="5">
    <w:abstractNumId w:val="2"/>
  </w:num>
  <w:num w:numId="6">
    <w:abstractNumId w:val="7"/>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F3E"/>
    <w:rsid w:val="00004320"/>
    <w:rsid w:val="00030B3D"/>
    <w:rsid w:val="00040BAB"/>
    <w:rsid w:val="00040C92"/>
    <w:rsid w:val="00041D72"/>
    <w:rsid w:val="000479E0"/>
    <w:rsid w:val="00051EC0"/>
    <w:rsid w:val="00056F1C"/>
    <w:rsid w:val="000642EE"/>
    <w:rsid w:val="00081373"/>
    <w:rsid w:val="000847E1"/>
    <w:rsid w:val="000C3735"/>
    <w:rsid w:val="000C39A4"/>
    <w:rsid w:val="000C6CBB"/>
    <w:rsid w:val="000C7C45"/>
    <w:rsid w:val="000E0152"/>
    <w:rsid w:val="00111997"/>
    <w:rsid w:val="00111D6F"/>
    <w:rsid w:val="00116C00"/>
    <w:rsid w:val="00121AB5"/>
    <w:rsid w:val="0012632A"/>
    <w:rsid w:val="0013098B"/>
    <w:rsid w:val="00135768"/>
    <w:rsid w:val="00136F7E"/>
    <w:rsid w:val="001408B8"/>
    <w:rsid w:val="00144577"/>
    <w:rsid w:val="00161752"/>
    <w:rsid w:val="00164B7E"/>
    <w:rsid w:val="00171D7E"/>
    <w:rsid w:val="001872DF"/>
    <w:rsid w:val="001968C7"/>
    <w:rsid w:val="001A3BB2"/>
    <w:rsid w:val="001A6631"/>
    <w:rsid w:val="001C118F"/>
    <w:rsid w:val="001C6C76"/>
    <w:rsid w:val="001E542C"/>
    <w:rsid w:val="001E6693"/>
    <w:rsid w:val="001F1BC6"/>
    <w:rsid w:val="00205DCF"/>
    <w:rsid w:val="0021043B"/>
    <w:rsid w:val="00251C7B"/>
    <w:rsid w:val="00252392"/>
    <w:rsid w:val="00254F52"/>
    <w:rsid w:val="0027193C"/>
    <w:rsid w:val="00275FF6"/>
    <w:rsid w:val="0028126C"/>
    <w:rsid w:val="0028451E"/>
    <w:rsid w:val="00290B52"/>
    <w:rsid w:val="0029540B"/>
    <w:rsid w:val="00296295"/>
    <w:rsid w:val="002A283E"/>
    <w:rsid w:val="002B4CA4"/>
    <w:rsid w:val="002C29BB"/>
    <w:rsid w:val="002C35AF"/>
    <w:rsid w:val="002D78F4"/>
    <w:rsid w:val="002E0962"/>
    <w:rsid w:val="002F11F3"/>
    <w:rsid w:val="003024D7"/>
    <w:rsid w:val="00304638"/>
    <w:rsid w:val="0032766D"/>
    <w:rsid w:val="00335805"/>
    <w:rsid w:val="003402FC"/>
    <w:rsid w:val="00344AFF"/>
    <w:rsid w:val="003617A9"/>
    <w:rsid w:val="00362515"/>
    <w:rsid w:val="00376013"/>
    <w:rsid w:val="00376BC9"/>
    <w:rsid w:val="00391696"/>
    <w:rsid w:val="003961B8"/>
    <w:rsid w:val="003B6478"/>
    <w:rsid w:val="003C135A"/>
    <w:rsid w:val="003D4F00"/>
    <w:rsid w:val="003F05EF"/>
    <w:rsid w:val="004115F3"/>
    <w:rsid w:val="004136C2"/>
    <w:rsid w:val="004148DC"/>
    <w:rsid w:val="00414F3E"/>
    <w:rsid w:val="004173B8"/>
    <w:rsid w:val="00421A82"/>
    <w:rsid w:val="00431AF7"/>
    <w:rsid w:val="00440289"/>
    <w:rsid w:val="00441B1E"/>
    <w:rsid w:val="00446541"/>
    <w:rsid w:val="0044769B"/>
    <w:rsid w:val="0045595A"/>
    <w:rsid w:val="0046333F"/>
    <w:rsid w:val="00473053"/>
    <w:rsid w:val="00473977"/>
    <w:rsid w:val="00493805"/>
    <w:rsid w:val="004A5E54"/>
    <w:rsid w:val="004A66CD"/>
    <w:rsid w:val="004B1B88"/>
    <w:rsid w:val="004C2FE2"/>
    <w:rsid w:val="004C4735"/>
    <w:rsid w:val="004C49DF"/>
    <w:rsid w:val="004C6907"/>
    <w:rsid w:val="004D17B9"/>
    <w:rsid w:val="004F4A38"/>
    <w:rsid w:val="005158D7"/>
    <w:rsid w:val="00523F23"/>
    <w:rsid w:val="00532181"/>
    <w:rsid w:val="00542930"/>
    <w:rsid w:val="005436BA"/>
    <w:rsid w:val="0055428D"/>
    <w:rsid w:val="00554387"/>
    <w:rsid w:val="00560F3B"/>
    <w:rsid w:val="00582163"/>
    <w:rsid w:val="00584894"/>
    <w:rsid w:val="005879BB"/>
    <w:rsid w:val="005A2AC8"/>
    <w:rsid w:val="005B57EE"/>
    <w:rsid w:val="005C2D87"/>
    <w:rsid w:val="005C45C5"/>
    <w:rsid w:val="005C4889"/>
    <w:rsid w:val="005C5D15"/>
    <w:rsid w:val="005D3B8D"/>
    <w:rsid w:val="005D4EDE"/>
    <w:rsid w:val="005D7E19"/>
    <w:rsid w:val="005E1F56"/>
    <w:rsid w:val="005F2E54"/>
    <w:rsid w:val="005F2E84"/>
    <w:rsid w:val="005F4A00"/>
    <w:rsid w:val="00610872"/>
    <w:rsid w:val="00610F51"/>
    <w:rsid w:val="00613BB7"/>
    <w:rsid w:val="006240E4"/>
    <w:rsid w:val="0065274D"/>
    <w:rsid w:val="00654C21"/>
    <w:rsid w:val="00663630"/>
    <w:rsid w:val="00666D12"/>
    <w:rsid w:val="00682E5C"/>
    <w:rsid w:val="00691C90"/>
    <w:rsid w:val="006A6615"/>
    <w:rsid w:val="006A6FB8"/>
    <w:rsid w:val="006C50AC"/>
    <w:rsid w:val="006C74E5"/>
    <w:rsid w:val="006D0422"/>
    <w:rsid w:val="006D0E97"/>
    <w:rsid w:val="006D776F"/>
    <w:rsid w:val="006D79FE"/>
    <w:rsid w:val="006E036B"/>
    <w:rsid w:val="006F6EC3"/>
    <w:rsid w:val="007021CD"/>
    <w:rsid w:val="007049EC"/>
    <w:rsid w:val="007111BA"/>
    <w:rsid w:val="00714D7D"/>
    <w:rsid w:val="007156BD"/>
    <w:rsid w:val="007322A0"/>
    <w:rsid w:val="00734FB6"/>
    <w:rsid w:val="007535B9"/>
    <w:rsid w:val="007805D1"/>
    <w:rsid w:val="00793735"/>
    <w:rsid w:val="007A71B6"/>
    <w:rsid w:val="007D4D3A"/>
    <w:rsid w:val="007D69B0"/>
    <w:rsid w:val="007E4C79"/>
    <w:rsid w:val="007F0165"/>
    <w:rsid w:val="007F55A1"/>
    <w:rsid w:val="007F5C06"/>
    <w:rsid w:val="007F7AE8"/>
    <w:rsid w:val="00802380"/>
    <w:rsid w:val="008024E3"/>
    <w:rsid w:val="0080628B"/>
    <w:rsid w:val="00830963"/>
    <w:rsid w:val="00836460"/>
    <w:rsid w:val="00841815"/>
    <w:rsid w:val="008423B8"/>
    <w:rsid w:val="008516A6"/>
    <w:rsid w:val="008669B7"/>
    <w:rsid w:val="008722CA"/>
    <w:rsid w:val="00877EE7"/>
    <w:rsid w:val="0088197F"/>
    <w:rsid w:val="00881B5D"/>
    <w:rsid w:val="0089542E"/>
    <w:rsid w:val="008A5D66"/>
    <w:rsid w:val="008C3F7B"/>
    <w:rsid w:val="008C657F"/>
    <w:rsid w:val="008C6A53"/>
    <w:rsid w:val="008D2086"/>
    <w:rsid w:val="008E36BA"/>
    <w:rsid w:val="008E3AF5"/>
    <w:rsid w:val="00900A37"/>
    <w:rsid w:val="00906BFF"/>
    <w:rsid w:val="00910738"/>
    <w:rsid w:val="00910ADD"/>
    <w:rsid w:val="00914B9D"/>
    <w:rsid w:val="00944C95"/>
    <w:rsid w:val="00946779"/>
    <w:rsid w:val="00954975"/>
    <w:rsid w:val="009664AE"/>
    <w:rsid w:val="00966AC3"/>
    <w:rsid w:val="00966FD9"/>
    <w:rsid w:val="0098071C"/>
    <w:rsid w:val="009836DA"/>
    <w:rsid w:val="009852E5"/>
    <w:rsid w:val="00994F06"/>
    <w:rsid w:val="009B295C"/>
    <w:rsid w:val="009B2FD6"/>
    <w:rsid w:val="009B6E78"/>
    <w:rsid w:val="009D341E"/>
    <w:rsid w:val="009D535F"/>
    <w:rsid w:val="009D7A7D"/>
    <w:rsid w:val="009E3AC5"/>
    <w:rsid w:val="009E7E6F"/>
    <w:rsid w:val="00A04446"/>
    <w:rsid w:val="00A0724C"/>
    <w:rsid w:val="00A07491"/>
    <w:rsid w:val="00A1542D"/>
    <w:rsid w:val="00A15615"/>
    <w:rsid w:val="00A15811"/>
    <w:rsid w:val="00A2579B"/>
    <w:rsid w:val="00A260DC"/>
    <w:rsid w:val="00A27DE6"/>
    <w:rsid w:val="00A362FD"/>
    <w:rsid w:val="00A36747"/>
    <w:rsid w:val="00A37021"/>
    <w:rsid w:val="00A40E7A"/>
    <w:rsid w:val="00A44068"/>
    <w:rsid w:val="00A46844"/>
    <w:rsid w:val="00A5360E"/>
    <w:rsid w:val="00A75237"/>
    <w:rsid w:val="00A86E9D"/>
    <w:rsid w:val="00A97ABE"/>
    <w:rsid w:val="00AB070C"/>
    <w:rsid w:val="00AC229C"/>
    <w:rsid w:val="00AC284E"/>
    <w:rsid w:val="00AC77E2"/>
    <w:rsid w:val="00AD3349"/>
    <w:rsid w:val="00AD6D8F"/>
    <w:rsid w:val="00AE18DB"/>
    <w:rsid w:val="00AE1D54"/>
    <w:rsid w:val="00AF7A26"/>
    <w:rsid w:val="00B0571D"/>
    <w:rsid w:val="00B06EAC"/>
    <w:rsid w:val="00B21AC5"/>
    <w:rsid w:val="00B257F5"/>
    <w:rsid w:val="00B329B9"/>
    <w:rsid w:val="00B44211"/>
    <w:rsid w:val="00B52DCC"/>
    <w:rsid w:val="00B5600D"/>
    <w:rsid w:val="00B62A6C"/>
    <w:rsid w:val="00B67942"/>
    <w:rsid w:val="00B851A4"/>
    <w:rsid w:val="00B86B44"/>
    <w:rsid w:val="00B95530"/>
    <w:rsid w:val="00B97227"/>
    <w:rsid w:val="00BA1E41"/>
    <w:rsid w:val="00BC097F"/>
    <w:rsid w:val="00BC5A98"/>
    <w:rsid w:val="00BD1E80"/>
    <w:rsid w:val="00BE01B6"/>
    <w:rsid w:val="00BE59DB"/>
    <w:rsid w:val="00C01C4A"/>
    <w:rsid w:val="00C03FD5"/>
    <w:rsid w:val="00C05512"/>
    <w:rsid w:val="00C10EB6"/>
    <w:rsid w:val="00C5232C"/>
    <w:rsid w:val="00C7714D"/>
    <w:rsid w:val="00C8335C"/>
    <w:rsid w:val="00C84CD8"/>
    <w:rsid w:val="00CA5D8A"/>
    <w:rsid w:val="00CB1D73"/>
    <w:rsid w:val="00CC1AB1"/>
    <w:rsid w:val="00CE79C9"/>
    <w:rsid w:val="00D005EF"/>
    <w:rsid w:val="00D03552"/>
    <w:rsid w:val="00D115A0"/>
    <w:rsid w:val="00D1349C"/>
    <w:rsid w:val="00D21727"/>
    <w:rsid w:val="00D2518B"/>
    <w:rsid w:val="00D3519C"/>
    <w:rsid w:val="00D35D48"/>
    <w:rsid w:val="00D4208B"/>
    <w:rsid w:val="00D43544"/>
    <w:rsid w:val="00D51ACD"/>
    <w:rsid w:val="00D645B1"/>
    <w:rsid w:val="00D6676D"/>
    <w:rsid w:val="00D71475"/>
    <w:rsid w:val="00D91365"/>
    <w:rsid w:val="00D91726"/>
    <w:rsid w:val="00D922AA"/>
    <w:rsid w:val="00D97339"/>
    <w:rsid w:val="00DC03A6"/>
    <w:rsid w:val="00DC0D54"/>
    <w:rsid w:val="00DD0341"/>
    <w:rsid w:val="00DD39D7"/>
    <w:rsid w:val="00DE169D"/>
    <w:rsid w:val="00DE387F"/>
    <w:rsid w:val="00DE593E"/>
    <w:rsid w:val="00DE5BFA"/>
    <w:rsid w:val="00DE783F"/>
    <w:rsid w:val="00DF3DDD"/>
    <w:rsid w:val="00DF6B54"/>
    <w:rsid w:val="00E02306"/>
    <w:rsid w:val="00E03895"/>
    <w:rsid w:val="00E04007"/>
    <w:rsid w:val="00E3133E"/>
    <w:rsid w:val="00E332D1"/>
    <w:rsid w:val="00E54AE8"/>
    <w:rsid w:val="00E54DC7"/>
    <w:rsid w:val="00E554FB"/>
    <w:rsid w:val="00E676A5"/>
    <w:rsid w:val="00E73026"/>
    <w:rsid w:val="00E77A5E"/>
    <w:rsid w:val="00E84284"/>
    <w:rsid w:val="00E8595D"/>
    <w:rsid w:val="00E87001"/>
    <w:rsid w:val="00E87372"/>
    <w:rsid w:val="00E922DC"/>
    <w:rsid w:val="00EA5D67"/>
    <w:rsid w:val="00EC0069"/>
    <w:rsid w:val="00EC5382"/>
    <w:rsid w:val="00EF5A44"/>
    <w:rsid w:val="00EF5BD5"/>
    <w:rsid w:val="00F035B4"/>
    <w:rsid w:val="00F13266"/>
    <w:rsid w:val="00F2015D"/>
    <w:rsid w:val="00F26A7D"/>
    <w:rsid w:val="00F271A8"/>
    <w:rsid w:val="00F34EFD"/>
    <w:rsid w:val="00F52FE6"/>
    <w:rsid w:val="00F62BD9"/>
    <w:rsid w:val="00F63273"/>
    <w:rsid w:val="00F673D3"/>
    <w:rsid w:val="00F76F92"/>
    <w:rsid w:val="00F87CCA"/>
    <w:rsid w:val="00F96A8C"/>
    <w:rsid w:val="00FA78FC"/>
    <w:rsid w:val="00FB2656"/>
    <w:rsid w:val="00FB5C62"/>
    <w:rsid w:val="00FC76B9"/>
    <w:rsid w:val="00FD35AB"/>
    <w:rsid w:val="00FE029B"/>
    <w:rsid w:val="00FE349E"/>
    <w:rsid w:val="00FE7A66"/>
    <w:rsid w:val="00FF252D"/>
    <w:rsid w:val="00FF5D51"/>
    <w:rsid w:val="00FF7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3A9896-20C0-4C02-8E7F-286C5C34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4F3E"/>
    <w:pPr>
      <w:widowControl w:val="0"/>
      <w:snapToGrid w:val="0"/>
      <w:spacing w:after="0" w:line="240" w:lineRule="auto"/>
    </w:pPr>
    <w:rPr>
      <w:rFonts w:ascii="Courier" w:eastAsia="Times New Roman" w:hAnsi="Courier" w:cs="Times New Roman"/>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F3E"/>
    <w:pPr>
      <w:ind w:left="720"/>
      <w:contextualSpacing/>
    </w:pPr>
  </w:style>
  <w:style w:type="paragraph" w:styleId="FootnoteText">
    <w:name w:val="footnote text"/>
    <w:basedOn w:val="Normal"/>
    <w:link w:val="FootnoteTextChar"/>
    <w:uiPriority w:val="99"/>
    <w:unhideWhenUsed/>
    <w:rsid w:val="00D43544"/>
    <w:rPr>
      <w:sz w:val="20"/>
    </w:rPr>
  </w:style>
  <w:style w:type="character" w:customStyle="1" w:styleId="FootnoteTextChar">
    <w:name w:val="Footnote Text Char"/>
    <w:basedOn w:val="DefaultParagraphFont"/>
    <w:link w:val="FootnoteText"/>
    <w:uiPriority w:val="99"/>
    <w:rsid w:val="00D43544"/>
    <w:rPr>
      <w:rFonts w:ascii="Courier" w:eastAsia="Times New Roman" w:hAnsi="Courier" w:cs="Times New Roman"/>
      <w:sz w:val="20"/>
      <w:szCs w:val="20"/>
      <w:lang w:val="en-US"/>
    </w:rPr>
  </w:style>
  <w:style w:type="character" w:styleId="FootnoteReference">
    <w:name w:val="footnote reference"/>
    <w:basedOn w:val="DefaultParagraphFont"/>
    <w:uiPriority w:val="99"/>
    <w:unhideWhenUsed/>
    <w:rsid w:val="00D43544"/>
    <w:rPr>
      <w:vertAlign w:val="superscript"/>
    </w:rPr>
  </w:style>
  <w:style w:type="paragraph" w:styleId="Header">
    <w:name w:val="header"/>
    <w:basedOn w:val="Normal"/>
    <w:link w:val="HeaderChar"/>
    <w:uiPriority w:val="99"/>
    <w:unhideWhenUsed/>
    <w:rsid w:val="007F0165"/>
    <w:pPr>
      <w:tabs>
        <w:tab w:val="center" w:pos="4513"/>
        <w:tab w:val="right" w:pos="9026"/>
      </w:tabs>
    </w:pPr>
  </w:style>
  <w:style w:type="character" w:customStyle="1" w:styleId="HeaderChar">
    <w:name w:val="Header Char"/>
    <w:basedOn w:val="DefaultParagraphFont"/>
    <w:link w:val="Header"/>
    <w:uiPriority w:val="99"/>
    <w:rsid w:val="007F0165"/>
    <w:rPr>
      <w:rFonts w:ascii="Courier" w:eastAsia="Times New Roman" w:hAnsi="Courier" w:cs="Times New Roman"/>
      <w:sz w:val="24"/>
      <w:szCs w:val="20"/>
      <w:lang w:val="en-US"/>
    </w:rPr>
  </w:style>
  <w:style w:type="paragraph" w:styleId="Footer">
    <w:name w:val="footer"/>
    <w:basedOn w:val="Normal"/>
    <w:link w:val="FooterChar"/>
    <w:uiPriority w:val="99"/>
    <w:unhideWhenUsed/>
    <w:rsid w:val="007F0165"/>
    <w:pPr>
      <w:tabs>
        <w:tab w:val="center" w:pos="4513"/>
        <w:tab w:val="right" w:pos="9026"/>
      </w:tabs>
    </w:pPr>
  </w:style>
  <w:style w:type="character" w:customStyle="1" w:styleId="FooterChar">
    <w:name w:val="Footer Char"/>
    <w:basedOn w:val="DefaultParagraphFont"/>
    <w:link w:val="Footer"/>
    <w:uiPriority w:val="99"/>
    <w:rsid w:val="007F0165"/>
    <w:rPr>
      <w:rFonts w:ascii="Courier" w:eastAsia="Times New Roman" w:hAnsi="Courier" w:cs="Times New Roman"/>
      <w:sz w:val="24"/>
      <w:szCs w:val="20"/>
      <w:lang w:val="en-US"/>
    </w:rPr>
  </w:style>
  <w:style w:type="paragraph" w:styleId="EndnoteText">
    <w:name w:val="endnote text"/>
    <w:basedOn w:val="Normal"/>
    <w:link w:val="EndnoteTextChar"/>
    <w:uiPriority w:val="99"/>
    <w:rsid w:val="00DE5BFA"/>
    <w:pPr>
      <w:widowControl/>
      <w:overflowPunct w:val="0"/>
      <w:autoSpaceDE w:val="0"/>
      <w:autoSpaceDN w:val="0"/>
      <w:adjustRightInd w:val="0"/>
      <w:snapToGrid/>
      <w:textAlignment w:val="baseline"/>
    </w:pPr>
    <w:rPr>
      <w:rFonts w:ascii="Courier New" w:eastAsia="BatangChe" w:hAnsi="Courier New" w:cs="Courier New"/>
      <w:szCs w:val="24"/>
    </w:rPr>
  </w:style>
  <w:style w:type="character" w:customStyle="1" w:styleId="EndnoteTextChar">
    <w:name w:val="Endnote Text Char"/>
    <w:basedOn w:val="DefaultParagraphFont"/>
    <w:link w:val="EndnoteText"/>
    <w:uiPriority w:val="99"/>
    <w:rsid w:val="00DE5BFA"/>
    <w:rPr>
      <w:rFonts w:ascii="Courier New" w:eastAsia="BatangChe" w:hAnsi="Courier New" w:cs="Courier New"/>
      <w:sz w:val="24"/>
      <w:szCs w:val="24"/>
      <w:lang w:val="en-US"/>
    </w:rPr>
  </w:style>
  <w:style w:type="character" w:styleId="EndnoteReference">
    <w:name w:val="endnote reference"/>
    <w:basedOn w:val="DefaultParagraphFont"/>
    <w:uiPriority w:val="99"/>
    <w:rsid w:val="00DE5BFA"/>
    <w:rPr>
      <w:rFonts w:ascii="BatangChe" w:eastAsia="BatangChe" w:hAnsi="BatangChe" w:cs="BatangChe"/>
      <w:vertAlign w:val="superscript"/>
    </w:rPr>
  </w:style>
  <w:style w:type="table" w:styleId="TableGrid">
    <w:name w:val="Table Grid"/>
    <w:basedOn w:val="TableNormal"/>
    <w:uiPriority w:val="59"/>
    <w:rsid w:val="000479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79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FB125-AB0E-4EA5-A501-15E1D5B87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TotalTime>
  <Pages>11</Pages>
  <Words>3932</Words>
  <Characters>22419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Mitchell</dc:creator>
  <cp:keywords/>
  <dc:description/>
  <cp:lastModifiedBy>Peter Mitchell</cp:lastModifiedBy>
  <cp:revision>23</cp:revision>
  <dcterms:created xsi:type="dcterms:W3CDTF">2019-06-03T14:58:00Z</dcterms:created>
  <dcterms:modified xsi:type="dcterms:W3CDTF">2019-06-04T03:28:00Z</dcterms:modified>
</cp:coreProperties>
</file>