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06A80E" w14:textId="7B5C264E" w:rsidR="00901890" w:rsidRDefault="00901890" w:rsidP="00901890">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52B8608" w14:textId="5C493D5E" w:rsidR="00901890" w:rsidRDefault="00901890" w:rsidP="00901890">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t xml:space="preserve">Jack Brown </w:t>
      </w:r>
    </w:p>
    <w:p w14:paraId="50F79741" w14:textId="6769E964" w:rsidR="00901890" w:rsidRPr="00901890" w:rsidRDefault="00901890" w:rsidP="00901890">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sidRPr="00901890">
        <w:rPr>
          <w:rFonts w:ascii="Times New Roman" w:eastAsia="Times New Roman" w:hAnsi="Times New Roman" w:cs="Times New Roman"/>
          <w:b/>
          <w:bCs/>
          <w:kern w:val="36"/>
          <w:sz w:val="48"/>
          <w:szCs w:val="48"/>
          <w:lang w:eastAsia="en-GB"/>
          <w14:ligatures w14:val="none"/>
        </w:rPr>
        <w:t>Research Topic Assignment</w:t>
      </w:r>
    </w:p>
    <w:p w14:paraId="45728B8E" w14:textId="77777777" w:rsidR="00901890" w:rsidRPr="00901890" w:rsidRDefault="00901890" w:rsidP="00901890">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eastAsia="en-GB"/>
          <w14:ligatures w14:val="none"/>
        </w:rPr>
      </w:pPr>
      <w:r w:rsidRPr="00901890">
        <w:rPr>
          <w:rFonts w:ascii="Times New Roman" w:eastAsia="Times New Roman" w:hAnsi="Times New Roman" w:cs="Times New Roman"/>
          <w:b/>
          <w:bCs/>
          <w:kern w:val="0"/>
          <w:sz w:val="36"/>
          <w:szCs w:val="36"/>
          <w:lang w:eastAsia="en-GB"/>
          <w14:ligatures w14:val="none"/>
        </w:rPr>
        <w:t>Research Question/Title</w:t>
      </w:r>
    </w:p>
    <w:p w14:paraId="5660927D" w14:textId="77777777" w:rsidR="00901890" w:rsidRPr="00901890" w:rsidRDefault="00901890" w:rsidP="00901890">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901890">
        <w:rPr>
          <w:rFonts w:ascii="Times New Roman" w:eastAsia="Times New Roman" w:hAnsi="Times New Roman" w:cs="Times New Roman"/>
          <w:b/>
          <w:bCs/>
          <w:kern w:val="0"/>
          <w:lang w:eastAsia="en-GB"/>
          <w14:ligatures w14:val="none"/>
        </w:rPr>
        <w:t>"Llyn Cerrig Bach: What Does Archaeological Evidence Reveal About Celtic Water Ritual Practice?"</w:t>
      </w:r>
    </w:p>
    <w:p w14:paraId="7C9DFC51" w14:textId="77777777" w:rsidR="00901890" w:rsidRDefault="00901890" w:rsidP="00901890">
      <w:pPr>
        <w:pStyle w:val="NormalWeb"/>
        <w:jc w:val="center"/>
      </w:pPr>
    </w:p>
    <w:p w14:paraId="2E5B9C21" w14:textId="77777777" w:rsidR="00901890" w:rsidRDefault="00901890" w:rsidP="00901890">
      <w:pPr>
        <w:pStyle w:val="NormalWeb"/>
      </w:pPr>
    </w:p>
    <w:p w14:paraId="7F4983EB" w14:textId="77777777" w:rsidR="00901890" w:rsidRDefault="00901890" w:rsidP="00901890">
      <w:pPr>
        <w:pStyle w:val="NormalWeb"/>
      </w:pPr>
    </w:p>
    <w:p w14:paraId="18060627" w14:textId="77777777" w:rsidR="00901890" w:rsidRDefault="00901890" w:rsidP="00901890">
      <w:pPr>
        <w:pStyle w:val="NormalWeb"/>
      </w:pPr>
    </w:p>
    <w:p w14:paraId="2C296A42" w14:textId="4256D3BE" w:rsidR="00901890" w:rsidRPr="00901890" w:rsidRDefault="00901890" w:rsidP="00901890">
      <w:pPr>
        <w:pStyle w:val="NormalWeb"/>
        <w:rPr>
          <w:b/>
          <w:bCs/>
        </w:rPr>
      </w:pPr>
      <w:r w:rsidRPr="00901890">
        <w:rPr>
          <w:b/>
          <w:bCs/>
        </w:rPr>
        <w:t>Assessment of Feasibility</w:t>
      </w:r>
    </w:p>
    <w:p w14:paraId="4BDE425D" w14:textId="77777777" w:rsidR="00901890" w:rsidRDefault="00901890" w:rsidP="00901890">
      <w:pPr>
        <w:pStyle w:val="NormalWeb"/>
      </w:pPr>
      <w:r>
        <w:t>When considering feasibility, I reviewed three primary factors.</w:t>
      </w:r>
    </w:p>
    <w:p w14:paraId="28A4C234" w14:textId="77777777" w:rsidR="00901890" w:rsidRDefault="00901890" w:rsidP="00901890">
      <w:pPr>
        <w:pStyle w:val="NormalWeb"/>
      </w:pPr>
      <w:r>
        <w:t>First, Llyn Cerrig Bach is one of the most documented archaeological sites anywhere. There are numerous studies of the site, a large amount of information provided by Sir Cyril Fox’s first report in 1946 and the site is home to many artifacts now located at the National Museum of Wales. These resources will allow me to visually and descriptively document my research.</w:t>
      </w:r>
    </w:p>
    <w:p w14:paraId="53BB0541" w14:textId="0A87B437" w:rsidR="00901890" w:rsidRDefault="00901890" w:rsidP="00901890">
      <w:pPr>
        <w:pStyle w:val="NormalWeb"/>
      </w:pPr>
      <w:r>
        <w:t xml:space="preserve">Second, I </w:t>
      </w:r>
      <w:r>
        <w:t>can</w:t>
      </w:r>
      <w:r>
        <w:t xml:space="preserve"> limit my investigation to a single site with a limited number of artifacts. Although the site itself is a part of a larger cultural movement, limiting myself to this specific site will help ensure that I do not feel overwhelmed and will provide me with sufficient data to </w:t>
      </w:r>
      <w:r>
        <w:t>analyse</w:t>
      </w:r>
      <w:r>
        <w:t>.</w:t>
      </w:r>
    </w:p>
    <w:p w14:paraId="48C56993" w14:textId="77777777" w:rsidR="00901890" w:rsidRDefault="00901890" w:rsidP="00901890">
      <w:pPr>
        <w:pStyle w:val="NormalWeb"/>
      </w:pPr>
      <w:r>
        <w:t>Third, I have identified other locations where similar activities occurred — e.g., La Tène in Switzerland — which will allow me to place Llyn Cerrig Bach in the larger context of Celtic culture.</w:t>
      </w:r>
    </w:p>
    <w:p w14:paraId="587019DF" w14:textId="77777777" w:rsidR="00901890" w:rsidRDefault="00901890" w:rsidP="00901890">
      <w:pPr>
        <w:pStyle w:val="NormalWeb"/>
      </w:pPr>
      <w:r>
        <w:t>Therefore, I believe that the research question "Llyn Cerrig Bach: What does archaeological evidence reveal about Celtic water ritual practice?" is feasible and can be thoroughly investigated.</w:t>
      </w:r>
    </w:p>
    <w:p w14:paraId="5F9D684F" w14:textId="77777777" w:rsidR="00901890" w:rsidRPr="00901890" w:rsidRDefault="00901890" w:rsidP="00901890">
      <w:pPr>
        <w:pStyle w:val="NormalWeb"/>
        <w:rPr>
          <w:b/>
          <w:bCs/>
        </w:rPr>
      </w:pPr>
      <w:r w:rsidRPr="00901890">
        <w:rPr>
          <w:b/>
          <w:bCs/>
        </w:rPr>
        <w:t>Interpretation of Sources</w:t>
      </w:r>
    </w:p>
    <w:p w14:paraId="0271DFF1" w14:textId="265DC93C" w:rsidR="00901890" w:rsidRPr="00901890" w:rsidRDefault="00901890" w:rsidP="00901890">
      <w:pPr>
        <w:pStyle w:val="NormalWeb"/>
      </w:pPr>
      <w:r>
        <w:t xml:space="preserve">This research project directly ties in with the course learning objectives by comparing how different types of evidence create varying degrees of interpretation. While classical authors </w:t>
      </w:r>
      <w:r>
        <w:lastRenderedPageBreak/>
        <w:t xml:space="preserve">such as Strabo and </w:t>
      </w:r>
      <w:proofErr w:type="spellStart"/>
      <w:r>
        <w:t>Poseidonius</w:t>
      </w:r>
      <w:proofErr w:type="spellEnd"/>
      <w:r>
        <w:t xml:space="preserve"> wrote about Celtic “sacred lakes” and “votive offerings,” the information they provide is very limited and often influenced by the Romans’ views of the Celts. The findings of the archaeological evidence from Llyn Cerrig Bach show us exactly what the Celts </w:t>
      </w:r>
      <w:r>
        <w:t>offered,</w:t>
      </w:r>
      <w:r>
        <w:t xml:space="preserve"> i.e., weapons destroyed ritually, artifacts of high status, and possibly even the remnants of slaves' chains. These discoveries may support, contradict, or add new ideas to those found in the classical texts. The debate among scholars regarding whether these objects were used as thanksgiving offerings, or as ways to appease the gods or to demonstrate wealth and status shows how the process of interpreting archaeological evidence incorporates </w:t>
      </w:r>
      <w:r>
        <w:t>theory and</w:t>
      </w:r>
      <w:r>
        <w:t xml:space="preserve"> is not simply a description of the evidence.</w:t>
      </w:r>
    </w:p>
    <w:p w14:paraId="7FCA7BA4" w14:textId="6379FFAC" w:rsidR="00901890" w:rsidRPr="00901890" w:rsidRDefault="00901890" w:rsidP="00901890">
      <w:pPr>
        <w:pStyle w:val="NormalWeb"/>
        <w:rPr>
          <w:b/>
          <w:bCs/>
        </w:rPr>
      </w:pPr>
      <w:r w:rsidRPr="00901890">
        <w:rPr>
          <w:b/>
          <w:bCs/>
        </w:rPr>
        <w:t xml:space="preserve">Bibliography – Resources </w:t>
      </w:r>
    </w:p>
    <w:p w14:paraId="1673BDE5" w14:textId="5A52644A" w:rsidR="00901890" w:rsidRDefault="00901890" w:rsidP="00901890">
      <w:pPr>
        <w:pStyle w:val="NormalWeb"/>
      </w:pPr>
      <w:r>
        <w:t xml:space="preserve"> Bradley, R. (2017). A Geography of Offerings: Deposits of Valuables in the Landscapes of Ancient Europe. Oxbow Books.</w:t>
      </w:r>
    </w:p>
    <w:p w14:paraId="7148C3C5" w14:textId="5F12AFEF" w:rsidR="00901890" w:rsidRDefault="00901890" w:rsidP="00901890">
      <w:pPr>
        <w:pStyle w:val="NormalWeb"/>
      </w:pPr>
      <w:r>
        <w:t>Garrow, D. &amp; Gosden, C. (2012). Technologies of Enchantment? Exploring Celtic Art: 400 BC to AD 100. Oxford University Press.</w:t>
      </w:r>
    </w:p>
    <w:p w14:paraId="0F8B44A5" w14:textId="36E5D4D2" w:rsidR="00901890" w:rsidRDefault="00901890" w:rsidP="00901890">
      <w:pPr>
        <w:pStyle w:val="NormalWeb"/>
      </w:pPr>
      <w:r>
        <w:t>Macdonald, P. (2007). Llyn Cerrig Bach: A Study of the Copper Alloy Artefacts from the Insular La Tène Assemblage. University of Wales Press.</w:t>
      </w:r>
    </w:p>
    <w:p w14:paraId="6CD52CF4" w14:textId="7E5B2F2E" w:rsidR="00901890" w:rsidRDefault="00901890" w:rsidP="00901890">
      <w:pPr>
        <w:pStyle w:val="NormalWeb"/>
      </w:pPr>
      <w:r>
        <w:t>Ross, A. (1986). 'Ritual and the Druids'. In Megaw, R. &amp; Megaw, V. (eds.) Celtic Art: From Its Beginnings to the Book of Kells. Thames &amp; Hudson, pp. 132-145.</w:t>
      </w:r>
    </w:p>
    <w:p w14:paraId="492A83A0" w14:textId="637E5861" w:rsidR="00901890" w:rsidRDefault="00901890" w:rsidP="00901890">
      <w:pPr>
        <w:pStyle w:val="NormalWeb"/>
      </w:pPr>
      <w:proofErr w:type="spellStart"/>
      <w:r>
        <w:t>Aldhouse</w:t>
      </w:r>
      <w:proofErr w:type="spellEnd"/>
      <w:r>
        <w:t xml:space="preserve">-Green, M. &amp; </w:t>
      </w:r>
      <w:proofErr w:type="spellStart"/>
      <w:r>
        <w:t>Aldhouse</w:t>
      </w:r>
      <w:proofErr w:type="spellEnd"/>
      <w:r>
        <w:t xml:space="preserve">-Green, S. (2005). The Quest for the Shaman: </w:t>
      </w:r>
      <w:r>
        <w:t>Shapeshifters</w:t>
      </w:r>
      <w:r>
        <w:t>, Sorcerers and Spirit-Healers in Ancient Europe. Thames &amp; Hudson.</w:t>
      </w:r>
    </w:p>
    <w:p w14:paraId="7F087C0B" w14:textId="01115B4E" w:rsidR="00901890" w:rsidRDefault="00901890" w:rsidP="00901890">
      <w:pPr>
        <w:pStyle w:val="NormalWeb"/>
      </w:pPr>
      <w:r>
        <w:t xml:space="preserve"> Green, M. (1997). 'Humans as Ritual Victims in the Later Prehistory of Western Europe'. Oxford Journal of Archaeology, 17(2), pp. 169-189.</w:t>
      </w:r>
    </w:p>
    <w:p w14:paraId="0F2F9FCE" w14:textId="77777777" w:rsidR="00E31D08" w:rsidRDefault="00E31D08"/>
    <w:sectPr w:rsidR="00E31D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A3655E" w14:textId="77777777" w:rsidR="001F773A" w:rsidRDefault="001F773A" w:rsidP="003A48CF">
      <w:pPr>
        <w:spacing w:after="0" w:line="240" w:lineRule="auto"/>
      </w:pPr>
      <w:r>
        <w:separator/>
      </w:r>
    </w:p>
  </w:endnote>
  <w:endnote w:type="continuationSeparator" w:id="0">
    <w:p w14:paraId="0CB67C1E" w14:textId="77777777" w:rsidR="001F773A" w:rsidRDefault="001F773A" w:rsidP="003A4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3480D" w14:textId="77777777" w:rsidR="001F773A" w:rsidRDefault="001F773A" w:rsidP="003A48CF">
      <w:pPr>
        <w:spacing w:after="0" w:line="240" w:lineRule="auto"/>
      </w:pPr>
      <w:r>
        <w:separator/>
      </w:r>
    </w:p>
  </w:footnote>
  <w:footnote w:type="continuationSeparator" w:id="0">
    <w:p w14:paraId="733473BD" w14:textId="77777777" w:rsidR="001F773A" w:rsidRDefault="001F773A" w:rsidP="003A48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890"/>
    <w:rsid w:val="001F773A"/>
    <w:rsid w:val="002D74F9"/>
    <w:rsid w:val="003A48CF"/>
    <w:rsid w:val="00901890"/>
    <w:rsid w:val="00E31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407D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18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18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18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18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18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18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18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18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18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8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18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18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18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18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18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18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18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1890"/>
    <w:rPr>
      <w:rFonts w:eastAsiaTheme="majorEastAsia" w:cstheme="majorBidi"/>
      <w:color w:val="272727" w:themeColor="text1" w:themeTint="D8"/>
    </w:rPr>
  </w:style>
  <w:style w:type="paragraph" w:styleId="Title">
    <w:name w:val="Title"/>
    <w:basedOn w:val="Normal"/>
    <w:next w:val="Normal"/>
    <w:link w:val="TitleChar"/>
    <w:uiPriority w:val="10"/>
    <w:qFormat/>
    <w:rsid w:val="009018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18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18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18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1890"/>
    <w:pPr>
      <w:spacing w:before="160"/>
      <w:jc w:val="center"/>
    </w:pPr>
    <w:rPr>
      <w:i/>
      <w:iCs/>
      <w:color w:val="404040" w:themeColor="text1" w:themeTint="BF"/>
    </w:rPr>
  </w:style>
  <w:style w:type="character" w:customStyle="1" w:styleId="QuoteChar">
    <w:name w:val="Quote Char"/>
    <w:basedOn w:val="DefaultParagraphFont"/>
    <w:link w:val="Quote"/>
    <w:uiPriority w:val="29"/>
    <w:rsid w:val="00901890"/>
    <w:rPr>
      <w:i/>
      <w:iCs/>
      <w:color w:val="404040" w:themeColor="text1" w:themeTint="BF"/>
    </w:rPr>
  </w:style>
  <w:style w:type="paragraph" w:styleId="ListParagraph">
    <w:name w:val="List Paragraph"/>
    <w:basedOn w:val="Normal"/>
    <w:uiPriority w:val="34"/>
    <w:qFormat/>
    <w:rsid w:val="00901890"/>
    <w:pPr>
      <w:ind w:left="720"/>
      <w:contextualSpacing/>
    </w:pPr>
  </w:style>
  <w:style w:type="character" w:styleId="IntenseEmphasis">
    <w:name w:val="Intense Emphasis"/>
    <w:basedOn w:val="DefaultParagraphFont"/>
    <w:uiPriority w:val="21"/>
    <w:qFormat/>
    <w:rsid w:val="00901890"/>
    <w:rPr>
      <w:i/>
      <w:iCs/>
      <w:color w:val="0F4761" w:themeColor="accent1" w:themeShade="BF"/>
    </w:rPr>
  </w:style>
  <w:style w:type="paragraph" w:styleId="IntenseQuote">
    <w:name w:val="Intense Quote"/>
    <w:basedOn w:val="Normal"/>
    <w:next w:val="Normal"/>
    <w:link w:val="IntenseQuoteChar"/>
    <w:uiPriority w:val="30"/>
    <w:qFormat/>
    <w:rsid w:val="009018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1890"/>
    <w:rPr>
      <w:i/>
      <w:iCs/>
      <w:color w:val="0F4761" w:themeColor="accent1" w:themeShade="BF"/>
    </w:rPr>
  </w:style>
  <w:style w:type="character" w:styleId="IntenseReference">
    <w:name w:val="Intense Reference"/>
    <w:basedOn w:val="DefaultParagraphFont"/>
    <w:uiPriority w:val="32"/>
    <w:qFormat/>
    <w:rsid w:val="00901890"/>
    <w:rPr>
      <w:b/>
      <w:bCs/>
      <w:smallCaps/>
      <w:color w:val="0F4761" w:themeColor="accent1" w:themeShade="BF"/>
      <w:spacing w:val="5"/>
    </w:rPr>
  </w:style>
  <w:style w:type="paragraph" w:styleId="NormalWeb">
    <w:name w:val="Normal (Web)"/>
    <w:basedOn w:val="Normal"/>
    <w:uiPriority w:val="99"/>
    <w:semiHidden/>
    <w:unhideWhenUsed/>
    <w:rsid w:val="0090189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3A48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48CF"/>
  </w:style>
  <w:style w:type="paragraph" w:styleId="Footer">
    <w:name w:val="footer"/>
    <w:basedOn w:val="Normal"/>
    <w:link w:val="FooterChar"/>
    <w:uiPriority w:val="99"/>
    <w:unhideWhenUsed/>
    <w:rsid w:val="003A48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48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475</Words>
  <Characters>2708</Characters>
  <Application>Microsoft Office Word</Application>
  <DocSecurity>0</DocSecurity>
  <Lines>22</Lines>
  <Paragraphs>6</Paragraphs>
  <ScaleCrop>false</ScaleCrop>
  <Company/>
  <LinksUpToDate>false</LinksUpToDate>
  <CharactersWithSpaces>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2025-11-13T15:02:00Z</dcterms:created>
  <dcterms:modified xsi:type="dcterms:W3CDTF">2025-11-13T15:02:00Z</dcterms:modified>
</cp:coreProperties>
</file>