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805AE" w14:textId="4F5805D7" w:rsidR="002F455F" w:rsidRDefault="00614E6E" w:rsidP="006126AB">
      <w:pPr>
        <w:jc w:val="left"/>
        <w:rPr>
          <w:rFonts w:cs="Times New Roman"/>
          <w:b/>
          <w:bCs/>
          <w:sz w:val="28"/>
          <w:szCs w:val="28"/>
        </w:rPr>
      </w:pPr>
      <w:r>
        <w:rPr>
          <w:rFonts w:ascii="Calibri"/>
          <w:noProof/>
          <w:sz w:val="20"/>
        </w:rPr>
        <w:drawing>
          <wp:inline distT="0" distB="0" distL="0" distR="0" wp14:anchorId="7EE4F0E1" wp14:editId="2FF9D788">
            <wp:extent cx="1816371" cy="450056"/>
            <wp:effectExtent l="0" t="0" r="0" b="0"/>
            <wp:docPr id="8" name="Image 8"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descr="Discover University of Wales Trinity Saint David"/>
                    <pic:cNvPicPr/>
                  </pic:nvPicPr>
                  <pic:blipFill>
                    <a:blip r:embed="rId7" cstate="print"/>
                    <a:stretch>
                      <a:fillRect/>
                    </a:stretch>
                  </pic:blipFill>
                  <pic:spPr>
                    <a:xfrm>
                      <a:off x="0" y="0"/>
                      <a:ext cx="1816371" cy="450056"/>
                    </a:xfrm>
                    <a:prstGeom prst="rect">
                      <a:avLst/>
                    </a:prstGeom>
                  </pic:spPr>
                </pic:pic>
              </a:graphicData>
            </a:graphic>
          </wp:inline>
        </w:drawing>
      </w:r>
    </w:p>
    <w:p w14:paraId="1A7D384E" w14:textId="77777777" w:rsidR="006B107B" w:rsidRDefault="006B107B" w:rsidP="006B107B">
      <w:pPr>
        <w:jc w:val="center"/>
        <w:rPr>
          <w:rFonts w:cs="Times New Roman"/>
          <w:b/>
          <w:bCs/>
          <w:sz w:val="28"/>
          <w:szCs w:val="28"/>
        </w:rPr>
      </w:pPr>
    </w:p>
    <w:p w14:paraId="37241C1D" w14:textId="183DC956" w:rsidR="006B107B" w:rsidRPr="006B107B" w:rsidRDefault="006B107B" w:rsidP="006B107B">
      <w:pPr>
        <w:jc w:val="center"/>
        <w:rPr>
          <w:rFonts w:cs="Times New Roman"/>
          <w:b/>
          <w:bCs/>
          <w:sz w:val="40"/>
          <w:szCs w:val="40"/>
        </w:rPr>
      </w:pPr>
      <w:r w:rsidRPr="006B107B">
        <w:rPr>
          <w:rFonts w:cs="Times New Roman"/>
          <w:b/>
          <w:bCs/>
          <w:sz w:val="40"/>
          <w:szCs w:val="40"/>
        </w:rPr>
        <w:t xml:space="preserve">Celebrating </w:t>
      </w:r>
      <w:proofErr w:type="spellStart"/>
      <w:r w:rsidRPr="006B107B">
        <w:rPr>
          <w:rFonts w:cs="Times New Roman"/>
          <w:b/>
          <w:bCs/>
          <w:sz w:val="40"/>
          <w:szCs w:val="40"/>
        </w:rPr>
        <w:t>Croeso</w:t>
      </w:r>
      <w:proofErr w:type="spellEnd"/>
      <w:r w:rsidRPr="006B107B">
        <w:rPr>
          <w:rFonts w:cs="Times New Roman"/>
          <w:b/>
          <w:bCs/>
          <w:sz w:val="40"/>
          <w:szCs w:val="40"/>
        </w:rPr>
        <w:t>: Multi-Arts Festival for Visit Wales 2025</w:t>
      </w:r>
    </w:p>
    <w:p w14:paraId="54A447DE" w14:textId="77777777" w:rsidR="006B107B" w:rsidRPr="006B107B" w:rsidRDefault="006B107B" w:rsidP="006B107B">
      <w:pPr>
        <w:jc w:val="center"/>
        <w:rPr>
          <w:rFonts w:cs="Times New Roman"/>
          <w:b/>
          <w:bCs/>
          <w:sz w:val="40"/>
          <w:szCs w:val="40"/>
        </w:rPr>
      </w:pPr>
    </w:p>
    <w:p w14:paraId="3B17F926" w14:textId="2130C715" w:rsidR="00614E6E" w:rsidRDefault="006B107B" w:rsidP="006B107B">
      <w:pPr>
        <w:jc w:val="center"/>
        <w:rPr>
          <w:rFonts w:cs="Times New Roman"/>
          <w:b/>
          <w:bCs/>
          <w:sz w:val="28"/>
          <w:szCs w:val="28"/>
        </w:rPr>
      </w:pPr>
      <w:r>
        <w:rPr>
          <w:rFonts w:cs="Times New Roman"/>
          <w:b/>
          <w:bCs/>
          <w:sz w:val="28"/>
          <w:szCs w:val="28"/>
        </w:rPr>
        <w:t>Module Title: International Meetings Management for Hotel Industry</w:t>
      </w:r>
    </w:p>
    <w:p w14:paraId="59CB277B" w14:textId="77777777" w:rsidR="006B107B" w:rsidRDefault="006B107B" w:rsidP="006B107B">
      <w:pPr>
        <w:jc w:val="center"/>
        <w:rPr>
          <w:rFonts w:cs="Times New Roman"/>
          <w:b/>
          <w:bCs/>
          <w:sz w:val="28"/>
          <w:szCs w:val="28"/>
        </w:rPr>
      </w:pPr>
    </w:p>
    <w:p w14:paraId="71E1589A" w14:textId="1561B3FF" w:rsidR="006B107B" w:rsidRDefault="006B107B" w:rsidP="006B107B">
      <w:pPr>
        <w:jc w:val="center"/>
        <w:rPr>
          <w:rFonts w:cs="Times New Roman"/>
          <w:b/>
          <w:bCs/>
          <w:sz w:val="28"/>
          <w:szCs w:val="28"/>
        </w:rPr>
      </w:pPr>
      <w:r>
        <w:rPr>
          <w:rFonts w:cs="Times New Roman"/>
          <w:b/>
          <w:bCs/>
          <w:sz w:val="28"/>
          <w:szCs w:val="28"/>
        </w:rPr>
        <w:t>Module Code: BMIH6007</w:t>
      </w:r>
    </w:p>
    <w:p w14:paraId="41CF6445" w14:textId="6043099D" w:rsidR="006B107B" w:rsidRDefault="006B107B" w:rsidP="006B107B">
      <w:pPr>
        <w:jc w:val="center"/>
        <w:rPr>
          <w:rFonts w:cs="Times New Roman"/>
          <w:b/>
          <w:bCs/>
          <w:sz w:val="28"/>
          <w:szCs w:val="28"/>
        </w:rPr>
      </w:pPr>
      <w:r>
        <w:rPr>
          <w:rFonts w:cs="Times New Roman"/>
          <w:b/>
          <w:bCs/>
          <w:sz w:val="28"/>
          <w:szCs w:val="28"/>
        </w:rPr>
        <w:t>Module Lead: Kathryn Flynn</w:t>
      </w:r>
    </w:p>
    <w:p w14:paraId="26FABBE0" w14:textId="19065803" w:rsidR="006B107B" w:rsidRDefault="006B107B" w:rsidP="006B107B">
      <w:pPr>
        <w:jc w:val="center"/>
        <w:rPr>
          <w:rFonts w:cs="Times New Roman"/>
          <w:b/>
          <w:bCs/>
          <w:sz w:val="28"/>
          <w:szCs w:val="28"/>
        </w:rPr>
      </w:pPr>
      <w:r>
        <w:rPr>
          <w:rFonts w:cs="Times New Roman"/>
          <w:b/>
          <w:bCs/>
          <w:sz w:val="28"/>
          <w:szCs w:val="28"/>
        </w:rPr>
        <w:t>Student Name: Ionelia Popoiu</w:t>
      </w:r>
    </w:p>
    <w:p w14:paraId="5E7ADE1D" w14:textId="0A589093" w:rsidR="006B107B" w:rsidRDefault="006B107B" w:rsidP="006B107B">
      <w:pPr>
        <w:jc w:val="center"/>
        <w:rPr>
          <w:rFonts w:cs="Times New Roman"/>
          <w:b/>
          <w:bCs/>
          <w:sz w:val="28"/>
          <w:szCs w:val="28"/>
        </w:rPr>
      </w:pPr>
      <w:r>
        <w:rPr>
          <w:rFonts w:cs="Times New Roman"/>
          <w:b/>
          <w:bCs/>
          <w:sz w:val="28"/>
          <w:szCs w:val="28"/>
        </w:rPr>
        <w:t>Student ID: 2234056</w:t>
      </w:r>
    </w:p>
    <w:p w14:paraId="2D59AA36" w14:textId="77777777" w:rsidR="00614E6E" w:rsidRDefault="00614E6E" w:rsidP="006126AB">
      <w:pPr>
        <w:jc w:val="left"/>
        <w:rPr>
          <w:rFonts w:cs="Times New Roman"/>
          <w:b/>
          <w:bCs/>
          <w:sz w:val="28"/>
          <w:szCs w:val="28"/>
        </w:rPr>
      </w:pPr>
    </w:p>
    <w:p w14:paraId="77A53151" w14:textId="77777777" w:rsidR="002F455F" w:rsidRDefault="002F455F" w:rsidP="002F455F">
      <w:pPr>
        <w:jc w:val="center"/>
        <w:rPr>
          <w:rFonts w:cs="Times New Roman"/>
          <w:b/>
          <w:bCs/>
          <w:sz w:val="28"/>
          <w:szCs w:val="28"/>
        </w:rPr>
      </w:pPr>
    </w:p>
    <w:p w14:paraId="2430B89D" w14:textId="77777777" w:rsidR="002F455F" w:rsidRDefault="002F455F" w:rsidP="002F455F">
      <w:pPr>
        <w:jc w:val="center"/>
        <w:rPr>
          <w:rFonts w:cs="Times New Roman"/>
          <w:b/>
          <w:bCs/>
          <w:sz w:val="28"/>
          <w:szCs w:val="28"/>
        </w:rPr>
      </w:pPr>
    </w:p>
    <w:p w14:paraId="58B269C7" w14:textId="77777777" w:rsidR="006B107B" w:rsidRDefault="006B107B" w:rsidP="006B107B">
      <w:pPr>
        <w:jc w:val="left"/>
        <w:rPr>
          <w:rFonts w:cstheme="majorHAnsi"/>
        </w:rPr>
      </w:pPr>
      <w:r w:rsidRPr="003922DF">
        <w:rPr>
          <w:rFonts w:cs="Arial"/>
          <w:b/>
          <w:bCs/>
          <w:szCs w:val="24"/>
        </w:rPr>
        <w:t>AI Declaration:</w:t>
      </w:r>
      <w:r w:rsidRPr="003922DF">
        <w:rPr>
          <w:rFonts w:cs="Arial"/>
          <w:szCs w:val="24"/>
        </w:rPr>
        <w:t xml:space="preserve"> </w:t>
      </w:r>
      <w:r>
        <w:rPr>
          <w:rFonts w:cstheme="majorHAnsi"/>
        </w:rPr>
        <w:t>I confirm that I have not presented any AI generated text as my own work. I confirm I have copies of my draft, notes and other resources I used before, and after the use of AI tools which I may be asked to provide in evidence.</w:t>
      </w:r>
    </w:p>
    <w:p w14:paraId="1888618F" w14:textId="77777777" w:rsidR="006B107B" w:rsidRDefault="006B107B" w:rsidP="006B107B">
      <w:pPr>
        <w:jc w:val="left"/>
        <w:rPr>
          <w:rFonts w:cstheme="majorHAnsi"/>
        </w:rPr>
      </w:pPr>
    </w:p>
    <w:p w14:paraId="5B2575BB" w14:textId="77777777" w:rsidR="006B107B" w:rsidRDefault="006B107B" w:rsidP="006B107B">
      <w:pPr>
        <w:jc w:val="left"/>
        <w:rPr>
          <w:rFonts w:cstheme="majorHAnsi"/>
        </w:rPr>
      </w:pPr>
    </w:p>
    <w:p w14:paraId="0F6B40A3" w14:textId="77777777" w:rsidR="006B107B" w:rsidRDefault="006B107B" w:rsidP="006B107B">
      <w:pPr>
        <w:jc w:val="left"/>
        <w:rPr>
          <w:rFonts w:cstheme="majorHAnsi"/>
        </w:rPr>
      </w:pPr>
    </w:p>
    <w:p w14:paraId="036BFCE4" w14:textId="77777777" w:rsidR="006B107B" w:rsidRDefault="006B107B" w:rsidP="006B107B">
      <w:pPr>
        <w:jc w:val="left"/>
        <w:rPr>
          <w:rFonts w:cstheme="majorHAnsi"/>
        </w:rPr>
      </w:pPr>
    </w:p>
    <w:p w14:paraId="5D4F7F5A" w14:textId="77777777" w:rsidR="006B107B" w:rsidRPr="00454063" w:rsidRDefault="006B107B" w:rsidP="006B107B">
      <w:pPr>
        <w:jc w:val="left"/>
        <w:rPr>
          <w:rFonts w:cstheme="majorHAnsi"/>
        </w:rPr>
      </w:pPr>
    </w:p>
    <w:sdt>
      <w:sdtPr>
        <w:rPr>
          <w:rFonts w:ascii="Times New Roman" w:eastAsiaTheme="minorHAnsi" w:hAnsi="Times New Roman" w:cs="Times New Roman"/>
          <w:color w:val="auto"/>
          <w:kern w:val="2"/>
          <w:sz w:val="24"/>
          <w:szCs w:val="22"/>
          <w:lang w:val="en-GB"/>
          <w14:ligatures w14:val="standardContextual"/>
        </w:rPr>
        <w:id w:val="-553466520"/>
        <w:docPartObj>
          <w:docPartGallery w:val="Table of Contents"/>
          <w:docPartUnique/>
        </w:docPartObj>
      </w:sdtPr>
      <w:sdtEndPr>
        <w:rPr>
          <w:b/>
          <w:bCs/>
          <w:noProof/>
        </w:rPr>
      </w:sdtEndPr>
      <w:sdtContent>
        <w:p w14:paraId="34897953" w14:textId="0A7CC442" w:rsidR="002C6D8F" w:rsidRPr="002C6D8F" w:rsidRDefault="002C6D8F">
          <w:pPr>
            <w:pStyle w:val="TOCHeading"/>
            <w:rPr>
              <w:rFonts w:ascii="Times New Roman" w:hAnsi="Times New Roman" w:cs="Times New Roman"/>
              <w:lang w:val="en-GB"/>
            </w:rPr>
          </w:pPr>
          <w:r w:rsidRPr="002C6D8F">
            <w:rPr>
              <w:rFonts w:ascii="Times New Roman" w:hAnsi="Times New Roman" w:cs="Times New Roman"/>
              <w:lang w:val="en-GB"/>
            </w:rPr>
            <w:t>Table of Contents</w:t>
          </w:r>
        </w:p>
        <w:p w14:paraId="11AEB0CF" w14:textId="59A6BEE1" w:rsidR="00781E2D" w:rsidRDefault="002C6D8F">
          <w:pPr>
            <w:pStyle w:val="TOC1"/>
            <w:tabs>
              <w:tab w:val="right" w:leader="dot" w:pos="9350"/>
            </w:tabs>
            <w:rPr>
              <w:rFonts w:asciiTheme="minorHAnsi" w:eastAsiaTheme="minorEastAsia" w:hAnsiTheme="minorHAnsi"/>
              <w:noProof/>
              <w:szCs w:val="24"/>
              <w:lang w:eastAsia="en-GB"/>
            </w:rPr>
          </w:pPr>
          <w:r w:rsidRPr="002C6D8F">
            <w:rPr>
              <w:rFonts w:cs="Times New Roman"/>
            </w:rPr>
            <w:fldChar w:fldCharType="begin"/>
          </w:r>
          <w:r w:rsidRPr="002C6D8F">
            <w:rPr>
              <w:rFonts w:cs="Times New Roman"/>
            </w:rPr>
            <w:instrText xml:space="preserve"> TOC \o "1-3" \h \z \u </w:instrText>
          </w:r>
          <w:r w:rsidRPr="002C6D8F">
            <w:rPr>
              <w:rFonts w:cs="Times New Roman"/>
            </w:rPr>
            <w:fldChar w:fldCharType="separate"/>
          </w:r>
          <w:hyperlink w:anchor="_Toc199541471" w:history="1">
            <w:r w:rsidR="00781E2D" w:rsidRPr="00C02FE9">
              <w:rPr>
                <w:rStyle w:val="Hyperlink"/>
                <w:rFonts w:cs="Times New Roman"/>
                <w:noProof/>
              </w:rPr>
              <w:t>1. Introduction</w:t>
            </w:r>
            <w:r w:rsidR="00781E2D">
              <w:rPr>
                <w:noProof/>
                <w:webHidden/>
              </w:rPr>
              <w:tab/>
            </w:r>
            <w:r w:rsidR="00781E2D">
              <w:rPr>
                <w:noProof/>
                <w:webHidden/>
              </w:rPr>
              <w:fldChar w:fldCharType="begin"/>
            </w:r>
            <w:r w:rsidR="00781E2D">
              <w:rPr>
                <w:noProof/>
                <w:webHidden/>
              </w:rPr>
              <w:instrText xml:space="preserve"> PAGEREF _Toc199541471 \h </w:instrText>
            </w:r>
            <w:r w:rsidR="00781E2D">
              <w:rPr>
                <w:noProof/>
                <w:webHidden/>
              </w:rPr>
            </w:r>
            <w:r w:rsidR="00781E2D">
              <w:rPr>
                <w:noProof/>
                <w:webHidden/>
              </w:rPr>
              <w:fldChar w:fldCharType="separate"/>
            </w:r>
            <w:r w:rsidR="00781E2D">
              <w:rPr>
                <w:noProof/>
                <w:webHidden/>
              </w:rPr>
              <w:t>3</w:t>
            </w:r>
            <w:r w:rsidR="00781E2D">
              <w:rPr>
                <w:noProof/>
                <w:webHidden/>
              </w:rPr>
              <w:fldChar w:fldCharType="end"/>
            </w:r>
          </w:hyperlink>
        </w:p>
        <w:p w14:paraId="75C1B64F" w14:textId="4A9635FA" w:rsidR="00781E2D" w:rsidRDefault="00781E2D">
          <w:pPr>
            <w:pStyle w:val="TOC1"/>
            <w:tabs>
              <w:tab w:val="right" w:leader="dot" w:pos="9350"/>
            </w:tabs>
            <w:rPr>
              <w:rFonts w:asciiTheme="minorHAnsi" w:eastAsiaTheme="minorEastAsia" w:hAnsiTheme="minorHAnsi"/>
              <w:noProof/>
              <w:szCs w:val="24"/>
              <w:lang w:eastAsia="en-GB"/>
            </w:rPr>
          </w:pPr>
          <w:hyperlink w:anchor="_Toc199541472" w:history="1">
            <w:r w:rsidRPr="00C02FE9">
              <w:rPr>
                <w:rStyle w:val="Hyperlink"/>
                <w:noProof/>
              </w:rPr>
              <w:t>2. The Event Cycle</w:t>
            </w:r>
            <w:r>
              <w:rPr>
                <w:noProof/>
                <w:webHidden/>
              </w:rPr>
              <w:tab/>
            </w:r>
            <w:r>
              <w:rPr>
                <w:noProof/>
                <w:webHidden/>
              </w:rPr>
              <w:fldChar w:fldCharType="begin"/>
            </w:r>
            <w:r>
              <w:rPr>
                <w:noProof/>
                <w:webHidden/>
              </w:rPr>
              <w:instrText xml:space="preserve"> PAGEREF _Toc199541472 \h </w:instrText>
            </w:r>
            <w:r>
              <w:rPr>
                <w:noProof/>
                <w:webHidden/>
              </w:rPr>
            </w:r>
            <w:r>
              <w:rPr>
                <w:noProof/>
                <w:webHidden/>
              </w:rPr>
              <w:fldChar w:fldCharType="separate"/>
            </w:r>
            <w:r>
              <w:rPr>
                <w:noProof/>
                <w:webHidden/>
              </w:rPr>
              <w:t>4</w:t>
            </w:r>
            <w:r>
              <w:rPr>
                <w:noProof/>
                <w:webHidden/>
              </w:rPr>
              <w:fldChar w:fldCharType="end"/>
            </w:r>
          </w:hyperlink>
        </w:p>
        <w:p w14:paraId="237BEEFC" w14:textId="32D66B00" w:rsidR="00781E2D" w:rsidRDefault="00781E2D">
          <w:pPr>
            <w:pStyle w:val="TOC1"/>
            <w:tabs>
              <w:tab w:val="right" w:leader="dot" w:pos="9350"/>
            </w:tabs>
            <w:rPr>
              <w:rFonts w:asciiTheme="minorHAnsi" w:eastAsiaTheme="minorEastAsia" w:hAnsiTheme="minorHAnsi"/>
              <w:noProof/>
              <w:szCs w:val="24"/>
              <w:lang w:eastAsia="en-GB"/>
            </w:rPr>
          </w:pPr>
          <w:hyperlink w:anchor="_Toc199541473" w:history="1">
            <w:r w:rsidRPr="00C02FE9">
              <w:rPr>
                <w:rStyle w:val="Hyperlink"/>
                <w:noProof/>
              </w:rPr>
              <w:t>3. Event Concept</w:t>
            </w:r>
            <w:r>
              <w:rPr>
                <w:noProof/>
                <w:webHidden/>
              </w:rPr>
              <w:tab/>
            </w:r>
            <w:r>
              <w:rPr>
                <w:noProof/>
                <w:webHidden/>
              </w:rPr>
              <w:fldChar w:fldCharType="begin"/>
            </w:r>
            <w:r>
              <w:rPr>
                <w:noProof/>
                <w:webHidden/>
              </w:rPr>
              <w:instrText xml:space="preserve"> PAGEREF _Toc199541473 \h </w:instrText>
            </w:r>
            <w:r>
              <w:rPr>
                <w:noProof/>
                <w:webHidden/>
              </w:rPr>
            </w:r>
            <w:r>
              <w:rPr>
                <w:noProof/>
                <w:webHidden/>
              </w:rPr>
              <w:fldChar w:fldCharType="separate"/>
            </w:r>
            <w:r>
              <w:rPr>
                <w:noProof/>
                <w:webHidden/>
              </w:rPr>
              <w:t>4</w:t>
            </w:r>
            <w:r>
              <w:rPr>
                <w:noProof/>
                <w:webHidden/>
              </w:rPr>
              <w:fldChar w:fldCharType="end"/>
            </w:r>
          </w:hyperlink>
        </w:p>
        <w:p w14:paraId="648BFDCE" w14:textId="2CC5D624" w:rsidR="00781E2D" w:rsidRDefault="00781E2D">
          <w:pPr>
            <w:pStyle w:val="TOC1"/>
            <w:tabs>
              <w:tab w:val="right" w:leader="dot" w:pos="9350"/>
            </w:tabs>
            <w:rPr>
              <w:rFonts w:asciiTheme="minorHAnsi" w:eastAsiaTheme="minorEastAsia" w:hAnsiTheme="minorHAnsi"/>
              <w:noProof/>
              <w:szCs w:val="24"/>
              <w:lang w:eastAsia="en-GB"/>
            </w:rPr>
          </w:pPr>
          <w:hyperlink w:anchor="_Toc199541474" w:history="1">
            <w:r w:rsidRPr="00C02FE9">
              <w:rPr>
                <w:rStyle w:val="Hyperlink"/>
                <w:noProof/>
              </w:rPr>
              <w:t>5. Aim and Objectives</w:t>
            </w:r>
            <w:r>
              <w:rPr>
                <w:noProof/>
                <w:webHidden/>
              </w:rPr>
              <w:tab/>
            </w:r>
            <w:r>
              <w:rPr>
                <w:noProof/>
                <w:webHidden/>
              </w:rPr>
              <w:fldChar w:fldCharType="begin"/>
            </w:r>
            <w:r>
              <w:rPr>
                <w:noProof/>
                <w:webHidden/>
              </w:rPr>
              <w:instrText xml:space="preserve"> PAGEREF _Toc199541474 \h </w:instrText>
            </w:r>
            <w:r>
              <w:rPr>
                <w:noProof/>
                <w:webHidden/>
              </w:rPr>
            </w:r>
            <w:r>
              <w:rPr>
                <w:noProof/>
                <w:webHidden/>
              </w:rPr>
              <w:fldChar w:fldCharType="separate"/>
            </w:r>
            <w:r>
              <w:rPr>
                <w:noProof/>
                <w:webHidden/>
              </w:rPr>
              <w:t>5</w:t>
            </w:r>
            <w:r>
              <w:rPr>
                <w:noProof/>
                <w:webHidden/>
              </w:rPr>
              <w:fldChar w:fldCharType="end"/>
            </w:r>
          </w:hyperlink>
        </w:p>
        <w:p w14:paraId="6994B3E1" w14:textId="3A01FEAD" w:rsidR="00781E2D" w:rsidRDefault="00781E2D">
          <w:pPr>
            <w:pStyle w:val="TOC1"/>
            <w:tabs>
              <w:tab w:val="right" w:leader="dot" w:pos="9350"/>
            </w:tabs>
            <w:rPr>
              <w:rFonts w:asciiTheme="minorHAnsi" w:eastAsiaTheme="minorEastAsia" w:hAnsiTheme="minorHAnsi"/>
              <w:noProof/>
              <w:szCs w:val="24"/>
              <w:lang w:eastAsia="en-GB"/>
            </w:rPr>
          </w:pPr>
          <w:hyperlink w:anchor="_Toc199541475" w:history="1">
            <w:r w:rsidRPr="00C02FE9">
              <w:rPr>
                <w:rStyle w:val="Hyperlink"/>
                <w:noProof/>
              </w:rPr>
              <w:t>6. Event Management</w:t>
            </w:r>
            <w:r>
              <w:rPr>
                <w:noProof/>
                <w:webHidden/>
              </w:rPr>
              <w:tab/>
            </w:r>
            <w:r>
              <w:rPr>
                <w:noProof/>
                <w:webHidden/>
              </w:rPr>
              <w:fldChar w:fldCharType="begin"/>
            </w:r>
            <w:r>
              <w:rPr>
                <w:noProof/>
                <w:webHidden/>
              </w:rPr>
              <w:instrText xml:space="preserve"> PAGEREF _Toc199541475 \h </w:instrText>
            </w:r>
            <w:r>
              <w:rPr>
                <w:noProof/>
                <w:webHidden/>
              </w:rPr>
            </w:r>
            <w:r>
              <w:rPr>
                <w:noProof/>
                <w:webHidden/>
              </w:rPr>
              <w:fldChar w:fldCharType="separate"/>
            </w:r>
            <w:r>
              <w:rPr>
                <w:noProof/>
                <w:webHidden/>
              </w:rPr>
              <w:t>6</w:t>
            </w:r>
            <w:r>
              <w:rPr>
                <w:noProof/>
                <w:webHidden/>
              </w:rPr>
              <w:fldChar w:fldCharType="end"/>
            </w:r>
          </w:hyperlink>
        </w:p>
        <w:p w14:paraId="08C5BC19" w14:textId="69DBBDA7" w:rsidR="00781E2D" w:rsidRDefault="00781E2D">
          <w:pPr>
            <w:pStyle w:val="TOC1"/>
            <w:tabs>
              <w:tab w:val="right" w:leader="dot" w:pos="9350"/>
            </w:tabs>
            <w:rPr>
              <w:rFonts w:asciiTheme="minorHAnsi" w:eastAsiaTheme="minorEastAsia" w:hAnsiTheme="minorHAnsi"/>
              <w:noProof/>
              <w:szCs w:val="24"/>
              <w:lang w:eastAsia="en-GB"/>
            </w:rPr>
          </w:pPr>
          <w:hyperlink w:anchor="_Toc199541476" w:history="1">
            <w:r w:rsidRPr="00C02FE9">
              <w:rPr>
                <w:rStyle w:val="Hyperlink"/>
                <w:noProof/>
              </w:rPr>
              <w:t>7. Event Budget</w:t>
            </w:r>
            <w:r>
              <w:rPr>
                <w:noProof/>
                <w:webHidden/>
              </w:rPr>
              <w:tab/>
            </w:r>
            <w:r>
              <w:rPr>
                <w:noProof/>
                <w:webHidden/>
              </w:rPr>
              <w:fldChar w:fldCharType="begin"/>
            </w:r>
            <w:r>
              <w:rPr>
                <w:noProof/>
                <w:webHidden/>
              </w:rPr>
              <w:instrText xml:space="preserve"> PAGEREF _Toc199541476 \h </w:instrText>
            </w:r>
            <w:r>
              <w:rPr>
                <w:noProof/>
                <w:webHidden/>
              </w:rPr>
            </w:r>
            <w:r>
              <w:rPr>
                <w:noProof/>
                <w:webHidden/>
              </w:rPr>
              <w:fldChar w:fldCharType="separate"/>
            </w:r>
            <w:r>
              <w:rPr>
                <w:noProof/>
                <w:webHidden/>
              </w:rPr>
              <w:t>7</w:t>
            </w:r>
            <w:r>
              <w:rPr>
                <w:noProof/>
                <w:webHidden/>
              </w:rPr>
              <w:fldChar w:fldCharType="end"/>
            </w:r>
          </w:hyperlink>
        </w:p>
        <w:p w14:paraId="24CDBA24" w14:textId="0C7DFCC0" w:rsidR="00781E2D" w:rsidRDefault="00781E2D">
          <w:pPr>
            <w:pStyle w:val="TOC1"/>
            <w:tabs>
              <w:tab w:val="right" w:leader="dot" w:pos="9350"/>
            </w:tabs>
            <w:rPr>
              <w:rFonts w:asciiTheme="minorHAnsi" w:eastAsiaTheme="minorEastAsia" w:hAnsiTheme="minorHAnsi"/>
              <w:noProof/>
              <w:szCs w:val="24"/>
              <w:lang w:eastAsia="en-GB"/>
            </w:rPr>
          </w:pPr>
          <w:hyperlink w:anchor="_Toc199541477" w:history="1">
            <w:r w:rsidRPr="00C02FE9">
              <w:rPr>
                <w:rStyle w:val="Hyperlink"/>
                <w:noProof/>
              </w:rPr>
              <w:t>7. Industry Trends, Issues and Impacts</w:t>
            </w:r>
            <w:r>
              <w:rPr>
                <w:noProof/>
                <w:webHidden/>
              </w:rPr>
              <w:tab/>
            </w:r>
            <w:r>
              <w:rPr>
                <w:noProof/>
                <w:webHidden/>
              </w:rPr>
              <w:fldChar w:fldCharType="begin"/>
            </w:r>
            <w:r>
              <w:rPr>
                <w:noProof/>
                <w:webHidden/>
              </w:rPr>
              <w:instrText xml:space="preserve"> PAGEREF _Toc199541477 \h </w:instrText>
            </w:r>
            <w:r>
              <w:rPr>
                <w:noProof/>
                <w:webHidden/>
              </w:rPr>
            </w:r>
            <w:r>
              <w:rPr>
                <w:noProof/>
                <w:webHidden/>
              </w:rPr>
              <w:fldChar w:fldCharType="separate"/>
            </w:r>
            <w:r>
              <w:rPr>
                <w:noProof/>
                <w:webHidden/>
              </w:rPr>
              <w:t>7</w:t>
            </w:r>
            <w:r>
              <w:rPr>
                <w:noProof/>
                <w:webHidden/>
              </w:rPr>
              <w:fldChar w:fldCharType="end"/>
            </w:r>
          </w:hyperlink>
        </w:p>
        <w:p w14:paraId="036AAD41" w14:textId="4B340E5A" w:rsidR="00781E2D" w:rsidRDefault="00781E2D">
          <w:pPr>
            <w:pStyle w:val="TOC1"/>
            <w:tabs>
              <w:tab w:val="right" w:leader="dot" w:pos="9350"/>
            </w:tabs>
            <w:rPr>
              <w:rFonts w:asciiTheme="minorHAnsi" w:eastAsiaTheme="minorEastAsia" w:hAnsiTheme="minorHAnsi"/>
              <w:noProof/>
              <w:szCs w:val="24"/>
              <w:lang w:eastAsia="en-GB"/>
            </w:rPr>
          </w:pPr>
          <w:hyperlink w:anchor="_Toc199541478" w:history="1">
            <w:r w:rsidRPr="00C02FE9">
              <w:rPr>
                <w:rStyle w:val="Hyperlink"/>
                <w:noProof/>
              </w:rPr>
              <w:t>8. Situational and Cultural Considerations</w:t>
            </w:r>
            <w:r>
              <w:rPr>
                <w:noProof/>
                <w:webHidden/>
              </w:rPr>
              <w:tab/>
            </w:r>
            <w:r>
              <w:rPr>
                <w:noProof/>
                <w:webHidden/>
              </w:rPr>
              <w:fldChar w:fldCharType="begin"/>
            </w:r>
            <w:r>
              <w:rPr>
                <w:noProof/>
                <w:webHidden/>
              </w:rPr>
              <w:instrText xml:space="preserve"> PAGEREF _Toc199541478 \h </w:instrText>
            </w:r>
            <w:r>
              <w:rPr>
                <w:noProof/>
                <w:webHidden/>
              </w:rPr>
            </w:r>
            <w:r>
              <w:rPr>
                <w:noProof/>
                <w:webHidden/>
              </w:rPr>
              <w:fldChar w:fldCharType="separate"/>
            </w:r>
            <w:r>
              <w:rPr>
                <w:noProof/>
                <w:webHidden/>
              </w:rPr>
              <w:t>8</w:t>
            </w:r>
            <w:r>
              <w:rPr>
                <w:noProof/>
                <w:webHidden/>
              </w:rPr>
              <w:fldChar w:fldCharType="end"/>
            </w:r>
          </w:hyperlink>
        </w:p>
        <w:p w14:paraId="2E85569A" w14:textId="71B71EF8" w:rsidR="00781E2D" w:rsidRDefault="00781E2D">
          <w:pPr>
            <w:pStyle w:val="TOC1"/>
            <w:tabs>
              <w:tab w:val="right" w:leader="dot" w:pos="9350"/>
            </w:tabs>
            <w:rPr>
              <w:rFonts w:asciiTheme="minorHAnsi" w:eastAsiaTheme="minorEastAsia" w:hAnsiTheme="minorHAnsi"/>
              <w:noProof/>
              <w:szCs w:val="24"/>
              <w:lang w:eastAsia="en-GB"/>
            </w:rPr>
          </w:pPr>
          <w:hyperlink w:anchor="_Toc199541479" w:history="1">
            <w:r w:rsidRPr="00C02FE9">
              <w:rPr>
                <w:rStyle w:val="Hyperlink"/>
                <w:rFonts w:cs="Times New Roman"/>
                <w:noProof/>
              </w:rPr>
              <w:t>9. Conclusion</w:t>
            </w:r>
            <w:r>
              <w:rPr>
                <w:noProof/>
                <w:webHidden/>
              </w:rPr>
              <w:tab/>
            </w:r>
            <w:r>
              <w:rPr>
                <w:noProof/>
                <w:webHidden/>
              </w:rPr>
              <w:fldChar w:fldCharType="begin"/>
            </w:r>
            <w:r>
              <w:rPr>
                <w:noProof/>
                <w:webHidden/>
              </w:rPr>
              <w:instrText xml:space="preserve"> PAGEREF _Toc199541479 \h </w:instrText>
            </w:r>
            <w:r>
              <w:rPr>
                <w:noProof/>
                <w:webHidden/>
              </w:rPr>
            </w:r>
            <w:r>
              <w:rPr>
                <w:noProof/>
                <w:webHidden/>
              </w:rPr>
              <w:fldChar w:fldCharType="separate"/>
            </w:r>
            <w:r>
              <w:rPr>
                <w:noProof/>
                <w:webHidden/>
              </w:rPr>
              <w:t>10</w:t>
            </w:r>
            <w:r>
              <w:rPr>
                <w:noProof/>
                <w:webHidden/>
              </w:rPr>
              <w:fldChar w:fldCharType="end"/>
            </w:r>
          </w:hyperlink>
        </w:p>
        <w:p w14:paraId="4C58306E" w14:textId="5A4C22E3" w:rsidR="00781E2D" w:rsidRDefault="00781E2D">
          <w:pPr>
            <w:pStyle w:val="TOC1"/>
            <w:tabs>
              <w:tab w:val="right" w:leader="dot" w:pos="9350"/>
            </w:tabs>
            <w:rPr>
              <w:rFonts w:asciiTheme="minorHAnsi" w:eastAsiaTheme="minorEastAsia" w:hAnsiTheme="minorHAnsi"/>
              <w:noProof/>
              <w:szCs w:val="24"/>
              <w:lang w:eastAsia="en-GB"/>
            </w:rPr>
          </w:pPr>
          <w:hyperlink w:anchor="_Toc199541480" w:history="1">
            <w:r w:rsidRPr="00C02FE9">
              <w:rPr>
                <w:rStyle w:val="Hyperlink"/>
                <w:rFonts w:cs="Times New Roman"/>
                <w:noProof/>
              </w:rPr>
              <w:t>References</w:t>
            </w:r>
            <w:r>
              <w:rPr>
                <w:noProof/>
                <w:webHidden/>
              </w:rPr>
              <w:tab/>
            </w:r>
            <w:r>
              <w:rPr>
                <w:noProof/>
                <w:webHidden/>
              </w:rPr>
              <w:fldChar w:fldCharType="begin"/>
            </w:r>
            <w:r>
              <w:rPr>
                <w:noProof/>
                <w:webHidden/>
              </w:rPr>
              <w:instrText xml:space="preserve"> PAGEREF _Toc199541480 \h </w:instrText>
            </w:r>
            <w:r>
              <w:rPr>
                <w:noProof/>
                <w:webHidden/>
              </w:rPr>
            </w:r>
            <w:r>
              <w:rPr>
                <w:noProof/>
                <w:webHidden/>
              </w:rPr>
              <w:fldChar w:fldCharType="separate"/>
            </w:r>
            <w:r>
              <w:rPr>
                <w:noProof/>
                <w:webHidden/>
              </w:rPr>
              <w:t>11</w:t>
            </w:r>
            <w:r>
              <w:rPr>
                <w:noProof/>
                <w:webHidden/>
              </w:rPr>
              <w:fldChar w:fldCharType="end"/>
            </w:r>
          </w:hyperlink>
        </w:p>
        <w:p w14:paraId="190031A8" w14:textId="6E46C7AC" w:rsidR="002C6D8F" w:rsidRPr="002C6D8F" w:rsidRDefault="002C6D8F">
          <w:pPr>
            <w:rPr>
              <w:rFonts w:cs="Times New Roman"/>
            </w:rPr>
          </w:pPr>
          <w:r w:rsidRPr="002C6D8F">
            <w:rPr>
              <w:rFonts w:cs="Times New Roman"/>
              <w:b/>
              <w:bCs/>
              <w:noProof/>
            </w:rPr>
            <w:fldChar w:fldCharType="end"/>
          </w:r>
        </w:p>
      </w:sdtContent>
    </w:sdt>
    <w:p w14:paraId="44688AD4" w14:textId="79A2B65D" w:rsidR="002C6D8F" w:rsidRPr="002C6D8F" w:rsidRDefault="002C6D8F">
      <w:pPr>
        <w:rPr>
          <w:rFonts w:cs="Times New Roman"/>
        </w:rPr>
      </w:pPr>
      <w:r w:rsidRPr="002C6D8F">
        <w:rPr>
          <w:rFonts w:cs="Times New Roman"/>
        </w:rPr>
        <w:br w:type="page"/>
      </w:r>
    </w:p>
    <w:p w14:paraId="723AF555" w14:textId="245A0810" w:rsidR="002C6D8F" w:rsidRPr="002C6D8F" w:rsidRDefault="00A771E3" w:rsidP="002C6D8F">
      <w:pPr>
        <w:pStyle w:val="Heading1"/>
        <w:rPr>
          <w:rFonts w:cs="Times New Roman"/>
        </w:rPr>
      </w:pPr>
      <w:bookmarkStart w:id="0" w:name="_Toc199541471"/>
      <w:r>
        <w:rPr>
          <w:rFonts w:cs="Times New Roman"/>
        </w:rPr>
        <w:lastRenderedPageBreak/>
        <w:t xml:space="preserve">1. </w:t>
      </w:r>
      <w:r w:rsidR="002C6D8F" w:rsidRPr="002C6D8F">
        <w:rPr>
          <w:rFonts w:cs="Times New Roman"/>
        </w:rPr>
        <w:t>Introduction</w:t>
      </w:r>
      <w:bookmarkEnd w:id="0"/>
    </w:p>
    <w:p w14:paraId="4D2AE49B" w14:textId="72F6230A" w:rsidR="005F2227" w:rsidRDefault="005F2227" w:rsidP="005F2227">
      <w:r>
        <w:t xml:space="preserve">The “Year of </w:t>
      </w:r>
      <w:proofErr w:type="spellStart"/>
      <w:r>
        <w:t>Croeso</w:t>
      </w:r>
      <w:proofErr w:type="spellEnd"/>
      <w:r>
        <w:t>” festival is a proposed three-day international cultural event that aims to promote the warmth, heritage, and identity of Wales to a global audience. The festival will take place in Cardiff Bay, one of Wales’</w:t>
      </w:r>
      <w:r w:rsidR="0005747D">
        <w:t>s</w:t>
      </w:r>
      <w:r>
        <w:t xml:space="preserve"> most iconic cultural and political hubs, and forms part of the broader “Year of </w:t>
      </w:r>
      <w:proofErr w:type="spellStart"/>
      <w:r>
        <w:t>Croeso</w:t>
      </w:r>
      <w:proofErr w:type="spellEnd"/>
      <w:r>
        <w:t xml:space="preserve"> 2025” initiative launched by Visit Wales to position the country as a top-tier destination </w:t>
      </w:r>
      <w:r w:rsidRPr="00E81361">
        <w:t>for cultural tourism. Building on the feasibility work presented in Assignment 1, this report focuses on the strategic planning and delivery of the festival, considering both theoretical and practical event management principles</w:t>
      </w:r>
      <w:r w:rsidR="00B02EC1">
        <w:t xml:space="preserve"> (</w:t>
      </w:r>
      <w:r w:rsidR="00B02EC1">
        <w:rPr>
          <w:shd w:val="clear" w:color="auto" w:fill="FFFFFF"/>
        </w:rPr>
        <w:t>Fox et al. 2014</w:t>
      </w:r>
      <w:r w:rsidR="00B02EC1">
        <w:t>)</w:t>
      </w:r>
      <w:r w:rsidRPr="00E81361">
        <w:t>.</w:t>
      </w:r>
      <w:r w:rsidR="00B02EC1">
        <w:t xml:space="preserve"> </w:t>
      </w:r>
      <w:r>
        <w:t xml:space="preserve">The event is designed to showcase the richness of Welsh traditions through music, theatre, dance, and interactive arts, while also incorporating sustainable and inclusive practices. With rising trends in cultural tourism, the festival provides an opportunity to attract both domestic and international visitors, enhance local community involvement, and contribute to </w:t>
      </w:r>
      <w:proofErr w:type="spellStart"/>
      <w:r>
        <w:t>Wales’</w:t>
      </w:r>
      <w:proofErr w:type="spellEnd"/>
      <w:r>
        <w:t xml:space="preserve"> economic regeneration post-pandemic. Strategic components such as budgeting, stakeholder engagement, marketing, risk management, and sustainability will be critically explored within this report using industry frameworks and academic theory.</w:t>
      </w:r>
      <w:r w:rsidR="00B02EC1">
        <w:t xml:space="preserve"> </w:t>
      </w:r>
      <w:r>
        <w:t xml:space="preserve">This report adopts a structured approach to planning by applying models such as the Event Cycle, PESTEL analysis, and SMART objectives to justify each stage of development. The goal is not only to present a viable and engaging cultural experience but also to ensure long-term impact aligned with national tourism and cultural strategies. Through this strategic lens, the “Year of </w:t>
      </w:r>
      <w:proofErr w:type="spellStart"/>
      <w:r>
        <w:t>Croeso</w:t>
      </w:r>
      <w:proofErr w:type="spellEnd"/>
      <w:r>
        <w:t>” festival is envisioned as a benchmark for future cultural events in Wales.</w:t>
      </w:r>
    </w:p>
    <w:p w14:paraId="75A5796A" w14:textId="0190F5CA" w:rsidR="00974B10" w:rsidRDefault="00974B10" w:rsidP="00974B10"/>
    <w:p w14:paraId="5C4886CF" w14:textId="77777777" w:rsidR="006A643A" w:rsidRPr="006A643A" w:rsidRDefault="006A643A" w:rsidP="006A643A"/>
    <w:p w14:paraId="646828CF" w14:textId="77777777" w:rsidR="005F2227" w:rsidRDefault="005F2227">
      <w:pPr>
        <w:spacing w:line="259" w:lineRule="auto"/>
        <w:jc w:val="left"/>
        <w:rPr>
          <w:rFonts w:eastAsiaTheme="majorEastAsia" w:cstheme="majorBidi"/>
          <w:b/>
          <w:sz w:val="28"/>
          <w:szCs w:val="26"/>
        </w:rPr>
      </w:pPr>
      <w:r>
        <w:br w:type="page"/>
      </w:r>
    </w:p>
    <w:p w14:paraId="065439B0" w14:textId="3131F3F1" w:rsidR="006A643A" w:rsidRDefault="006A643A" w:rsidP="00A771E3">
      <w:pPr>
        <w:pStyle w:val="Heading1"/>
        <w:rPr>
          <w:sz w:val="27"/>
        </w:rPr>
      </w:pPr>
      <w:bookmarkStart w:id="1" w:name="_Toc199541472"/>
      <w:r>
        <w:lastRenderedPageBreak/>
        <w:t>2. The Event Cycle</w:t>
      </w:r>
      <w:bookmarkEnd w:id="1"/>
    </w:p>
    <w:p w14:paraId="6835BFF2" w14:textId="41BFB7AC" w:rsidR="006A643A" w:rsidRDefault="006A643A" w:rsidP="006A643A">
      <w:r>
        <w:t xml:space="preserve">The Event Cycle provides a structured framework that helps event planners manage each stage of </w:t>
      </w:r>
      <w:r w:rsidRPr="00B02EC1">
        <w:t>an event’s life span, from concept to post-event evaluation. One commonly used model is proposed by Bowdin, which outlines</w:t>
      </w:r>
      <w:r w:rsidRPr="006A643A">
        <w:t xml:space="preserve"> the stages as: initiation, planning, implementation, the event itself, and closure</w:t>
      </w:r>
      <w:r w:rsidR="00B02EC1">
        <w:t xml:space="preserve"> (</w:t>
      </w:r>
      <w:r w:rsidR="00B02EC1">
        <w:rPr>
          <w:shd w:val="clear" w:color="auto" w:fill="FFFFFF"/>
        </w:rPr>
        <w:t>Getz and Page, 2019</w:t>
      </w:r>
      <w:r w:rsidR="00B02EC1">
        <w:t>)</w:t>
      </w:r>
      <w:r w:rsidRPr="006A643A">
        <w:t xml:space="preserve">. Applying this model to the “Year of </w:t>
      </w:r>
      <w:proofErr w:type="spellStart"/>
      <w:r w:rsidRPr="006A643A">
        <w:t>Croeso</w:t>
      </w:r>
      <w:proofErr w:type="spellEnd"/>
      <w:r w:rsidRPr="006A643A">
        <w:t xml:space="preserve">” festival allows for a strategic overview of how this cultural event will be developed and delivered successfully. During the initiation stage, the event was proposed as part of Visit </w:t>
      </w:r>
      <w:proofErr w:type="spellStart"/>
      <w:r w:rsidRPr="006A643A">
        <w:t>Wales’</w:t>
      </w:r>
      <w:proofErr w:type="spellEnd"/>
      <w:r w:rsidRPr="006A643A">
        <w:t xml:space="preserve"> 2025 campaign, </w:t>
      </w:r>
      <w:r w:rsidR="0005747D">
        <w:t>to enhance</w:t>
      </w:r>
      <w:r w:rsidRPr="006A643A">
        <w:t xml:space="preserve"> international recognition of Welsh culture. A feasibility study was conducted (as outlined in Assignment 1), considering target audiences, location (Cardiff Bay), and objectives aligned with the Welsh Government’s tourism strategy. In the planning stage, detailed actions such as budgeting (£130,000 expenditure, £145,000 projected income), logistics (venue hire, artist bookings, volunteer recruitment), risk management (emergency exits, bad weather plans), and marketing (social media campaigns, celebrity promotions) are finalised. The implementation stage focuses on realising the logistics, from setting up the Wales Millennium Centre and outdoor stages to preparing security teams and managing ticketing via RFID wristbands</w:t>
      </w:r>
      <w:r w:rsidR="001E0482">
        <w:t xml:space="preserve"> (</w:t>
      </w:r>
      <w:r w:rsidR="001E0482">
        <w:rPr>
          <w:shd w:val="clear" w:color="auto" w:fill="FFFFFF"/>
        </w:rPr>
        <w:t>Meredith et al. 2017</w:t>
      </w:r>
      <w:r w:rsidR="001E0482">
        <w:t>)</w:t>
      </w:r>
      <w:r w:rsidRPr="006A643A">
        <w:t>. The event delivery itself spans three days, each celebrating a different aspect of Welsh culture – music, theatre, dance, and visual arts – with the visitor experience being the central priority. Finally, the closure stage involves debriefing staff, collecting feedback through surveys, financial reconciliation, and reporting outcomes to stakeholders like Visit Wales and Arts Council Wales. This cyclic approach ensures that the event is not only delivered efficiently but also evaluated and improved for future iterations. Integrating theory into practice at every stage of the Event Cycle</w:t>
      </w:r>
      <w:r>
        <w:t xml:space="preserve"> enhances the professionalism, cultural relevance, and sustainability of the “Year of </w:t>
      </w:r>
      <w:proofErr w:type="spellStart"/>
      <w:r>
        <w:t>Croeso</w:t>
      </w:r>
      <w:proofErr w:type="spellEnd"/>
      <w:r>
        <w:t>” festival.</w:t>
      </w:r>
    </w:p>
    <w:p w14:paraId="2685B8A7" w14:textId="77777777" w:rsidR="006A643A" w:rsidRDefault="006A643A" w:rsidP="00A771E3">
      <w:pPr>
        <w:pStyle w:val="Heading1"/>
        <w:rPr>
          <w:sz w:val="27"/>
        </w:rPr>
      </w:pPr>
      <w:bookmarkStart w:id="2" w:name="_Toc199541473"/>
      <w:r>
        <w:t>3. Event Concept</w:t>
      </w:r>
      <w:bookmarkEnd w:id="2"/>
    </w:p>
    <w:p w14:paraId="53B0CAA9" w14:textId="278CD88B" w:rsidR="006A643A" w:rsidRDefault="00F97E30" w:rsidP="006A643A">
      <w:r w:rsidRPr="00F97E30">
        <w:t xml:space="preserve">The “Year of </w:t>
      </w:r>
      <w:proofErr w:type="spellStart"/>
      <w:r w:rsidRPr="00F97E30">
        <w:t>Croeso</w:t>
      </w:r>
      <w:proofErr w:type="spellEnd"/>
      <w:r w:rsidRPr="00F97E30">
        <w:t xml:space="preserve">” festival lasts three days in Cardiff Bay and highlights Welsh heritage with music, theatre, dance and visual arts. The foundation of the event is to create an immersive experience that includes all and encourages an emotional connection, matching the aim of Visit Wales to highlight Welsh warmth and hospitality to people worldwide. The cultural festival tries to take people on a tour through history and different traditions, using performance as a means of communication (O'Toole, 2010). Live events during the festival focus on different topics every </w:t>
      </w:r>
      <w:r w:rsidRPr="00F97E30">
        <w:lastRenderedPageBreak/>
        <w:t>day to ensure everyone remains interested and discovers how Welsh identity is changing.</w:t>
      </w:r>
      <w:r>
        <w:t xml:space="preserve"> </w:t>
      </w:r>
      <w:r w:rsidR="006A643A" w:rsidRPr="006A643A">
        <w:t>Day 1 will focus on “Sounds of Wales,” featuring traditional harp performances, medieval folk music, and contemporary Welsh artists to show the musical progression over time. Day 2, titled “Voices of the Land,” will highlight bilingual theatre performances in Welsh and English, poetry readings, and live workshops on traditional crafts and language, enabling interaction between visitors and artists. Day 3, “Rhythms</w:t>
      </w:r>
      <w:r w:rsidR="006A643A">
        <w:t xml:space="preserve"> and Colour,” will involve folk dance sessions, visual art exhibitions, and interactive installations that encourage participation from guests of all ages and backgrounds.</w:t>
      </w:r>
    </w:p>
    <w:p w14:paraId="405B9D05" w14:textId="2445FC6F" w:rsidR="006A643A" w:rsidRDefault="006A643A" w:rsidP="006A643A">
      <w:r>
        <w:t>Venues will include the iconic Wales Millennium Centre, the Senedd building, and outdoor stages along the waterfront, ensuring a vibrant and scenic festival layout. Carefully timed performances and accessible site planning will enhance crowd flow, safety, and visitor satisfaction. The entire concept is grounded in creating emotional connections with Welsh culture, driven by multisensory engagement and community inclusion. This approach supports experiential event design principles (</w:t>
      </w:r>
      <w:r w:rsidR="000756F0">
        <w:rPr>
          <w:shd w:val="clear" w:color="auto" w:fill="FFFFFF"/>
        </w:rPr>
        <w:t>Rogers and Wynn-Moylan</w:t>
      </w:r>
      <w:r w:rsidR="000756F0">
        <w:t>, 2022</w:t>
      </w:r>
      <w:r>
        <w:t>) by transforming passive observation into active cultural participation, ultimately reinforcing national pride while appealing to global cultural tourism markets. The concept reflects both strategic intent and audience insight, resulting in a memorable and meaningful event experience.</w:t>
      </w:r>
    </w:p>
    <w:p w14:paraId="22C11817" w14:textId="4E89C75A" w:rsidR="009E6FF1" w:rsidRDefault="009E6FF1" w:rsidP="00A771E3">
      <w:pPr>
        <w:pStyle w:val="Heading1"/>
      </w:pPr>
      <w:bookmarkStart w:id="3" w:name="_Toc199541474"/>
      <w:r w:rsidRPr="009E6FF1">
        <w:t>5. Aim and Objectives</w:t>
      </w:r>
      <w:bookmarkEnd w:id="3"/>
    </w:p>
    <w:p w14:paraId="2060AC30" w14:textId="1E8DF1E1" w:rsidR="009E6FF1" w:rsidRDefault="009E6FF1" w:rsidP="009E6FF1">
      <w:r>
        <w:t xml:space="preserve">The aim is to organise a strategically impactful, internationally attractive cultural event that showcases Welsh heritage, enhances destination branding, and drives sustainable tourism development in line with Visit </w:t>
      </w:r>
      <w:proofErr w:type="spellStart"/>
      <w:r>
        <w:t>Wales’</w:t>
      </w:r>
      <w:proofErr w:type="spellEnd"/>
      <w:r>
        <w:t xml:space="preserve"> “Year of </w:t>
      </w:r>
      <w:proofErr w:type="spellStart"/>
      <w:r>
        <w:t>Croeso</w:t>
      </w:r>
      <w:proofErr w:type="spellEnd"/>
      <w:r>
        <w:t>” initiative. The SMART objectives are given below:</w:t>
      </w:r>
    </w:p>
    <w:p w14:paraId="094387B6" w14:textId="77777777" w:rsidR="009E6FF1" w:rsidRDefault="009E6FF1" w:rsidP="009E6FF1">
      <w:pPr>
        <w:pStyle w:val="ListParagraph"/>
        <w:numPr>
          <w:ilvl w:val="0"/>
          <w:numId w:val="3"/>
        </w:numPr>
      </w:pPr>
      <w:r w:rsidRPr="009E6FF1">
        <w:t>To attract over 10,000 attendees, including at least 40</w:t>
      </w:r>
      <w:r>
        <w:t>% international visitors, during the three-day event.</w:t>
      </w:r>
    </w:p>
    <w:p w14:paraId="7EBA04BD" w14:textId="77777777" w:rsidR="009E6FF1" w:rsidRDefault="009E6FF1" w:rsidP="009E6FF1">
      <w:pPr>
        <w:pStyle w:val="ListParagraph"/>
        <w:numPr>
          <w:ilvl w:val="0"/>
          <w:numId w:val="3"/>
        </w:numPr>
      </w:pPr>
      <w:r w:rsidRPr="009E6FF1">
        <w:t>To achieve an average visitor satisfaction score of 85% or higher,</w:t>
      </w:r>
      <w:r>
        <w:t xml:space="preserve"> based on post-event evaluation surveys.</w:t>
      </w:r>
    </w:p>
    <w:p w14:paraId="4154CCA2" w14:textId="77777777" w:rsidR="009E6FF1" w:rsidRDefault="009E6FF1" w:rsidP="009E6FF1">
      <w:pPr>
        <w:pStyle w:val="ListParagraph"/>
        <w:numPr>
          <w:ilvl w:val="0"/>
          <w:numId w:val="3"/>
        </w:numPr>
      </w:pPr>
      <w:r w:rsidRPr="009E6FF1">
        <w:t>To raise a minimum of £20,000 in sponsorships and grants from</w:t>
      </w:r>
      <w:r>
        <w:t xml:space="preserve"> public and private sector partners, securing financial stability and support for local creatives.</w:t>
      </w:r>
    </w:p>
    <w:p w14:paraId="6D3B33FF" w14:textId="17639F28" w:rsidR="009E6FF1" w:rsidRDefault="009E6FF1" w:rsidP="009E6FF1">
      <w:r>
        <w:t xml:space="preserve">These objectives provide specific, measurable, and time-bound targets to ensure the success of the event. They support strategic planning by aligning financial viability, audience engagement, and </w:t>
      </w:r>
      <w:r>
        <w:lastRenderedPageBreak/>
        <w:t>tourism impact</w:t>
      </w:r>
      <w:r w:rsidR="000756F0">
        <w:t xml:space="preserve"> (</w:t>
      </w:r>
      <w:r w:rsidR="000756F0">
        <w:rPr>
          <w:shd w:val="clear" w:color="auto" w:fill="FFFFFF"/>
        </w:rPr>
        <w:t>Smith, 2012</w:t>
      </w:r>
      <w:r w:rsidR="000756F0">
        <w:t>)</w:t>
      </w:r>
      <w:r>
        <w:t xml:space="preserve">. By achieving these goals, the event will meet stakeholder expectations and reinforce </w:t>
      </w:r>
      <w:proofErr w:type="spellStart"/>
      <w:r>
        <w:t>Wales’</w:t>
      </w:r>
      <w:proofErr w:type="spellEnd"/>
      <w:r>
        <w:t xml:space="preserve"> position as a leading destination for cultural tourism.</w:t>
      </w:r>
    </w:p>
    <w:p w14:paraId="5D8BC570" w14:textId="44D1D502" w:rsidR="00AD72F3" w:rsidRDefault="00AD72F3" w:rsidP="00A771E3">
      <w:pPr>
        <w:pStyle w:val="Heading1"/>
        <w:rPr>
          <w:sz w:val="27"/>
        </w:rPr>
      </w:pPr>
      <w:bookmarkStart w:id="4" w:name="_Toc199541475"/>
      <w:r>
        <w:rPr>
          <w:rStyle w:val="Strong"/>
          <w:b/>
          <w:bCs w:val="0"/>
        </w:rPr>
        <w:t>6. Event Management</w:t>
      </w:r>
      <w:bookmarkEnd w:id="4"/>
    </w:p>
    <w:p w14:paraId="56223001" w14:textId="4EA7DB95" w:rsidR="00AD72F3" w:rsidRDefault="00AD72F3" w:rsidP="00AD72F3">
      <w:r>
        <w:t xml:space="preserve">Effective event management is crucial for the successful delivery of the “Year of </w:t>
      </w:r>
      <w:proofErr w:type="spellStart"/>
      <w:r>
        <w:t>Croeso</w:t>
      </w:r>
      <w:proofErr w:type="spellEnd"/>
      <w:r>
        <w:t>” cultural festival. This involves coordinating a wide range of operational, planning, and marketing activities to ensure the event runs smoothly and meets its strategic objectives. Key roles will include an Event Manager to oversee operations, Logistics and Security Coordinators, Marketing Officers, and a Volunteer Manager responsible for the recruitment and training of 50 volunteers. Additionally, 20 professional security personnel will be hired to maintain safety and compliance throughout the event.</w:t>
      </w:r>
      <w:r w:rsidR="008D6400">
        <w:t xml:space="preserve"> They will ensure the smoothness, security and any potential issue</w:t>
      </w:r>
      <w:r w:rsidR="0005747D">
        <w:t>s</w:t>
      </w:r>
      <w:r w:rsidR="008D6400">
        <w:t xml:space="preserve"> to make the event successful and without any worry.</w:t>
      </w:r>
    </w:p>
    <w:p w14:paraId="789879CA" w14:textId="28DFA17B" w:rsidR="00AD72F3" w:rsidRDefault="00AD72F3" w:rsidP="00AD72F3">
      <w:r>
        <w:t>Operational tasks include venue preparation across Cardiff Bay, including the Wales Millennium Centre, the Senedd, and outdoor stages. Crowd control will be managed using RFID wristbands, and emergency procedures will be clearly outlined with evacuation routes and first aid stations in place</w:t>
      </w:r>
      <w:r w:rsidR="0081262B">
        <w:t xml:space="preserve"> (</w:t>
      </w:r>
      <w:r w:rsidR="0081262B">
        <w:rPr>
          <w:shd w:val="clear" w:color="auto" w:fill="FFFFFF"/>
        </w:rPr>
        <w:t>Bowdin et al. 2023</w:t>
      </w:r>
      <w:r w:rsidR="0081262B">
        <w:t>)</w:t>
      </w:r>
      <w:r>
        <w:t>. Backup indoor venues will be available in case of adverse weather.</w:t>
      </w:r>
      <w:r w:rsidR="008D6400">
        <w:t xml:space="preserve"> It will ensure alternate planning for the attendees so that they can enjoy the event and be relaxed </w:t>
      </w:r>
      <w:r w:rsidR="0005747D">
        <w:t>about</w:t>
      </w:r>
      <w:r w:rsidR="008D6400">
        <w:t xml:space="preserve"> the unexpected situation in their mind</w:t>
      </w:r>
      <w:r w:rsidR="0005747D">
        <w:t>s</w:t>
      </w:r>
      <w:r w:rsidR="008D6400">
        <w:t>.</w:t>
      </w:r>
    </w:p>
    <w:p w14:paraId="0C853C03" w14:textId="698C83C4" w:rsidR="00AD72F3" w:rsidRDefault="00AD72F3" w:rsidP="00AD72F3">
      <w:r>
        <w:t>Planning will focus on accessibility, including signage in both Welsh and English, ramps for mobility needs, and scheduled programming to avoid event overlap. A detailed timeline and Gantt chart will support coordination and contingency planning</w:t>
      </w:r>
      <w:r w:rsidR="0081262B">
        <w:t xml:space="preserve"> (</w:t>
      </w:r>
      <w:r w:rsidR="0081262B">
        <w:rPr>
          <w:shd w:val="clear" w:color="auto" w:fill="FFFFFF"/>
        </w:rPr>
        <w:t>Thomas and Stephens, 2022</w:t>
      </w:r>
      <w:r w:rsidR="0081262B">
        <w:t>)</w:t>
      </w:r>
      <w:r>
        <w:t>.</w:t>
      </w:r>
      <w:r w:rsidR="008D6400">
        <w:t xml:space="preserve"> Time</w:t>
      </w:r>
      <w:r w:rsidR="0005747D">
        <w:t>-to-</w:t>
      </w:r>
      <w:r w:rsidR="008D6400">
        <w:t xml:space="preserve">time review of the tasks and completion rate will ensure that any deviation </w:t>
      </w:r>
      <w:r w:rsidR="0005747D">
        <w:t xml:space="preserve">is </w:t>
      </w:r>
      <w:r w:rsidR="008D6400">
        <w:t>addressed effectively and efficiently.</w:t>
      </w:r>
    </w:p>
    <w:p w14:paraId="6E5BFBDB" w14:textId="002A67F0" w:rsidR="00AD72F3" w:rsidRDefault="00AD72F3" w:rsidP="00AD72F3">
      <w:r>
        <w:t>Marketing activities will use a hybrid strategy combining digital and local outreach. Social media platforms such as Instagram, Facebook, and TikTok will feature teaser content, while partnerships with airlines and hospitality providers will promote ticket bundles</w:t>
      </w:r>
      <w:r w:rsidR="008F0B3C">
        <w:t xml:space="preserve"> (</w:t>
      </w:r>
      <w:r w:rsidR="008F0B3C">
        <w:rPr>
          <w:shd w:val="clear" w:color="auto" w:fill="FFFFFF"/>
        </w:rPr>
        <w:t>Fyall et al. 2022</w:t>
      </w:r>
      <w:r w:rsidR="008F0B3C">
        <w:t>)</w:t>
      </w:r>
      <w:r>
        <w:t>. Local organisations and cultural groups will be engaged to build grassroots support and authenticity.</w:t>
      </w:r>
    </w:p>
    <w:p w14:paraId="59D9E64F" w14:textId="7A8B20B4" w:rsidR="00AD72F3" w:rsidRDefault="00AD72F3" w:rsidP="00AD72F3">
      <w:r>
        <w:t xml:space="preserve">By integrating event </w:t>
      </w:r>
      <w:r w:rsidRPr="00CE4387">
        <w:t>theory, such as Silvers' “Five Ps” (People, Products</w:t>
      </w:r>
      <w:r>
        <w:t>, Processes, Places, and Policies), the management strategy ensures a holistic and professional approach tailored to cultural tourism and public engagement</w:t>
      </w:r>
      <w:r w:rsidR="0081262B">
        <w:t xml:space="preserve"> (</w:t>
      </w:r>
      <w:r w:rsidR="0081262B">
        <w:rPr>
          <w:shd w:val="clear" w:color="auto" w:fill="FFFFFF"/>
        </w:rPr>
        <w:t>Santos and Gómez, 2022</w:t>
      </w:r>
      <w:r w:rsidR="0081262B">
        <w:t>)</w:t>
      </w:r>
      <w:r>
        <w:t>.</w:t>
      </w:r>
      <w:r w:rsidR="008D6400">
        <w:t xml:space="preserve"> Integrating this theory into the strategic </w:t>
      </w:r>
      <w:r w:rsidR="008D6400">
        <w:lastRenderedPageBreak/>
        <w:t>approach of this event management will make the process systematic, will identify potential issues and risk factors prior to the event and will be able to arrange alternative management system</w:t>
      </w:r>
      <w:r w:rsidR="0005747D">
        <w:t>s</w:t>
      </w:r>
      <w:r w:rsidR="008D6400">
        <w:t xml:space="preserve"> making the event consistent and successful even under different adverse situation</w:t>
      </w:r>
      <w:r w:rsidR="0005747D">
        <w:t>s</w:t>
      </w:r>
      <w:r w:rsidR="008D6400">
        <w:t>.</w:t>
      </w:r>
    </w:p>
    <w:p w14:paraId="25F9D952" w14:textId="20EA4A10" w:rsidR="00AD72F3" w:rsidRDefault="00AD72F3" w:rsidP="00A771E3">
      <w:pPr>
        <w:pStyle w:val="Heading1"/>
      </w:pPr>
      <w:bookmarkStart w:id="5" w:name="_Toc199541476"/>
      <w:r>
        <w:rPr>
          <w:rStyle w:val="Strong"/>
          <w:b/>
          <w:bCs w:val="0"/>
        </w:rPr>
        <w:t>7. Event Budget</w:t>
      </w:r>
      <w:bookmarkEnd w:id="5"/>
    </w:p>
    <w:p w14:paraId="7D12D39C" w14:textId="4D613CC8" w:rsidR="00AD72F3" w:rsidRDefault="00AD72F3" w:rsidP="00AD72F3">
      <w:r>
        <w:t xml:space="preserve">The budget for the “Year of </w:t>
      </w:r>
      <w:proofErr w:type="spellStart"/>
      <w:r>
        <w:t>Croeso</w:t>
      </w:r>
      <w:proofErr w:type="spellEnd"/>
      <w:r>
        <w:t xml:space="preserve">” festival reflects a carefully planned financial model that ensures </w:t>
      </w:r>
      <w:r w:rsidRPr="00AD72F3">
        <w:t>sustainability, profitability, and strategic resource allocation. The projected total expenditure is £130,000, which includes artist fees, venue hire, volunteer support, marketing campaigns, equipment rental, and</w:t>
      </w:r>
      <w:r>
        <w:t xml:space="preserve"> contingency funds</w:t>
      </w:r>
      <w:r w:rsidR="00CE4387">
        <w:t xml:space="preserve"> (</w:t>
      </w:r>
      <w:r w:rsidR="00CE4387">
        <w:rPr>
          <w:shd w:val="clear" w:color="auto" w:fill="FFFFFF"/>
        </w:rPr>
        <w:t>Yamashita, 2025</w:t>
      </w:r>
      <w:r w:rsidR="00CE4387">
        <w:t>)</w:t>
      </w:r>
      <w:r>
        <w:t>. Artist and performer payments are expected to account for approximately 35% of the budget, followed by logistics and technical setup at 25%, and marketing at 20%. Additional allocations include food and beverage vendors, security, insurance, and waste management.</w:t>
      </w:r>
    </w:p>
    <w:p w14:paraId="7037EAAB" w14:textId="7B8A812E" w:rsidR="006C6285" w:rsidRPr="006C6285" w:rsidRDefault="00AD72F3" w:rsidP="00AD72F3">
      <w:r>
        <w:t xml:space="preserve">On the income side, the </w:t>
      </w:r>
      <w:r w:rsidRPr="00AD72F3">
        <w:t xml:space="preserve">event is projected to generate £145,000, resulting in a modest but healthy £15,000 profit (11.6% margin). </w:t>
      </w:r>
      <w:r w:rsidR="006C6285" w:rsidRPr="006C6285">
        <w:t>The main sources of money are tickets, selling about 50% of the total income, then corporate sponsorships, grants from arts councils and items sold as merchandise (</w:t>
      </w:r>
      <w:proofErr w:type="spellStart"/>
      <w:r w:rsidR="006C6285" w:rsidRPr="006C6285">
        <w:t>Škrabić</w:t>
      </w:r>
      <w:proofErr w:type="spellEnd"/>
      <w:r w:rsidR="006C6285" w:rsidRPr="006C6285">
        <w:t xml:space="preserve"> </w:t>
      </w:r>
      <w:proofErr w:type="spellStart"/>
      <w:r w:rsidR="006C6285" w:rsidRPr="006C6285">
        <w:t>Perić</w:t>
      </w:r>
      <w:proofErr w:type="spellEnd"/>
      <w:r w:rsidR="006C6285" w:rsidRPr="006C6285">
        <w:t xml:space="preserve"> et al. 2021). </w:t>
      </w:r>
      <w:r w:rsidR="006C6285">
        <w:t>Due</w:t>
      </w:r>
      <w:r w:rsidR="006C6285" w:rsidRPr="006C6285">
        <w:t xml:space="preserve"> to the financial plan, fans can receive early discounts or pay for premium tickets, giving ways to make more revenue without restricting many audiences. </w:t>
      </w:r>
      <w:r w:rsidR="006C6285">
        <w:t>The event</w:t>
      </w:r>
      <w:r w:rsidR="006C6285" w:rsidRPr="006C6285">
        <w:t xml:space="preserve"> will look for sponsorship from businesses in travel, tourism, hotels and the arts such as Visit Wales, the Arts Council of Wales and local Welsh brands. They not only provide money but also help an event gain a better reputation and exposure through marketing.</w:t>
      </w:r>
    </w:p>
    <w:p w14:paraId="111A78DC" w14:textId="1AEA93AB" w:rsidR="00AD72F3" w:rsidRDefault="00163DCC" w:rsidP="00AD72F3">
      <w:r w:rsidRPr="00163DCC">
        <w:t>Contingency planning is included in the total budget, making sure that 10% is reserved for extra expenses that might come from bad weather or when technology doesn’t work as expected. A review of financial projections is planned each week throughout the three months leading up to the event, so modifications can be made in good time (Rawat et al. 2022).</w:t>
      </w:r>
      <w:r>
        <w:t xml:space="preserve"> </w:t>
      </w:r>
      <w:r w:rsidR="00AD72F3">
        <w:t>This budget demonstrates strategic financial planning, risk mitigation, and alignment with industry standards for similar mid-scale international cultural events, supporting the overall feasibility and sustainability of the festival.</w:t>
      </w:r>
    </w:p>
    <w:p w14:paraId="10A391EB" w14:textId="0E51FC5B" w:rsidR="00732789" w:rsidRDefault="00732789" w:rsidP="00A771E3">
      <w:pPr>
        <w:pStyle w:val="Heading1"/>
        <w:rPr>
          <w:sz w:val="27"/>
        </w:rPr>
      </w:pPr>
      <w:bookmarkStart w:id="6" w:name="_Toc199541477"/>
      <w:r>
        <w:rPr>
          <w:rStyle w:val="Strong"/>
          <w:b/>
          <w:bCs w:val="0"/>
        </w:rPr>
        <w:t>7. Industry Trends</w:t>
      </w:r>
      <w:r w:rsidR="00005E7E">
        <w:rPr>
          <w:rStyle w:val="Strong"/>
          <w:b/>
          <w:bCs w:val="0"/>
        </w:rPr>
        <w:t>,</w:t>
      </w:r>
      <w:r>
        <w:rPr>
          <w:rStyle w:val="Strong"/>
          <w:b/>
          <w:bCs w:val="0"/>
        </w:rPr>
        <w:t xml:space="preserve"> Issues </w:t>
      </w:r>
      <w:r w:rsidR="00005E7E">
        <w:rPr>
          <w:rStyle w:val="Strong"/>
          <w:b/>
          <w:bCs w:val="0"/>
        </w:rPr>
        <w:t>and</w:t>
      </w:r>
      <w:r>
        <w:rPr>
          <w:rStyle w:val="Strong"/>
          <w:b/>
          <w:bCs w:val="0"/>
        </w:rPr>
        <w:t xml:space="preserve"> Impacts</w:t>
      </w:r>
      <w:bookmarkEnd w:id="6"/>
    </w:p>
    <w:p w14:paraId="6E21A9D4" w14:textId="5B0CE0E6" w:rsidR="00732789" w:rsidRPr="006105BE" w:rsidRDefault="00732789" w:rsidP="00881624">
      <w:r>
        <w:t xml:space="preserve">The events industry is continuously </w:t>
      </w:r>
      <w:r w:rsidRPr="00BE705C">
        <w:t xml:space="preserve">evolving, and understanding the latest trends and challenges is critical for the successful delivery of the “Year of </w:t>
      </w:r>
      <w:proofErr w:type="spellStart"/>
      <w:r w:rsidRPr="00BE705C">
        <w:t>Croeso</w:t>
      </w:r>
      <w:proofErr w:type="spellEnd"/>
      <w:r w:rsidRPr="00BE705C">
        <w:t xml:space="preserve">” festival. One of the most significant </w:t>
      </w:r>
      <w:r w:rsidRPr="00BE705C">
        <w:lastRenderedPageBreak/>
        <w:t>developments is the rise of cultural tourism, which has been growing at an average rate of 15% annually. Cultural tourists seek authentic, place-based experiences, making the Welsh-focused content of the event highly appealing to</w:t>
      </w:r>
      <w:r>
        <w:t xml:space="preserve"> this market segment</w:t>
      </w:r>
      <w:r w:rsidR="006105BE">
        <w:t xml:space="preserve"> (</w:t>
      </w:r>
      <w:proofErr w:type="spellStart"/>
      <w:r w:rsidR="006105BE">
        <w:rPr>
          <w:shd w:val="clear" w:color="auto" w:fill="FFFFFF"/>
        </w:rPr>
        <w:t>Citaristi</w:t>
      </w:r>
      <w:proofErr w:type="spellEnd"/>
      <w:r w:rsidR="006105BE">
        <w:rPr>
          <w:shd w:val="clear" w:color="auto" w:fill="FFFFFF"/>
        </w:rPr>
        <w:t>, 2022</w:t>
      </w:r>
      <w:r w:rsidR="006105BE">
        <w:t>)</w:t>
      </w:r>
      <w:r>
        <w:t xml:space="preserve">. The emphasis on Welsh </w:t>
      </w:r>
      <w:r w:rsidRPr="006105BE">
        <w:t>music, dance, and bilingual storytelling aligns with this growing demand for immersive, meaningful experiences.</w:t>
      </w:r>
    </w:p>
    <w:p w14:paraId="053A412A" w14:textId="5B2496F7" w:rsidR="00732789" w:rsidRDefault="00732789" w:rsidP="00881624">
      <w:r w:rsidRPr="006105BE">
        <w:t xml:space="preserve">Another post-pandemic trend is the shift towards niche and experiential events. According to </w:t>
      </w:r>
      <w:r w:rsidR="006105BE" w:rsidRPr="006105BE">
        <w:rPr>
          <w:shd w:val="clear" w:color="auto" w:fill="FFFFFF"/>
        </w:rPr>
        <w:t>Nicholls</w:t>
      </w:r>
      <w:r w:rsidR="006105BE" w:rsidRPr="006105BE">
        <w:t xml:space="preserve"> </w:t>
      </w:r>
      <w:r w:rsidRPr="006105BE">
        <w:t>et al. (</w:t>
      </w:r>
      <w:r w:rsidR="006105BE" w:rsidRPr="006105BE">
        <w:t>2021</w:t>
      </w:r>
      <w:r w:rsidRPr="006105BE">
        <w:t>), festivals</w:t>
      </w:r>
      <w:r w:rsidRPr="00BE705C">
        <w:t xml:space="preserve"> that offer personalised, interactive, and thematic content create deeper emotional engagement and repeat visitation. “Year of </w:t>
      </w:r>
      <w:proofErr w:type="spellStart"/>
      <w:r w:rsidRPr="00BE705C">
        <w:t>Croeso</w:t>
      </w:r>
      <w:proofErr w:type="spellEnd"/>
      <w:r>
        <w:t>” fits this model by enabling visitors to actively participate in dance workshops, art sessions, and language classes. This interactivity is a competitive advantage against more generic events like the Hay Festival or even the large-scale Edinburgh Fringe, which may lack the same focus on national identity and community involvement.</w:t>
      </w:r>
      <w:r w:rsidR="00BE705C">
        <w:t xml:space="preserve"> </w:t>
      </w:r>
      <w:r>
        <w:t xml:space="preserve">Moreover, the </w:t>
      </w:r>
      <w:r w:rsidRPr="00BE705C">
        <w:t>emergence of hybrid event formats is shaping</w:t>
      </w:r>
      <w:r>
        <w:t xml:space="preserve"> future event strategies</w:t>
      </w:r>
      <w:r w:rsidR="006105BE">
        <w:t xml:space="preserve"> (</w:t>
      </w:r>
      <w:r w:rsidR="006105BE">
        <w:rPr>
          <w:shd w:val="clear" w:color="auto" w:fill="FFFFFF"/>
        </w:rPr>
        <w:t>Allen et al. 2022</w:t>
      </w:r>
      <w:r w:rsidR="006105BE">
        <w:t>)</w:t>
      </w:r>
      <w:r>
        <w:t>. Livestreaming performances and interactive online components can expand reach and engage global audiences unable to attend physically. The festival can capitalise on this by streaming headline acts and offering virtual behind-the-scenes content.</w:t>
      </w:r>
    </w:p>
    <w:p w14:paraId="60D05232" w14:textId="0AB61976" w:rsidR="00732789" w:rsidRDefault="00732789" w:rsidP="00881624">
      <w:r w:rsidRPr="00BE705C">
        <w:t xml:space="preserve">Sustainability and inclusivity have also become central </w:t>
      </w:r>
      <w:r w:rsidRPr="00561BCC">
        <w:t xml:space="preserve">expectations. According to </w:t>
      </w:r>
      <w:r w:rsidR="006105BE" w:rsidRPr="00561BCC">
        <w:t xml:space="preserve">Evans </w:t>
      </w:r>
      <w:r w:rsidRPr="00561BCC">
        <w:t>(</w:t>
      </w:r>
      <w:r w:rsidR="006105BE" w:rsidRPr="00561BCC">
        <w:t>2024</w:t>
      </w:r>
      <w:r w:rsidRPr="00561BCC">
        <w:t>), sustainable event practices are now integral to brand image and public acceptance. By implementing solar-powered stages, composting stations, and eco-friendly catering (as planned in Slide 11), the festival reflects global concerns about climate change and environmental</w:t>
      </w:r>
      <w:r>
        <w:t xml:space="preserve"> responsibility. Similarly, inclusivity through bilingual signage, disability access, and community workshops strengthens </w:t>
      </w:r>
      <w:r w:rsidR="0005747D">
        <w:t xml:space="preserve">the </w:t>
      </w:r>
      <w:r>
        <w:t xml:space="preserve">social impact and broadens </w:t>
      </w:r>
      <w:r w:rsidR="0005747D">
        <w:t xml:space="preserve">the </w:t>
      </w:r>
      <w:r>
        <w:t>appeal.</w:t>
      </w:r>
      <w:r w:rsidR="008F0B3C">
        <w:t xml:space="preserve"> </w:t>
      </w:r>
      <w:r>
        <w:t xml:space="preserve">Together, these trends reflect a transformed industry landscape. By aligning with these priorities, “Year of </w:t>
      </w:r>
      <w:proofErr w:type="spellStart"/>
      <w:r>
        <w:t>Croeso</w:t>
      </w:r>
      <w:proofErr w:type="spellEnd"/>
      <w:r>
        <w:t>” positions itself as not just a cultural celebration but a forward-thinking, values-led event fit for the modern festivalgoer.</w:t>
      </w:r>
    </w:p>
    <w:p w14:paraId="78EE003E" w14:textId="78CE7CD0" w:rsidR="00732789" w:rsidRDefault="00732789" w:rsidP="00A771E3">
      <w:pPr>
        <w:pStyle w:val="Heading1"/>
      </w:pPr>
      <w:bookmarkStart w:id="7" w:name="_Toc199541478"/>
      <w:r>
        <w:rPr>
          <w:rStyle w:val="Strong"/>
          <w:b/>
          <w:bCs w:val="0"/>
        </w:rPr>
        <w:t>8. Situational and Cultural Considerations</w:t>
      </w:r>
      <w:bookmarkEnd w:id="7"/>
    </w:p>
    <w:p w14:paraId="232EF400" w14:textId="0B8AB721" w:rsidR="001F566B" w:rsidRDefault="00732789" w:rsidP="00732789">
      <w:r>
        <w:t xml:space="preserve">Analysing the external environment is </w:t>
      </w:r>
      <w:r w:rsidRPr="00732789">
        <w:t>essential for successful event planning. A PESTEL analysis provides a structured overview of the political, economic</w:t>
      </w:r>
      <w:r>
        <w:t xml:space="preserve">, social, technological, environmental, and legal factors influencing the “Year of </w:t>
      </w:r>
      <w:proofErr w:type="spellStart"/>
      <w:r>
        <w:t>Croeso</w:t>
      </w:r>
      <w:proofErr w:type="spellEnd"/>
      <w:r>
        <w:t>” festival.</w:t>
      </w:r>
      <w:r w:rsidR="00BE705C">
        <w:t xml:space="preserve"> </w:t>
      </w:r>
      <w:r w:rsidRPr="00732789">
        <w:t>Political factors are highly supportive. The Welsh Government and Visit Wales actively fund and promote cultural events</w:t>
      </w:r>
      <w:r>
        <w:t xml:space="preserve"> to drive tourism </w:t>
      </w:r>
      <w:r>
        <w:lastRenderedPageBreak/>
        <w:t>and community pride. This strategic alignment adds credibility and opens pathways to grants and logistical assistance.</w:t>
      </w:r>
      <w:r w:rsidR="00BE705C">
        <w:t xml:space="preserve"> </w:t>
      </w:r>
      <w:r w:rsidRPr="00732789">
        <w:t xml:space="preserve">Economic considerations include </w:t>
      </w:r>
      <w:proofErr w:type="spellStart"/>
      <w:r w:rsidRPr="00732789">
        <w:t>Wales’</w:t>
      </w:r>
      <w:proofErr w:type="spellEnd"/>
      <w:r w:rsidRPr="00732789">
        <w:t xml:space="preserve"> ongoing post-pandemic recovery, where the events and tourism sectors have</w:t>
      </w:r>
      <w:r>
        <w:t xml:space="preserve"> become focal points for regeneration. Hosting the event in Cardiff Bay</w:t>
      </w:r>
      <w:r w:rsidR="00BE705C">
        <w:t xml:space="preserve">, </w:t>
      </w:r>
      <w:r>
        <w:t>already a cultural and economic hub</w:t>
      </w:r>
      <w:r w:rsidR="00BE705C">
        <w:t xml:space="preserve"> </w:t>
      </w:r>
      <w:r>
        <w:t>maximises revenue potential through visitor spending on accommodation, transport, and local businesses</w:t>
      </w:r>
      <w:r w:rsidR="003D53E3">
        <w:t xml:space="preserve"> (</w:t>
      </w:r>
      <w:r w:rsidR="003D53E3">
        <w:rPr>
          <w:shd w:val="clear" w:color="auto" w:fill="FFFFFF"/>
        </w:rPr>
        <w:t xml:space="preserve">Celuch and </w:t>
      </w:r>
      <w:proofErr w:type="spellStart"/>
      <w:r w:rsidR="003D53E3">
        <w:rPr>
          <w:shd w:val="clear" w:color="auto" w:fill="FFFFFF"/>
        </w:rPr>
        <w:t>Neuhofer</w:t>
      </w:r>
      <w:proofErr w:type="spellEnd"/>
      <w:r w:rsidR="003D53E3">
        <w:rPr>
          <w:shd w:val="clear" w:color="auto" w:fill="FFFFFF"/>
        </w:rPr>
        <w:t>, 2024</w:t>
      </w:r>
      <w:r w:rsidR="003D53E3">
        <w:t>)</w:t>
      </w:r>
      <w:r>
        <w:t>.</w:t>
      </w:r>
      <w:r w:rsidR="00BE705C">
        <w:t xml:space="preserve"> </w:t>
      </w:r>
      <w:r>
        <w:t xml:space="preserve">From </w:t>
      </w:r>
      <w:r w:rsidRPr="00732789">
        <w:t>a social perspective, the event plays a pivotal role in promoting community cohesion and Welsh identity. Including local artists and cultural groups ensures authenticity and encourages local ownership. The bilingual nature</w:t>
      </w:r>
      <w:r>
        <w:t xml:space="preserve"> of the festival respects linguistic diversity, addressing cultural sensitivity and inclusiveness (Slide 10).</w:t>
      </w:r>
      <w:r w:rsidR="00BE705C">
        <w:t xml:space="preserve"> </w:t>
      </w:r>
      <w:r w:rsidRPr="00732789">
        <w:t>Technological innovation, such as RFID wristbands for access and mobile apps for schedules and navigation, enhances</w:t>
      </w:r>
      <w:r>
        <w:t xml:space="preserve"> user experience and operational efficiency. These features support crowd management, real-time updates, and personalisation, reflecting best practices in smart event design</w:t>
      </w:r>
      <w:r w:rsidR="00261A6C">
        <w:t xml:space="preserve"> (</w:t>
      </w:r>
      <w:r w:rsidR="00261A6C" w:rsidRPr="00261A6C">
        <w:rPr>
          <w:rFonts w:cs="Times New Roman"/>
          <w:color w:val="222222"/>
          <w:szCs w:val="24"/>
          <w:shd w:val="clear" w:color="auto" w:fill="FFFFFF"/>
        </w:rPr>
        <w:t>Morrison</w:t>
      </w:r>
      <w:r w:rsidR="00261A6C">
        <w:rPr>
          <w:rFonts w:cs="Times New Roman"/>
          <w:color w:val="222222"/>
          <w:szCs w:val="24"/>
          <w:shd w:val="clear" w:color="auto" w:fill="FFFFFF"/>
        </w:rPr>
        <w:t>, 2023</w:t>
      </w:r>
      <w:r w:rsidR="00261A6C">
        <w:t>)</w:t>
      </w:r>
      <w:r>
        <w:t>.</w:t>
      </w:r>
      <w:r w:rsidR="00BE705C">
        <w:t xml:space="preserve"> </w:t>
      </w:r>
      <w:r>
        <w:t xml:space="preserve">In terms </w:t>
      </w:r>
      <w:r w:rsidRPr="00732789">
        <w:t>of environmental responsibility, the festival incorporates sustainability through solar-powered stages, compostable</w:t>
      </w:r>
      <w:r>
        <w:t xml:space="preserve"> materials, and bicycle transport initiatives (Slide 11). These actions not only reduce </w:t>
      </w:r>
      <w:r w:rsidR="0005747D">
        <w:t xml:space="preserve">the </w:t>
      </w:r>
      <w:r>
        <w:t>ecological impact but also align with international expectations for eco-conscious event delivery.</w:t>
      </w:r>
      <w:r w:rsidR="00BE705C">
        <w:t xml:space="preserve"> </w:t>
      </w:r>
      <w:r w:rsidR="00F719BC">
        <w:t>Finally, o</w:t>
      </w:r>
      <w:r w:rsidR="001F566B" w:rsidRPr="001F566B">
        <w:t xml:space="preserve">ffering legal compliance means ensuring </w:t>
      </w:r>
      <w:r w:rsidR="001F566B">
        <w:t>the organisers</w:t>
      </w:r>
      <w:r w:rsidR="001F566B" w:rsidRPr="001F566B">
        <w:t xml:space="preserve"> have public event permits, </w:t>
      </w:r>
      <w:r w:rsidR="00227C29">
        <w:t xml:space="preserve">and </w:t>
      </w:r>
      <w:r w:rsidR="001F566B" w:rsidRPr="001F566B">
        <w:t xml:space="preserve">licenses to control noise volume and are in line with GDPR for online ticket and fan website usage. Doing risk assessments and getting insurance helps keep </w:t>
      </w:r>
      <w:r w:rsidR="001F566B">
        <w:t>the</w:t>
      </w:r>
      <w:r w:rsidR="001F566B" w:rsidRPr="001F566B">
        <w:t xml:space="preserve"> business compliant with laws and out of financial danger (Radbourne, 2023). They explain the many positive elements that enable the “Year of </w:t>
      </w:r>
      <w:proofErr w:type="spellStart"/>
      <w:r w:rsidR="001F566B" w:rsidRPr="001F566B">
        <w:t>Croeso</w:t>
      </w:r>
      <w:proofErr w:type="spellEnd"/>
      <w:r w:rsidR="001F566B" w:rsidRPr="001F566B">
        <w:t>” to be delivered effectively. Dealing with these situational and regional issues helps gain trust from stakeholders, meets all legal guidelines and ensures the welcome event stays sustainable and open to everyone over time.</w:t>
      </w:r>
    </w:p>
    <w:p w14:paraId="5F549EA7" w14:textId="77777777" w:rsidR="006A643A" w:rsidRDefault="006A643A" w:rsidP="006A643A"/>
    <w:p w14:paraId="6145D026" w14:textId="3C56E379" w:rsidR="003C32C7" w:rsidRDefault="003C32C7" w:rsidP="003C32C7">
      <w:r>
        <w:t>.</w:t>
      </w:r>
    </w:p>
    <w:p w14:paraId="4E4F290E" w14:textId="77777777" w:rsidR="003C32C7" w:rsidRDefault="003C32C7" w:rsidP="003C32C7"/>
    <w:p w14:paraId="5B3DE354" w14:textId="77777777" w:rsidR="00DF50B5" w:rsidRDefault="00DF50B5">
      <w:pPr>
        <w:spacing w:line="259" w:lineRule="auto"/>
        <w:jc w:val="left"/>
        <w:rPr>
          <w:rFonts w:eastAsiaTheme="majorEastAsia" w:cs="Times New Roman"/>
          <w:b/>
          <w:sz w:val="32"/>
          <w:szCs w:val="32"/>
        </w:rPr>
      </w:pPr>
      <w:r>
        <w:rPr>
          <w:rFonts w:cs="Times New Roman"/>
        </w:rPr>
        <w:br w:type="page"/>
      </w:r>
    </w:p>
    <w:p w14:paraId="16DF8253" w14:textId="6F2E3897" w:rsidR="002C6D8F" w:rsidRPr="002C6D8F" w:rsidRDefault="00A771E3" w:rsidP="002C6D8F">
      <w:pPr>
        <w:pStyle w:val="Heading1"/>
        <w:rPr>
          <w:rFonts w:cs="Times New Roman"/>
        </w:rPr>
      </w:pPr>
      <w:bookmarkStart w:id="8" w:name="_Toc199541479"/>
      <w:r>
        <w:rPr>
          <w:rFonts w:cs="Times New Roman"/>
        </w:rPr>
        <w:lastRenderedPageBreak/>
        <w:t xml:space="preserve">9. </w:t>
      </w:r>
      <w:r w:rsidR="002C6D8F" w:rsidRPr="002C6D8F">
        <w:rPr>
          <w:rFonts w:cs="Times New Roman"/>
        </w:rPr>
        <w:t>Conclusion</w:t>
      </w:r>
      <w:bookmarkEnd w:id="8"/>
    </w:p>
    <w:p w14:paraId="4052D7E4" w14:textId="0E32298D" w:rsidR="00374CCC" w:rsidRDefault="00374CCC" w:rsidP="00E4319B">
      <w:r w:rsidRPr="00374CCC">
        <w:t xml:space="preserve">Through “Year of </w:t>
      </w:r>
      <w:proofErr w:type="spellStart"/>
      <w:r w:rsidRPr="00374CCC">
        <w:t>Croeso</w:t>
      </w:r>
      <w:proofErr w:type="spellEnd"/>
      <w:r w:rsidRPr="00374CCC">
        <w:t xml:space="preserve">” Wales can use a meaningful and broadly accessible cultural event to improve its global image. Using recognized event planning models, the festival follows national tourism objectives and mixes creativity, community efforts and economic planning to give guests an unforgettable time. It is to say that using the Event Cycle and SMART objectives with PESTEL analysis allows the work to be backed by theory and made relevant to practical settings. Its approach to modern event management includes diverse programming, using both languages and caring for the environment by including new technologies. Because the tourism sector believes in the project, its budgeting is sound and it follows where the industry is going, “Year of </w:t>
      </w:r>
      <w:proofErr w:type="spellStart"/>
      <w:r w:rsidRPr="00374CCC">
        <w:t>Croeso</w:t>
      </w:r>
      <w:proofErr w:type="spellEnd"/>
      <w:r w:rsidRPr="00374CCC">
        <w:t xml:space="preserve">” is well-positioned to accomplish both its aims and goals. In Wales, this celebration acts </w:t>
      </w:r>
      <w:proofErr w:type="gramStart"/>
      <w:r w:rsidRPr="00374CCC">
        <w:t>as a way to</w:t>
      </w:r>
      <w:proofErr w:type="gramEnd"/>
      <w:r w:rsidRPr="00374CCC">
        <w:t xml:space="preserve"> protect culture, support tourism and unite communities. When carried out well, it may set an example for upcoming international cultural events and help guide </w:t>
      </w:r>
      <w:proofErr w:type="spellStart"/>
      <w:r w:rsidRPr="00374CCC">
        <w:t>Wales’</w:t>
      </w:r>
      <w:proofErr w:type="spellEnd"/>
      <w:r w:rsidRPr="00374CCC">
        <w:t xml:space="preserve"> tourism efforts.</w:t>
      </w:r>
    </w:p>
    <w:p w14:paraId="6FC2708D" w14:textId="77777777" w:rsidR="002C6D8F" w:rsidRPr="002C6D8F" w:rsidRDefault="002C6D8F">
      <w:pPr>
        <w:rPr>
          <w:rFonts w:cs="Times New Roman"/>
        </w:rPr>
      </w:pPr>
    </w:p>
    <w:p w14:paraId="45F1A105" w14:textId="77777777" w:rsidR="005F2227" w:rsidRDefault="005F2227">
      <w:pPr>
        <w:spacing w:line="259" w:lineRule="auto"/>
        <w:jc w:val="left"/>
        <w:rPr>
          <w:rFonts w:eastAsiaTheme="majorEastAsia" w:cs="Times New Roman"/>
          <w:b/>
          <w:sz w:val="32"/>
          <w:szCs w:val="32"/>
        </w:rPr>
      </w:pPr>
      <w:r>
        <w:rPr>
          <w:rFonts w:cs="Times New Roman"/>
        </w:rPr>
        <w:br w:type="page"/>
      </w:r>
    </w:p>
    <w:p w14:paraId="60451C7D" w14:textId="3072FA1B" w:rsidR="002C6D8F" w:rsidRDefault="002C6D8F" w:rsidP="002C6D8F">
      <w:pPr>
        <w:pStyle w:val="Heading1"/>
        <w:rPr>
          <w:rFonts w:cs="Times New Roman"/>
        </w:rPr>
      </w:pPr>
      <w:bookmarkStart w:id="9" w:name="_Toc199541480"/>
      <w:r w:rsidRPr="002C6D8F">
        <w:rPr>
          <w:rFonts w:cs="Times New Roman"/>
        </w:rPr>
        <w:lastRenderedPageBreak/>
        <w:t>References</w:t>
      </w:r>
      <w:bookmarkEnd w:id="9"/>
    </w:p>
    <w:p w14:paraId="2EC3B637" w14:textId="77777777" w:rsidR="00261A6C" w:rsidRDefault="00261A6C" w:rsidP="00A6025E">
      <w:pPr>
        <w:rPr>
          <w:shd w:val="clear" w:color="auto" w:fill="FFFFFF"/>
        </w:rPr>
      </w:pPr>
      <w:r>
        <w:rPr>
          <w:shd w:val="clear" w:color="auto" w:fill="FFFFFF"/>
        </w:rPr>
        <w:t>Allen, J., Harris, R. and Jago, L., 2022. </w:t>
      </w:r>
      <w:r>
        <w:rPr>
          <w:i/>
          <w:iCs/>
          <w:shd w:val="clear" w:color="auto" w:fill="FFFFFF"/>
        </w:rPr>
        <w:t>Festival &amp; special event management</w:t>
      </w:r>
      <w:r>
        <w:rPr>
          <w:shd w:val="clear" w:color="auto" w:fill="FFFFFF"/>
        </w:rPr>
        <w:t>. John Wiley &amp; Sons.</w:t>
      </w:r>
    </w:p>
    <w:p w14:paraId="2532299C" w14:textId="77777777" w:rsidR="00261A6C" w:rsidRDefault="00261A6C" w:rsidP="00A6025E">
      <w:pPr>
        <w:rPr>
          <w:shd w:val="clear" w:color="auto" w:fill="FFFFFF"/>
        </w:rPr>
      </w:pPr>
      <w:r>
        <w:rPr>
          <w:shd w:val="clear" w:color="auto" w:fill="FFFFFF"/>
        </w:rPr>
        <w:t xml:space="preserve">Bowdin, G.A., Allen, J., Harris, R., Jago, L., </w:t>
      </w:r>
      <w:proofErr w:type="spellStart"/>
      <w:r>
        <w:rPr>
          <w:shd w:val="clear" w:color="auto" w:fill="FFFFFF"/>
        </w:rPr>
        <w:t>O'toole</w:t>
      </w:r>
      <w:proofErr w:type="spellEnd"/>
      <w:r>
        <w:rPr>
          <w:shd w:val="clear" w:color="auto" w:fill="FFFFFF"/>
        </w:rPr>
        <w:t>, W. and McDonnell, I., 2023. </w:t>
      </w:r>
      <w:r>
        <w:rPr>
          <w:i/>
          <w:iCs/>
          <w:shd w:val="clear" w:color="auto" w:fill="FFFFFF"/>
        </w:rPr>
        <w:t>Events management</w:t>
      </w:r>
      <w:r>
        <w:rPr>
          <w:shd w:val="clear" w:color="auto" w:fill="FFFFFF"/>
        </w:rPr>
        <w:t>. Routledge.</w:t>
      </w:r>
    </w:p>
    <w:p w14:paraId="1073000B" w14:textId="77777777" w:rsidR="00261A6C" w:rsidRPr="00391078" w:rsidRDefault="00261A6C" w:rsidP="00A6025E">
      <w:r>
        <w:rPr>
          <w:shd w:val="clear" w:color="auto" w:fill="FFFFFF"/>
        </w:rPr>
        <w:t xml:space="preserve">Celuch, K. and </w:t>
      </w:r>
      <w:proofErr w:type="spellStart"/>
      <w:r>
        <w:rPr>
          <w:shd w:val="clear" w:color="auto" w:fill="FFFFFF"/>
        </w:rPr>
        <w:t>Neuhofer</w:t>
      </w:r>
      <w:proofErr w:type="spellEnd"/>
      <w:r>
        <w:rPr>
          <w:shd w:val="clear" w:color="auto" w:fill="FFFFFF"/>
        </w:rPr>
        <w:t>, B., 2024. Towards transformative event experiences: State of the art and future research. </w:t>
      </w:r>
      <w:r>
        <w:rPr>
          <w:i/>
          <w:iCs/>
          <w:shd w:val="clear" w:color="auto" w:fill="FFFFFF"/>
        </w:rPr>
        <w:t>Event Management</w:t>
      </w:r>
      <w:r>
        <w:rPr>
          <w:shd w:val="clear" w:color="auto" w:fill="FFFFFF"/>
        </w:rPr>
        <w:t>, </w:t>
      </w:r>
      <w:r>
        <w:rPr>
          <w:i/>
          <w:iCs/>
          <w:shd w:val="clear" w:color="auto" w:fill="FFFFFF"/>
        </w:rPr>
        <w:t>28</w:t>
      </w:r>
      <w:r>
        <w:rPr>
          <w:shd w:val="clear" w:color="auto" w:fill="FFFFFF"/>
        </w:rPr>
        <w:t>(3), pp.485-491.</w:t>
      </w:r>
    </w:p>
    <w:p w14:paraId="26D56C95" w14:textId="77777777" w:rsidR="00261A6C" w:rsidRDefault="00261A6C" w:rsidP="00A6025E">
      <w:pPr>
        <w:rPr>
          <w:shd w:val="clear" w:color="auto" w:fill="FFFFFF"/>
        </w:rPr>
      </w:pPr>
      <w:proofErr w:type="spellStart"/>
      <w:r>
        <w:rPr>
          <w:shd w:val="clear" w:color="auto" w:fill="FFFFFF"/>
        </w:rPr>
        <w:t>Citaristi</w:t>
      </w:r>
      <w:proofErr w:type="spellEnd"/>
      <w:r>
        <w:rPr>
          <w:shd w:val="clear" w:color="auto" w:fill="FFFFFF"/>
        </w:rPr>
        <w:t>, I., 2022. World Tourism Organization—UNWTO. In </w:t>
      </w:r>
      <w:r>
        <w:rPr>
          <w:i/>
          <w:iCs/>
          <w:shd w:val="clear" w:color="auto" w:fill="FFFFFF"/>
        </w:rPr>
        <w:t>The Europa Directory of International Organizations 2022</w:t>
      </w:r>
      <w:r>
        <w:rPr>
          <w:shd w:val="clear" w:color="auto" w:fill="FFFFFF"/>
        </w:rPr>
        <w:t> (pp. 404-407). Routledge.</w:t>
      </w:r>
    </w:p>
    <w:p w14:paraId="64B347A6" w14:textId="77777777" w:rsidR="00261A6C" w:rsidRDefault="00261A6C" w:rsidP="00A6025E">
      <w:pPr>
        <w:rPr>
          <w:shd w:val="clear" w:color="auto" w:fill="FFFFFF"/>
        </w:rPr>
      </w:pPr>
      <w:r>
        <w:rPr>
          <w:shd w:val="clear" w:color="auto" w:fill="FFFFFF"/>
        </w:rPr>
        <w:t>Evans, N.G., 2024. </w:t>
      </w:r>
      <w:r>
        <w:rPr>
          <w:i/>
          <w:iCs/>
          <w:shd w:val="clear" w:color="auto" w:fill="FFFFFF"/>
        </w:rPr>
        <w:t>Strategic management for tourism, hospitality and events</w:t>
      </w:r>
      <w:r>
        <w:rPr>
          <w:shd w:val="clear" w:color="auto" w:fill="FFFFFF"/>
        </w:rPr>
        <w:t>. Routledge.</w:t>
      </w:r>
    </w:p>
    <w:p w14:paraId="4CD09BFF" w14:textId="77777777" w:rsidR="00261A6C" w:rsidRDefault="00261A6C" w:rsidP="00A6025E">
      <w:pPr>
        <w:rPr>
          <w:shd w:val="clear" w:color="auto" w:fill="FFFFFF"/>
        </w:rPr>
      </w:pPr>
      <w:r>
        <w:rPr>
          <w:shd w:val="clear" w:color="auto" w:fill="FFFFFF"/>
        </w:rPr>
        <w:t xml:space="preserve">Fox, D., Gouthro, M.B., </w:t>
      </w:r>
      <w:proofErr w:type="spellStart"/>
      <w:r>
        <w:rPr>
          <w:shd w:val="clear" w:color="auto" w:fill="FFFFFF"/>
        </w:rPr>
        <w:t>Morakabati</w:t>
      </w:r>
      <w:proofErr w:type="spellEnd"/>
      <w:r>
        <w:rPr>
          <w:shd w:val="clear" w:color="auto" w:fill="FFFFFF"/>
        </w:rPr>
        <w:t xml:space="preserve">, Y. and </w:t>
      </w:r>
      <w:proofErr w:type="spellStart"/>
      <w:r>
        <w:rPr>
          <w:shd w:val="clear" w:color="auto" w:fill="FFFFFF"/>
        </w:rPr>
        <w:t>Brackstone</w:t>
      </w:r>
      <w:proofErr w:type="spellEnd"/>
      <w:r>
        <w:rPr>
          <w:shd w:val="clear" w:color="auto" w:fill="FFFFFF"/>
        </w:rPr>
        <w:t>, J., 2014. </w:t>
      </w:r>
      <w:r>
        <w:rPr>
          <w:i/>
          <w:iCs/>
          <w:shd w:val="clear" w:color="auto" w:fill="FFFFFF"/>
        </w:rPr>
        <w:t>Doing events research: From theory to practice</w:t>
      </w:r>
      <w:r>
        <w:rPr>
          <w:shd w:val="clear" w:color="auto" w:fill="FFFFFF"/>
        </w:rPr>
        <w:t>. Routledge.</w:t>
      </w:r>
    </w:p>
    <w:p w14:paraId="79FD66AA" w14:textId="77777777" w:rsidR="00261A6C" w:rsidRDefault="00261A6C" w:rsidP="00A6025E">
      <w:pPr>
        <w:rPr>
          <w:shd w:val="clear" w:color="auto" w:fill="FFFFFF"/>
        </w:rPr>
      </w:pPr>
      <w:r>
        <w:rPr>
          <w:shd w:val="clear" w:color="auto" w:fill="FFFFFF"/>
        </w:rPr>
        <w:t xml:space="preserve">Fyall, A., Garrod, B., Leask, A. and </w:t>
      </w:r>
      <w:proofErr w:type="spellStart"/>
      <w:r>
        <w:rPr>
          <w:shd w:val="clear" w:color="auto" w:fill="FFFFFF"/>
        </w:rPr>
        <w:t>Wanhill</w:t>
      </w:r>
      <w:proofErr w:type="spellEnd"/>
      <w:r>
        <w:rPr>
          <w:shd w:val="clear" w:color="auto" w:fill="FFFFFF"/>
        </w:rPr>
        <w:t>, S. eds., 2022. </w:t>
      </w:r>
      <w:r>
        <w:rPr>
          <w:i/>
          <w:iCs/>
          <w:shd w:val="clear" w:color="auto" w:fill="FFFFFF"/>
        </w:rPr>
        <w:t>Managing visitor attractions</w:t>
      </w:r>
      <w:r>
        <w:rPr>
          <w:shd w:val="clear" w:color="auto" w:fill="FFFFFF"/>
        </w:rPr>
        <w:t>. London: Routledge.</w:t>
      </w:r>
    </w:p>
    <w:p w14:paraId="09589095" w14:textId="77777777" w:rsidR="00261A6C" w:rsidRDefault="00261A6C" w:rsidP="00A6025E">
      <w:pPr>
        <w:rPr>
          <w:shd w:val="clear" w:color="auto" w:fill="FFFFFF"/>
        </w:rPr>
      </w:pPr>
      <w:r>
        <w:rPr>
          <w:shd w:val="clear" w:color="auto" w:fill="FFFFFF"/>
        </w:rPr>
        <w:t>Getz, D. and Page, S.J., 2019. </w:t>
      </w:r>
      <w:r>
        <w:rPr>
          <w:i/>
          <w:iCs/>
          <w:shd w:val="clear" w:color="auto" w:fill="FFFFFF"/>
        </w:rPr>
        <w:t>Event studies: Theory, research and policy for planned events</w:t>
      </w:r>
      <w:r>
        <w:rPr>
          <w:shd w:val="clear" w:color="auto" w:fill="FFFFFF"/>
        </w:rPr>
        <w:t>. Routledge.</w:t>
      </w:r>
    </w:p>
    <w:p w14:paraId="25AF4B51" w14:textId="77777777" w:rsidR="00261A6C" w:rsidRDefault="00261A6C" w:rsidP="00A6025E">
      <w:pPr>
        <w:rPr>
          <w:shd w:val="clear" w:color="auto" w:fill="FFFFFF"/>
        </w:rPr>
      </w:pPr>
      <w:r>
        <w:rPr>
          <w:shd w:val="clear" w:color="auto" w:fill="FFFFFF"/>
        </w:rPr>
        <w:t>Meredith, J.R., Shafer, S.M. and Mantel Jr, S.J., 2017. </w:t>
      </w:r>
      <w:r>
        <w:rPr>
          <w:i/>
          <w:iCs/>
          <w:shd w:val="clear" w:color="auto" w:fill="FFFFFF"/>
        </w:rPr>
        <w:t>Project management: a strategic managerial approach</w:t>
      </w:r>
      <w:r>
        <w:rPr>
          <w:shd w:val="clear" w:color="auto" w:fill="FFFFFF"/>
        </w:rPr>
        <w:t>. John Wiley &amp; Sons.</w:t>
      </w:r>
    </w:p>
    <w:p w14:paraId="50E93C30" w14:textId="77777777" w:rsidR="00261A6C" w:rsidRPr="00261A6C" w:rsidRDefault="00261A6C" w:rsidP="00A6025E">
      <w:pPr>
        <w:rPr>
          <w:rFonts w:cs="Times New Roman"/>
          <w:sz w:val="32"/>
          <w:szCs w:val="28"/>
          <w:shd w:val="clear" w:color="auto" w:fill="FFFFFF"/>
        </w:rPr>
      </w:pPr>
      <w:r w:rsidRPr="00261A6C">
        <w:rPr>
          <w:rFonts w:cs="Times New Roman"/>
          <w:color w:val="222222"/>
          <w:szCs w:val="24"/>
          <w:shd w:val="clear" w:color="auto" w:fill="FFFFFF"/>
        </w:rPr>
        <w:t>Morrison, A.M., 2023. </w:t>
      </w:r>
      <w:r w:rsidRPr="00261A6C">
        <w:rPr>
          <w:rFonts w:cs="Times New Roman"/>
          <w:i/>
          <w:iCs/>
          <w:color w:val="222222"/>
          <w:szCs w:val="24"/>
          <w:shd w:val="clear" w:color="auto" w:fill="FFFFFF"/>
        </w:rPr>
        <w:t>Marketing and managing tourism destinations</w:t>
      </w:r>
      <w:r w:rsidRPr="00261A6C">
        <w:rPr>
          <w:rFonts w:cs="Times New Roman"/>
          <w:color w:val="222222"/>
          <w:szCs w:val="24"/>
          <w:shd w:val="clear" w:color="auto" w:fill="FFFFFF"/>
        </w:rPr>
        <w:t>. Routledge.</w:t>
      </w:r>
    </w:p>
    <w:p w14:paraId="1EB6EE82" w14:textId="77777777" w:rsidR="00261A6C" w:rsidRDefault="00261A6C" w:rsidP="00A6025E">
      <w:pPr>
        <w:rPr>
          <w:shd w:val="clear" w:color="auto" w:fill="FFFFFF"/>
        </w:rPr>
      </w:pPr>
      <w:r>
        <w:rPr>
          <w:shd w:val="clear" w:color="auto" w:fill="FFFFFF"/>
        </w:rPr>
        <w:t>Nicholls, S., Organ, K. and Cummings, B., 2021. Planning for sustainable tourism development in Wales: an analysis of destination management plans. </w:t>
      </w:r>
      <w:r>
        <w:rPr>
          <w:i/>
          <w:iCs/>
          <w:shd w:val="clear" w:color="auto" w:fill="FFFFFF"/>
        </w:rPr>
        <w:t>Welsh Economic Review</w:t>
      </w:r>
      <w:r>
        <w:rPr>
          <w:shd w:val="clear" w:color="auto" w:fill="FFFFFF"/>
        </w:rPr>
        <w:t>, </w:t>
      </w:r>
      <w:r>
        <w:rPr>
          <w:i/>
          <w:iCs/>
          <w:shd w:val="clear" w:color="auto" w:fill="FFFFFF"/>
        </w:rPr>
        <w:t>28</w:t>
      </w:r>
      <w:r>
        <w:rPr>
          <w:shd w:val="clear" w:color="auto" w:fill="FFFFFF"/>
        </w:rPr>
        <w:t>, pp.23-32.</w:t>
      </w:r>
    </w:p>
    <w:p w14:paraId="6AE8A85F" w14:textId="77777777" w:rsidR="00261A6C" w:rsidRDefault="00261A6C" w:rsidP="00A6025E">
      <w:pPr>
        <w:rPr>
          <w:shd w:val="clear" w:color="auto" w:fill="FFFFFF"/>
        </w:rPr>
      </w:pPr>
      <w:r>
        <w:rPr>
          <w:shd w:val="clear" w:color="auto" w:fill="FFFFFF"/>
        </w:rPr>
        <w:t>O'Toole, W., 2010. </w:t>
      </w:r>
      <w:r>
        <w:rPr>
          <w:i/>
          <w:iCs/>
          <w:shd w:val="clear" w:color="auto" w:fill="FFFFFF"/>
        </w:rPr>
        <w:t>Events feasibility and development</w:t>
      </w:r>
      <w:r>
        <w:rPr>
          <w:shd w:val="clear" w:color="auto" w:fill="FFFFFF"/>
        </w:rPr>
        <w:t>. Routledge.</w:t>
      </w:r>
    </w:p>
    <w:p w14:paraId="7A9038B9" w14:textId="77777777" w:rsidR="00261A6C" w:rsidRDefault="00261A6C" w:rsidP="00A6025E">
      <w:pPr>
        <w:rPr>
          <w:shd w:val="clear" w:color="auto" w:fill="FFFFFF"/>
        </w:rPr>
      </w:pPr>
      <w:r>
        <w:rPr>
          <w:shd w:val="clear" w:color="auto" w:fill="FFFFFF"/>
        </w:rPr>
        <w:t>Radbourne, J., 2023. </w:t>
      </w:r>
      <w:r>
        <w:rPr>
          <w:i/>
          <w:iCs/>
          <w:shd w:val="clear" w:color="auto" w:fill="FFFFFF"/>
        </w:rPr>
        <w:t>Arts management: A practical guide</w:t>
      </w:r>
      <w:r>
        <w:rPr>
          <w:shd w:val="clear" w:color="auto" w:fill="FFFFFF"/>
        </w:rPr>
        <w:t>. Routledge.</w:t>
      </w:r>
    </w:p>
    <w:p w14:paraId="09DD06EC" w14:textId="77777777" w:rsidR="00261A6C" w:rsidRDefault="00261A6C" w:rsidP="00A6025E">
      <w:pPr>
        <w:rPr>
          <w:shd w:val="clear" w:color="auto" w:fill="FFFFFF"/>
        </w:rPr>
      </w:pPr>
      <w:r>
        <w:rPr>
          <w:shd w:val="clear" w:color="auto" w:fill="FFFFFF"/>
        </w:rPr>
        <w:t>Rawat, A., Dabral, A.P., Joshi, S., Pratap, S. and Uniyal, N., 2022. Current research and trends in cultural tourism: a review. </w:t>
      </w:r>
      <w:r>
        <w:rPr>
          <w:i/>
          <w:iCs/>
          <w:shd w:val="clear" w:color="auto" w:fill="FFFFFF"/>
        </w:rPr>
        <w:t>International Journal of Mechanical Engineering</w:t>
      </w:r>
      <w:r>
        <w:rPr>
          <w:shd w:val="clear" w:color="auto" w:fill="FFFFFF"/>
        </w:rPr>
        <w:t>, </w:t>
      </w:r>
      <w:r>
        <w:rPr>
          <w:i/>
          <w:iCs/>
          <w:shd w:val="clear" w:color="auto" w:fill="FFFFFF"/>
        </w:rPr>
        <w:t>7</w:t>
      </w:r>
      <w:r>
        <w:rPr>
          <w:shd w:val="clear" w:color="auto" w:fill="FFFFFF"/>
        </w:rPr>
        <w:t>, pp.329-334.</w:t>
      </w:r>
    </w:p>
    <w:p w14:paraId="7F5F4CFE" w14:textId="77777777" w:rsidR="00261A6C" w:rsidRDefault="00261A6C" w:rsidP="00A6025E">
      <w:pPr>
        <w:rPr>
          <w:shd w:val="clear" w:color="auto" w:fill="FFFFFF"/>
        </w:rPr>
      </w:pPr>
      <w:r>
        <w:rPr>
          <w:shd w:val="clear" w:color="auto" w:fill="FFFFFF"/>
        </w:rPr>
        <w:lastRenderedPageBreak/>
        <w:t>Rogers, T. and Wynn-Moylan, P., 2022. </w:t>
      </w:r>
      <w:r>
        <w:rPr>
          <w:i/>
          <w:iCs/>
          <w:shd w:val="clear" w:color="auto" w:fill="FFFFFF"/>
        </w:rPr>
        <w:t>Conferences and conventions: A global industry</w:t>
      </w:r>
      <w:r>
        <w:rPr>
          <w:shd w:val="clear" w:color="auto" w:fill="FFFFFF"/>
        </w:rPr>
        <w:t>. Routledge.</w:t>
      </w:r>
    </w:p>
    <w:p w14:paraId="0619B47F" w14:textId="77777777" w:rsidR="00261A6C" w:rsidRDefault="00261A6C" w:rsidP="00A6025E">
      <w:pPr>
        <w:rPr>
          <w:shd w:val="clear" w:color="auto" w:fill="FFFFFF"/>
        </w:rPr>
      </w:pPr>
      <w:r>
        <w:rPr>
          <w:shd w:val="clear" w:color="auto" w:fill="FFFFFF"/>
        </w:rPr>
        <w:t>Santos, C.D. and Gómez, C.P., 2022. Governance for Major and Mega-events: A Framework Proposition. </w:t>
      </w:r>
      <w:r>
        <w:rPr>
          <w:i/>
          <w:iCs/>
          <w:shd w:val="clear" w:color="auto" w:fill="FFFFFF"/>
        </w:rPr>
        <w:t>Event Management</w:t>
      </w:r>
      <w:r>
        <w:rPr>
          <w:shd w:val="clear" w:color="auto" w:fill="FFFFFF"/>
        </w:rPr>
        <w:t>, </w:t>
      </w:r>
      <w:r>
        <w:rPr>
          <w:i/>
          <w:iCs/>
          <w:shd w:val="clear" w:color="auto" w:fill="FFFFFF"/>
        </w:rPr>
        <w:t>26</w:t>
      </w:r>
      <w:r>
        <w:rPr>
          <w:shd w:val="clear" w:color="auto" w:fill="FFFFFF"/>
        </w:rPr>
        <w:t>(5), pp.1097-1111.</w:t>
      </w:r>
    </w:p>
    <w:p w14:paraId="232E284E" w14:textId="77777777" w:rsidR="00261A6C" w:rsidRDefault="00261A6C" w:rsidP="00A6025E">
      <w:pPr>
        <w:rPr>
          <w:shd w:val="clear" w:color="auto" w:fill="FFFFFF"/>
        </w:rPr>
      </w:pPr>
      <w:proofErr w:type="spellStart"/>
      <w:r>
        <w:rPr>
          <w:shd w:val="clear" w:color="auto" w:fill="FFFFFF"/>
        </w:rPr>
        <w:t>Škrabić</w:t>
      </w:r>
      <w:proofErr w:type="spellEnd"/>
      <w:r>
        <w:rPr>
          <w:shd w:val="clear" w:color="auto" w:fill="FFFFFF"/>
        </w:rPr>
        <w:t xml:space="preserve"> </w:t>
      </w:r>
      <w:proofErr w:type="spellStart"/>
      <w:r>
        <w:rPr>
          <w:shd w:val="clear" w:color="auto" w:fill="FFFFFF"/>
        </w:rPr>
        <w:t>Perić</w:t>
      </w:r>
      <w:proofErr w:type="spellEnd"/>
      <w:r>
        <w:rPr>
          <w:shd w:val="clear" w:color="auto" w:fill="FFFFFF"/>
        </w:rPr>
        <w:t xml:space="preserve">, B., </w:t>
      </w:r>
      <w:proofErr w:type="spellStart"/>
      <w:r>
        <w:rPr>
          <w:shd w:val="clear" w:color="auto" w:fill="FFFFFF"/>
        </w:rPr>
        <w:t>Šimundić</w:t>
      </w:r>
      <w:proofErr w:type="spellEnd"/>
      <w:r>
        <w:rPr>
          <w:shd w:val="clear" w:color="auto" w:fill="FFFFFF"/>
        </w:rPr>
        <w:t xml:space="preserve">, B., </w:t>
      </w:r>
      <w:proofErr w:type="spellStart"/>
      <w:r>
        <w:rPr>
          <w:shd w:val="clear" w:color="auto" w:fill="FFFFFF"/>
        </w:rPr>
        <w:t>Muštra</w:t>
      </w:r>
      <w:proofErr w:type="spellEnd"/>
      <w:r>
        <w:rPr>
          <w:shd w:val="clear" w:color="auto" w:fill="FFFFFF"/>
        </w:rPr>
        <w:t xml:space="preserve">, V. and </w:t>
      </w:r>
      <w:proofErr w:type="spellStart"/>
      <w:r>
        <w:rPr>
          <w:shd w:val="clear" w:color="auto" w:fill="FFFFFF"/>
        </w:rPr>
        <w:t>Vugdelija</w:t>
      </w:r>
      <w:proofErr w:type="spellEnd"/>
      <w:r>
        <w:rPr>
          <w:shd w:val="clear" w:color="auto" w:fill="FFFFFF"/>
        </w:rPr>
        <w:t xml:space="preserve">, M., 2021. The role of </w:t>
      </w:r>
      <w:proofErr w:type="spellStart"/>
      <w:r>
        <w:rPr>
          <w:shd w:val="clear" w:color="auto" w:fill="FFFFFF"/>
        </w:rPr>
        <w:t>unesco</w:t>
      </w:r>
      <w:proofErr w:type="spellEnd"/>
      <w:r>
        <w:rPr>
          <w:shd w:val="clear" w:color="auto" w:fill="FFFFFF"/>
        </w:rPr>
        <w:t xml:space="preserve"> cultural heritage and cultural sector in tourism development: The case of EU countries. </w:t>
      </w:r>
      <w:r>
        <w:rPr>
          <w:i/>
          <w:iCs/>
          <w:shd w:val="clear" w:color="auto" w:fill="FFFFFF"/>
        </w:rPr>
        <w:t>Sustainability</w:t>
      </w:r>
      <w:r>
        <w:rPr>
          <w:shd w:val="clear" w:color="auto" w:fill="FFFFFF"/>
        </w:rPr>
        <w:t>, </w:t>
      </w:r>
      <w:r>
        <w:rPr>
          <w:i/>
          <w:iCs/>
          <w:shd w:val="clear" w:color="auto" w:fill="FFFFFF"/>
        </w:rPr>
        <w:t>13</w:t>
      </w:r>
      <w:r>
        <w:rPr>
          <w:shd w:val="clear" w:color="auto" w:fill="FFFFFF"/>
        </w:rPr>
        <w:t>(10), p.5473.</w:t>
      </w:r>
    </w:p>
    <w:p w14:paraId="3CCD0CB5" w14:textId="77777777" w:rsidR="00261A6C" w:rsidRDefault="00261A6C" w:rsidP="00A6025E">
      <w:pPr>
        <w:rPr>
          <w:shd w:val="clear" w:color="auto" w:fill="FFFFFF"/>
        </w:rPr>
      </w:pPr>
      <w:r>
        <w:rPr>
          <w:shd w:val="clear" w:color="auto" w:fill="FFFFFF"/>
        </w:rPr>
        <w:t>Smith, A., 2012. </w:t>
      </w:r>
      <w:r>
        <w:rPr>
          <w:i/>
          <w:iCs/>
          <w:shd w:val="clear" w:color="auto" w:fill="FFFFFF"/>
        </w:rPr>
        <w:t>Events and urban regeneration: The strategic use of events to revitalise cities</w:t>
      </w:r>
      <w:r>
        <w:rPr>
          <w:shd w:val="clear" w:color="auto" w:fill="FFFFFF"/>
        </w:rPr>
        <w:t>. Routledge.</w:t>
      </w:r>
    </w:p>
    <w:p w14:paraId="216D4376" w14:textId="77777777" w:rsidR="00261A6C" w:rsidRDefault="00261A6C" w:rsidP="00A6025E">
      <w:pPr>
        <w:rPr>
          <w:shd w:val="clear" w:color="auto" w:fill="FFFFFF"/>
        </w:rPr>
      </w:pPr>
      <w:r>
        <w:rPr>
          <w:shd w:val="clear" w:color="auto" w:fill="FFFFFF"/>
        </w:rPr>
        <w:t>Thomas, K. and Stephens, S., 2022. Understanding the Management Theory in Event Management: A Conceptual Framework. </w:t>
      </w:r>
      <w:r>
        <w:rPr>
          <w:i/>
          <w:iCs/>
          <w:shd w:val="clear" w:color="auto" w:fill="FFFFFF"/>
        </w:rPr>
        <w:t>Available at SSRN 4051469</w:t>
      </w:r>
      <w:r>
        <w:rPr>
          <w:shd w:val="clear" w:color="auto" w:fill="FFFFFF"/>
        </w:rPr>
        <w:t>.</w:t>
      </w:r>
    </w:p>
    <w:p w14:paraId="77C1D92F" w14:textId="77777777" w:rsidR="00261A6C" w:rsidRDefault="00261A6C" w:rsidP="00A6025E">
      <w:pPr>
        <w:rPr>
          <w:shd w:val="clear" w:color="auto" w:fill="FFFFFF"/>
        </w:rPr>
      </w:pPr>
      <w:r>
        <w:rPr>
          <w:shd w:val="clear" w:color="auto" w:fill="FFFFFF"/>
        </w:rPr>
        <w:t>Yamashita, S., 2025. Cultural tourism. In </w:t>
      </w:r>
      <w:proofErr w:type="spellStart"/>
      <w:r>
        <w:rPr>
          <w:i/>
          <w:iCs/>
          <w:shd w:val="clear" w:color="auto" w:fill="FFFFFF"/>
        </w:rPr>
        <w:t>Encyclopedia</w:t>
      </w:r>
      <w:proofErr w:type="spellEnd"/>
      <w:r>
        <w:rPr>
          <w:i/>
          <w:iCs/>
          <w:shd w:val="clear" w:color="auto" w:fill="FFFFFF"/>
        </w:rPr>
        <w:t xml:space="preserve"> of tourism</w:t>
      </w:r>
      <w:r>
        <w:rPr>
          <w:shd w:val="clear" w:color="auto" w:fill="FFFFFF"/>
        </w:rPr>
        <w:t> (pp. 236-238). Cham: Springer Nature Switzerland.</w:t>
      </w:r>
    </w:p>
    <w:p w14:paraId="0212EFBF" w14:textId="77777777" w:rsidR="002C6D8F" w:rsidRPr="002C6D8F" w:rsidRDefault="002C6D8F">
      <w:pPr>
        <w:rPr>
          <w:rFonts w:cs="Times New Roman"/>
        </w:rPr>
      </w:pPr>
    </w:p>
    <w:sectPr w:rsidR="002C6D8F" w:rsidRPr="002C6D8F" w:rsidSect="00902EE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25C9D" w14:textId="77777777" w:rsidR="005932BF" w:rsidRDefault="005932BF" w:rsidP="002C6D8F">
      <w:pPr>
        <w:spacing w:after="0" w:line="240" w:lineRule="auto"/>
      </w:pPr>
      <w:r>
        <w:separator/>
      </w:r>
    </w:p>
  </w:endnote>
  <w:endnote w:type="continuationSeparator" w:id="0">
    <w:p w14:paraId="5621B504" w14:textId="77777777" w:rsidR="005932BF" w:rsidRDefault="005932BF" w:rsidP="002C6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656849"/>
      <w:docPartObj>
        <w:docPartGallery w:val="Page Numbers (Bottom of Page)"/>
        <w:docPartUnique/>
      </w:docPartObj>
    </w:sdtPr>
    <w:sdtEndPr>
      <w:rPr>
        <w:noProof/>
      </w:rPr>
    </w:sdtEndPr>
    <w:sdtContent>
      <w:p w14:paraId="031ED1C1" w14:textId="47C04106" w:rsidR="002C6D8F" w:rsidRDefault="002C6D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23F62" w14:textId="77777777" w:rsidR="002C6D8F" w:rsidRDefault="002C6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E10BA" w14:textId="77777777" w:rsidR="005932BF" w:rsidRDefault="005932BF" w:rsidP="002C6D8F">
      <w:pPr>
        <w:spacing w:after="0" w:line="240" w:lineRule="auto"/>
      </w:pPr>
      <w:r>
        <w:separator/>
      </w:r>
    </w:p>
  </w:footnote>
  <w:footnote w:type="continuationSeparator" w:id="0">
    <w:p w14:paraId="3E14AA06" w14:textId="77777777" w:rsidR="005932BF" w:rsidRDefault="005932BF" w:rsidP="002C6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541A50"/>
    <w:multiLevelType w:val="multilevel"/>
    <w:tmpl w:val="60841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8D528D"/>
    <w:multiLevelType w:val="hybridMultilevel"/>
    <w:tmpl w:val="3E3C01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0CB7B3B"/>
    <w:multiLevelType w:val="hybridMultilevel"/>
    <w:tmpl w:val="B4825F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92242464">
    <w:abstractNumId w:val="0"/>
  </w:num>
  <w:num w:numId="2" w16cid:durableId="587692463">
    <w:abstractNumId w:val="1"/>
  </w:num>
  <w:num w:numId="3" w16cid:durableId="1079517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wMLe0MDczMzOwMDRU0lEKTi0uzszPAykwrwUA2uiTeywAAAA="/>
  </w:docVars>
  <w:rsids>
    <w:rsidRoot w:val="002C6D8F"/>
    <w:rsid w:val="00005E7E"/>
    <w:rsid w:val="0005747D"/>
    <w:rsid w:val="00064422"/>
    <w:rsid w:val="000756F0"/>
    <w:rsid w:val="000B23DF"/>
    <w:rsid w:val="000F0C48"/>
    <w:rsid w:val="00163DCC"/>
    <w:rsid w:val="001730A2"/>
    <w:rsid w:val="00182080"/>
    <w:rsid w:val="001E0482"/>
    <w:rsid w:val="001F566B"/>
    <w:rsid w:val="00227C29"/>
    <w:rsid w:val="00261A6C"/>
    <w:rsid w:val="002C6D8F"/>
    <w:rsid w:val="002F455F"/>
    <w:rsid w:val="002F7CB2"/>
    <w:rsid w:val="00374CCC"/>
    <w:rsid w:val="00385A9F"/>
    <w:rsid w:val="00391078"/>
    <w:rsid w:val="003C32C7"/>
    <w:rsid w:val="003D53E3"/>
    <w:rsid w:val="00412C7A"/>
    <w:rsid w:val="00424422"/>
    <w:rsid w:val="004C2410"/>
    <w:rsid w:val="005036C2"/>
    <w:rsid w:val="005520D4"/>
    <w:rsid w:val="00561BCC"/>
    <w:rsid w:val="00566C80"/>
    <w:rsid w:val="00591CFD"/>
    <w:rsid w:val="005932BF"/>
    <w:rsid w:val="005F2227"/>
    <w:rsid w:val="006039D5"/>
    <w:rsid w:val="006105BE"/>
    <w:rsid w:val="006126AB"/>
    <w:rsid w:val="00614E6E"/>
    <w:rsid w:val="00617D07"/>
    <w:rsid w:val="006400B6"/>
    <w:rsid w:val="00642B18"/>
    <w:rsid w:val="006A643A"/>
    <w:rsid w:val="006B107B"/>
    <w:rsid w:val="006C4012"/>
    <w:rsid w:val="006C6285"/>
    <w:rsid w:val="006E0060"/>
    <w:rsid w:val="00721BD2"/>
    <w:rsid w:val="00732789"/>
    <w:rsid w:val="00733851"/>
    <w:rsid w:val="00750DF0"/>
    <w:rsid w:val="00773F49"/>
    <w:rsid w:val="00781E2D"/>
    <w:rsid w:val="00784E60"/>
    <w:rsid w:val="00807996"/>
    <w:rsid w:val="0081262B"/>
    <w:rsid w:val="008206C0"/>
    <w:rsid w:val="00881624"/>
    <w:rsid w:val="008841A5"/>
    <w:rsid w:val="008A5609"/>
    <w:rsid w:val="008D6400"/>
    <w:rsid w:val="008F0B3C"/>
    <w:rsid w:val="00902EEB"/>
    <w:rsid w:val="00974B10"/>
    <w:rsid w:val="009A171C"/>
    <w:rsid w:val="009E6FF1"/>
    <w:rsid w:val="009F6787"/>
    <w:rsid w:val="00A6025E"/>
    <w:rsid w:val="00A75E6F"/>
    <w:rsid w:val="00A771E3"/>
    <w:rsid w:val="00A96336"/>
    <w:rsid w:val="00AB1648"/>
    <w:rsid w:val="00AD72F3"/>
    <w:rsid w:val="00B01F19"/>
    <w:rsid w:val="00B02EC1"/>
    <w:rsid w:val="00B449FB"/>
    <w:rsid w:val="00B632CA"/>
    <w:rsid w:val="00BE705C"/>
    <w:rsid w:val="00CC1153"/>
    <w:rsid w:val="00CE4387"/>
    <w:rsid w:val="00DB5492"/>
    <w:rsid w:val="00DF50B5"/>
    <w:rsid w:val="00E4319B"/>
    <w:rsid w:val="00E81361"/>
    <w:rsid w:val="00E8213D"/>
    <w:rsid w:val="00EC3B07"/>
    <w:rsid w:val="00F719BC"/>
    <w:rsid w:val="00F97E3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68DC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D0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C6D8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C6D8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A643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D8F"/>
  </w:style>
  <w:style w:type="paragraph" w:styleId="Footer">
    <w:name w:val="footer"/>
    <w:basedOn w:val="Normal"/>
    <w:link w:val="FooterChar"/>
    <w:uiPriority w:val="99"/>
    <w:unhideWhenUsed/>
    <w:rsid w:val="002C6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D8F"/>
  </w:style>
  <w:style w:type="character" w:customStyle="1" w:styleId="Heading1Char">
    <w:name w:val="Heading 1 Char"/>
    <w:basedOn w:val="DefaultParagraphFont"/>
    <w:link w:val="Heading1"/>
    <w:uiPriority w:val="9"/>
    <w:rsid w:val="002C6D8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C6D8F"/>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2C6D8F"/>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2C6D8F"/>
    <w:pPr>
      <w:spacing w:after="100"/>
    </w:pPr>
  </w:style>
  <w:style w:type="character" w:styleId="Hyperlink">
    <w:name w:val="Hyperlink"/>
    <w:basedOn w:val="DefaultParagraphFont"/>
    <w:uiPriority w:val="99"/>
    <w:unhideWhenUsed/>
    <w:rsid w:val="002C6D8F"/>
    <w:rPr>
      <w:color w:val="0563C1" w:themeColor="hyperlink"/>
      <w:u w:val="single"/>
    </w:rPr>
  </w:style>
  <w:style w:type="character" w:customStyle="1" w:styleId="Heading3Char">
    <w:name w:val="Heading 3 Char"/>
    <w:basedOn w:val="DefaultParagraphFont"/>
    <w:link w:val="Heading3"/>
    <w:uiPriority w:val="9"/>
    <w:semiHidden/>
    <w:rsid w:val="006A643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A643A"/>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6A643A"/>
    <w:rPr>
      <w:b/>
      <w:bCs/>
    </w:rPr>
  </w:style>
  <w:style w:type="paragraph" w:styleId="ListParagraph">
    <w:name w:val="List Paragraph"/>
    <w:basedOn w:val="Normal"/>
    <w:uiPriority w:val="34"/>
    <w:qFormat/>
    <w:rsid w:val="009E6FF1"/>
    <w:pPr>
      <w:ind w:left="720"/>
      <w:contextualSpacing/>
    </w:pPr>
  </w:style>
  <w:style w:type="paragraph" w:styleId="TOC2">
    <w:name w:val="toc 2"/>
    <w:basedOn w:val="Normal"/>
    <w:next w:val="Normal"/>
    <w:autoRedefine/>
    <w:uiPriority w:val="39"/>
    <w:unhideWhenUsed/>
    <w:rsid w:val="005F2227"/>
    <w:pPr>
      <w:spacing w:after="100"/>
      <w:ind w:left="240"/>
    </w:pPr>
  </w:style>
  <w:style w:type="paragraph" w:customStyle="1" w:styleId="TableParagraph">
    <w:name w:val="Table Paragraph"/>
    <w:basedOn w:val="Normal"/>
    <w:uiPriority w:val="1"/>
    <w:qFormat/>
    <w:rsid w:val="00614E6E"/>
    <w:pPr>
      <w:widowControl w:val="0"/>
      <w:autoSpaceDE w:val="0"/>
      <w:autoSpaceDN w:val="0"/>
      <w:spacing w:after="0" w:line="240" w:lineRule="auto"/>
      <w:jc w:val="left"/>
    </w:pPr>
    <w:rPr>
      <w:rFonts w:ascii="Calibri" w:eastAsia="Calibri" w:hAnsi="Calibri" w:cs="Calibri"/>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98453">
      <w:bodyDiv w:val="1"/>
      <w:marLeft w:val="0"/>
      <w:marRight w:val="0"/>
      <w:marTop w:val="0"/>
      <w:marBottom w:val="0"/>
      <w:divBdr>
        <w:top w:val="none" w:sz="0" w:space="0" w:color="auto"/>
        <w:left w:val="none" w:sz="0" w:space="0" w:color="auto"/>
        <w:bottom w:val="none" w:sz="0" w:space="0" w:color="auto"/>
        <w:right w:val="none" w:sz="0" w:space="0" w:color="auto"/>
      </w:divBdr>
    </w:div>
    <w:div w:id="428351894">
      <w:bodyDiv w:val="1"/>
      <w:marLeft w:val="0"/>
      <w:marRight w:val="0"/>
      <w:marTop w:val="0"/>
      <w:marBottom w:val="0"/>
      <w:divBdr>
        <w:top w:val="none" w:sz="0" w:space="0" w:color="auto"/>
        <w:left w:val="none" w:sz="0" w:space="0" w:color="auto"/>
        <w:bottom w:val="none" w:sz="0" w:space="0" w:color="auto"/>
        <w:right w:val="none" w:sz="0" w:space="0" w:color="auto"/>
      </w:divBdr>
    </w:div>
    <w:div w:id="1090851879">
      <w:bodyDiv w:val="1"/>
      <w:marLeft w:val="0"/>
      <w:marRight w:val="0"/>
      <w:marTop w:val="0"/>
      <w:marBottom w:val="0"/>
      <w:divBdr>
        <w:top w:val="none" w:sz="0" w:space="0" w:color="auto"/>
        <w:left w:val="none" w:sz="0" w:space="0" w:color="auto"/>
        <w:bottom w:val="none" w:sz="0" w:space="0" w:color="auto"/>
        <w:right w:val="none" w:sz="0" w:space="0" w:color="auto"/>
      </w:divBdr>
    </w:div>
    <w:div w:id="1218594098">
      <w:bodyDiv w:val="1"/>
      <w:marLeft w:val="0"/>
      <w:marRight w:val="0"/>
      <w:marTop w:val="0"/>
      <w:marBottom w:val="0"/>
      <w:divBdr>
        <w:top w:val="none" w:sz="0" w:space="0" w:color="auto"/>
        <w:left w:val="none" w:sz="0" w:space="0" w:color="auto"/>
        <w:bottom w:val="none" w:sz="0" w:space="0" w:color="auto"/>
        <w:right w:val="none" w:sz="0" w:space="0" w:color="auto"/>
      </w:divBdr>
    </w:div>
    <w:div w:id="1674141734">
      <w:bodyDiv w:val="1"/>
      <w:marLeft w:val="0"/>
      <w:marRight w:val="0"/>
      <w:marTop w:val="0"/>
      <w:marBottom w:val="0"/>
      <w:divBdr>
        <w:top w:val="none" w:sz="0" w:space="0" w:color="auto"/>
        <w:left w:val="none" w:sz="0" w:space="0" w:color="auto"/>
        <w:bottom w:val="none" w:sz="0" w:space="0" w:color="auto"/>
        <w:right w:val="none" w:sz="0" w:space="0" w:color="auto"/>
      </w:divBdr>
    </w:div>
    <w:div w:id="186366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3182</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2025-06-13T18:02:00Z</dcterms:created>
  <dcterms:modified xsi:type="dcterms:W3CDTF">2025-06-13T18:02:00Z</dcterms:modified>
</cp:coreProperties>
</file>