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606D04" w14:textId="0180CDD1" w:rsidR="00921A77" w:rsidRDefault="00921A77" w:rsidP="00921A77">
      <w:pPr>
        <w:pStyle w:val="AssignHeader"/>
      </w:pPr>
      <w:r>
        <w:t>Can Background Music Improve Pupil Concentration?</w:t>
      </w:r>
    </w:p>
    <w:p w14:paraId="3904CF1F" w14:textId="77777777" w:rsidR="00921A77" w:rsidRDefault="00921A77" w:rsidP="00921A77">
      <w:pPr>
        <w:pStyle w:val="AssignSubHeader"/>
      </w:pPr>
    </w:p>
    <w:p w14:paraId="088AB40D" w14:textId="77777777" w:rsidR="00921A77" w:rsidRDefault="00921A77" w:rsidP="00921A77">
      <w:pPr>
        <w:pStyle w:val="AssignBody"/>
      </w:pPr>
    </w:p>
    <w:p w14:paraId="4C2A1DC1" w14:textId="77777777" w:rsidR="00921A77" w:rsidRPr="00921A77" w:rsidRDefault="00921A77" w:rsidP="00921A77">
      <w:pPr>
        <w:pStyle w:val="AssignBody"/>
      </w:pPr>
    </w:p>
    <w:p w14:paraId="6582CF8C" w14:textId="77777777" w:rsidR="00921A77" w:rsidRDefault="00921A77" w:rsidP="00921A77">
      <w:pPr>
        <w:pStyle w:val="AssignBody"/>
      </w:pPr>
    </w:p>
    <w:tbl>
      <w:tblPr>
        <w:tblStyle w:val="TableGrid"/>
        <w:tblW w:w="0" w:type="auto"/>
        <w:tblLook w:val="04A0" w:firstRow="1" w:lastRow="0" w:firstColumn="1" w:lastColumn="0" w:noHBand="0" w:noVBand="1"/>
      </w:tblPr>
      <w:tblGrid>
        <w:gridCol w:w="1722"/>
        <w:gridCol w:w="3647"/>
        <w:gridCol w:w="3647"/>
      </w:tblGrid>
      <w:tr w:rsidR="00921A77" w14:paraId="780AEB27" w14:textId="77777777" w:rsidTr="00A43CC8">
        <w:tc>
          <w:tcPr>
            <w:tcW w:w="1722" w:type="dxa"/>
            <w:tcBorders>
              <w:top w:val="single" w:sz="4" w:space="0" w:color="auto"/>
              <w:left w:val="single" w:sz="4" w:space="0" w:color="auto"/>
              <w:bottom w:val="single" w:sz="4" w:space="0" w:color="auto"/>
              <w:right w:val="single" w:sz="4" w:space="0" w:color="auto"/>
            </w:tcBorders>
          </w:tcPr>
          <w:p w14:paraId="66612DAF" w14:textId="77777777" w:rsidR="00921A77" w:rsidRDefault="00921A77" w:rsidP="00A43CC8">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39228E22" w14:textId="00A6769E" w:rsidR="00921A77" w:rsidRDefault="00921A77" w:rsidP="00A43CC8">
            <w:pPr>
              <w:pStyle w:val="AssignBody"/>
            </w:pPr>
            <w:r>
              <w:t>Target</w:t>
            </w:r>
          </w:p>
        </w:tc>
        <w:tc>
          <w:tcPr>
            <w:tcW w:w="3647" w:type="dxa"/>
            <w:tcBorders>
              <w:top w:val="single" w:sz="4" w:space="0" w:color="auto"/>
              <w:left w:val="single" w:sz="4" w:space="0" w:color="auto"/>
              <w:bottom w:val="single" w:sz="4" w:space="0" w:color="auto"/>
              <w:right w:val="single" w:sz="4" w:space="0" w:color="auto"/>
            </w:tcBorders>
          </w:tcPr>
          <w:p w14:paraId="68C210E6" w14:textId="77777777" w:rsidR="00921A77" w:rsidRDefault="00921A77" w:rsidP="00A43CC8">
            <w:pPr>
              <w:pStyle w:val="NormalWeb"/>
              <w:spacing w:before="0" w:beforeAutospacing="0" w:after="0" w:afterAutospacing="0"/>
              <w:rPr>
                <w:rFonts w:ascii="Arial" w:hAnsi="Arial" w:cs="Arial"/>
                <w:color w:val="222222"/>
                <w:sz w:val="22"/>
                <w:szCs w:val="22"/>
                <w:lang w:val="en-US" w:eastAsia="en-US"/>
              </w:rPr>
            </w:pPr>
          </w:p>
          <w:p w14:paraId="780F24FD" w14:textId="77777777" w:rsidR="00921A77" w:rsidRPr="00755E37" w:rsidRDefault="00921A77" w:rsidP="00A43CC8">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921A77" w14:paraId="7F95A14F" w14:textId="77777777" w:rsidTr="00A43CC8">
        <w:tc>
          <w:tcPr>
            <w:tcW w:w="1722" w:type="dxa"/>
            <w:tcBorders>
              <w:top w:val="single" w:sz="4" w:space="0" w:color="auto"/>
              <w:left w:val="single" w:sz="4" w:space="0" w:color="auto"/>
              <w:bottom w:val="single" w:sz="4" w:space="0" w:color="auto"/>
              <w:right w:val="single" w:sz="4" w:space="0" w:color="auto"/>
            </w:tcBorders>
            <w:hideMark/>
          </w:tcPr>
          <w:p w14:paraId="55EC3113" w14:textId="2F7169BE" w:rsidR="00921A77" w:rsidRDefault="00921A77" w:rsidP="00A43CC8">
            <w:pPr>
              <w:pStyle w:val="AssignBody"/>
            </w:pPr>
            <w:bookmarkStart w:id="0" w:name="cysill"/>
            <w:bookmarkEnd w:id="0"/>
            <w:r>
              <w:t>Target 1</w:t>
            </w:r>
          </w:p>
        </w:tc>
        <w:tc>
          <w:tcPr>
            <w:tcW w:w="3647" w:type="dxa"/>
            <w:tcBorders>
              <w:top w:val="single" w:sz="4" w:space="0" w:color="auto"/>
              <w:left w:val="single" w:sz="4" w:space="0" w:color="auto"/>
              <w:bottom w:val="single" w:sz="4" w:space="0" w:color="auto"/>
              <w:right w:val="single" w:sz="4" w:space="0" w:color="auto"/>
            </w:tcBorders>
          </w:tcPr>
          <w:p w14:paraId="6123941F" w14:textId="77777777" w:rsidR="00921A77" w:rsidRPr="00E77ABA" w:rsidRDefault="00921A77" w:rsidP="00A43CC8">
            <w:pPr>
              <w:pStyle w:val="AssignBody"/>
            </w:pPr>
            <w:r w:rsidRPr="00E77ABA">
              <w:rPr>
                <w:rFonts w:ascii="Helvetica" w:hAnsi="Helvetica" w:cs="Helvetica"/>
                <w:sz w:val="21"/>
                <w:szCs w:val="21"/>
                <w:shd w:val="clear" w:color="auto" w:fill="FFFFFF"/>
              </w:rPr>
              <w:t>Engage with recommended literature and ensure you are aware of the relevance of the researchers you refer to</w:t>
            </w:r>
          </w:p>
        </w:tc>
        <w:tc>
          <w:tcPr>
            <w:tcW w:w="3647" w:type="dxa"/>
            <w:tcBorders>
              <w:top w:val="single" w:sz="4" w:space="0" w:color="auto"/>
              <w:left w:val="single" w:sz="4" w:space="0" w:color="auto"/>
              <w:bottom w:val="single" w:sz="4" w:space="0" w:color="auto"/>
              <w:right w:val="single" w:sz="4" w:space="0" w:color="auto"/>
            </w:tcBorders>
          </w:tcPr>
          <w:p w14:paraId="2CF64A85" w14:textId="77777777" w:rsidR="00921A77" w:rsidRDefault="00921A77" w:rsidP="00A43CC8">
            <w:pPr>
              <w:pStyle w:val="AssignBody"/>
            </w:pPr>
            <w:r>
              <w:t xml:space="preserve">Engaged with a wide variety of literature, and worked at using literature to critique other authors. </w:t>
            </w:r>
          </w:p>
        </w:tc>
      </w:tr>
      <w:tr w:rsidR="00921A77" w14:paraId="0BD70BD1" w14:textId="77777777" w:rsidTr="00A43CC8">
        <w:tc>
          <w:tcPr>
            <w:tcW w:w="1722" w:type="dxa"/>
            <w:tcBorders>
              <w:top w:val="single" w:sz="4" w:space="0" w:color="auto"/>
              <w:left w:val="single" w:sz="4" w:space="0" w:color="auto"/>
              <w:bottom w:val="single" w:sz="4" w:space="0" w:color="auto"/>
              <w:right w:val="single" w:sz="4" w:space="0" w:color="auto"/>
            </w:tcBorders>
            <w:hideMark/>
          </w:tcPr>
          <w:p w14:paraId="2A5A6177" w14:textId="34742805" w:rsidR="00921A77" w:rsidRDefault="00921A77" w:rsidP="00A43CC8">
            <w:pPr>
              <w:pStyle w:val="AssignBody"/>
            </w:pPr>
            <w:r>
              <w:t>Target 2</w:t>
            </w:r>
          </w:p>
        </w:tc>
        <w:tc>
          <w:tcPr>
            <w:tcW w:w="3647" w:type="dxa"/>
            <w:tcBorders>
              <w:top w:val="single" w:sz="4" w:space="0" w:color="auto"/>
              <w:left w:val="single" w:sz="4" w:space="0" w:color="auto"/>
              <w:bottom w:val="single" w:sz="4" w:space="0" w:color="auto"/>
              <w:right w:val="single" w:sz="4" w:space="0" w:color="auto"/>
            </w:tcBorders>
          </w:tcPr>
          <w:p w14:paraId="6859DF2E" w14:textId="77777777" w:rsidR="00921A77" w:rsidRPr="00E77ABA" w:rsidRDefault="00921A77" w:rsidP="00A43CC8">
            <w:pPr>
              <w:pStyle w:val="AssignBody"/>
            </w:pPr>
            <w:r w:rsidRPr="00E77ABA">
              <w:rPr>
                <w:rFonts w:ascii="Helvetica" w:hAnsi="Helvetica" w:cs="Helvetica"/>
                <w:sz w:val="21"/>
                <w:szCs w:val="21"/>
                <w:shd w:val="clear" w:color="auto" w:fill="FFFFFF"/>
              </w:rPr>
              <w:t>Increase your understanding and knowledge of the key concepts being discussed in the assignment.</w:t>
            </w:r>
          </w:p>
        </w:tc>
        <w:tc>
          <w:tcPr>
            <w:tcW w:w="3647" w:type="dxa"/>
            <w:tcBorders>
              <w:top w:val="single" w:sz="4" w:space="0" w:color="auto"/>
              <w:left w:val="single" w:sz="4" w:space="0" w:color="auto"/>
              <w:bottom w:val="single" w:sz="4" w:space="0" w:color="auto"/>
              <w:right w:val="single" w:sz="4" w:space="0" w:color="auto"/>
            </w:tcBorders>
          </w:tcPr>
          <w:p w14:paraId="5AD3D674" w14:textId="77777777" w:rsidR="00921A77" w:rsidRDefault="00921A77" w:rsidP="00A43CC8">
            <w:pPr>
              <w:pStyle w:val="AssignBody"/>
            </w:pPr>
            <w:r>
              <w:t xml:space="preserve">Through thorough research into the field. </w:t>
            </w:r>
          </w:p>
        </w:tc>
      </w:tr>
      <w:tr w:rsidR="00921A77" w14:paraId="37D29B70" w14:textId="77777777" w:rsidTr="00A43CC8">
        <w:tc>
          <w:tcPr>
            <w:tcW w:w="1722" w:type="dxa"/>
            <w:tcBorders>
              <w:top w:val="single" w:sz="4" w:space="0" w:color="auto"/>
              <w:left w:val="single" w:sz="4" w:space="0" w:color="auto"/>
              <w:bottom w:val="single" w:sz="4" w:space="0" w:color="auto"/>
              <w:right w:val="single" w:sz="4" w:space="0" w:color="auto"/>
            </w:tcBorders>
            <w:hideMark/>
          </w:tcPr>
          <w:p w14:paraId="53ED0513" w14:textId="3472F3EE" w:rsidR="00921A77" w:rsidRDefault="00921A77" w:rsidP="00A43CC8">
            <w:pPr>
              <w:pStyle w:val="AssignBody"/>
            </w:pPr>
            <w:r>
              <w:t>Target 3</w:t>
            </w:r>
          </w:p>
        </w:tc>
        <w:tc>
          <w:tcPr>
            <w:tcW w:w="3647" w:type="dxa"/>
            <w:tcBorders>
              <w:top w:val="single" w:sz="4" w:space="0" w:color="auto"/>
              <w:left w:val="single" w:sz="4" w:space="0" w:color="auto"/>
              <w:bottom w:val="single" w:sz="4" w:space="0" w:color="auto"/>
              <w:right w:val="single" w:sz="4" w:space="0" w:color="auto"/>
            </w:tcBorders>
          </w:tcPr>
          <w:p w14:paraId="46E893ED" w14:textId="77777777" w:rsidR="00921A77" w:rsidRDefault="00921A77" w:rsidP="00A43CC8">
            <w:pPr>
              <w:pStyle w:val="AssignBody"/>
            </w:pPr>
            <w:r w:rsidRPr="00E77ABA">
              <w:rPr>
                <w:rFonts w:ascii="Helvetica" w:hAnsi="Helvetica" w:cs="Helvetica"/>
                <w:sz w:val="21"/>
                <w:szCs w:val="21"/>
                <w:shd w:val="clear" w:color="auto" w:fill="FFFFFF"/>
              </w:rPr>
              <w:t>Develop a critical approach to your writing by considering literature and forming your own judgements.</w:t>
            </w:r>
          </w:p>
        </w:tc>
        <w:tc>
          <w:tcPr>
            <w:tcW w:w="3647" w:type="dxa"/>
            <w:tcBorders>
              <w:top w:val="single" w:sz="4" w:space="0" w:color="auto"/>
              <w:left w:val="single" w:sz="4" w:space="0" w:color="auto"/>
              <w:bottom w:val="single" w:sz="4" w:space="0" w:color="auto"/>
              <w:right w:val="single" w:sz="4" w:space="0" w:color="auto"/>
            </w:tcBorders>
          </w:tcPr>
          <w:p w14:paraId="637FC5C2" w14:textId="77777777" w:rsidR="00921A77" w:rsidRDefault="00921A77" w:rsidP="00A43CC8">
            <w:pPr>
              <w:pStyle w:val="AssignBody"/>
            </w:pPr>
            <w:r>
              <w:t>Tried to ensure that I am not just using the literature to make points, but using it to inform my own opinion.</w:t>
            </w:r>
          </w:p>
        </w:tc>
      </w:tr>
    </w:tbl>
    <w:p w14:paraId="25A1EA1C" w14:textId="77777777" w:rsidR="00921A77" w:rsidRDefault="00921A77" w:rsidP="00921A77">
      <w:pPr>
        <w:pStyle w:val="AssignBody"/>
      </w:pPr>
    </w:p>
    <w:p w14:paraId="4F9F0684" w14:textId="77777777" w:rsidR="00921A77" w:rsidRDefault="00921A77" w:rsidP="00921A77">
      <w:pPr>
        <w:pStyle w:val="AssignBody"/>
      </w:pPr>
    </w:p>
    <w:p w14:paraId="22C9E7B2" w14:textId="77777777" w:rsidR="00921A77" w:rsidRDefault="00921A77" w:rsidP="00921A77">
      <w:pPr>
        <w:pStyle w:val="AssignBody"/>
      </w:pPr>
    </w:p>
    <w:p w14:paraId="27E3FC85" w14:textId="77777777" w:rsidR="00921A77" w:rsidRDefault="00921A77" w:rsidP="00921A77">
      <w:pPr>
        <w:pStyle w:val="AssignBody"/>
      </w:pPr>
    </w:p>
    <w:p w14:paraId="705B39EE" w14:textId="77777777" w:rsidR="00921A77" w:rsidRDefault="00921A77" w:rsidP="00921A77">
      <w:pPr>
        <w:pStyle w:val="AssignBody"/>
      </w:pPr>
    </w:p>
    <w:p w14:paraId="76CA4177" w14:textId="77777777" w:rsidR="00921A77" w:rsidRDefault="00921A77" w:rsidP="00921A77">
      <w:pPr>
        <w:pStyle w:val="AssignBody"/>
      </w:pPr>
    </w:p>
    <w:p w14:paraId="483E628C" w14:textId="77777777" w:rsidR="00921A77" w:rsidRDefault="00921A77" w:rsidP="00921A77">
      <w:pPr>
        <w:pStyle w:val="AssignBody"/>
      </w:pPr>
    </w:p>
    <w:p w14:paraId="1C57797E" w14:textId="77777777" w:rsidR="00921A77" w:rsidRDefault="00921A77" w:rsidP="00921A77">
      <w:pPr>
        <w:pStyle w:val="AssignBody"/>
      </w:pPr>
    </w:p>
    <w:p w14:paraId="62DC8813" w14:textId="77777777" w:rsidR="00921A77" w:rsidRDefault="00921A77" w:rsidP="00921A77">
      <w:pPr>
        <w:pStyle w:val="AssignBody"/>
      </w:pPr>
    </w:p>
    <w:p w14:paraId="415D2EAC" w14:textId="77777777" w:rsidR="00921A77" w:rsidRDefault="00921A77" w:rsidP="00921A77">
      <w:pPr>
        <w:pStyle w:val="AssignBody"/>
      </w:pPr>
    </w:p>
    <w:p w14:paraId="2ED45A4C" w14:textId="77777777" w:rsidR="00921A77" w:rsidRDefault="00921A77" w:rsidP="00921A77">
      <w:pPr>
        <w:pStyle w:val="AssignBody"/>
      </w:pPr>
    </w:p>
    <w:p w14:paraId="36CA672A" w14:textId="77777777" w:rsidR="00921A77" w:rsidRPr="00755E37" w:rsidRDefault="00921A77" w:rsidP="00921A77">
      <w:pPr>
        <w:pStyle w:val="AssignBody"/>
      </w:pPr>
    </w:p>
    <w:p w14:paraId="17108ECD" w14:textId="4D46958C" w:rsidR="000744FD" w:rsidRDefault="00921A77" w:rsidP="000744FD">
      <w:pPr>
        <w:jc w:val="center"/>
        <w:rPr>
          <w:sz w:val="24"/>
          <w:szCs w:val="24"/>
        </w:rPr>
      </w:pPr>
      <w:r>
        <w:rPr>
          <w:sz w:val="24"/>
          <w:szCs w:val="24"/>
        </w:rPr>
        <w:t>Word count: 5016</w:t>
      </w:r>
    </w:p>
    <w:p w14:paraId="4795B9CB" w14:textId="55D6C04F" w:rsidR="00F86F33" w:rsidRDefault="00F86F33" w:rsidP="000744FD">
      <w:pPr>
        <w:jc w:val="center"/>
        <w:rPr>
          <w:sz w:val="24"/>
          <w:szCs w:val="24"/>
        </w:rPr>
      </w:pPr>
      <w:r>
        <w:rPr>
          <w:sz w:val="24"/>
          <w:szCs w:val="24"/>
        </w:rPr>
        <w:t>Student number: 1400949</w:t>
      </w:r>
    </w:p>
    <w:p w14:paraId="4F948C7B" w14:textId="77777777" w:rsidR="00921A77" w:rsidRDefault="00921A77" w:rsidP="000744FD">
      <w:pPr>
        <w:jc w:val="center"/>
        <w:rPr>
          <w:sz w:val="24"/>
          <w:szCs w:val="24"/>
        </w:rPr>
      </w:pPr>
    </w:p>
    <w:p w14:paraId="06C45673" w14:textId="77777777" w:rsidR="00921A77" w:rsidRDefault="00921A77" w:rsidP="00921A77">
      <w:pPr>
        <w:spacing w:line="360" w:lineRule="auto"/>
        <w:rPr>
          <w:sz w:val="24"/>
          <w:szCs w:val="24"/>
        </w:rPr>
      </w:pPr>
    </w:p>
    <w:p w14:paraId="3F2EC2C6" w14:textId="0990E854" w:rsidR="000744FD" w:rsidRPr="00921A77" w:rsidRDefault="00921A77" w:rsidP="00921A77">
      <w:pPr>
        <w:spacing w:line="360" w:lineRule="auto"/>
        <w:rPr>
          <w:rFonts w:ascii="Arial" w:hAnsi="Arial" w:cs="Arial"/>
          <w:b/>
          <w:i/>
          <w:sz w:val="28"/>
        </w:rPr>
      </w:pPr>
      <w:r w:rsidRPr="00921A77">
        <w:rPr>
          <w:rFonts w:ascii="Arial" w:hAnsi="Arial" w:cs="Arial"/>
          <w:b/>
          <w:i/>
          <w:sz w:val="28"/>
        </w:rPr>
        <w:t>Purpose of the Research</w:t>
      </w:r>
    </w:p>
    <w:p w14:paraId="17CFE9A3" w14:textId="0EF523C5" w:rsidR="30928B0A" w:rsidRPr="00921A77" w:rsidRDefault="35ED2C67" w:rsidP="00921A77">
      <w:pPr>
        <w:spacing w:line="360" w:lineRule="auto"/>
        <w:rPr>
          <w:rFonts w:ascii="Arial" w:hAnsi="Arial" w:cs="Arial"/>
        </w:rPr>
      </w:pPr>
      <w:r w:rsidRPr="00921A77">
        <w:rPr>
          <w:rFonts w:ascii="Arial" w:hAnsi="Arial" w:cs="Arial"/>
        </w:rPr>
        <w:t xml:space="preserve">The issue that interested me was the use of background music in the classroom in order to aid concentration and focus. Within my placement school I had noticed that the year 5/6 teacher often used background music when students were completing a task. From my observations of that class I had noted that the students did seem to be more focused on their learning when there was background music than my own class were during similar activities. However, I was aware that until I used it myself and trialled it in my own classroom it would be impossible to say whether that was the general behaviour of the class itself or the presence of the music. </w:t>
      </w:r>
    </w:p>
    <w:p w14:paraId="605A42BB" w14:textId="60E43895" w:rsidR="00921A77" w:rsidRPr="00921A77" w:rsidRDefault="00921A77" w:rsidP="00921A77">
      <w:pPr>
        <w:spacing w:line="360" w:lineRule="auto"/>
        <w:rPr>
          <w:rFonts w:ascii="Arial" w:hAnsi="Arial" w:cs="Arial"/>
          <w:sz w:val="28"/>
        </w:rPr>
      </w:pPr>
      <w:r w:rsidRPr="00921A77">
        <w:rPr>
          <w:rFonts w:ascii="Arial" w:hAnsi="Arial" w:cs="Arial"/>
          <w:b/>
          <w:i/>
          <w:sz w:val="28"/>
        </w:rPr>
        <w:t>Research Context</w:t>
      </w:r>
    </w:p>
    <w:p w14:paraId="50A68D8E" w14:textId="66FD10E1" w:rsidR="30928B0A" w:rsidRPr="00921A77" w:rsidRDefault="35ED2C67" w:rsidP="00921A77">
      <w:pPr>
        <w:spacing w:line="360" w:lineRule="auto"/>
        <w:rPr>
          <w:rFonts w:ascii="Arial" w:hAnsi="Arial" w:cs="Arial"/>
        </w:rPr>
      </w:pPr>
      <w:r w:rsidRPr="00921A77">
        <w:rPr>
          <w:rFonts w:ascii="Arial" w:hAnsi="Arial" w:cs="Arial"/>
        </w:rPr>
        <w:t xml:space="preserve">Having found an area that interested me and could potentially have a positive impact on my class, I discussed this subject with my research partner. We formulated our research question ‘Can background music improve pupil concentration?’ together. We then decided that since we are spread across two mixed year group classes ranging from year 2 to year 5, it would be best to try and keep the lesson as simple as possible. The year 2/3 class was made up of nine year 2s and nineteen year 3s, while the year 4/5 class consisted of 20 year 5 children and six year 4s. We were also aware of the need for the study to be a fair test, so the simplicity of the lesson would allow us to keep the lessons as similar as possible. We decided to have the children complete a 10-minute free-writing session, using the same introductory resource. </w:t>
      </w:r>
    </w:p>
    <w:p w14:paraId="172D815C" w14:textId="5768DB8A" w:rsidR="00921A77" w:rsidRPr="00921A77" w:rsidRDefault="00921A77" w:rsidP="00921A77">
      <w:pPr>
        <w:spacing w:line="360" w:lineRule="auto"/>
        <w:rPr>
          <w:rFonts w:ascii="Arial" w:hAnsi="Arial" w:cs="Arial"/>
          <w:sz w:val="28"/>
        </w:rPr>
      </w:pPr>
      <w:r w:rsidRPr="00921A77">
        <w:rPr>
          <w:rFonts w:ascii="Arial" w:hAnsi="Arial" w:cs="Arial"/>
          <w:b/>
          <w:i/>
          <w:sz w:val="28"/>
        </w:rPr>
        <w:t>Literature Review</w:t>
      </w:r>
    </w:p>
    <w:p w14:paraId="4D2396EF" w14:textId="1E1EF963" w:rsidR="3C4E79F9" w:rsidRPr="00921A77" w:rsidRDefault="35ED2C67" w:rsidP="00921A77">
      <w:pPr>
        <w:spacing w:line="360" w:lineRule="auto"/>
        <w:rPr>
          <w:rFonts w:ascii="Arial" w:hAnsi="Arial" w:cs="Arial"/>
        </w:rPr>
      </w:pPr>
      <w:r w:rsidRPr="00921A77">
        <w:rPr>
          <w:rFonts w:ascii="Arial" w:hAnsi="Arial" w:cs="Arial"/>
        </w:rPr>
        <w:t xml:space="preserve">The decision to focus in on background music for this action research was followed by further reading into its use and efficacy within the classroom. Before discussing the effects of background music on student concentration, it is vital that we define what ‘background music’ is. According to the Collins Dictionary, background music is any music that is not intended to be the focus, but instead played during another activity. This is the definition by which I shall be referring to when discussing background music within this assignment. When first looking at the literature surrounding background music, I found that a study conducted by </w:t>
      </w:r>
      <w:proofErr w:type="spellStart"/>
      <w:r w:rsidRPr="00921A77">
        <w:rPr>
          <w:rFonts w:ascii="Arial" w:hAnsi="Arial" w:cs="Arial"/>
        </w:rPr>
        <w:t>Fogelson</w:t>
      </w:r>
      <w:proofErr w:type="spellEnd"/>
      <w:r w:rsidRPr="00921A77">
        <w:rPr>
          <w:rFonts w:ascii="Arial" w:hAnsi="Arial" w:cs="Arial"/>
        </w:rPr>
        <w:t xml:space="preserve"> (1973), concluded that the music played during the children’s reading time had had an adverse effect on the participants performance. However, it is not stated what kind of music was played, or the volume at which it was played, which can have a huge effect on the atmosphere in the classroom. The idea that the effect background </w:t>
      </w:r>
      <w:r w:rsidRPr="00921A77">
        <w:rPr>
          <w:rFonts w:ascii="Arial" w:hAnsi="Arial" w:cs="Arial"/>
        </w:rPr>
        <w:lastRenderedPageBreak/>
        <w:t xml:space="preserve">music has on a student's performance can be dependent on the type of music, this view was discussed by </w:t>
      </w:r>
      <w:proofErr w:type="spellStart"/>
      <w:r w:rsidRPr="00921A77">
        <w:rPr>
          <w:rFonts w:ascii="Arial" w:hAnsi="Arial" w:cs="Arial"/>
        </w:rPr>
        <w:t>Savan</w:t>
      </w:r>
      <w:proofErr w:type="spellEnd"/>
      <w:r w:rsidRPr="00921A77">
        <w:rPr>
          <w:rFonts w:ascii="Arial" w:hAnsi="Arial" w:cs="Arial"/>
        </w:rPr>
        <w:t xml:space="preserve"> (2003). </w:t>
      </w:r>
      <w:proofErr w:type="spellStart"/>
      <w:r w:rsidRPr="00921A77">
        <w:rPr>
          <w:rFonts w:ascii="Arial" w:hAnsi="Arial" w:cs="Arial"/>
        </w:rPr>
        <w:t>Savan</w:t>
      </w:r>
      <w:proofErr w:type="spellEnd"/>
      <w:r w:rsidRPr="00921A77">
        <w:rPr>
          <w:rFonts w:ascii="Arial" w:hAnsi="Arial" w:cs="Arial"/>
        </w:rPr>
        <w:t xml:space="preserve"> (2003) found from her study, that music could increase positive behaviour within class and looked at the difference that dynamics and frequency could have on the results. The study showed that high frequency and high dynamic music is best to be avoided in order to gain the desired result. This research helped us to determine which kind of music would be best avoided in order to aid the student's concentration. However, while it narrows down the options it does not specifically say what style of music is most efficient at improving </w:t>
      </w:r>
      <w:proofErr w:type="gramStart"/>
      <w:r w:rsidRPr="00921A77">
        <w:rPr>
          <w:rFonts w:ascii="Arial" w:hAnsi="Arial" w:cs="Arial"/>
        </w:rPr>
        <w:t>participants</w:t>
      </w:r>
      <w:proofErr w:type="gramEnd"/>
      <w:r w:rsidRPr="00921A77">
        <w:rPr>
          <w:rFonts w:ascii="Arial" w:hAnsi="Arial" w:cs="Arial"/>
        </w:rPr>
        <w:t xml:space="preserve"> performance. The research conducted by Shih, Huang and Chiang (2012) on 102 participants also helps to narrow down the style of music for our study. Their 2012 study showed that background music should never contain lyrics as this will have a negative effect on concentration. This was backed up by </w:t>
      </w:r>
      <w:proofErr w:type="spellStart"/>
      <w:r w:rsidRPr="00921A77">
        <w:rPr>
          <w:rFonts w:ascii="Arial" w:hAnsi="Arial" w:cs="Arial"/>
        </w:rPr>
        <w:t>Koolidge</w:t>
      </w:r>
      <w:proofErr w:type="spellEnd"/>
      <w:r w:rsidRPr="00921A77">
        <w:rPr>
          <w:rFonts w:ascii="Arial" w:hAnsi="Arial" w:cs="Arial"/>
        </w:rPr>
        <w:t xml:space="preserve"> and Holmes’ (2018) study into the effect background music can have on cognitive performance. They found that music without lyrics had a positive effect on the time it took students to complete a cognition test. However, it is important to point out that while this test showed results that draw alongside those of Shih, Huang and Chiang (2012), Bloor (2009) and </w:t>
      </w:r>
      <w:proofErr w:type="spellStart"/>
      <w:r w:rsidRPr="00921A77">
        <w:rPr>
          <w:rFonts w:ascii="Arial" w:hAnsi="Arial" w:cs="Arial"/>
        </w:rPr>
        <w:t>Savan</w:t>
      </w:r>
      <w:proofErr w:type="spellEnd"/>
      <w:r w:rsidRPr="00921A77">
        <w:rPr>
          <w:rFonts w:ascii="Arial" w:hAnsi="Arial" w:cs="Arial"/>
        </w:rPr>
        <w:t xml:space="preserve"> (2003), the researchers found that their measure of cognitive performance was floored as the students were able to complete the task after the allotted time.</w:t>
      </w:r>
    </w:p>
    <w:p w14:paraId="62A0FB6D" w14:textId="1F754333" w:rsidR="3C4E79F9" w:rsidRPr="00921A77" w:rsidRDefault="35ED2C67" w:rsidP="00921A77">
      <w:pPr>
        <w:spacing w:line="360" w:lineRule="auto"/>
        <w:rPr>
          <w:rFonts w:ascii="Arial" w:eastAsia="Calibri" w:hAnsi="Arial" w:cs="Arial"/>
        </w:rPr>
      </w:pPr>
      <w:r w:rsidRPr="00921A77">
        <w:rPr>
          <w:rFonts w:ascii="Arial" w:hAnsi="Arial" w:cs="Arial"/>
        </w:rPr>
        <w:t xml:space="preserve"> Bloor (2009) conducted a study to determine whether background music can have a positive effect on students’ attainment, through playing baroque music during a test. The study’s results showed that the students who had been exposed to the baroque music throughout the course scored significantly higher than those who had no background music, which potentially narrows down the style of music for our lesson study quite narrowly. This use of baroque music relates to the study by </w:t>
      </w:r>
      <w:proofErr w:type="spellStart"/>
      <w:r w:rsidRPr="00921A77">
        <w:rPr>
          <w:rFonts w:ascii="Arial" w:hAnsi="Arial" w:cs="Arial"/>
        </w:rPr>
        <w:t>Ruvinshteyn</w:t>
      </w:r>
      <w:proofErr w:type="spellEnd"/>
      <w:r w:rsidRPr="00921A77">
        <w:rPr>
          <w:rFonts w:ascii="Arial" w:hAnsi="Arial" w:cs="Arial"/>
        </w:rPr>
        <w:t xml:space="preserve"> and </w:t>
      </w:r>
      <w:proofErr w:type="spellStart"/>
      <w:r w:rsidRPr="00921A77">
        <w:rPr>
          <w:rFonts w:ascii="Arial" w:hAnsi="Arial" w:cs="Arial"/>
        </w:rPr>
        <w:t>Parrino</w:t>
      </w:r>
      <w:proofErr w:type="spellEnd"/>
      <w:r w:rsidRPr="00921A77">
        <w:rPr>
          <w:rFonts w:ascii="Arial" w:hAnsi="Arial" w:cs="Arial"/>
        </w:rPr>
        <w:t xml:space="preserve"> (2006) who showed that baroque music had a positive effect on not only the student’s attitudes towards the subject but also on their levels of cooperation within the lesson. Based on these studies and the positive results that they presented, baroque music seemed to be effective at creating the desired attitude. However, Bloor (2009) also stated that Mozart’s sonata for two pianos K.488 was shown to improve student’s attainment within a standardised test by several points.  These results confirmed those found by </w:t>
      </w:r>
      <w:proofErr w:type="spellStart"/>
      <w:r w:rsidRPr="00921A77">
        <w:rPr>
          <w:rFonts w:ascii="Arial" w:hAnsi="Arial" w:cs="Arial"/>
        </w:rPr>
        <w:t>Savan</w:t>
      </w:r>
      <w:proofErr w:type="spellEnd"/>
      <w:r w:rsidRPr="00921A77">
        <w:rPr>
          <w:rFonts w:ascii="Arial" w:hAnsi="Arial" w:cs="Arial"/>
        </w:rPr>
        <w:t xml:space="preserve"> (2003), as previously discussed, as these styles of music are low frequency and low dynamic. This trend suggests that low frequency and low dynamic baroque music should have the best chance for positive effects on pupil concentration as it seems to have had positive effects on cognitive performance within the aforementioned literature. Although, the research results from Perham and </w:t>
      </w:r>
      <w:proofErr w:type="spellStart"/>
      <w:r w:rsidRPr="00921A77">
        <w:rPr>
          <w:rFonts w:ascii="Arial" w:hAnsi="Arial" w:cs="Arial"/>
        </w:rPr>
        <w:t>Withey</w:t>
      </w:r>
      <w:proofErr w:type="spellEnd"/>
      <w:r w:rsidRPr="00921A77">
        <w:rPr>
          <w:rFonts w:ascii="Arial" w:hAnsi="Arial" w:cs="Arial"/>
        </w:rPr>
        <w:t xml:space="preserve"> (2012) suggest that music that the participants are familiar with will have a positive effect on their cognitive performance, which in turn should aid concentration. Their study, comparing the efficacy of familiar and unfamiliar music on university students showed a clear correlation </w:t>
      </w:r>
      <w:r w:rsidRPr="00921A77">
        <w:rPr>
          <w:rFonts w:ascii="Arial" w:hAnsi="Arial" w:cs="Arial"/>
        </w:rPr>
        <w:lastRenderedPageBreak/>
        <w:t xml:space="preserve">between the likeability of the music and the student's cognitive performance. An argument against using this study as the basis for our music selection would be that Perham and </w:t>
      </w:r>
      <w:proofErr w:type="spellStart"/>
      <w:r w:rsidRPr="00921A77">
        <w:rPr>
          <w:rFonts w:ascii="Arial" w:hAnsi="Arial" w:cs="Arial"/>
        </w:rPr>
        <w:t>Withey</w:t>
      </w:r>
      <w:proofErr w:type="spellEnd"/>
      <w:r w:rsidRPr="00921A77">
        <w:rPr>
          <w:rFonts w:ascii="Arial" w:hAnsi="Arial" w:cs="Arial"/>
        </w:rPr>
        <w:t xml:space="preserve"> (2012) played the music prior to the task, not during. This could suggest that the music influenced the student's attitudes prior to the task, rather than, as we will be measuring, aiding the student's concentration during a task. </w:t>
      </w:r>
      <w:r w:rsidRPr="00921A77">
        <w:rPr>
          <w:rFonts w:ascii="Arial" w:eastAsia="Calibri" w:hAnsi="Arial" w:cs="Arial"/>
        </w:rPr>
        <w:t xml:space="preserve">The research conducted by </w:t>
      </w:r>
      <w:proofErr w:type="spellStart"/>
      <w:r w:rsidRPr="00921A77">
        <w:rPr>
          <w:rFonts w:ascii="Arial" w:eastAsia="Calibri" w:hAnsi="Arial" w:cs="Arial"/>
        </w:rPr>
        <w:t>Juslin</w:t>
      </w:r>
      <w:proofErr w:type="spellEnd"/>
      <w:r w:rsidRPr="00921A77">
        <w:rPr>
          <w:rFonts w:ascii="Arial" w:eastAsia="Calibri" w:hAnsi="Arial" w:cs="Arial"/>
        </w:rPr>
        <w:t xml:space="preserve"> et al (2016) however, collected findings from college students during the set task. They found that music with an upbeat tempo had a positive impact on students' cognitive performance, which was backed up by Leigh (2013). The literature on the subject of background music, while not extensive, has given us a clear guide as to which style of music will best suit our purposes, as well as the tempo, frequency and dynamics of that music. </w:t>
      </w:r>
    </w:p>
    <w:p w14:paraId="7D9CD86C" w14:textId="77777777" w:rsidR="00921A77" w:rsidRPr="00921A77" w:rsidRDefault="00921A77" w:rsidP="00921A77">
      <w:pPr>
        <w:spacing w:line="360" w:lineRule="auto"/>
        <w:rPr>
          <w:rFonts w:ascii="Arial" w:hAnsi="Arial" w:cs="Arial"/>
          <w:sz w:val="28"/>
        </w:rPr>
      </w:pPr>
      <w:r w:rsidRPr="00921A77">
        <w:rPr>
          <w:rFonts w:ascii="Arial" w:hAnsi="Arial" w:cs="Arial"/>
          <w:b/>
          <w:i/>
          <w:sz w:val="28"/>
        </w:rPr>
        <w:t>Lesson Study design</w:t>
      </w:r>
    </w:p>
    <w:p w14:paraId="5C39ACE2" w14:textId="36C66BC8" w:rsidR="59503D11" w:rsidRPr="00921A77" w:rsidRDefault="35ED2C67" w:rsidP="00921A77">
      <w:pPr>
        <w:spacing w:line="360" w:lineRule="auto"/>
        <w:rPr>
          <w:rFonts w:ascii="Arial" w:hAnsi="Arial" w:cs="Arial"/>
        </w:rPr>
      </w:pPr>
      <w:r w:rsidRPr="00921A77">
        <w:rPr>
          <w:rFonts w:ascii="Arial" w:hAnsi="Arial" w:cs="Arial"/>
        </w:rPr>
        <w:t xml:space="preserve">The methodology used within this research will be a lesson study, which is a form of action research. Action research itself is defined by Frost (2002) as a reflective system consisting of enquiry and action to develop professional practice. </w:t>
      </w:r>
      <w:proofErr w:type="gramStart"/>
      <w:r w:rsidRPr="00921A77">
        <w:rPr>
          <w:rFonts w:ascii="Arial" w:hAnsi="Arial" w:cs="Arial"/>
        </w:rPr>
        <w:t xml:space="preserve">Whereas </w:t>
      </w:r>
      <w:proofErr w:type="spellStart"/>
      <w:r w:rsidRPr="00921A77">
        <w:rPr>
          <w:rFonts w:ascii="Arial" w:hAnsi="Arial" w:cs="Arial"/>
        </w:rPr>
        <w:t>Bassey</w:t>
      </w:r>
      <w:proofErr w:type="spellEnd"/>
      <w:r w:rsidRPr="00921A77">
        <w:rPr>
          <w:rFonts w:ascii="Arial" w:hAnsi="Arial" w:cs="Arial"/>
        </w:rPr>
        <w:t xml:space="preserve"> (1998) believes action research to be a process that allows the researcher to understand and evaluate a question and make changes to improve a professional practice.</w:t>
      </w:r>
      <w:proofErr w:type="gramEnd"/>
      <w:r w:rsidRPr="00921A77">
        <w:rPr>
          <w:rFonts w:ascii="Arial" w:hAnsi="Arial" w:cs="Arial"/>
        </w:rPr>
        <w:t xml:space="preserve"> This definition by </w:t>
      </w:r>
      <w:proofErr w:type="spellStart"/>
      <w:r w:rsidRPr="00921A77">
        <w:rPr>
          <w:rFonts w:ascii="Arial" w:hAnsi="Arial" w:cs="Arial"/>
        </w:rPr>
        <w:t>Bassey</w:t>
      </w:r>
      <w:proofErr w:type="spellEnd"/>
      <w:r w:rsidRPr="00921A77">
        <w:rPr>
          <w:rFonts w:ascii="Arial" w:hAnsi="Arial" w:cs="Arial"/>
        </w:rPr>
        <w:t xml:space="preserve"> (1998) is the one that best suits the purposes of our research and shall be used to guide our action research. Within action research is the method of lesson study, which is teacher-led research that works to identify an area of development in pupil learning and use planning, teaching, observing and reflection to improve that specific area, </w:t>
      </w:r>
      <w:proofErr w:type="spellStart"/>
      <w:r w:rsidRPr="00921A77">
        <w:rPr>
          <w:rFonts w:ascii="Arial" w:hAnsi="Arial" w:cs="Arial"/>
        </w:rPr>
        <w:t>Ogegbo</w:t>
      </w:r>
      <w:proofErr w:type="spellEnd"/>
      <w:r w:rsidRPr="00921A77">
        <w:rPr>
          <w:rFonts w:ascii="Arial" w:hAnsi="Arial" w:cs="Arial"/>
        </w:rPr>
        <w:t xml:space="preserve"> (2019). According to </w:t>
      </w:r>
      <w:proofErr w:type="spellStart"/>
      <w:r w:rsidRPr="00921A77">
        <w:rPr>
          <w:rFonts w:ascii="Arial" w:hAnsi="Arial" w:cs="Arial"/>
        </w:rPr>
        <w:t>Stols</w:t>
      </w:r>
      <w:proofErr w:type="spellEnd"/>
      <w:r w:rsidRPr="00921A77">
        <w:rPr>
          <w:rFonts w:ascii="Arial" w:hAnsi="Arial" w:cs="Arial"/>
        </w:rPr>
        <w:t xml:space="preserve"> and Ono (2016) lesson studies can have a huge positive impact on teacher development through knowledge construction, as well as giving teachers a voice when tackling the issues that lie in their own classroom. One criticism of Lesson Studies as a form of action research is that they require the collaboration of teachers, which can often be difficult and cause tensions within the work environment, Adamson and Walker (2011). We used a variety of different methods of data collection. These included: observation, semi structured interviews through a focus group and reflections. Observations, as a method of data collection allow for first-hand evidence to be gathered, without the need to rely on </w:t>
      </w:r>
      <w:proofErr w:type="gramStart"/>
      <w:r w:rsidRPr="00921A77">
        <w:rPr>
          <w:rFonts w:ascii="Arial" w:hAnsi="Arial" w:cs="Arial"/>
        </w:rPr>
        <w:t>participants</w:t>
      </w:r>
      <w:proofErr w:type="gramEnd"/>
      <w:r w:rsidRPr="00921A77">
        <w:rPr>
          <w:rFonts w:ascii="Arial" w:hAnsi="Arial" w:cs="Arial"/>
        </w:rPr>
        <w:t xml:space="preserve"> recollection or retelling of events or actions, Denscombe (2010). Although one of the drawbacks of observation according to </w:t>
      </w:r>
      <w:proofErr w:type="spellStart"/>
      <w:r w:rsidRPr="00921A77">
        <w:rPr>
          <w:rFonts w:ascii="Arial" w:hAnsi="Arial" w:cs="Arial"/>
        </w:rPr>
        <w:t>Descombe</w:t>
      </w:r>
      <w:proofErr w:type="spellEnd"/>
      <w:r w:rsidRPr="00921A77">
        <w:rPr>
          <w:rFonts w:ascii="Arial" w:hAnsi="Arial" w:cs="Arial"/>
        </w:rPr>
        <w:t xml:space="preserve"> (2010) is that researchers observing the same event can interpret it in different ways, which means </w:t>
      </w:r>
      <w:proofErr w:type="gramStart"/>
      <w:r w:rsidRPr="00921A77">
        <w:rPr>
          <w:rFonts w:ascii="Arial" w:hAnsi="Arial" w:cs="Arial"/>
        </w:rPr>
        <w:t>it</w:t>
      </w:r>
      <w:proofErr w:type="gramEnd"/>
      <w:r w:rsidRPr="00921A77">
        <w:rPr>
          <w:rFonts w:ascii="Arial" w:hAnsi="Arial" w:cs="Arial"/>
        </w:rPr>
        <w:t xml:space="preserve"> is not always possible to ensure the accuracy of the data recorded. However, in order to combat this, we have opted for gathering quantitative data through the creation of an observation schedule that uses a tally chart, observing and noting the concentration of students, measured by their lack of communication, in regular intervals of 20 seconds per participant. The form of observation that was chosen for this study was non-participant observation. Scott and Marshall (2009) </w:t>
      </w:r>
      <w:r w:rsidRPr="00921A77">
        <w:rPr>
          <w:rFonts w:ascii="Arial" w:hAnsi="Arial" w:cs="Arial"/>
        </w:rPr>
        <w:lastRenderedPageBreak/>
        <w:t xml:space="preserve">define a non-participant observation as one where those who are being observed are aware of that fact, but the observers do not interact with them during the observation. One of the benefits of this type of observation is that the participants cannot be led or biased by the observer or vice versa, Hill, Pilling and </w:t>
      </w:r>
      <w:proofErr w:type="spellStart"/>
      <w:r w:rsidRPr="00921A77">
        <w:rPr>
          <w:rFonts w:ascii="Arial" w:hAnsi="Arial" w:cs="Arial"/>
        </w:rPr>
        <w:t>Foxcroft</w:t>
      </w:r>
      <w:proofErr w:type="spellEnd"/>
      <w:r w:rsidRPr="00921A77">
        <w:rPr>
          <w:rFonts w:ascii="Arial" w:hAnsi="Arial" w:cs="Arial"/>
        </w:rPr>
        <w:t xml:space="preserve"> (2018). Having said that, according to Kurtz (2017), the Hawthorne effect can have a negative impact on an observation, as it consists of the </w:t>
      </w:r>
      <w:proofErr w:type="gramStart"/>
      <w:r w:rsidRPr="00921A77">
        <w:rPr>
          <w:rFonts w:ascii="Arial" w:hAnsi="Arial" w:cs="Arial"/>
        </w:rPr>
        <w:t>participants</w:t>
      </w:r>
      <w:proofErr w:type="gramEnd"/>
      <w:r w:rsidRPr="00921A77">
        <w:rPr>
          <w:rFonts w:ascii="Arial" w:hAnsi="Arial" w:cs="Arial"/>
        </w:rPr>
        <w:t xml:space="preserve"> behaviour changing as a result of the presence of the observer. The gathering of quantitative data, according to Connolly (2007), allows for far greater objectivity and a broader study. Although, one issue we need to address when using our observation using a tally for quantitative </w:t>
      </w:r>
      <w:proofErr w:type="gramStart"/>
      <w:r w:rsidRPr="00921A77">
        <w:rPr>
          <w:rFonts w:ascii="Arial" w:hAnsi="Arial" w:cs="Arial"/>
        </w:rPr>
        <w:t>data,</w:t>
      </w:r>
      <w:proofErr w:type="gramEnd"/>
      <w:r w:rsidRPr="00921A77">
        <w:rPr>
          <w:rFonts w:ascii="Arial" w:hAnsi="Arial" w:cs="Arial"/>
        </w:rPr>
        <w:t xml:space="preserve"> is that according to Denscombe (2010) for the observation data to be fully reflective of the participants reactions we need to use field notes to integrate qualitative data into our findings, therefore, these will be included on our observation schedule. </w:t>
      </w:r>
    </w:p>
    <w:p w14:paraId="0DC2B75B" w14:textId="4AD95F9A" w:rsidR="59503D11" w:rsidRPr="00921A77" w:rsidRDefault="35ED2C67" w:rsidP="00921A77">
      <w:pPr>
        <w:spacing w:line="360" w:lineRule="auto"/>
        <w:rPr>
          <w:rFonts w:ascii="Arial" w:hAnsi="Arial" w:cs="Arial"/>
        </w:rPr>
      </w:pPr>
      <w:r w:rsidRPr="00921A77">
        <w:rPr>
          <w:rFonts w:ascii="Arial" w:hAnsi="Arial" w:cs="Arial"/>
        </w:rPr>
        <w:t>We then conducted semi-structured interviews with our focus group</w:t>
      </w:r>
      <w:r w:rsidR="004B00A0" w:rsidRPr="00921A77">
        <w:rPr>
          <w:rFonts w:ascii="Arial" w:hAnsi="Arial" w:cs="Arial"/>
        </w:rPr>
        <w:t>s</w:t>
      </w:r>
      <w:r w:rsidRPr="00921A77">
        <w:rPr>
          <w:rFonts w:ascii="Arial" w:hAnsi="Arial" w:cs="Arial"/>
        </w:rPr>
        <w:t xml:space="preserve"> which consisted of 3 participants</w:t>
      </w:r>
      <w:r w:rsidR="004B00A0" w:rsidRPr="00921A77">
        <w:rPr>
          <w:rFonts w:ascii="Arial" w:hAnsi="Arial" w:cs="Arial"/>
        </w:rPr>
        <w:t xml:space="preserve"> in each [see appendix 3]</w:t>
      </w:r>
      <w:r w:rsidRPr="00921A77">
        <w:rPr>
          <w:rFonts w:ascii="Arial" w:hAnsi="Arial" w:cs="Arial"/>
        </w:rPr>
        <w:t xml:space="preserve">. According to </w:t>
      </w:r>
      <w:proofErr w:type="spellStart"/>
      <w:r w:rsidRPr="00921A77">
        <w:rPr>
          <w:rFonts w:ascii="Arial" w:hAnsi="Arial" w:cs="Arial"/>
        </w:rPr>
        <w:t>Gavora</w:t>
      </w:r>
      <w:proofErr w:type="spellEnd"/>
      <w:r w:rsidRPr="00921A77">
        <w:rPr>
          <w:rFonts w:ascii="Arial" w:hAnsi="Arial" w:cs="Arial"/>
        </w:rPr>
        <w:t xml:space="preserve"> (2015) a focus group interview is used primarily for social research in order to gather the beliefs and opinions of the participants. The difference between a focus group interview and any other, according to Stewart et al (2007) (as cited in </w:t>
      </w:r>
      <w:proofErr w:type="spellStart"/>
      <w:r w:rsidRPr="00921A77">
        <w:rPr>
          <w:rFonts w:ascii="Arial" w:hAnsi="Arial" w:cs="Arial"/>
        </w:rPr>
        <w:t>Gavora</w:t>
      </w:r>
      <w:proofErr w:type="spellEnd"/>
      <w:r w:rsidRPr="00921A77">
        <w:rPr>
          <w:rFonts w:ascii="Arial" w:hAnsi="Arial" w:cs="Arial"/>
        </w:rPr>
        <w:t xml:space="preserve"> 2015) is that they allow for interaction and discussion amongst participants. In order to allow for frequent discussion among the participants, Kitzinger (2005) recommends having four to eight in a focus group. However, due to the imposed guidance for this action research we were only able to include three participants in each of our focus groups. These three participants were selected through placing the consent forms obtained from the parents into piles of abilities, and then choosing one at random from each pile to ensure a spread of abilities within our focus group. With our focus group, we conducted semi-structured interviews. </w:t>
      </w:r>
      <w:proofErr w:type="spellStart"/>
      <w:proofErr w:type="gramStart"/>
      <w:r w:rsidRPr="00921A77">
        <w:rPr>
          <w:rFonts w:ascii="Arial" w:hAnsi="Arial" w:cs="Arial"/>
        </w:rPr>
        <w:t>Celebioglu</w:t>
      </w:r>
      <w:proofErr w:type="spellEnd"/>
      <w:r w:rsidRPr="00921A77">
        <w:rPr>
          <w:rFonts w:ascii="Arial" w:hAnsi="Arial" w:cs="Arial"/>
        </w:rPr>
        <w:t xml:space="preserve"> and </w:t>
      </w:r>
      <w:proofErr w:type="spellStart"/>
      <w:r w:rsidRPr="00921A77">
        <w:rPr>
          <w:rFonts w:ascii="Arial" w:hAnsi="Arial" w:cs="Arial"/>
        </w:rPr>
        <w:t>Ezentas</w:t>
      </w:r>
      <w:proofErr w:type="spellEnd"/>
      <w:r w:rsidRPr="00921A77">
        <w:rPr>
          <w:rFonts w:ascii="Arial" w:hAnsi="Arial" w:cs="Arial"/>
        </w:rPr>
        <w:t xml:space="preserve"> (2011) state that semi-structured interviews allow for the answers and thoughts of the interviewee to be correctly identified.</w:t>
      </w:r>
      <w:proofErr w:type="gramEnd"/>
      <w:r w:rsidRPr="00921A77">
        <w:rPr>
          <w:rFonts w:ascii="Arial" w:hAnsi="Arial" w:cs="Arial"/>
        </w:rPr>
        <w:t xml:space="preserve"> They go on to say that it is not simply the answers that the students give that are important for the research, but the observations that the researcher makes during the interview. The benefits of semi-structured interviews over structured interviews, according to Wilson (2016), </w:t>
      </w:r>
      <w:proofErr w:type="spellStart"/>
      <w:r w:rsidRPr="00921A77">
        <w:rPr>
          <w:rFonts w:ascii="Arial" w:hAnsi="Arial" w:cs="Arial"/>
        </w:rPr>
        <w:t>Yildrim</w:t>
      </w:r>
      <w:proofErr w:type="spellEnd"/>
      <w:r w:rsidRPr="00921A77">
        <w:rPr>
          <w:rFonts w:ascii="Arial" w:hAnsi="Arial" w:cs="Arial"/>
        </w:rPr>
        <w:t xml:space="preserve"> and </w:t>
      </w:r>
      <w:proofErr w:type="spellStart"/>
      <w:r w:rsidRPr="00921A77">
        <w:rPr>
          <w:rFonts w:ascii="Arial" w:hAnsi="Arial" w:cs="Arial"/>
        </w:rPr>
        <w:t>Simsek</w:t>
      </w:r>
      <w:proofErr w:type="spellEnd"/>
      <w:r w:rsidRPr="00921A77">
        <w:rPr>
          <w:rFonts w:ascii="Arial" w:hAnsi="Arial" w:cs="Arial"/>
        </w:rPr>
        <w:t xml:space="preserve"> (2008) and Beck and Manuel (2008) are that they allow for the interviewer to follow any areas of interest, or thoughts that the interviewees have that could benefit the research that were not included into the original planning. The semi-structured interview has guiding questions that allow for the interview to stay on track and on topic, as opposed to the unstructured which is more like a conversation, with no defined directions. Due to the informal nature of semi-structured interviews we have chosen them for our research, as we feel that while interviewing children it will ensure they are not intimidated, while maintaining the focus of the discussion through the guiding questions. We </w:t>
      </w:r>
      <w:r w:rsidRPr="00921A77">
        <w:rPr>
          <w:rFonts w:ascii="Arial" w:hAnsi="Arial" w:cs="Arial"/>
        </w:rPr>
        <w:lastRenderedPageBreak/>
        <w:t xml:space="preserve">recorded the interview in order to transcribe it later to ensure that there was no bias within our interview notes. We then used the Gibbs Reflective Model (1988) </w:t>
      </w:r>
      <w:r w:rsidR="004B00A0" w:rsidRPr="00921A77">
        <w:rPr>
          <w:rFonts w:ascii="Arial" w:hAnsi="Arial" w:cs="Arial"/>
        </w:rPr>
        <w:t xml:space="preserve">[see Appendix 2+7] </w:t>
      </w:r>
      <w:r w:rsidRPr="00921A77">
        <w:rPr>
          <w:rFonts w:ascii="Arial" w:hAnsi="Arial" w:cs="Arial"/>
        </w:rPr>
        <w:t xml:space="preserve">to reflect upon the lesson study. The reflective model allowed for us as researchers to reflect on the interactions that we observed, Whitford and </w:t>
      </w:r>
      <w:proofErr w:type="spellStart"/>
      <w:r w:rsidRPr="00921A77">
        <w:rPr>
          <w:rFonts w:ascii="Arial" w:hAnsi="Arial" w:cs="Arial"/>
        </w:rPr>
        <w:t>Prunckun</w:t>
      </w:r>
      <w:proofErr w:type="spellEnd"/>
      <w:r w:rsidRPr="00921A77">
        <w:rPr>
          <w:rFonts w:ascii="Arial" w:hAnsi="Arial" w:cs="Arial"/>
        </w:rPr>
        <w:t xml:space="preserve"> (2017). Reflection is a key part of the action research process as it allows researchers to take note of their observations immediately and start the process of understanding the strengths and weaknesses of their study, </w:t>
      </w:r>
      <w:proofErr w:type="spellStart"/>
      <w:r w:rsidRPr="00921A77">
        <w:rPr>
          <w:rFonts w:ascii="Arial" w:hAnsi="Arial" w:cs="Arial"/>
        </w:rPr>
        <w:t>Ojastu</w:t>
      </w:r>
      <w:proofErr w:type="spellEnd"/>
      <w:r w:rsidRPr="00921A77">
        <w:rPr>
          <w:rFonts w:ascii="Arial" w:hAnsi="Arial" w:cs="Arial"/>
        </w:rPr>
        <w:t xml:space="preserve">, Chiu and Olsen (2011). </w:t>
      </w:r>
    </w:p>
    <w:p w14:paraId="052797C8" w14:textId="4BCAB1DA" w:rsidR="00921A77" w:rsidRPr="00921A77" w:rsidRDefault="00921A77" w:rsidP="00921A77">
      <w:pPr>
        <w:spacing w:line="360" w:lineRule="auto"/>
        <w:rPr>
          <w:rFonts w:ascii="Arial" w:hAnsi="Arial" w:cs="Arial"/>
          <w:sz w:val="28"/>
        </w:rPr>
      </w:pPr>
      <w:r w:rsidRPr="00921A77">
        <w:rPr>
          <w:rFonts w:ascii="Arial" w:hAnsi="Arial" w:cs="Arial"/>
          <w:b/>
          <w:i/>
          <w:sz w:val="28"/>
        </w:rPr>
        <w:t>Ethical Considerations</w:t>
      </w:r>
    </w:p>
    <w:p w14:paraId="577F4264" w14:textId="048A2728" w:rsidR="2CBF46BE" w:rsidRPr="00921A77" w:rsidRDefault="35ED2C67" w:rsidP="00921A77">
      <w:pPr>
        <w:spacing w:line="360" w:lineRule="auto"/>
        <w:rPr>
          <w:rFonts w:ascii="Arial" w:hAnsi="Arial" w:cs="Arial"/>
        </w:rPr>
      </w:pPr>
      <w:r w:rsidRPr="00921A77">
        <w:rPr>
          <w:rFonts w:ascii="Arial" w:hAnsi="Arial" w:cs="Arial"/>
        </w:rPr>
        <w:t xml:space="preserve">There are ethical considerations with doing research in a classroom which are; the acquisition of consent, working with vulnerable children, the </w:t>
      </w:r>
      <w:proofErr w:type="spellStart"/>
      <w:r w:rsidRPr="00921A77">
        <w:rPr>
          <w:rFonts w:ascii="Arial" w:hAnsi="Arial" w:cs="Arial"/>
        </w:rPr>
        <w:t>anonymisation</w:t>
      </w:r>
      <w:proofErr w:type="spellEnd"/>
      <w:r w:rsidRPr="00921A77">
        <w:rPr>
          <w:rFonts w:ascii="Arial" w:hAnsi="Arial" w:cs="Arial"/>
        </w:rPr>
        <w:t xml:space="preserve"> of data, and securing that data effectively. All of these considerations have been discussed in my ethics form, which was then provided to and accepted by the university. Also included within that ethics form are details as to how these issues will be addressed and resolved. The ethical considerations within this lesson study have been addressed following the guidelines laid out in BERA (2018). </w:t>
      </w:r>
    </w:p>
    <w:p w14:paraId="3A15E478" w14:textId="782DA76D" w:rsidR="00921A77" w:rsidRPr="00921A77" w:rsidRDefault="00921A77" w:rsidP="00921A77">
      <w:pPr>
        <w:spacing w:line="360" w:lineRule="auto"/>
        <w:rPr>
          <w:rFonts w:ascii="Arial" w:hAnsi="Arial" w:cs="Arial"/>
          <w:sz w:val="28"/>
        </w:rPr>
      </w:pPr>
      <w:r w:rsidRPr="00921A77">
        <w:rPr>
          <w:rFonts w:ascii="Arial" w:hAnsi="Arial" w:cs="Arial"/>
          <w:b/>
          <w:i/>
          <w:sz w:val="28"/>
        </w:rPr>
        <w:t>Results and Analysis: Lesson 1</w:t>
      </w:r>
    </w:p>
    <w:p w14:paraId="75A60BED" w14:textId="0055A634" w:rsidR="0ABEA71C" w:rsidRPr="00921A77" w:rsidRDefault="35ED2C67" w:rsidP="00921A77">
      <w:pPr>
        <w:spacing w:line="360" w:lineRule="auto"/>
        <w:rPr>
          <w:rFonts w:ascii="Arial" w:hAnsi="Arial" w:cs="Arial"/>
        </w:rPr>
      </w:pPr>
      <w:r w:rsidRPr="00921A77">
        <w:rPr>
          <w:rFonts w:ascii="Arial" w:hAnsi="Arial" w:cs="Arial"/>
        </w:rPr>
        <w:t>The first</w:t>
      </w:r>
      <w:r w:rsidR="00B2673A" w:rsidRPr="00921A77">
        <w:rPr>
          <w:rFonts w:ascii="Arial" w:hAnsi="Arial" w:cs="Arial"/>
        </w:rPr>
        <w:t xml:space="preserve"> lesson within our lesson study,</w:t>
      </w:r>
      <w:r w:rsidRPr="00921A77">
        <w:rPr>
          <w:rFonts w:ascii="Arial" w:hAnsi="Arial" w:cs="Arial"/>
        </w:rPr>
        <w:t xml:space="preserve"> which was carried out in the mixed year 2 and 3 class by </w:t>
      </w:r>
      <w:proofErr w:type="gramStart"/>
      <w:r w:rsidRPr="00921A77">
        <w:rPr>
          <w:rFonts w:ascii="Arial" w:hAnsi="Arial" w:cs="Arial"/>
        </w:rPr>
        <w:t>myself</w:t>
      </w:r>
      <w:proofErr w:type="gramEnd"/>
      <w:r w:rsidRPr="00921A77">
        <w:rPr>
          <w:rFonts w:ascii="Arial" w:hAnsi="Arial" w:cs="Arial"/>
        </w:rPr>
        <w:t xml:space="preserve">, was using baroque music, influenced by the research of Bloor (2009) and </w:t>
      </w:r>
      <w:proofErr w:type="spellStart"/>
      <w:r w:rsidRPr="00921A77">
        <w:rPr>
          <w:rFonts w:ascii="Arial" w:hAnsi="Arial" w:cs="Arial"/>
        </w:rPr>
        <w:t>Ruvinshteyn</w:t>
      </w:r>
      <w:proofErr w:type="spellEnd"/>
      <w:r w:rsidRPr="00921A77">
        <w:rPr>
          <w:rFonts w:ascii="Arial" w:hAnsi="Arial" w:cs="Arial"/>
        </w:rPr>
        <w:t xml:space="preserve"> and </w:t>
      </w:r>
      <w:proofErr w:type="spellStart"/>
      <w:r w:rsidRPr="00921A77">
        <w:rPr>
          <w:rFonts w:ascii="Arial" w:hAnsi="Arial" w:cs="Arial"/>
        </w:rPr>
        <w:t>Parrino</w:t>
      </w:r>
      <w:proofErr w:type="spellEnd"/>
      <w:r w:rsidRPr="00921A77">
        <w:rPr>
          <w:rFonts w:ascii="Arial" w:hAnsi="Arial" w:cs="Arial"/>
        </w:rPr>
        <w:t xml:space="preserve"> (2006). The lesson started with 10 minutes of free writing without background music before the baroque music was played for the final 10 minutes. The students were engaged in the lesson from the off and enjoyed the writing task. The free writing allowed for the students to stay focused for a prolonged period of time, which was necessary to ensure that our lesson study was as fair as possible. One thing we were aware of was that the pupil’s concentration on one given task might not withstand the 20-minute session regardless of the music, therefore affecting the results. However, the pupils were engaged throughout and the majority of the students stayed on task for the entirety of the lesson. Also, by informing the students at the beginning of the task that their work would not be read by anyone else unless they wanted it to be, ensured that pupils felt free to write without constrictions. This again aided concentration in the task by ensuring that any thought they had, could be put down on paper without fear of ramifications and limiting our risks of internal distractions. The music </w:t>
      </w:r>
      <w:proofErr w:type="gramStart"/>
      <w:r w:rsidRPr="00921A77">
        <w:rPr>
          <w:rFonts w:ascii="Arial" w:hAnsi="Arial" w:cs="Arial"/>
        </w:rPr>
        <w:t>itself,</w:t>
      </w:r>
      <w:proofErr w:type="gramEnd"/>
      <w:r w:rsidRPr="00921A77">
        <w:rPr>
          <w:rFonts w:ascii="Arial" w:hAnsi="Arial" w:cs="Arial"/>
        </w:rPr>
        <w:t xml:space="preserve"> did appear to aid the concentration of some while distracting others. The introduction of noise to the classroom seemed to give some students the impression that noise was now acceptable, therefore there were several students who started whispering together who had not been doing so when there was no music. The pace </w:t>
      </w:r>
      <w:r w:rsidRPr="00921A77">
        <w:rPr>
          <w:rFonts w:ascii="Arial" w:hAnsi="Arial" w:cs="Arial"/>
        </w:rPr>
        <w:lastRenderedPageBreak/>
        <w:t xml:space="preserve">of the baroque music might not have helped with this, as the tempo was faster than the atmosphere in the classroom, and the writing activity itself, required. The music was also a much higher frequency through the classroom speakers than I had experienced while listening prior to the lesson, this coincides with the research previously discussed by </w:t>
      </w:r>
      <w:proofErr w:type="spellStart"/>
      <w:r w:rsidRPr="00921A77">
        <w:rPr>
          <w:rFonts w:ascii="Arial" w:hAnsi="Arial" w:cs="Arial"/>
        </w:rPr>
        <w:t>Savan</w:t>
      </w:r>
      <w:proofErr w:type="spellEnd"/>
      <w:r w:rsidRPr="00921A77">
        <w:rPr>
          <w:rFonts w:ascii="Arial" w:hAnsi="Arial" w:cs="Arial"/>
        </w:rPr>
        <w:t xml:space="preserve"> (2003), which found that high frequency music can be a barrier to concentration. Another flaw with the </w:t>
      </w:r>
      <w:proofErr w:type="gramStart"/>
      <w:r w:rsidRPr="00921A77">
        <w:rPr>
          <w:rFonts w:ascii="Arial" w:hAnsi="Arial" w:cs="Arial"/>
        </w:rPr>
        <w:t>music,</w:t>
      </w:r>
      <w:proofErr w:type="gramEnd"/>
      <w:r w:rsidRPr="00921A77">
        <w:rPr>
          <w:rFonts w:ascii="Arial" w:hAnsi="Arial" w:cs="Arial"/>
        </w:rPr>
        <w:t xml:space="preserve"> was that the speaker in the classroom was stuck on a higher volume, so the music was possibly too loud for students to concentrate with ease. However, having said t</w:t>
      </w:r>
      <w:r w:rsidR="00B2673A" w:rsidRPr="00921A77">
        <w:rPr>
          <w:rFonts w:ascii="Arial" w:hAnsi="Arial" w:cs="Arial"/>
        </w:rPr>
        <w:t>hat, the results [see appendix 5</w:t>
      </w:r>
      <w:r w:rsidRPr="00921A77">
        <w:rPr>
          <w:rFonts w:ascii="Arial" w:hAnsi="Arial" w:cs="Arial"/>
        </w:rPr>
        <w:t xml:space="preserve">] do show that the majority of the student’s concentration was increased once the music was introduced. This shows that even when the music was at a higher frequency than intended, and against the recommendations from the literature, the students still improved their concentration when the background music was playing. The transcription of the interview [see appendix </w:t>
      </w:r>
      <w:r w:rsidR="00B2673A" w:rsidRPr="00921A77">
        <w:rPr>
          <w:rFonts w:ascii="Arial" w:hAnsi="Arial" w:cs="Arial"/>
        </w:rPr>
        <w:t>4</w:t>
      </w:r>
      <w:r w:rsidRPr="00921A77">
        <w:rPr>
          <w:rFonts w:ascii="Arial" w:hAnsi="Arial" w:cs="Arial"/>
        </w:rPr>
        <w:t xml:space="preserve">] that followed the lesson showed that despite my concerns about the frequency and dynamics of the music, two out of the three pupils felt relaxed when the music was playing. However, for one child to say that they felt confused is concerning as there were only three participants in the focus group. The students then discuss whether they preferred writing with or without the background music and two out of the three said without. This was then retracted by one pupil, when the follow up question of why, was answered with “because it makes me...concentrate more”. This experience of interviewing a focus group has shown me how difficult it can be to ensure that their opinions are being communicated, and that they are not saying what they think we want to hear. Moving forward with the next interview we decided that it would be beneficial to start with more conversation about the task itself to aid a discussion among the pupils before the interview questions, to make them feel more comfortable. With the next lesson, one thing we changed in order to ensure that we had the best possible chance of positive results was the music. We changed the music from the baroque to classical, calm, water music in order to ensure that students were not distracted by the speed or frequency of the music. </w:t>
      </w:r>
    </w:p>
    <w:p w14:paraId="56104214" w14:textId="1410BAD3" w:rsidR="00921A77" w:rsidRPr="00921A77" w:rsidRDefault="00921A77" w:rsidP="00921A77">
      <w:pPr>
        <w:spacing w:line="360" w:lineRule="auto"/>
        <w:rPr>
          <w:rFonts w:ascii="Arial" w:hAnsi="Arial" w:cs="Arial"/>
          <w:sz w:val="28"/>
        </w:rPr>
      </w:pPr>
      <w:r w:rsidRPr="00921A77">
        <w:rPr>
          <w:rFonts w:ascii="Arial" w:hAnsi="Arial" w:cs="Arial"/>
          <w:b/>
          <w:i/>
          <w:sz w:val="28"/>
        </w:rPr>
        <w:t>Resu</w:t>
      </w:r>
      <w:r w:rsidRPr="00921A77">
        <w:rPr>
          <w:rFonts w:ascii="Arial" w:hAnsi="Arial" w:cs="Arial"/>
          <w:b/>
          <w:i/>
          <w:sz w:val="28"/>
        </w:rPr>
        <w:t>lts and Analysis: Lesson 2</w:t>
      </w:r>
    </w:p>
    <w:p w14:paraId="5DAA33FE" w14:textId="1B8CFFDA" w:rsidR="0ABEA71C" w:rsidRPr="00921A77" w:rsidRDefault="35ED2C67" w:rsidP="00921A77">
      <w:pPr>
        <w:spacing w:line="360" w:lineRule="auto"/>
        <w:rPr>
          <w:rFonts w:ascii="Arial" w:hAnsi="Arial" w:cs="Arial"/>
        </w:rPr>
      </w:pPr>
      <w:r w:rsidRPr="00921A77">
        <w:rPr>
          <w:rFonts w:ascii="Arial" w:hAnsi="Arial" w:cs="Arial"/>
        </w:rPr>
        <w:t>The se</w:t>
      </w:r>
      <w:r w:rsidR="00B2673A" w:rsidRPr="00921A77">
        <w:rPr>
          <w:rFonts w:ascii="Arial" w:hAnsi="Arial" w:cs="Arial"/>
        </w:rPr>
        <w:t xml:space="preserve">cond lesson in our lesson study </w:t>
      </w:r>
      <w:r w:rsidRPr="00921A77">
        <w:rPr>
          <w:rFonts w:ascii="Arial" w:hAnsi="Arial" w:cs="Arial"/>
        </w:rPr>
        <w:t xml:space="preserve">was in a mixed year 4 and 5 class of 27 children. This lesson used the classical water music, and again consisted of 10 minutes with and 10 minutes without the background music. The students were all engaged in the free writing during the task, with only a couple of exceptions sporadically throughout the twenty minutes. The participants, as shown on the observation schedule and the bar chart [see appendix </w:t>
      </w:r>
      <w:r w:rsidR="00B2673A" w:rsidRPr="00921A77">
        <w:rPr>
          <w:rFonts w:ascii="Arial" w:hAnsi="Arial" w:cs="Arial"/>
        </w:rPr>
        <w:t>6+9</w:t>
      </w:r>
      <w:r w:rsidRPr="00921A77">
        <w:rPr>
          <w:rFonts w:ascii="Arial" w:hAnsi="Arial" w:cs="Arial"/>
        </w:rPr>
        <w:t xml:space="preserve">], were focused on the task for almost the entirety of the lesson, with marginal improvement in pupil one’s concentration with the background music as opposed to without. However, pupil 3 went from 90% to 70% once the music started playing in the lesson. The notes underneath show that this was due to a peer distracting the pupil with conversation, </w:t>
      </w:r>
      <w:r w:rsidRPr="00921A77">
        <w:rPr>
          <w:rFonts w:ascii="Arial" w:hAnsi="Arial" w:cs="Arial"/>
        </w:rPr>
        <w:lastRenderedPageBreak/>
        <w:t xml:space="preserve">which is </w:t>
      </w:r>
      <w:proofErr w:type="gramStart"/>
      <w:r w:rsidRPr="00921A77">
        <w:rPr>
          <w:rFonts w:ascii="Arial" w:hAnsi="Arial" w:cs="Arial"/>
        </w:rPr>
        <w:t>something</w:t>
      </w:r>
      <w:proofErr w:type="gramEnd"/>
      <w:r w:rsidRPr="00921A77">
        <w:rPr>
          <w:rFonts w:ascii="Arial" w:hAnsi="Arial" w:cs="Arial"/>
        </w:rPr>
        <w:t xml:space="preserve"> I had not foreseen being an issue. This is something that is out of our hands, and while it is outside of the participants control, it does not mean that the results are skewed because of it, as the mere fact that a fellow student in that class was not on task and able to distract pupil 3 means that the music was not working effectively to engage concentration. The bar chart [appendix </w:t>
      </w:r>
      <w:r w:rsidR="00B2673A" w:rsidRPr="00921A77">
        <w:rPr>
          <w:rFonts w:ascii="Arial" w:hAnsi="Arial" w:cs="Arial"/>
        </w:rPr>
        <w:t>9</w:t>
      </w:r>
      <w:r w:rsidRPr="00921A77">
        <w:rPr>
          <w:rFonts w:ascii="Arial" w:hAnsi="Arial" w:cs="Arial"/>
        </w:rPr>
        <w:t xml:space="preserve">] also shows that pupil 2 was consistent throughout the lesson at 100%, which perhaps shows that the music had no impact on that student. Although, as we previously discussed, pupil concentration will diminish over time naturally as a task continues, so perhaps the natural decline in concentration was counteracted by the background music in the second half of the lesson in order to maintain concentration at 100%. When analysing the transcribed interview with the focus group [see appendix </w:t>
      </w:r>
      <w:r w:rsidR="00B2673A" w:rsidRPr="00921A77">
        <w:rPr>
          <w:rFonts w:ascii="Arial" w:hAnsi="Arial" w:cs="Arial"/>
        </w:rPr>
        <w:t>8</w:t>
      </w:r>
      <w:r w:rsidRPr="00921A77">
        <w:rPr>
          <w:rFonts w:ascii="Arial" w:hAnsi="Arial" w:cs="Arial"/>
        </w:rPr>
        <w:t xml:space="preserve">] it is clear that the background music had a positive effect on all participants. Pupil 1 reacted positively when the music came on and suggests that the music had an impact on her emotionally, changing her thoughts from worried to calm. This is an area that I had not anticipated, as I had assumed that wellbeing issues would not arise simply because of background music being played. However, this is definitely something that will need to be explored, in order to determine whether there is literature on the benefits of background music to a child’s wellbeing. During the interview pupil 2 stated that the music itself shaped what they were writing, rather than it simply acting as an aid for concentration. This idea of the music shaping the writing of the pupils is interesting as it means that in future tasks the music chosen for the background of a lesson could impact on the work created. This impact on student’s ideas as well as focus was mirrored by pupil 3, who also found that once the music came on, they relaxed and had fresh thoughts. However, pupil 3 also had a similar experience to pupil 1 as well, as they spoke about the music calming them down if they were angry. One thing that is clear when looking at both the transcriptions from the first and second lesson, it seems as though the background music had more of an effect on the year 4/5 class. </w:t>
      </w:r>
      <w:proofErr w:type="gramStart"/>
      <w:r w:rsidRPr="00921A77">
        <w:rPr>
          <w:rFonts w:ascii="Arial" w:hAnsi="Arial" w:cs="Arial"/>
        </w:rPr>
        <w:t>The student's express changes in both emotional state as well as improvements to their cognitive performance through the acquisition of new ideas</w:t>
      </w:r>
      <w:r w:rsidR="000165E2" w:rsidRPr="00921A77">
        <w:rPr>
          <w:rFonts w:ascii="Arial" w:hAnsi="Arial" w:cs="Arial"/>
        </w:rPr>
        <w:t>,</w:t>
      </w:r>
      <w:r w:rsidRPr="00921A77">
        <w:rPr>
          <w:rFonts w:ascii="Arial" w:hAnsi="Arial" w:cs="Arial"/>
        </w:rPr>
        <w:t xml:space="preserve"> as a result of the music.</w:t>
      </w:r>
      <w:proofErr w:type="gramEnd"/>
      <w:r w:rsidRPr="00921A77">
        <w:rPr>
          <w:rFonts w:ascii="Arial" w:hAnsi="Arial" w:cs="Arial"/>
        </w:rPr>
        <w:t xml:space="preserve"> However, it could be said that the older participants are simply more capable of communicating their feelings and thoughts, not that they necessarily experienced more during the lesson. For future lessons of this kind, it would be advisable to stick to the slow, low frequency and low dynamic music as was used in this second lesson. However, it might be useful to complete the same lesson in two parts rather than in succession. If the first 10 minutes are completed one morning without music and then on a separate morning the second 10 minutes with music in order to ensure that the student’s concentration is not being affected by the amount of time they have had to spend focused on the task.  </w:t>
      </w:r>
    </w:p>
    <w:p w14:paraId="60DBDB0F" w14:textId="5D43B6AB" w:rsidR="00921A77" w:rsidRPr="00921A77" w:rsidRDefault="00921A77" w:rsidP="00921A77">
      <w:pPr>
        <w:spacing w:line="360" w:lineRule="auto"/>
        <w:rPr>
          <w:rFonts w:ascii="Arial" w:hAnsi="Arial" w:cs="Arial"/>
          <w:sz w:val="28"/>
        </w:rPr>
      </w:pPr>
      <w:r w:rsidRPr="00921A77">
        <w:rPr>
          <w:rFonts w:ascii="Arial" w:hAnsi="Arial" w:cs="Arial"/>
          <w:b/>
          <w:i/>
          <w:sz w:val="28"/>
        </w:rPr>
        <w:t>Res</w:t>
      </w:r>
      <w:r w:rsidRPr="00921A77">
        <w:rPr>
          <w:rFonts w:ascii="Arial" w:hAnsi="Arial" w:cs="Arial"/>
          <w:b/>
          <w:i/>
          <w:sz w:val="28"/>
        </w:rPr>
        <w:t>earch Findings</w:t>
      </w:r>
    </w:p>
    <w:p w14:paraId="24714863" w14:textId="4A4EF83C" w:rsidR="0ABEA71C" w:rsidRPr="00921A77" w:rsidRDefault="35ED2C67" w:rsidP="00921A77">
      <w:pPr>
        <w:spacing w:line="360" w:lineRule="auto"/>
        <w:rPr>
          <w:rFonts w:ascii="Arial" w:hAnsi="Arial" w:cs="Arial"/>
        </w:rPr>
      </w:pPr>
      <w:r w:rsidRPr="00921A77">
        <w:rPr>
          <w:rFonts w:ascii="Arial" w:hAnsi="Arial" w:cs="Arial"/>
        </w:rPr>
        <w:lastRenderedPageBreak/>
        <w:t xml:space="preserve">The findings from this lesson study suggest that the implications for background music within the </w:t>
      </w:r>
      <w:proofErr w:type="gramStart"/>
      <w:r w:rsidRPr="00921A77">
        <w:rPr>
          <w:rFonts w:ascii="Arial" w:hAnsi="Arial" w:cs="Arial"/>
        </w:rPr>
        <w:t>classroom,</w:t>
      </w:r>
      <w:proofErr w:type="gramEnd"/>
      <w:r w:rsidRPr="00921A77">
        <w:rPr>
          <w:rFonts w:ascii="Arial" w:hAnsi="Arial" w:cs="Arial"/>
        </w:rPr>
        <w:t xml:space="preserve"> are far more important than for concentration alone. The results from the focus groups [see appendices 5 and 11] suggest that background music could have a notable impact on student’s wellbeing as several of the participants discussed the impact the background music had on their emotional </w:t>
      </w:r>
      <w:proofErr w:type="spellStart"/>
      <w:r w:rsidRPr="00921A77">
        <w:rPr>
          <w:rFonts w:ascii="Arial" w:hAnsi="Arial" w:cs="Arial"/>
        </w:rPr>
        <w:t>mindset</w:t>
      </w:r>
      <w:proofErr w:type="spellEnd"/>
      <w:r w:rsidRPr="00921A77">
        <w:rPr>
          <w:rFonts w:ascii="Arial" w:hAnsi="Arial" w:cs="Arial"/>
        </w:rPr>
        <w:t xml:space="preserve">. According to North and Hargreaves (2008), Hallam and MacDonald (2008) and MacDonald, </w:t>
      </w:r>
      <w:proofErr w:type="spellStart"/>
      <w:r w:rsidRPr="00921A77">
        <w:rPr>
          <w:rFonts w:ascii="Arial" w:hAnsi="Arial" w:cs="Arial"/>
        </w:rPr>
        <w:t>Kreutz</w:t>
      </w:r>
      <w:proofErr w:type="spellEnd"/>
      <w:r w:rsidRPr="00921A77">
        <w:rPr>
          <w:rFonts w:ascii="Arial" w:hAnsi="Arial" w:cs="Arial"/>
        </w:rPr>
        <w:t xml:space="preserve"> and Mitchell (2012) there is a considerable amount of research that shows that music has a significant effect on behaviour and can be harnessed into positive directions. Similarly, </w:t>
      </w:r>
      <w:proofErr w:type="spellStart"/>
      <w:r w:rsidRPr="00921A77">
        <w:rPr>
          <w:rFonts w:ascii="Arial" w:hAnsi="Arial" w:cs="Arial"/>
        </w:rPr>
        <w:t>Trondalen</w:t>
      </w:r>
      <w:proofErr w:type="spellEnd"/>
      <w:r w:rsidRPr="00921A77">
        <w:rPr>
          <w:rFonts w:ascii="Arial" w:hAnsi="Arial" w:cs="Arial"/>
        </w:rPr>
        <w:t xml:space="preserve"> and </w:t>
      </w:r>
      <w:proofErr w:type="spellStart"/>
      <w:r w:rsidRPr="00921A77">
        <w:rPr>
          <w:rFonts w:ascii="Arial" w:hAnsi="Arial" w:cs="Arial"/>
        </w:rPr>
        <w:t>Bonde</w:t>
      </w:r>
      <w:proofErr w:type="spellEnd"/>
      <w:r w:rsidRPr="00921A77">
        <w:rPr>
          <w:rFonts w:ascii="Arial" w:hAnsi="Arial" w:cs="Arial"/>
        </w:rPr>
        <w:t xml:space="preserve"> (2012) wrote that music medicine is a commonly used type of therapy that involves playing pre-recorded music to patients before they go through any kind of medical procedure to control their mental and emotional state, which is backed up by Bruscia (1998). The applications for this kind of intervention model surpass the field of medicine, as it could be used in education to aid behaviour, emotional distress and even, according to </w:t>
      </w:r>
      <w:proofErr w:type="spellStart"/>
      <w:r w:rsidRPr="00921A77">
        <w:rPr>
          <w:rFonts w:ascii="Arial" w:hAnsi="Arial" w:cs="Arial"/>
        </w:rPr>
        <w:t>Bonde</w:t>
      </w:r>
      <w:proofErr w:type="spellEnd"/>
      <w:r w:rsidRPr="00921A77">
        <w:rPr>
          <w:rFonts w:ascii="Arial" w:hAnsi="Arial" w:cs="Arial"/>
        </w:rPr>
        <w:t xml:space="preserve"> (2011), their physical wellbeing. In relation to the lesson study, the results from our transcriptions [see appendix </w:t>
      </w:r>
      <w:r w:rsidR="00B2673A" w:rsidRPr="00921A77">
        <w:rPr>
          <w:rFonts w:ascii="Arial" w:hAnsi="Arial" w:cs="Arial"/>
        </w:rPr>
        <w:t>8</w:t>
      </w:r>
      <w:r w:rsidRPr="00921A77">
        <w:rPr>
          <w:rFonts w:ascii="Arial" w:hAnsi="Arial" w:cs="Arial"/>
        </w:rPr>
        <w:t xml:space="preserve">] show that students are aware of the impact the background music has on their emotional state, and some even stated that they used music at home to calm themselves down when angered. The results also show that in terms of the positive effects background music can make on concentration, the lesson study was too brief to show a reliable trend. The results show that some participants responded positively and others negatively, which could be due to personal taste in music, or down to whether they find music distracting, however, it would be without the substantial supporting evidence needed to back this up. The idea that music can help  maintain an emotional equilibrium and to destress, is supported by the work of MacDonald, </w:t>
      </w:r>
      <w:proofErr w:type="spellStart"/>
      <w:r w:rsidRPr="00921A77">
        <w:rPr>
          <w:rFonts w:ascii="Arial" w:hAnsi="Arial" w:cs="Arial"/>
        </w:rPr>
        <w:t>Kreutz</w:t>
      </w:r>
      <w:proofErr w:type="spellEnd"/>
      <w:r w:rsidRPr="00921A77">
        <w:rPr>
          <w:rFonts w:ascii="Arial" w:hAnsi="Arial" w:cs="Arial"/>
        </w:rPr>
        <w:t xml:space="preserve"> and Mitchell (2012) who found that music can distract the listener due to a state of ‘flow’ and put any anxiety or worries out of mind, which backs up the views of the participants in lesson two. Having said that, the participants from the second focus group stated that background music would only be useful in creative writing lessons, suggesting that they are aware of the possibility that background music could distracting during a task where they needed focus. However, </w:t>
      </w:r>
      <w:proofErr w:type="spellStart"/>
      <w:r w:rsidRPr="00921A77">
        <w:rPr>
          <w:rFonts w:ascii="Arial" w:hAnsi="Arial" w:cs="Arial"/>
        </w:rPr>
        <w:t>Juslin</w:t>
      </w:r>
      <w:proofErr w:type="spellEnd"/>
      <w:r w:rsidRPr="00921A77">
        <w:rPr>
          <w:rFonts w:ascii="Arial" w:hAnsi="Arial" w:cs="Arial"/>
        </w:rPr>
        <w:t xml:space="preserve"> and </w:t>
      </w:r>
      <w:proofErr w:type="spellStart"/>
      <w:r w:rsidRPr="00921A77">
        <w:rPr>
          <w:rFonts w:ascii="Arial" w:hAnsi="Arial" w:cs="Arial"/>
        </w:rPr>
        <w:t>Sloboda</w:t>
      </w:r>
      <w:proofErr w:type="spellEnd"/>
      <w:r w:rsidRPr="00921A77">
        <w:rPr>
          <w:rFonts w:ascii="Arial" w:hAnsi="Arial" w:cs="Arial"/>
        </w:rPr>
        <w:t xml:space="preserve"> (2010) believe that music can have a huge impact on our emotions, and when we choose music for ourselves we choose it according to either how we feel at that moment, or how we wish to feel by listening to it. This suggests that there might have been greater improvements made to wellbeing through allowing the pupils to choose the music themselves. The impact the music has on student's work was also brought up during the interview after lesson two [see appendix </w:t>
      </w:r>
      <w:r w:rsidR="00B2673A" w:rsidRPr="00921A77">
        <w:rPr>
          <w:rFonts w:ascii="Arial" w:hAnsi="Arial" w:cs="Arial"/>
        </w:rPr>
        <w:t>8</w:t>
      </w:r>
      <w:r w:rsidRPr="00921A77">
        <w:rPr>
          <w:rFonts w:ascii="Arial" w:hAnsi="Arial" w:cs="Arial"/>
        </w:rPr>
        <w:t xml:space="preserve">], when pupil 2 stated that they found that the music influenced the content of their writing. This is something that was discovered in the research conducted by </w:t>
      </w:r>
      <w:proofErr w:type="spellStart"/>
      <w:r w:rsidRPr="00921A77">
        <w:rPr>
          <w:rFonts w:ascii="Arial" w:hAnsi="Arial" w:cs="Arial"/>
        </w:rPr>
        <w:t>Ziv</w:t>
      </w:r>
      <w:proofErr w:type="spellEnd"/>
      <w:r w:rsidRPr="00921A77">
        <w:rPr>
          <w:rFonts w:ascii="Arial" w:hAnsi="Arial" w:cs="Arial"/>
        </w:rPr>
        <w:t xml:space="preserve"> and Goshen (2006), who found that the students work reflected the mood of the music being played e.g. happy or sad.  However, it is not just wellbeing that can be affected by music in class. The results showed </w:t>
      </w:r>
      <w:r w:rsidRPr="00921A77">
        <w:rPr>
          <w:rFonts w:ascii="Arial" w:hAnsi="Arial" w:cs="Arial"/>
        </w:rPr>
        <w:lastRenderedPageBreak/>
        <w:t xml:space="preserve">that concentration was improved, but not across the board. This relates to the research findings of </w:t>
      </w:r>
      <w:proofErr w:type="spellStart"/>
      <w:r w:rsidRPr="00921A77">
        <w:rPr>
          <w:rFonts w:ascii="Arial" w:hAnsi="Arial" w:cs="Arial"/>
        </w:rPr>
        <w:t>Tze</w:t>
      </w:r>
      <w:proofErr w:type="spellEnd"/>
      <w:r w:rsidRPr="00921A77">
        <w:rPr>
          <w:rFonts w:ascii="Arial" w:hAnsi="Arial" w:cs="Arial"/>
        </w:rPr>
        <w:t xml:space="preserve"> and Chou (2010), who found that background </w:t>
      </w:r>
      <w:proofErr w:type="gramStart"/>
      <w:r w:rsidRPr="00921A77">
        <w:rPr>
          <w:rFonts w:ascii="Arial" w:hAnsi="Arial" w:cs="Arial"/>
        </w:rPr>
        <w:t>music</w:t>
      </w:r>
      <w:proofErr w:type="gramEnd"/>
      <w:r w:rsidRPr="00921A77">
        <w:rPr>
          <w:rFonts w:ascii="Arial" w:hAnsi="Arial" w:cs="Arial"/>
        </w:rPr>
        <w:t xml:space="preserve"> could have a positive effect on concentration, but if students started the lesson with negative attitudes the music would have a negative effect on them. While we cannot know for sure whether the students whose concentration did not increase within the lesson fall into this category, it is something to bear in mind when reviewing the results. </w:t>
      </w:r>
    </w:p>
    <w:p w14:paraId="09C3A7A0" w14:textId="389F4C1B" w:rsidR="00921A77" w:rsidRPr="00921A77" w:rsidRDefault="00921A77" w:rsidP="00921A77">
      <w:pPr>
        <w:spacing w:line="360" w:lineRule="auto"/>
        <w:rPr>
          <w:rFonts w:ascii="Arial" w:hAnsi="Arial" w:cs="Arial"/>
          <w:sz w:val="28"/>
        </w:rPr>
      </w:pPr>
      <w:r w:rsidRPr="00921A77">
        <w:rPr>
          <w:rFonts w:ascii="Arial" w:hAnsi="Arial" w:cs="Arial"/>
          <w:b/>
          <w:i/>
          <w:sz w:val="28"/>
        </w:rPr>
        <w:t>Conclusion</w:t>
      </w:r>
    </w:p>
    <w:p w14:paraId="707D94BB" w14:textId="5EADCDB5" w:rsidR="0ABEA71C" w:rsidRPr="00921A77" w:rsidRDefault="35ED2C67" w:rsidP="00921A77">
      <w:pPr>
        <w:spacing w:line="360" w:lineRule="auto"/>
        <w:rPr>
          <w:rFonts w:ascii="Arial" w:hAnsi="Arial" w:cs="Arial"/>
        </w:rPr>
      </w:pPr>
      <w:r w:rsidRPr="00921A77">
        <w:rPr>
          <w:rFonts w:ascii="Arial" w:hAnsi="Arial" w:cs="Arial"/>
        </w:rPr>
        <w:t xml:space="preserve">Having looked at the collected data from the action research in relation to literature, it is important to discuss the strengths and weaknesses of the methods used to obtain that data and their implications for future research. The use of a lesson study proved to be informative and ensured that a large portion of the data being obtained came straight from the classroom, not just from participant </w:t>
      </w:r>
      <w:proofErr w:type="gramStart"/>
      <w:r w:rsidRPr="00921A77">
        <w:rPr>
          <w:rFonts w:ascii="Arial" w:hAnsi="Arial" w:cs="Arial"/>
        </w:rPr>
        <w:t>opinion,</w:t>
      </w:r>
      <w:proofErr w:type="gramEnd"/>
      <w:r w:rsidRPr="00921A77">
        <w:rPr>
          <w:rFonts w:ascii="Arial" w:hAnsi="Arial" w:cs="Arial"/>
        </w:rPr>
        <w:t xml:space="preserve"> this aided the reliability of the data, </w:t>
      </w:r>
      <w:proofErr w:type="spellStart"/>
      <w:r w:rsidRPr="00921A77">
        <w:rPr>
          <w:rFonts w:ascii="Arial" w:hAnsi="Arial" w:cs="Arial"/>
        </w:rPr>
        <w:t>Saye</w:t>
      </w:r>
      <w:proofErr w:type="spellEnd"/>
      <w:r w:rsidRPr="00921A77">
        <w:rPr>
          <w:rFonts w:ascii="Arial" w:hAnsi="Arial" w:cs="Arial"/>
        </w:rPr>
        <w:t xml:space="preserve"> et al (2017). The use of observation as a research method, allowed for first-hand knowledge of the participants behaviour to be noted on the observation schedule, giving scope for field notes that gave context to the findings, Dean (2019), such as the distracting influence of peers [see appendix </w:t>
      </w:r>
      <w:r w:rsidR="00B2673A" w:rsidRPr="00921A77">
        <w:rPr>
          <w:rFonts w:ascii="Arial" w:hAnsi="Arial" w:cs="Arial"/>
        </w:rPr>
        <w:t>1</w:t>
      </w:r>
      <w:r w:rsidRPr="00921A77">
        <w:rPr>
          <w:rFonts w:ascii="Arial" w:hAnsi="Arial" w:cs="Arial"/>
        </w:rPr>
        <w:t xml:space="preserve">]. However, an issue that arose during the semi-structured interview with the first focus </w:t>
      </w:r>
      <w:proofErr w:type="gramStart"/>
      <w:r w:rsidRPr="00921A77">
        <w:rPr>
          <w:rFonts w:ascii="Arial" w:hAnsi="Arial" w:cs="Arial"/>
        </w:rPr>
        <w:t>group,</w:t>
      </w:r>
      <w:proofErr w:type="gramEnd"/>
      <w:r w:rsidRPr="00921A77">
        <w:rPr>
          <w:rFonts w:ascii="Arial" w:hAnsi="Arial" w:cs="Arial"/>
        </w:rPr>
        <w:t xml:space="preserve"> was the potential </w:t>
      </w:r>
      <w:proofErr w:type="spellStart"/>
      <w:r w:rsidRPr="00921A77">
        <w:rPr>
          <w:rFonts w:ascii="Arial" w:hAnsi="Arial" w:cs="Arial"/>
        </w:rPr>
        <w:t>hinderance</w:t>
      </w:r>
      <w:proofErr w:type="spellEnd"/>
      <w:r w:rsidRPr="00921A77">
        <w:rPr>
          <w:rFonts w:ascii="Arial" w:hAnsi="Arial" w:cs="Arial"/>
        </w:rPr>
        <w:t xml:space="preserve"> of the student's answers being biased towards what they felt we, the interviewers, wanted to hear; Clarke and Dawson (1999). In the transcription from the year 2/3 class [see appendix </w:t>
      </w:r>
      <w:r w:rsidR="00B2673A" w:rsidRPr="00921A77">
        <w:rPr>
          <w:rFonts w:ascii="Arial" w:hAnsi="Arial" w:cs="Arial"/>
        </w:rPr>
        <w:t>4</w:t>
      </w:r>
      <w:r w:rsidRPr="00921A77">
        <w:rPr>
          <w:rFonts w:ascii="Arial" w:hAnsi="Arial" w:cs="Arial"/>
        </w:rPr>
        <w:t xml:space="preserve">], one student changes their answer after the follow up question of “Why?” is asked, which could make the data obtained from the interviews unreliable. Having said that, the rest of the participants responses to the questions were varied and at times responded negatively, which suggests that the pupil who changed their response was the anomaly. The analysis of both the interviews suggested that the older class were far more engaged with the discussion, and open to voicing their views than the younger students [see appendices </w:t>
      </w:r>
      <w:r w:rsidR="00B2673A" w:rsidRPr="00921A77">
        <w:rPr>
          <w:rFonts w:ascii="Arial" w:hAnsi="Arial" w:cs="Arial"/>
        </w:rPr>
        <w:t>4+8</w:t>
      </w:r>
      <w:r w:rsidRPr="00921A77">
        <w:rPr>
          <w:rFonts w:ascii="Arial" w:hAnsi="Arial" w:cs="Arial"/>
        </w:rPr>
        <w:t xml:space="preserve">]. Nevertheless, Christensen and James (2017) believe that age should have no bearing on whether a child can participate in research or how they are approached as a participant, as long as the methods are appropriate for those involved. In relation to this lesson study, I believe that discussion at the beginning of the interview off the topic of background music might have relaxed the younger participants and made them more open to discussion. One area that might need more development should research like this be carried out </w:t>
      </w:r>
      <w:proofErr w:type="gramStart"/>
      <w:r w:rsidRPr="00921A77">
        <w:rPr>
          <w:rFonts w:ascii="Arial" w:hAnsi="Arial" w:cs="Arial"/>
        </w:rPr>
        <w:t>again,</w:t>
      </w:r>
      <w:proofErr w:type="gramEnd"/>
      <w:r w:rsidRPr="00921A77">
        <w:rPr>
          <w:rFonts w:ascii="Arial" w:hAnsi="Arial" w:cs="Arial"/>
        </w:rPr>
        <w:t xml:space="preserve"> is whether a lack of communication is a good indicator of concentration. </w:t>
      </w:r>
      <w:proofErr w:type="spellStart"/>
      <w:r w:rsidRPr="00921A77">
        <w:rPr>
          <w:rFonts w:ascii="Arial" w:hAnsi="Arial" w:cs="Arial"/>
        </w:rPr>
        <w:t>Duchowski</w:t>
      </w:r>
      <w:proofErr w:type="spellEnd"/>
      <w:r w:rsidRPr="00921A77">
        <w:rPr>
          <w:rFonts w:ascii="Arial" w:hAnsi="Arial" w:cs="Arial"/>
        </w:rPr>
        <w:t xml:space="preserve"> (2007) suggests that using eye-tracking technology is the most accurate way to measure concentration covertly. This software would need to be downloaded onto computers, and the students could complete the same lesson but digitally instead, ensuring that the data more accurately reflects the levels of concentration in the students, rather than highly measuring those who </w:t>
      </w:r>
      <w:r w:rsidRPr="00921A77">
        <w:rPr>
          <w:rFonts w:ascii="Arial" w:hAnsi="Arial" w:cs="Arial"/>
        </w:rPr>
        <w:lastRenderedPageBreak/>
        <w:t xml:space="preserve">are quiet by nature. Another area of this lesson study that should be changed for future research is the lack of a pilot study. We did not conduct a pilot study due to time restraints, however, in future this would be key, as according to Hassan, </w:t>
      </w:r>
      <w:proofErr w:type="spellStart"/>
      <w:r w:rsidRPr="00921A77">
        <w:rPr>
          <w:rFonts w:ascii="Arial" w:hAnsi="Arial" w:cs="Arial"/>
        </w:rPr>
        <w:t>Schattner</w:t>
      </w:r>
      <w:proofErr w:type="spellEnd"/>
      <w:r w:rsidRPr="00921A77">
        <w:rPr>
          <w:rFonts w:ascii="Arial" w:hAnsi="Arial" w:cs="Arial"/>
        </w:rPr>
        <w:t xml:space="preserve"> and </w:t>
      </w:r>
      <w:proofErr w:type="spellStart"/>
      <w:r w:rsidRPr="00921A77">
        <w:rPr>
          <w:rFonts w:ascii="Arial" w:hAnsi="Arial" w:cs="Arial"/>
        </w:rPr>
        <w:t>Massan</w:t>
      </w:r>
      <w:proofErr w:type="spellEnd"/>
      <w:r w:rsidRPr="00921A77">
        <w:rPr>
          <w:rFonts w:ascii="Arial" w:hAnsi="Arial" w:cs="Arial"/>
        </w:rPr>
        <w:t xml:space="preserve"> (2006) pilot studies are a vital research method to ensure that any problem areas within the study are identified and addressed prior to commencement. Piloting certain stages of the study such as the interview stage would have given us the chance to address the issue of participant confidence when discussing their views, giving us a fuller picture of the year 2/3 class perception of the background music being implemented. If I had the chance to continue the lesson study research in this field, I would look at the possibility of extending the length of the study to ensure that there are substantial findings to support any trends. In order for any results to be reliable, there would need to be extensive supporting data from several lessons and observations rather than just the two we conducted, which is backed up by the views of </w:t>
      </w:r>
      <w:proofErr w:type="spellStart"/>
      <w:r w:rsidRPr="00921A77">
        <w:rPr>
          <w:rFonts w:ascii="Arial" w:hAnsi="Arial" w:cs="Arial"/>
        </w:rPr>
        <w:t>Ducrey</w:t>
      </w:r>
      <w:proofErr w:type="spellEnd"/>
      <w:r w:rsidRPr="00921A77">
        <w:rPr>
          <w:rFonts w:ascii="Arial" w:hAnsi="Arial" w:cs="Arial"/>
        </w:rPr>
        <w:t xml:space="preserve"> (2016), who stated that for a lesson study to be generalized it needs to be exhaustive.</w:t>
      </w:r>
    </w:p>
    <w:p w14:paraId="52377968" w14:textId="22F2D04E" w:rsidR="00921A77" w:rsidRPr="00921A77" w:rsidRDefault="00921A77" w:rsidP="00921A77">
      <w:pPr>
        <w:spacing w:line="360" w:lineRule="auto"/>
        <w:rPr>
          <w:rFonts w:ascii="Arial" w:hAnsi="Arial" w:cs="Arial"/>
          <w:sz w:val="28"/>
        </w:rPr>
      </w:pPr>
      <w:r w:rsidRPr="00921A77">
        <w:rPr>
          <w:rFonts w:ascii="Arial" w:hAnsi="Arial" w:cs="Arial"/>
          <w:b/>
          <w:i/>
          <w:sz w:val="28"/>
        </w:rPr>
        <w:t>Recommendations</w:t>
      </w:r>
    </w:p>
    <w:p w14:paraId="1B9D557B" w14:textId="415C2543" w:rsidR="186BBB44" w:rsidRPr="00921A77" w:rsidRDefault="35ED2C67" w:rsidP="00921A77">
      <w:pPr>
        <w:spacing w:line="360" w:lineRule="auto"/>
        <w:rPr>
          <w:rFonts w:ascii="Arial" w:hAnsi="Arial" w:cs="Arial"/>
        </w:rPr>
      </w:pPr>
      <w:r w:rsidRPr="00921A77">
        <w:rPr>
          <w:rFonts w:ascii="Arial" w:hAnsi="Arial" w:cs="Arial"/>
        </w:rPr>
        <w:t>Having analysed the findings and looked at them through the lens of relevant literature, it is clear that there are a variety of potential applications and benefits of implementing background music in a classroom setting. When looking at the practical application of these findings in schools, perhaps giving students the chance to listen to music on the school headphones for short periods of the day could aid wellbeing throughout the school, and potentially give students a tool for improving their emotional state for later life. This use of headphones when working would ensure that students are able to choose the music themselves for greater impact on wellbeing, (</w:t>
      </w:r>
      <w:proofErr w:type="spellStart"/>
      <w:r w:rsidRPr="00921A77">
        <w:rPr>
          <w:rFonts w:ascii="Arial" w:hAnsi="Arial" w:cs="Arial"/>
        </w:rPr>
        <w:t>Juslin</w:t>
      </w:r>
      <w:proofErr w:type="spellEnd"/>
      <w:r w:rsidRPr="00921A77">
        <w:rPr>
          <w:rFonts w:ascii="Arial" w:hAnsi="Arial" w:cs="Arial"/>
        </w:rPr>
        <w:t xml:space="preserve"> and </w:t>
      </w:r>
      <w:proofErr w:type="spellStart"/>
      <w:proofErr w:type="gramStart"/>
      <w:r w:rsidRPr="00921A77">
        <w:rPr>
          <w:rFonts w:ascii="Arial" w:hAnsi="Arial" w:cs="Arial"/>
        </w:rPr>
        <w:t>Sloboda</w:t>
      </w:r>
      <w:proofErr w:type="spellEnd"/>
      <w:r w:rsidRPr="00921A77">
        <w:rPr>
          <w:rFonts w:ascii="Arial" w:hAnsi="Arial" w:cs="Arial"/>
        </w:rPr>
        <w:t xml:space="preserve"> ,</w:t>
      </w:r>
      <w:proofErr w:type="gramEnd"/>
      <w:r w:rsidRPr="00921A77">
        <w:rPr>
          <w:rFonts w:ascii="Arial" w:hAnsi="Arial" w:cs="Arial"/>
        </w:rPr>
        <w:t xml:space="preserve">2010; </w:t>
      </w:r>
      <w:r w:rsidRPr="00921A77">
        <w:rPr>
          <w:rFonts w:ascii="Arial" w:eastAsia="Calibri" w:hAnsi="Arial" w:cs="Arial"/>
        </w:rPr>
        <w:t xml:space="preserve">North and Hargreaves ,2008; Hallam and MacDonald ,2008;MacDonald, </w:t>
      </w:r>
      <w:proofErr w:type="spellStart"/>
      <w:r w:rsidRPr="00921A77">
        <w:rPr>
          <w:rFonts w:ascii="Arial" w:eastAsia="Calibri" w:hAnsi="Arial" w:cs="Arial"/>
        </w:rPr>
        <w:t>Kreutz</w:t>
      </w:r>
      <w:proofErr w:type="spellEnd"/>
      <w:r w:rsidRPr="00921A77">
        <w:rPr>
          <w:rFonts w:ascii="Arial" w:eastAsia="Calibri" w:hAnsi="Arial" w:cs="Arial"/>
        </w:rPr>
        <w:t xml:space="preserve"> and Mitchell, 2012; </w:t>
      </w:r>
      <w:proofErr w:type="spellStart"/>
      <w:r w:rsidRPr="00921A77">
        <w:rPr>
          <w:rFonts w:ascii="Arial" w:hAnsi="Arial" w:cs="Arial"/>
        </w:rPr>
        <w:t>Trondalen</w:t>
      </w:r>
      <w:proofErr w:type="spellEnd"/>
      <w:r w:rsidRPr="00921A77">
        <w:rPr>
          <w:rFonts w:ascii="Arial" w:hAnsi="Arial" w:cs="Arial"/>
        </w:rPr>
        <w:t xml:space="preserve"> and </w:t>
      </w:r>
      <w:proofErr w:type="spellStart"/>
      <w:r w:rsidRPr="00921A77">
        <w:rPr>
          <w:rFonts w:ascii="Arial" w:hAnsi="Arial" w:cs="Arial"/>
        </w:rPr>
        <w:t>Bonde</w:t>
      </w:r>
      <w:proofErr w:type="spellEnd"/>
      <w:r w:rsidRPr="00921A77">
        <w:rPr>
          <w:rFonts w:ascii="Arial" w:hAnsi="Arial" w:cs="Arial"/>
        </w:rPr>
        <w:t>, 2012) while impacting on their performance, (</w:t>
      </w:r>
      <w:proofErr w:type="spellStart"/>
      <w:r w:rsidRPr="00921A77">
        <w:rPr>
          <w:rFonts w:ascii="Arial" w:hAnsi="Arial" w:cs="Arial"/>
        </w:rPr>
        <w:t>Bonde</w:t>
      </w:r>
      <w:proofErr w:type="spellEnd"/>
      <w:r w:rsidRPr="00921A77">
        <w:rPr>
          <w:rFonts w:ascii="Arial" w:hAnsi="Arial" w:cs="Arial"/>
        </w:rPr>
        <w:t xml:space="preserve">, 2011; </w:t>
      </w:r>
      <w:proofErr w:type="spellStart"/>
      <w:r w:rsidRPr="00921A77">
        <w:rPr>
          <w:rFonts w:ascii="Arial" w:hAnsi="Arial" w:cs="Arial"/>
        </w:rPr>
        <w:t>Tze</w:t>
      </w:r>
      <w:proofErr w:type="spellEnd"/>
      <w:r w:rsidRPr="00921A77">
        <w:rPr>
          <w:rFonts w:ascii="Arial" w:hAnsi="Arial" w:cs="Arial"/>
        </w:rPr>
        <w:t xml:space="preserve"> and Chou, 2010; </w:t>
      </w:r>
      <w:proofErr w:type="spellStart"/>
      <w:r w:rsidRPr="00921A77">
        <w:rPr>
          <w:rFonts w:ascii="Arial" w:hAnsi="Arial" w:cs="Arial"/>
        </w:rPr>
        <w:t>Koolidge</w:t>
      </w:r>
      <w:proofErr w:type="spellEnd"/>
      <w:r w:rsidRPr="00921A77">
        <w:rPr>
          <w:rFonts w:ascii="Arial" w:hAnsi="Arial" w:cs="Arial"/>
        </w:rPr>
        <w:t xml:space="preserve"> and Holmes, 2018; Shih, Huang and Chiang, 2012). An activity such as the free writing task the classes completed during the lesson </w:t>
      </w:r>
      <w:r w:rsidR="0097702F" w:rsidRPr="00921A77">
        <w:rPr>
          <w:rFonts w:ascii="Arial" w:hAnsi="Arial" w:cs="Arial"/>
        </w:rPr>
        <w:t>study,</w:t>
      </w:r>
      <w:r w:rsidRPr="00921A77">
        <w:rPr>
          <w:rFonts w:ascii="Arial" w:hAnsi="Arial" w:cs="Arial"/>
        </w:rPr>
        <w:t xml:space="preserve"> could potentially be of benefit as a short weekly activity with background music, to allow students the chance to use the calm of the music to get in touch with how they feel, as it was made apparent that students felt that background music was best suited to creative writing tasks. For future research it would be of interest to take a detailed look at the impact music can have on the content of students work. Whether certain types of music can change what the students write, not just how they feel while writing it. </w:t>
      </w:r>
    </w:p>
    <w:p w14:paraId="74DD8C1E" w14:textId="5BDE1B07" w:rsidR="0ABEA71C" w:rsidRPr="00921A77" w:rsidRDefault="0ABEA71C" w:rsidP="0ABEA71C">
      <w:pPr>
        <w:rPr>
          <w:rFonts w:ascii="Arial" w:hAnsi="Arial" w:cs="Arial"/>
        </w:rPr>
      </w:pPr>
    </w:p>
    <w:p w14:paraId="28B94D9F" w14:textId="09240594" w:rsidR="35ED2C67" w:rsidRPr="00921A77" w:rsidRDefault="35ED2C67" w:rsidP="35ED2C67">
      <w:pPr>
        <w:rPr>
          <w:rFonts w:ascii="Arial" w:eastAsia="Calibri" w:hAnsi="Arial" w:cs="Arial"/>
        </w:rPr>
      </w:pPr>
    </w:p>
    <w:p w14:paraId="0829D4C1" w14:textId="77777777" w:rsidR="00921A77" w:rsidRDefault="00921A77" w:rsidP="00921A77">
      <w:pPr>
        <w:spacing w:after="0" w:line="360" w:lineRule="auto"/>
        <w:rPr>
          <w:rFonts w:ascii="Arial" w:eastAsia="Calibri" w:hAnsi="Arial" w:cs="Arial"/>
        </w:rPr>
      </w:pPr>
    </w:p>
    <w:p w14:paraId="47D3AF81" w14:textId="77777777" w:rsidR="00921A77" w:rsidRDefault="00921A77" w:rsidP="00921A77">
      <w:pPr>
        <w:spacing w:after="0" w:line="360" w:lineRule="auto"/>
        <w:rPr>
          <w:rFonts w:ascii="Arial" w:eastAsia="Calibri" w:hAnsi="Arial" w:cs="Arial"/>
        </w:rPr>
      </w:pPr>
    </w:p>
    <w:p w14:paraId="72FF5E5A" w14:textId="5F5EB6B8" w:rsidR="0097702F" w:rsidRPr="00921A77" w:rsidRDefault="00921A77" w:rsidP="00921A77">
      <w:pPr>
        <w:spacing w:after="0" w:line="360" w:lineRule="auto"/>
        <w:rPr>
          <w:rFonts w:ascii="Arial" w:hAnsi="Arial" w:cs="Arial"/>
          <w:b/>
          <w:i/>
          <w:sz w:val="28"/>
        </w:rPr>
      </w:pPr>
      <w:r w:rsidRPr="00921A77">
        <w:rPr>
          <w:rFonts w:ascii="Arial" w:hAnsi="Arial" w:cs="Arial"/>
          <w:b/>
          <w:i/>
          <w:sz w:val="28"/>
        </w:rPr>
        <w:t>Re</w:t>
      </w:r>
      <w:r w:rsidRPr="00921A77">
        <w:rPr>
          <w:rFonts w:ascii="Arial" w:hAnsi="Arial" w:cs="Arial"/>
          <w:b/>
          <w:i/>
          <w:sz w:val="28"/>
        </w:rPr>
        <w:t>ference List</w:t>
      </w:r>
    </w:p>
    <w:p w14:paraId="6791CC7D" w14:textId="77777777" w:rsidR="00921A77" w:rsidRPr="00921A77" w:rsidRDefault="00921A77" w:rsidP="00921A77">
      <w:pPr>
        <w:spacing w:after="0" w:line="360" w:lineRule="auto"/>
        <w:rPr>
          <w:rFonts w:ascii="Arial" w:eastAsiaTheme="minorEastAsia" w:hAnsi="Arial" w:cs="Arial"/>
          <w:u w:val="single"/>
        </w:rPr>
      </w:pPr>
    </w:p>
    <w:p w14:paraId="1A0443AE" w14:textId="6DA89F18" w:rsidR="2CBF46BE" w:rsidRPr="00921A77" w:rsidRDefault="0ABEA71C" w:rsidP="00921A77">
      <w:pPr>
        <w:spacing w:after="0" w:line="360" w:lineRule="auto"/>
        <w:rPr>
          <w:rFonts w:ascii="Arial" w:eastAsiaTheme="minorEastAsia" w:hAnsi="Arial" w:cs="Arial"/>
        </w:rPr>
      </w:pPr>
      <w:proofErr w:type="gramStart"/>
      <w:r w:rsidRPr="00921A77">
        <w:rPr>
          <w:rFonts w:ascii="Arial" w:eastAsiaTheme="minorEastAsia" w:hAnsi="Arial" w:cs="Arial"/>
        </w:rPr>
        <w:t>Adamson, B &amp; Walker, E (2011).</w:t>
      </w:r>
      <w:proofErr w:type="gramEnd"/>
      <w:r w:rsidRPr="00921A77">
        <w:rPr>
          <w:rFonts w:ascii="Arial" w:eastAsiaTheme="minorEastAsia" w:hAnsi="Arial" w:cs="Arial"/>
        </w:rPr>
        <w:t xml:space="preserve"> Messy collaboration: Learning from a learning study. </w:t>
      </w:r>
      <w:r w:rsidRPr="00921A77">
        <w:rPr>
          <w:rFonts w:ascii="Arial" w:eastAsiaTheme="minorEastAsia" w:hAnsi="Arial" w:cs="Arial"/>
          <w:i/>
          <w:iCs/>
        </w:rPr>
        <w:t>Teaching and Teacher Education</w:t>
      </w:r>
      <w:r w:rsidRPr="00921A77">
        <w:rPr>
          <w:rFonts w:ascii="Arial" w:eastAsiaTheme="minorEastAsia" w:hAnsi="Arial" w:cs="Arial"/>
        </w:rPr>
        <w:t>, 27(1):29–36.</w:t>
      </w:r>
    </w:p>
    <w:p w14:paraId="4B91B96A" w14:textId="3083AB59" w:rsidR="2CBF46BE" w:rsidRPr="00921A77" w:rsidRDefault="2CBF46BE" w:rsidP="00921A77">
      <w:pPr>
        <w:spacing w:after="0" w:line="360" w:lineRule="auto"/>
        <w:rPr>
          <w:rFonts w:ascii="Arial" w:eastAsiaTheme="minorEastAsia" w:hAnsi="Arial" w:cs="Arial"/>
        </w:rPr>
      </w:pPr>
    </w:p>
    <w:p w14:paraId="5DAB6C7B" w14:textId="31ECA0B4" w:rsidR="00BD7A07" w:rsidRPr="00921A77" w:rsidRDefault="75FD1782" w:rsidP="00921A77">
      <w:pPr>
        <w:spacing w:after="0" w:line="360" w:lineRule="auto"/>
        <w:rPr>
          <w:rFonts w:ascii="Arial" w:eastAsiaTheme="minorEastAsia" w:hAnsi="Arial" w:cs="Arial"/>
        </w:rPr>
      </w:pPr>
      <w:proofErr w:type="spellStart"/>
      <w:r w:rsidRPr="00921A77">
        <w:rPr>
          <w:rFonts w:ascii="Arial" w:eastAsiaTheme="minorEastAsia" w:hAnsi="Arial" w:cs="Arial"/>
        </w:rPr>
        <w:t>Bassey</w:t>
      </w:r>
      <w:proofErr w:type="spellEnd"/>
      <w:r w:rsidRPr="00921A77">
        <w:rPr>
          <w:rFonts w:ascii="Arial" w:eastAsiaTheme="minorEastAsia" w:hAnsi="Arial" w:cs="Arial"/>
        </w:rPr>
        <w:t xml:space="preserve">, M. (1998) </w:t>
      </w:r>
      <w:r w:rsidRPr="00921A77">
        <w:rPr>
          <w:rFonts w:ascii="Arial" w:eastAsiaTheme="minorEastAsia" w:hAnsi="Arial" w:cs="Arial"/>
          <w:i/>
          <w:iCs/>
        </w:rPr>
        <w:t>‘Action Research for Improving Education Practice’.</w:t>
      </w:r>
      <w:r w:rsidRPr="00921A77">
        <w:rPr>
          <w:rFonts w:ascii="Arial" w:eastAsiaTheme="minorEastAsia" w:hAnsi="Arial" w:cs="Arial"/>
        </w:rPr>
        <w:t xml:space="preserve"> In </w:t>
      </w:r>
      <w:proofErr w:type="spellStart"/>
      <w:r w:rsidRPr="00921A77">
        <w:rPr>
          <w:rFonts w:ascii="Arial" w:eastAsiaTheme="minorEastAsia" w:hAnsi="Arial" w:cs="Arial"/>
        </w:rPr>
        <w:t>Halsall</w:t>
      </w:r>
      <w:proofErr w:type="spellEnd"/>
      <w:r w:rsidRPr="00921A77">
        <w:rPr>
          <w:rFonts w:ascii="Arial" w:eastAsiaTheme="minorEastAsia" w:hAnsi="Arial" w:cs="Arial"/>
        </w:rPr>
        <w:t>, R. (</w:t>
      </w:r>
      <w:proofErr w:type="spellStart"/>
      <w:proofErr w:type="gramStart"/>
      <w:r w:rsidRPr="00921A77">
        <w:rPr>
          <w:rFonts w:ascii="Arial" w:eastAsiaTheme="minorEastAsia" w:hAnsi="Arial" w:cs="Arial"/>
        </w:rPr>
        <w:t>ed</w:t>
      </w:r>
      <w:proofErr w:type="spellEnd"/>
      <w:proofErr w:type="gramEnd"/>
      <w:r w:rsidRPr="00921A77">
        <w:rPr>
          <w:rFonts w:ascii="Arial" w:eastAsiaTheme="minorEastAsia" w:hAnsi="Arial" w:cs="Arial"/>
        </w:rPr>
        <w:t>) Teacher Research and School Improvement: opening doors from the inside. Buckingham university press:  pp: 93-108.</w:t>
      </w:r>
    </w:p>
    <w:p w14:paraId="11834DAC" w14:textId="06845B69" w:rsidR="75FD1782" w:rsidRPr="00921A77" w:rsidRDefault="75FD1782" w:rsidP="00921A77">
      <w:pPr>
        <w:spacing w:after="0" w:line="360" w:lineRule="auto"/>
        <w:rPr>
          <w:rFonts w:ascii="Arial" w:eastAsiaTheme="minorEastAsia" w:hAnsi="Arial" w:cs="Arial"/>
        </w:rPr>
      </w:pPr>
    </w:p>
    <w:p w14:paraId="2C132182" w14:textId="77777777" w:rsidR="00964B5A" w:rsidRPr="00921A77" w:rsidRDefault="0ABEA71C" w:rsidP="00921A77">
      <w:pPr>
        <w:shd w:val="clear" w:color="auto" w:fill="FFFFFF" w:themeFill="background1"/>
        <w:spacing w:after="0" w:line="360" w:lineRule="auto"/>
        <w:rPr>
          <w:rFonts w:ascii="Arial" w:eastAsiaTheme="minorEastAsia" w:hAnsi="Arial" w:cs="Arial"/>
          <w:lang w:eastAsia="en-GB"/>
        </w:rPr>
      </w:pPr>
      <w:proofErr w:type="gramStart"/>
      <w:r w:rsidRPr="00921A77">
        <w:rPr>
          <w:rFonts w:ascii="Arial" w:eastAsiaTheme="minorEastAsia" w:hAnsi="Arial" w:cs="Arial"/>
          <w:lang w:eastAsia="en-GB"/>
        </w:rPr>
        <w:t>Beck, S. E., &amp; Manuel, K. (2008).</w:t>
      </w:r>
      <w:proofErr w:type="gramEnd"/>
      <w:r w:rsidRPr="00921A77">
        <w:rPr>
          <w:rFonts w:ascii="Arial" w:eastAsiaTheme="minorEastAsia" w:hAnsi="Arial" w:cs="Arial"/>
          <w:lang w:eastAsia="en-GB"/>
        </w:rPr>
        <w:t xml:space="preserve"> </w:t>
      </w:r>
      <w:proofErr w:type="gramStart"/>
      <w:r w:rsidRPr="00921A77">
        <w:rPr>
          <w:rFonts w:ascii="Arial" w:eastAsiaTheme="minorEastAsia" w:hAnsi="Arial" w:cs="Arial"/>
          <w:i/>
          <w:iCs/>
          <w:lang w:eastAsia="en-GB"/>
        </w:rPr>
        <w:t>Practical research methods for librarians and information professionals</w:t>
      </w:r>
      <w:r w:rsidRPr="00921A77">
        <w:rPr>
          <w:rFonts w:ascii="Arial" w:eastAsiaTheme="minorEastAsia" w:hAnsi="Arial" w:cs="Arial"/>
          <w:lang w:eastAsia="en-GB"/>
        </w:rPr>
        <w:t>.</w:t>
      </w:r>
      <w:proofErr w:type="gramEnd"/>
      <w:r w:rsidRPr="00921A77">
        <w:rPr>
          <w:rFonts w:ascii="Arial" w:eastAsiaTheme="minorEastAsia" w:hAnsi="Arial" w:cs="Arial"/>
          <w:lang w:eastAsia="en-GB"/>
        </w:rPr>
        <w:t xml:space="preserve"> New York, NY: Neal-Schuman</w:t>
      </w:r>
    </w:p>
    <w:p w14:paraId="0596E484" w14:textId="188E9D3A" w:rsidR="2CBF46BE" w:rsidRPr="00921A77" w:rsidRDefault="2CBF46BE" w:rsidP="00921A77">
      <w:pPr>
        <w:shd w:val="clear" w:color="auto" w:fill="FFFFFF" w:themeFill="background1"/>
        <w:spacing w:after="0" w:line="360" w:lineRule="auto"/>
        <w:rPr>
          <w:rFonts w:ascii="Arial" w:eastAsiaTheme="minorEastAsia" w:hAnsi="Arial" w:cs="Arial"/>
          <w:lang w:eastAsia="en-GB"/>
        </w:rPr>
      </w:pPr>
    </w:p>
    <w:p w14:paraId="272BFE36" w14:textId="47370049" w:rsidR="2CBF46BE" w:rsidRPr="00921A77" w:rsidRDefault="0ABEA71C" w:rsidP="00921A77">
      <w:pPr>
        <w:spacing w:after="0" w:line="360" w:lineRule="auto"/>
        <w:rPr>
          <w:rFonts w:ascii="Arial" w:eastAsiaTheme="minorEastAsia" w:hAnsi="Arial" w:cs="Arial"/>
        </w:rPr>
      </w:pPr>
      <w:proofErr w:type="gramStart"/>
      <w:r w:rsidRPr="00921A77">
        <w:rPr>
          <w:rFonts w:ascii="Arial" w:eastAsiaTheme="minorEastAsia" w:hAnsi="Arial" w:cs="Arial"/>
        </w:rPr>
        <w:t xml:space="preserve">British Educational Research Association (BERA) (2018) </w:t>
      </w:r>
      <w:r w:rsidRPr="00921A77">
        <w:rPr>
          <w:rFonts w:ascii="Arial" w:eastAsiaTheme="minorEastAsia" w:hAnsi="Arial" w:cs="Arial"/>
          <w:i/>
          <w:iCs/>
        </w:rPr>
        <w:t>Ethical guidelines for educational research</w:t>
      </w:r>
      <w:r w:rsidRPr="00921A77">
        <w:rPr>
          <w:rFonts w:ascii="Arial" w:eastAsiaTheme="minorEastAsia" w:hAnsi="Arial" w:cs="Arial"/>
        </w:rPr>
        <w:t>.</w:t>
      </w:r>
      <w:proofErr w:type="gramEnd"/>
      <w:r w:rsidRPr="00921A77">
        <w:rPr>
          <w:rFonts w:ascii="Arial" w:eastAsiaTheme="minorEastAsia" w:hAnsi="Arial" w:cs="Arial"/>
        </w:rPr>
        <w:t xml:space="preserve"> </w:t>
      </w:r>
      <w:proofErr w:type="gramStart"/>
      <w:r w:rsidRPr="00921A77">
        <w:rPr>
          <w:rFonts w:ascii="Arial" w:eastAsiaTheme="minorEastAsia" w:hAnsi="Arial" w:cs="Arial"/>
        </w:rPr>
        <w:t xml:space="preserve">4th </w:t>
      </w:r>
      <w:proofErr w:type="spellStart"/>
      <w:r w:rsidRPr="00921A77">
        <w:rPr>
          <w:rFonts w:ascii="Arial" w:eastAsiaTheme="minorEastAsia" w:hAnsi="Arial" w:cs="Arial"/>
        </w:rPr>
        <w:t>edn</w:t>
      </w:r>
      <w:proofErr w:type="spellEnd"/>
      <w:r w:rsidRPr="00921A77">
        <w:rPr>
          <w:rFonts w:ascii="Arial" w:eastAsiaTheme="minorEastAsia" w:hAnsi="Arial" w:cs="Arial"/>
        </w:rPr>
        <w:t>.</w:t>
      </w:r>
      <w:proofErr w:type="gramEnd"/>
      <w:r w:rsidRPr="00921A77">
        <w:rPr>
          <w:rFonts w:ascii="Arial" w:eastAsiaTheme="minorEastAsia" w:hAnsi="Arial" w:cs="Arial"/>
        </w:rPr>
        <w:t xml:space="preserve"> Available at: </w:t>
      </w:r>
      <w:hyperlink r:id="rId6">
        <w:r w:rsidRPr="00921A77">
          <w:rPr>
            <w:rStyle w:val="Hyperlink"/>
            <w:rFonts w:ascii="Arial" w:eastAsiaTheme="minorEastAsia" w:hAnsi="Arial" w:cs="Arial"/>
            <w:color w:val="auto"/>
            <w:u w:val="none"/>
          </w:rPr>
          <w:t>https://www.bera.ac.uk/researchers-resources/publications/ethical-guidelines-for-educational-research-2018</w:t>
        </w:r>
      </w:hyperlink>
      <w:r w:rsidRPr="00921A77">
        <w:rPr>
          <w:rFonts w:ascii="Arial" w:eastAsiaTheme="minorEastAsia" w:hAnsi="Arial" w:cs="Arial"/>
        </w:rPr>
        <w:t xml:space="preserve"> (Accessed: 14</w:t>
      </w:r>
      <w:r w:rsidRPr="00921A77">
        <w:rPr>
          <w:rFonts w:ascii="Arial" w:eastAsiaTheme="minorEastAsia" w:hAnsi="Arial" w:cs="Arial"/>
          <w:vertAlign w:val="superscript"/>
        </w:rPr>
        <w:t>th</w:t>
      </w:r>
      <w:r w:rsidRPr="00921A77">
        <w:rPr>
          <w:rFonts w:ascii="Arial" w:eastAsiaTheme="minorEastAsia" w:hAnsi="Arial" w:cs="Arial"/>
        </w:rPr>
        <w:t xml:space="preserve"> February 2020).</w:t>
      </w:r>
    </w:p>
    <w:p w14:paraId="748A7EF4" w14:textId="432DCA1E" w:rsidR="0ABEA71C" w:rsidRPr="00921A77" w:rsidRDefault="0ABEA71C" w:rsidP="00921A77">
      <w:pPr>
        <w:spacing w:after="0" w:line="360" w:lineRule="auto"/>
        <w:rPr>
          <w:rFonts w:ascii="Arial" w:eastAsiaTheme="minorEastAsia" w:hAnsi="Arial" w:cs="Arial"/>
        </w:rPr>
      </w:pPr>
    </w:p>
    <w:p w14:paraId="761FF869" w14:textId="332DA5E8" w:rsidR="0ABEA71C" w:rsidRPr="00921A77" w:rsidRDefault="0ABEA71C" w:rsidP="00921A77">
      <w:pPr>
        <w:spacing w:after="0" w:line="360" w:lineRule="auto"/>
        <w:rPr>
          <w:rFonts w:ascii="Arial" w:eastAsiaTheme="minorEastAsia" w:hAnsi="Arial" w:cs="Arial"/>
        </w:rPr>
      </w:pPr>
      <w:r w:rsidRPr="00921A77">
        <w:rPr>
          <w:rFonts w:ascii="Arial" w:eastAsiaTheme="minorEastAsia" w:hAnsi="Arial" w:cs="Arial"/>
        </w:rPr>
        <w:t xml:space="preserve">Bruscia, K.E. (1998). </w:t>
      </w:r>
      <w:proofErr w:type="gramStart"/>
      <w:r w:rsidRPr="00921A77">
        <w:rPr>
          <w:rFonts w:ascii="Arial" w:eastAsiaTheme="minorEastAsia" w:hAnsi="Arial" w:cs="Arial"/>
          <w:i/>
          <w:iCs/>
        </w:rPr>
        <w:t>Defining Music Therapy</w:t>
      </w:r>
      <w:r w:rsidRPr="00921A77">
        <w:rPr>
          <w:rFonts w:ascii="Arial" w:eastAsiaTheme="minorEastAsia" w:hAnsi="Arial" w:cs="Arial"/>
        </w:rPr>
        <w:t>.</w:t>
      </w:r>
      <w:proofErr w:type="gramEnd"/>
      <w:r w:rsidRPr="00921A77">
        <w:rPr>
          <w:rFonts w:ascii="Arial" w:eastAsiaTheme="minorEastAsia" w:hAnsi="Arial" w:cs="Arial"/>
        </w:rPr>
        <w:t xml:space="preserve"> Second Edition ed. Lower Village: Barcelona Publishers.</w:t>
      </w:r>
    </w:p>
    <w:p w14:paraId="02EB378F" w14:textId="77777777" w:rsidR="00904D49" w:rsidRPr="00921A77" w:rsidRDefault="00904D49" w:rsidP="00921A77">
      <w:pPr>
        <w:shd w:val="clear" w:color="auto" w:fill="FFFFFF" w:themeFill="background1"/>
        <w:spacing w:after="0" w:line="360" w:lineRule="auto"/>
        <w:rPr>
          <w:rFonts w:ascii="Arial" w:eastAsiaTheme="minorEastAsia" w:hAnsi="Arial" w:cs="Arial"/>
          <w:lang w:eastAsia="en-GB"/>
        </w:rPr>
      </w:pPr>
    </w:p>
    <w:p w14:paraId="6A05A809" w14:textId="3C6ABC5E" w:rsidR="00904D49" w:rsidRPr="00921A77" w:rsidRDefault="00904D49" w:rsidP="00921A77">
      <w:pPr>
        <w:spacing w:line="360" w:lineRule="auto"/>
        <w:rPr>
          <w:rFonts w:ascii="Arial" w:eastAsiaTheme="minorEastAsia" w:hAnsi="Arial" w:cs="Arial"/>
          <w:lang w:eastAsia="en-GB"/>
        </w:rPr>
      </w:pPr>
      <w:r w:rsidRPr="00921A77">
        <w:rPr>
          <w:rFonts w:ascii="Arial" w:eastAsiaTheme="minorEastAsia" w:hAnsi="Arial" w:cs="Arial"/>
          <w:shd w:val="clear" w:color="auto" w:fill="FFFFFF"/>
        </w:rPr>
        <w:t>Bloor, A.J., (2009).</w:t>
      </w:r>
      <w:r w:rsidRPr="00921A77">
        <w:rPr>
          <w:rFonts w:ascii="Arial" w:eastAsiaTheme="minorEastAsia" w:hAnsi="Arial" w:cs="Arial"/>
          <w:i/>
          <w:iCs/>
          <w:shd w:val="clear" w:color="auto" w:fill="FFFFFF"/>
        </w:rPr>
        <w:t xml:space="preserve"> The Rhythm's </w:t>
      </w:r>
      <w:proofErr w:type="spellStart"/>
      <w:r w:rsidRPr="00921A77">
        <w:rPr>
          <w:rFonts w:ascii="Arial" w:eastAsiaTheme="minorEastAsia" w:hAnsi="Arial" w:cs="Arial"/>
          <w:i/>
          <w:iCs/>
          <w:shd w:val="clear" w:color="auto" w:fill="FFFFFF"/>
        </w:rPr>
        <w:t>Gonna</w:t>
      </w:r>
      <w:proofErr w:type="spellEnd"/>
      <w:r w:rsidRPr="00921A77">
        <w:rPr>
          <w:rFonts w:ascii="Arial" w:eastAsiaTheme="minorEastAsia" w:hAnsi="Arial" w:cs="Arial"/>
          <w:i/>
          <w:iCs/>
          <w:shd w:val="clear" w:color="auto" w:fill="FFFFFF"/>
        </w:rPr>
        <w:t xml:space="preserve"> Get </w:t>
      </w:r>
      <w:proofErr w:type="spellStart"/>
      <w:r w:rsidRPr="00921A77">
        <w:rPr>
          <w:rFonts w:ascii="Arial" w:eastAsiaTheme="minorEastAsia" w:hAnsi="Arial" w:cs="Arial"/>
          <w:i/>
          <w:iCs/>
          <w:shd w:val="clear" w:color="auto" w:fill="FFFFFF"/>
        </w:rPr>
        <w:t>Ya</w:t>
      </w:r>
      <w:proofErr w:type="spellEnd"/>
      <w:r w:rsidRPr="00921A77">
        <w:rPr>
          <w:rFonts w:ascii="Arial" w:eastAsiaTheme="minorEastAsia" w:hAnsi="Arial" w:cs="Arial"/>
          <w:i/>
          <w:iCs/>
          <w:shd w:val="clear" w:color="auto" w:fill="FFFFFF"/>
        </w:rPr>
        <w:t>'--Background Music in Primary Classrooms and Its Effect on Behaviour and Attainment</w:t>
      </w:r>
      <w:r w:rsidRPr="00921A77">
        <w:rPr>
          <w:rFonts w:ascii="Arial" w:eastAsiaTheme="minorEastAsia" w:hAnsi="Arial" w:cs="Arial"/>
          <w:shd w:val="clear" w:color="auto" w:fill="FFFFFF"/>
        </w:rPr>
        <w:t>. </w:t>
      </w:r>
      <w:proofErr w:type="gramStart"/>
      <w:r w:rsidRPr="00921A77">
        <w:rPr>
          <w:rFonts w:ascii="Arial" w:eastAsiaTheme="minorEastAsia" w:hAnsi="Arial" w:cs="Arial"/>
          <w:i/>
          <w:iCs/>
          <w:shd w:val="clear" w:color="auto" w:fill="FFFFFF"/>
        </w:rPr>
        <w:t>Emotional &amp; Behavioural Difficulties</w:t>
      </w:r>
      <w:r w:rsidRPr="00921A77">
        <w:rPr>
          <w:rFonts w:ascii="Arial" w:eastAsiaTheme="minorEastAsia" w:hAnsi="Arial" w:cs="Arial"/>
          <w:shd w:val="clear" w:color="auto" w:fill="FFFFFF"/>
        </w:rPr>
        <w:t>, 14(4), pp.261–274.</w:t>
      </w:r>
      <w:proofErr w:type="gramEnd"/>
    </w:p>
    <w:p w14:paraId="7A83D9EB" w14:textId="6927EB91" w:rsidR="0ABEA71C" w:rsidRPr="00921A77" w:rsidRDefault="0ABEA71C" w:rsidP="00921A77">
      <w:pPr>
        <w:spacing w:line="360" w:lineRule="auto"/>
        <w:rPr>
          <w:rFonts w:ascii="Arial" w:eastAsiaTheme="minorEastAsia" w:hAnsi="Arial" w:cs="Arial"/>
        </w:rPr>
      </w:pPr>
      <w:proofErr w:type="spellStart"/>
      <w:r w:rsidRPr="00921A77">
        <w:rPr>
          <w:rFonts w:ascii="Arial" w:eastAsiaTheme="minorEastAsia" w:hAnsi="Arial" w:cs="Arial"/>
        </w:rPr>
        <w:t>Bonde</w:t>
      </w:r>
      <w:proofErr w:type="spellEnd"/>
      <w:r w:rsidRPr="00921A77">
        <w:rPr>
          <w:rFonts w:ascii="Arial" w:eastAsiaTheme="minorEastAsia" w:hAnsi="Arial" w:cs="Arial"/>
        </w:rPr>
        <w:t xml:space="preserve">, L.O. (2011). Health </w:t>
      </w:r>
      <w:proofErr w:type="gramStart"/>
      <w:r w:rsidRPr="00921A77">
        <w:rPr>
          <w:rFonts w:ascii="Arial" w:eastAsiaTheme="minorEastAsia" w:hAnsi="Arial" w:cs="Arial"/>
        </w:rPr>
        <w:t>music(</w:t>
      </w:r>
      <w:proofErr w:type="gramEnd"/>
      <w:r w:rsidRPr="00921A77">
        <w:rPr>
          <w:rFonts w:ascii="Arial" w:eastAsiaTheme="minorEastAsia" w:hAnsi="Arial" w:cs="Arial"/>
        </w:rPr>
        <w:t>k)</w:t>
      </w:r>
      <w:proofErr w:type="spellStart"/>
      <w:r w:rsidRPr="00921A77">
        <w:rPr>
          <w:rFonts w:ascii="Arial" w:eastAsiaTheme="minorEastAsia" w:hAnsi="Arial" w:cs="Arial"/>
        </w:rPr>
        <w:t>ing</w:t>
      </w:r>
      <w:proofErr w:type="spellEnd"/>
      <w:r w:rsidRPr="00921A77">
        <w:rPr>
          <w:rFonts w:ascii="Arial" w:eastAsiaTheme="minorEastAsia" w:hAnsi="Arial" w:cs="Arial"/>
        </w:rPr>
        <w:t xml:space="preserve"> – Music therapy or music and health? </w:t>
      </w:r>
      <w:proofErr w:type="gramStart"/>
      <w:r w:rsidRPr="00921A77">
        <w:rPr>
          <w:rFonts w:ascii="Arial" w:eastAsiaTheme="minorEastAsia" w:hAnsi="Arial" w:cs="Arial"/>
        </w:rPr>
        <w:t>A model, eight empirical examples and some personal reflections.</w:t>
      </w:r>
      <w:proofErr w:type="gramEnd"/>
      <w:r w:rsidRPr="00921A77">
        <w:rPr>
          <w:rFonts w:ascii="Arial" w:eastAsiaTheme="minorEastAsia" w:hAnsi="Arial" w:cs="Arial"/>
        </w:rPr>
        <w:t xml:space="preserve"> </w:t>
      </w:r>
      <w:r w:rsidRPr="00921A77">
        <w:rPr>
          <w:rFonts w:ascii="Arial" w:eastAsiaTheme="minorEastAsia" w:hAnsi="Arial" w:cs="Arial"/>
          <w:i/>
          <w:iCs/>
        </w:rPr>
        <w:t>Music and Arts in Action</w:t>
      </w:r>
      <w:r w:rsidRPr="00921A77">
        <w:rPr>
          <w:rFonts w:ascii="Arial" w:eastAsiaTheme="minorEastAsia" w:hAnsi="Arial" w:cs="Arial"/>
        </w:rPr>
        <w:t xml:space="preserve"> (Special Issue: Health promotion and wellness) 120–40</w:t>
      </w:r>
    </w:p>
    <w:p w14:paraId="62661B08" w14:textId="13B9D6D3" w:rsidR="00DF5535" w:rsidRPr="00921A77" w:rsidRDefault="35ED2C67"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t>Celebioglu</w:t>
      </w:r>
      <w:proofErr w:type="spellEnd"/>
      <w:r w:rsidRPr="00921A77">
        <w:rPr>
          <w:rFonts w:ascii="Arial" w:eastAsiaTheme="minorEastAsia" w:hAnsi="Arial" w:cs="Arial"/>
        </w:rPr>
        <w:t xml:space="preserve">, B. &amp; </w:t>
      </w:r>
      <w:proofErr w:type="spellStart"/>
      <w:r w:rsidRPr="00921A77">
        <w:rPr>
          <w:rFonts w:ascii="Arial" w:eastAsiaTheme="minorEastAsia" w:hAnsi="Arial" w:cs="Arial"/>
        </w:rPr>
        <w:t>Ezentaş</w:t>
      </w:r>
      <w:proofErr w:type="spellEnd"/>
      <w:r w:rsidRPr="00921A77">
        <w:rPr>
          <w:rFonts w:ascii="Arial" w:eastAsiaTheme="minorEastAsia" w:hAnsi="Arial" w:cs="Arial"/>
        </w:rPr>
        <w:t>, R., (2011).</w:t>
      </w:r>
      <w:proofErr w:type="gramEnd"/>
      <w:r w:rsidRPr="00921A77">
        <w:rPr>
          <w:rFonts w:ascii="Arial" w:eastAsiaTheme="minorEastAsia" w:hAnsi="Arial" w:cs="Arial"/>
        </w:rPr>
        <w:t xml:space="preserve"> </w:t>
      </w:r>
      <w:r w:rsidRPr="00921A77">
        <w:rPr>
          <w:rFonts w:ascii="Arial" w:eastAsiaTheme="minorEastAsia" w:hAnsi="Arial" w:cs="Arial"/>
          <w:i/>
          <w:iCs/>
        </w:rPr>
        <w:t>Usage of Non-routine Problem-Solving Strategies: Semi-Structured Interviews with First Grade Students.</w:t>
      </w:r>
      <w:r w:rsidRPr="00921A77">
        <w:rPr>
          <w:rFonts w:ascii="Arial" w:eastAsiaTheme="minorEastAsia" w:hAnsi="Arial" w:cs="Arial"/>
        </w:rPr>
        <w:t xml:space="preserve"> </w:t>
      </w:r>
      <w:proofErr w:type="gramStart"/>
      <w:r w:rsidRPr="00921A77">
        <w:rPr>
          <w:rFonts w:ascii="Arial" w:eastAsiaTheme="minorEastAsia" w:hAnsi="Arial" w:cs="Arial"/>
        </w:rPr>
        <w:t xml:space="preserve">Procedia - Social and </w:t>
      </w:r>
      <w:proofErr w:type="spellStart"/>
      <w:r w:rsidRPr="00921A77">
        <w:rPr>
          <w:rFonts w:ascii="Arial" w:eastAsiaTheme="minorEastAsia" w:hAnsi="Arial" w:cs="Arial"/>
        </w:rPr>
        <w:t>Behavioral</w:t>
      </w:r>
      <w:proofErr w:type="spellEnd"/>
      <w:r w:rsidRPr="00921A77">
        <w:rPr>
          <w:rFonts w:ascii="Arial" w:eastAsiaTheme="minorEastAsia" w:hAnsi="Arial" w:cs="Arial"/>
        </w:rPr>
        <w:t xml:space="preserve"> Sciences, 15, pp.2753–2757.</w:t>
      </w:r>
      <w:proofErr w:type="gramEnd"/>
    </w:p>
    <w:p w14:paraId="60E88D70" w14:textId="1FB9E856" w:rsidR="35ED2C67" w:rsidRPr="00921A77" w:rsidRDefault="35ED2C67" w:rsidP="00921A77">
      <w:pPr>
        <w:spacing w:line="360" w:lineRule="auto"/>
        <w:rPr>
          <w:rFonts w:ascii="Arial" w:eastAsiaTheme="minorEastAsia" w:hAnsi="Arial" w:cs="Arial"/>
        </w:rPr>
      </w:pPr>
      <w:proofErr w:type="gramStart"/>
      <w:r w:rsidRPr="00921A77">
        <w:rPr>
          <w:rFonts w:ascii="Arial" w:eastAsiaTheme="minorEastAsia" w:hAnsi="Arial" w:cs="Arial"/>
        </w:rPr>
        <w:t>Christensen, P., &amp; James, A. (2017).</w:t>
      </w:r>
      <w:proofErr w:type="gramEnd"/>
      <w:r w:rsidRPr="00921A77">
        <w:rPr>
          <w:rFonts w:ascii="Arial" w:eastAsiaTheme="minorEastAsia" w:hAnsi="Arial" w:cs="Arial"/>
        </w:rPr>
        <w:t xml:space="preserve"> </w:t>
      </w:r>
      <w:r w:rsidRPr="00921A77">
        <w:rPr>
          <w:rFonts w:ascii="Arial" w:eastAsiaTheme="minorEastAsia" w:hAnsi="Arial" w:cs="Arial"/>
          <w:i/>
          <w:iCs/>
        </w:rPr>
        <w:t>Research with children: Perspectives and practices</w:t>
      </w:r>
      <w:r w:rsidRPr="00921A77">
        <w:rPr>
          <w:rFonts w:ascii="Arial" w:eastAsiaTheme="minorEastAsia" w:hAnsi="Arial" w:cs="Arial"/>
        </w:rPr>
        <w:t xml:space="preserve"> (Third </w:t>
      </w:r>
      <w:proofErr w:type="gramStart"/>
      <w:r w:rsidRPr="00921A77">
        <w:rPr>
          <w:rFonts w:ascii="Arial" w:eastAsiaTheme="minorEastAsia" w:hAnsi="Arial" w:cs="Arial"/>
        </w:rPr>
        <w:t>ed</w:t>
      </w:r>
      <w:proofErr w:type="gramEnd"/>
      <w:r w:rsidRPr="00921A77">
        <w:rPr>
          <w:rFonts w:ascii="Arial" w:eastAsiaTheme="minorEastAsia" w:hAnsi="Arial" w:cs="Arial"/>
        </w:rPr>
        <w:t>.).</w:t>
      </w:r>
    </w:p>
    <w:p w14:paraId="7F12E27D" w14:textId="468F1298" w:rsidR="186BBB44" w:rsidRPr="00921A77" w:rsidRDefault="186BBB44" w:rsidP="00921A77">
      <w:pPr>
        <w:spacing w:line="360" w:lineRule="auto"/>
        <w:rPr>
          <w:rFonts w:ascii="Arial" w:eastAsiaTheme="minorEastAsia" w:hAnsi="Arial" w:cs="Arial"/>
        </w:rPr>
      </w:pPr>
      <w:proofErr w:type="gramStart"/>
      <w:r w:rsidRPr="00921A77">
        <w:rPr>
          <w:rFonts w:ascii="Arial" w:eastAsiaTheme="minorEastAsia" w:hAnsi="Arial" w:cs="Arial"/>
        </w:rPr>
        <w:t>Clarke, A., &amp; Dawson, R. (1999).</w:t>
      </w:r>
      <w:proofErr w:type="gramEnd"/>
      <w:r w:rsidRPr="00921A77">
        <w:rPr>
          <w:rFonts w:ascii="Arial" w:eastAsiaTheme="minorEastAsia" w:hAnsi="Arial" w:cs="Arial"/>
        </w:rPr>
        <w:t xml:space="preserve"> </w:t>
      </w:r>
      <w:r w:rsidRPr="00921A77">
        <w:rPr>
          <w:rFonts w:ascii="Arial" w:eastAsiaTheme="minorEastAsia" w:hAnsi="Arial" w:cs="Arial"/>
          <w:i/>
          <w:iCs/>
        </w:rPr>
        <w:t>Evaluation Research: An introduction to principles, methods, and practice</w:t>
      </w:r>
      <w:r w:rsidRPr="00921A77">
        <w:rPr>
          <w:rFonts w:ascii="Arial" w:eastAsiaTheme="minorEastAsia" w:hAnsi="Arial" w:cs="Arial"/>
        </w:rPr>
        <w:t>. London: Sage.</w:t>
      </w:r>
    </w:p>
    <w:p w14:paraId="2F0CCDE3" w14:textId="1312F06C" w:rsidR="0097702F" w:rsidRPr="00921A77" w:rsidRDefault="0097702F" w:rsidP="00921A77">
      <w:pPr>
        <w:spacing w:line="360" w:lineRule="auto"/>
        <w:rPr>
          <w:rFonts w:ascii="Arial" w:eastAsiaTheme="minorEastAsia" w:hAnsi="Arial" w:cs="Arial"/>
        </w:rPr>
      </w:pPr>
      <w:r w:rsidRPr="00921A77">
        <w:rPr>
          <w:rFonts w:ascii="Arial" w:hAnsi="Arial" w:cs="Arial"/>
        </w:rPr>
        <w:lastRenderedPageBreak/>
        <w:t xml:space="preserve">Collins Dictionary [online] retrieved from: </w:t>
      </w:r>
      <w:hyperlink r:id="rId7">
        <w:r w:rsidRPr="00921A77">
          <w:rPr>
            <w:rStyle w:val="Hyperlink"/>
            <w:rFonts w:ascii="Arial" w:eastAsia="Calibri" w:hAnsi="Arial" w:cs="Arial"/>
            <w:color w:val="auto"/>
            <w:u w:val="none"/>
          </w:rPr>
          <w:t>https://www.collinsdictionary.com/dictionary/english/background-music</w:t>
        </w:r>
      </w:hyperlink>
      <w:r w:rsidRPr="00921A77">
        <w:rPr>
          <w:rStyle w:val="Hyperlink"/>
          <w:rFonts w:ascii="Arial" w:eastAsia="Calibri" w:hAnsi="Arial" w:cs="Arial"/>
          <w:color w:val="auto"/>
          <w:u w:val="none"/>
        </w:rPr>
        <w:t>. [Accessed: 12</w:t>
      </w:r>
      <w:r w:rsidRPr="00921A77">
        <w:rPr>
          <w:rStyle w:val="Hyperlink"/>
          <w:rFonts w:ascii="Arial" w:eastAsia="Calibri" w:hAnsi="Arial" w:cs="Arial"/>
          <w:color w:val="auto"/>
          <w:u w:val="none"/>
          <w:vertAlign w:val="superscript"/>
        </w:rPr>
        <w:t>th</w:t>
      </w:r>
      <w:r w:rsidRPr="00921A77">
        <w:rPr>
          <w:rStyle w:val="Hyperlink"/>
          <w:rFonts w:ascii="Arial" w:eastAsia="Calibri" w:hAnsi="Arial" w:cs="Arial"/>
          <w:color w:val="auto"/>
          <w:u w:val="none"/>
        </w:rPr>
        <w:t xml:space="preserve"> February 2020]</w:t>
      </w:r>
    </w:p>
    <w:p w14:paraId="7360F866" w14:textId="3D624952" w:rsidR="59503D11" w:rsidRPr="00921A77" w:rsidRDefault="186BBB44" w:rsidP="00921A77">
      <w:pPr>
        <w:spacing w:line="360" w:lineRule="auto"/>
        <w:rPr>
          <w:rFonts w:ascii="Arial" w:eastAsiaTheme="minorEastAsia" w:hAnsi="Arial" w:cs="Arial"/>
        </w:rPr>
      </w:pPr>
      <w:r w:rsidRPr="00921A77">
        <w:rPr>
          <w:rFonts w:ascii="Arial" w:eastAsiaTheme="minorEastAsia" w:hAnsi="Arial" w:cs="Arial"/>
        </w:rPr>
        <w:t xml:space="preserve">Connolly, Paul. (2007) </w:t>
      </w:r>
      <w:r w:rsidRPr="00921A77">
        <w:rPr>
          <w:rFonts w:ascii="Arial" w:eastAsiaTheme="minorEastAsia" w:hAnsi="Arial" w:cs="Arial"/>
          <w:i/>
          <w:iCs/>
        </w:rPr>
        <w:t>Quantitative Data Analysis in Education a Critical Introduction Using SPSS</w:t>
      </w:r>
      <w:r w:rsidRPr="00921A77">
        <w:rPr>
          <w:rFonts w:ascii="Arial" w:eastAsiaTheme="minorEastAsia" w:hAnsi="Arial" w:cs="Arial"/>
        </w:rPr>
        <w:t>. New York; London: Routledge, Web.</w:t>
      </w:r>
    </w:p>
    <w:p w14:paraId="6A664B36" w14:textId="399679B0" w:rsidR="186BBB44" w:rsidRPr="00921A77" w:rsidRDefault="186BBB44" w:rsidP="00921A77">
      <w:pPr>
        <w:spacing w:line="360" w:lineRule="auto"/>
        <w:rPr>
          <w:rFonts w:ascii="Arial" w:eastAsiaTheme="minorEastAsia" w:hAnsi="Arial" w:cs="Arial"/>
        </w:rPr>
      </w:pPr>
      <w:r w:rsidRPr="00921A77">
        <w:rPr>
          <w:rFonts w:ascii="Arial" w:eastAsiaTheme="minorEastAsia" w:hAnsi="Arial" w:cs="Arial"/>
        </w:rPr>
        <w:t xml:space="preserve">Dean, A. (2019). </w:t>
      </w:r>
      <w:proofErr w:type="gramStart"/>
      <w:r w:rsidRPr="00921A77">
        <w:rPr>
          <w:rFonts w:ascii="Arial" w:eastAsiaTheme="minorEastAsia" w:hAnsi="Arial" w:cs="Arial"/>
        </w:rPr>
        <w:t>Observational research in work-integrated learning.</w:t>
      </w:r>
      <w:proofErr w:type="gramEnd"/>
      <w:r w:rsidRPr="00921A77">
        <w:rPr>
          <w:rFonts w:ascii="Arial" w:eastAsiaTheme="minorEastAsia" w:hAnsi="Arial" w:cs="Arial"/>
        </w:rPr>
        <w:t xml:space="preserve"> </w:t>
      </w:r>
      <w:r w:rsidRPr="00921A77">
        <w:rPr>
          <w:rFonts w:ascii="Arial" w:eastAsiaTheme="minorEastAsia" w:hAnsi="Arial" w:cs="Arial"/>
          <w:i/>
          <w:iCs/>
        </w:rPr>
        <w:t>International Journal of Work-Integrated Learning,</w:t>
      </w:r>
      <w:r w:rsidRPr="00921A77">
        <w:rPr>
          <w:rFonts w:ascii="Arial" w:eastAsiaTheme="minorEastAsia" w:hAnsi="Arial" w:cs="Arial"/>
        </w:rPr>
        <w:t xml:space="preserve"> </w:t>
      </w:r>
      <w:r w:rsidRPr="00921A77">
        <w:rPr>
          <w:rFonts w:ascii="Arial" w:eastAsiaTheme="minorEastAsia" w:hAnsi="Arial" w:cs="Arial"/>
          <w:i/>
          <w:iCs/>
        </w:rPr>
        <w:t>20</w:t>
      </w:r>
      <w:r w:rsidRPr="00921A77">
        <w:rPr>
          <w:rFonts w:ascii="Arial" w:eastAsiaTheme="minorEastAsia" w:hAnsi="Arial" w:cs="Arial"/>
        </w:rPr>
        <w:t>(4), 375-388.</w:t>
      </w:r>
    </w:p>
    <w:p w14:paraId="21E05136" w14:textId="6C218C0C" w:rsidR="2EDECC2D" w:rsidRPr="00921A77" w:rsidRDefault="35ED2C67" w:rsidP="00921A77">
      <w:pPr>
        <w:spacing w:line="360" w:lineRule="auto"/>
        <w:rPr>
          <w:rFonts w:ascii="Arial" w:eastAsiaTheme="minorEastAsia" w:hAnsi="Arial" w:cs="Arial"/>
        </w:rPr>
      </w:pPr>
      <w:r w:rsidRPr="00921A77">
        <w:rPr>
          <w:rFonts w:ascii="Arial" w:eastAsiaTheme="minorEastAsia" w:hAnsi="Arial" w:cs="Arial"/>
        </w:rPr>
        <w:t xml:space="preserve">Denscombe, M. (2010) </w:t>
      </w:r>
      <w:r w:rsidRPr="00921A77">
        <w:rPr>
          <w:rFonts w:ascii="Arial" w:eastAsiaTheme="minorEastAsia" w:hAnsi="Arial" w:cs="Arial"/>
          <w:i/>
          <w:iCs/>
        </w:rPr>
        <w:t>The Good Research Guide: For Small-scale Social Research Projects</w:t>
      </w:r>
      <w:r w:rsidRPr="00921A77">
        <w:rPr>
          <w:rFonts w:ascii="Arial" w:eastAsiaTheme="minorEastAsia" w:hAnsi="Arial" w:cs="Arial"/>
        </w:rPr>
        <w:t>. 4th ed. Maidenhead, England: McGraw-Hill/Open UP. Print. Open up Study Skills.</w:t>
      </w:r>
    </w:p>
    <w:p w14:paraId="6D359060" w14:textId="7B87B976" w:rsidR="35ED2C67" w:rsidRPr="00921A77" w:rsidRDefault="35ED2C67" w:rsidP="00921A77">
      <w:pPr>
        <w:spacing w:line="360" w:lineRule="auto"/>
        <w:rPr>
          <w:rFonts w:ascii="Arial" w:hAnsi="Arial" w:cs="Arial"/>
        </w:rPr>
      </w:pPr>
      <w:proofErr w:type="spellStart"/>
      <w:r w:rsidRPr="00921A77">
        <w:rPr>
          <w:rFonts w:ascii="Arial" w:eastAsia="Calibri" w:hAnsi="Arial" w:cs="Arial"/>
        </w:rPr>
        <w:t>Duchowski</w:t>
      </w:r>
      <w:proofErr w:type="spellEnd"/>
      <w:r w:rsidRPr="00921A77">
        <w:rPr>
          <w:rFonts w:ascii="Arial" w:eastAsia="Calibri" w:hAnsi="Arial" w:cs="Arial"/>
        </w:rPr>
        <w:t xml:space="preserve">, </w:t>
      </w:r>
      <w:proofErr w:type="gramStart"/>
      <w:r w:rsidRPr="00921A77">
        <w:rPr>
          <w:rFonts w:ascii="Arial" w:eastAsia="Calibri" w:hAnsi="Arial" w:cs="Arial"/>
        </w:rPr>
        <w:t>A</w:t>
      </w:r>
      <w:proofErr w:type="gramEnd"/>
      <w:r w:rsidRPr="00921A77">
        <w:rPr>
          <w:rFonts w:ascii="Arial" w:eastAsia="Calibri" w:hAnsi="Arial" w:cs="Arial"/>
        </w:rPr>
        <w:t xml:space="preserve"> (2007). Eye tracking methodology: Theory and practice. </w:t>
      </w:r>
      <w:proofErr w:type="gramStart"/>
      <w:r w:rsidRPr="00921A77">
        <w:rPr>
          <w:rFonts w:ascii="Arial" w:eastAsia="Calibri" w:hAnsi="Arial" w:cs="Arial"/>
        </w:rPr>
        <w:t>Vol. 373.</w:t>
      </w:r>
      <w:proofErr w:type="gramEnd"/>
      <w:r w:rsidRPr="00921A77">
        <w:rPr>
          <w:rFonts w:ascii="Arial" w:eastAsia="Calibri" w:hAnsi="Arial" w:cs="Arial"/>
        </w:rPr>
        <w:t xml:space="preserve"> </w:t>
      </w:r>
      <w:proofErr w:type="gramStart"/>
      <w:r w:rsidRPr="00921A77">
        <w:rPr>
          <w:rFonts w:ascii="Arial" w:eastAsia="Calibri" w:hAnsi="Arial" w:cs="Arial"/>
        </w:rPr>
        <w:t>Springer Science &amp; Business Media.</w:t>
      </w:r>
      <w:proofErr w:type="gramEnd"/>
    </w:p>
    <w:p w14:paraId="1D7B7218" w14:textId="2D1BF727" w:rsidR="75FD1782" w:rsidRPr="00921A77" w:rsidRDefault="75FD1782"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t>Ducrey</w:t>
      </w:r>
      <w:proofErr w:type="spellEnd"/>
      <w:r w:rsidRPr="00921A77">
        <w:rPr>
          <w:rFonts w:ascii="Arial" w:eastAsiaTheme="minorEastAsia" w:hAnsi="Arial" w:cs="Arial"/>
        </w:rPr>
        <w:t>, M. (2016).</w:t>
      </w:r>
      <w:proofErr w:type="gramEnd"/>
      <w:r w:rsidRPr="00921A77">
        <w:rPr>
          <w:rFonts w:ascii="Arial" w:eastAsiaTheme="minorEastAsia" w:hAnsi="Arial" w:cs="Arial"/>
        </w:rPr>
        <w:t xml:space="preserve"> </w:t>
      </w:r>
      <w:proofErr w:type="gramStart"/>
      <w:r w:rsidRPr="00921A77">
        <w:rPr>
          <w:rFonts w:ascii="Arial" w:eastAsiaTheme="minorEastAsia" w:hAnsi="Arial" w:cs="Arial"/>
        </w:rPr>
        <w:t>Developing the skills of future teachers to fine-tune pupils’ learning through lesson studies.</w:t>
      </w:r>
      <w:proofErr w:type="gramEnd"/>
      <w:r w:rsidRPr="00921A77">
        <w:rPr>
          <w:rFonts w:ascii="Arial" w:eastAsiaTheme="minorEastAsia" w:hAnsi="Arial" w:cs="Arial"/>
        </w:rPr>
        <w:t xml:space="preserve"> </w:t>
      </w:r>
      <w:r w:rsidRPr="00921A77">
        <w:rPr>
          <w:rFonts w:ascii="Arial" w:eastAsiaTheme="minorEastAsia" w:hAnsi="Arial" w:cs="Arial"/>
          <w:i/>
          <w:iCs/>
        </w:rPr>
        <w:t>International Journal for Lesson and Learning Studies,</w:t>
      </w:r>
      <w:r w:rsidRPr="00921A77">
        <w:rPr>
          <w:rFonts w:ascii="Arial" w:eastAsiaTheme="minorEastAsia" w:hAnsi="Arial" w:cs="Arial"/>
        </w:rPr>
        <w:t xml:space="preserve"> </w:t>
      </w:r>
      <w:r w:rsidRPr="00921A77">
        <w:rPr>
          <w:rFonts w:ascii="Arial" w:eastAsiaTheme="minorEastAsia" w:hAnsi="Arial" w:cs="Arial"/>
          <w:i/>
          <w:iCs/>
        </w:rPr>
        <w:t>5</w:t>
      </w:r>
      <w:r w:rsidRPr="00921A77">
        <w:rPr>
          <w:rFonts w:ascii="Arial" w:eastAsiaTheme="minorEastAsia" w:hAnsi="Arial" w:cs="Arial"/>
        </w:rPr>
        <w:t>(3), 239-254.</w:t>
      </w:r>
    </w:p>
    <w:p w14:paraId="15D9EB77" w14:textId="77777777" w:rsidR="00904D49" w:rsidRPr="00921A77" w:rsidRDefault="0ABEA71C"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t>Fogelson</w:t>
      </w:r>
      <w:proofErr w:type="spellEnd"/>
      <w:r w:rsidRPr="00921A77">
        <w:rPr>
          <w:rFonts w:ascii="Arial" w:eastAsiaTheme="minorEastAsia" w:hAnsi="Arial" w:cs="Arial"/>
        </w:rPr>
        <w:t>, S. (1973)</w:t>
      </w:r>
      <w:r w:rsidRPr="00921A77">
        <w:rPr>
          <w:rFonts w:ascii="Arial" w:eastAsiaTheme="minorEastAsia" w:hAnsi="Arial" w:cs="Arial"/>
          <w:i/>
          <w:iCs/>
        </w:rPr>
        <w:t>.</w:t>
      </w:r>
      <w:proofErr w:type="gramEnd"/>
      <w:r w:rsidRPr="00921A77">
        <w:rPr>
          <w:rFonts w:ascii="Arial" w:eastAsiaTheme="minorEastAsia" w:hAnsi="Arial" w:cs="Arial"/>
          <w:i/>
          <w:iCs/>
        </w:rPr>
        <w:t xml:space="preserve"> </w:t>
      </w:r>
      <w:proofErr w:type="gramStart"/>
      <w:r w:rsidRPr="00921A77">
        <w:rPr>
          <w:rFonts w:ascii="Arial" w:eastAsiaTheme="minorEastAsia" w:hAnsi="Arial" w:cs="Arial"/>
          <w:i/>
          <w:iCs/>
        </w:rPr>
        <w:t>Music as a distractor on reading-test performance of 8th grade students</w:t>
      </w:r>
      <w:r w:rsidRPr="00921A77">
        <w:rPr>
          <w:rFonts w:ascii="Arial" w:eastAsiaTheme="minorEastAsia" w:hAnsi="Arial" w:cs="Arial"/>
        </w:rPr>
        <w:t>.</w:t>
      </w:r>
      <w:proofErr w:type="gramEnd"/>
      <w:r w:rsidRPr="00921A77">
        <w:rPr>
          <w:rFonts w:ascii="Arial" w:eastAsiaTheme="minorEastAsia" w:hAnsi="Arial" w:cs="Arial"/>
        </w:rPr>
        <w:t xml:space="preserve"> Perceptual and Motor Skills 36: 1265–6.</w:t>
      </w:r>
    </w:p>
    <w:p w14:paraId="1B5A28A8" w14:textId="652E18C4" w:rsidR="59503D11" w:rsidRPr="00921A77" w:rsidRDefault="0ABEA71C" w:rsidP="00921A77">
      <w:pPr>
        <w:spacing w:line="360" w:lineRule="auto"/>
        <w:rPr>
          <w:rFonts w:ascii="Arial" w:eastAsiaTheme="minorEastAsia" w:hAnsi="Arial" w:cs="Arial"/>
        </w:rPr>
      </w:pPr>
      <w:r w:rsidRPr="00921A77">
        <w:rPr>
          <w:rFonts w:ascii="Arial" w:eastAsiaTheme="minorEastAsia" w:hAnsi="Arial" w:cs="Arial"/>
        </w:rPr>
        <w:t xml:space="preserve">Frost, P. (2002) Principles of the action research cycle, in R. Ritchie, A. Pollard, P. Frost and T. </w:t>
      </w:r>
      <w:proofErr w:type="spellStart"/>
      <w:r w:rsidRPr="00921A77">
        <w:rPr>
          <w:rFonts w:ascii="Arial" w:eastAsiaTheme="minorEastAsia" w:hAnsi="Arial" w:cs="Arial"/>
        </w:rPr>
        <w:t>Eaude</w:t>
      </w:r>
      <w:proofErr w:type="spellEnd"/>
      <w:r w:rsidRPr="00921A77">
        <w:rPr>
          <w:rFonts w:ascii="Arial" w:eastAsiaTheme="minorEastAsia" w:hAnsi="Arial" w:cs="Arial"/>
        </w:rPr>
        <w:t xml:space="preserve"> (</w:t>
      </w:r>
      <w:proofErr w:type="spellStart"/>
      <w:proofErr w:type="gramStart"/>
      <w:r w:rsidRPr="00921A77">
        <w:rPr>
          <w:rFonts w:ascii="Arial" w:eastAsiaTheme="minorEastAsia" w:hAnsi="Arial" w:cs="Arial"/>
        </w:rPr>
        <w:t>eds</w:t>
      </w:r>
      <w:proofErr w:type="spellEnd"/>
      <w:proofErr w:type="gramEnd"/>
      <w:r w:rsidRPr="00921A77">
        <w:rPr>
          <w:rFonts w:ascii="Arial" w:eastAsiaTheme="minorEastAsia" w:hAnsi="Arial" w:cs="Arial"/>
        </w:rPr>
        <w:t xml:space="preserve">) Action research: a guide for teachers. Burning Issues in Primary Education, No.3 (Birmingham, National Primary Trust), </w:t>
      </w:r>
      <w:proofErr w:type="gramStart"/>
      <w:r w:rsidRPr="00921A77">
        <w:rPr>
          <w:rFonts w:ascii="Arial" w:eastAsiaTheme="minorEastAsia" w:hAnsi="Arial" w:cs="Arial"/>
        </w:rPr>
        <w:t>45</w:t>
      </w:r>
      <w:proofErr w:type="gramEnd"/>
      <w:r w:rsidRPr="00921A77">
        <w:rPr>
          <w:rFonts w:ascii="Arial" w:eastAsiaTheme="minorEastAsia" w:hAnsi="Arial" w:cs="Arial"/>
        </w:rPr>
        <w:t>–83.</w:t>
      </w:r>
    </w:p>
    <w:p w14:paraId="2646BDBF" w14:textId="26EC4605" w:rsidR="2CBF46BE" w:rsidRPr="00921A77" w:rsidRDefault="0ABEA71C" w:rsidP="00921A77">
      <w:pPr>
        <w:spacing w:line="360" w:lineRule="auto"/>
        <w:rPr>
          <w:rFonts w:ascii="Arial" w:eastAsiaTheme="minorEastAsia" w:hAnsi="Arial" w:cs="Arial"/>
        </w:rPr>
      </w:pPr>
      <w:proofErr w:type="spellStart"/>
      <w:r w:rsidRPr="00921A77">
        <w:rPr>
          <w:rFonts w:ascii="Arial" w:eastAsiaTheme="minorEastAsia" w:hAnsi="Arial" w:cs="Arial"/>
        </w:rPr>
        <w:t>Gavora</w:t>
      </w:r>
      <w:proofErr w:type="spellEnd"/>
      <w:r w:rsidRPr="00921A77">
        <w:rPr>
          <w:rFonts w:ascii="Arial" w:eastAsiaTheme="minorEastAsia" w:hAnsi="Arial" w:cs="Arial"/>
        </w:rPr>
        <w:t xml:space="preserve">, P. (2015). </w:t>
      </w:r>
      <w:proofErr w:type="gramStart"/>
      <w:r w:rsidRPr="00921A77">
        <w:rPr>
          <w:rFonts w:ascii="Arial" w:eastAsiaTheme="minorEastAsia" w:hAnsi="Arial" w:cs="Arial"/>
        </w:rPr>
        <w:t>An Analysis of Interaction Patterns in the Focus Group Interview.</w:t>
      </w:r>
      <w:proofErr w:type="gramEnd"/>
      <w:r w:rsidRPr="00921A77">
        <w:rPr>
          <w:rFonts w:ascii="Arial" w:eastAsiaTheme="minorEastAsia" w:hAnsi="Arial" w:cs="Arial"/>
        </w:rPr>
        <w:t xml:space="preserve"> </w:t>
      </w:r>
      <w:proofErr w:type="spellStart"/>
      <w:r w:rsidRPr="00921A77">
        <w:rPr>
          <w:rFonts w:ascii="Arial" w:eastAsiaTheme="minorEastAsia" w:hAnsi="Arial" w:cs="Arial"/>
          <w:i/>
          <w:iCs/>
        </w:rPr>
        <w:t>Acta</w:t>
      </w:r>
      <w:proofErr w:type="spellEnd"/>
      <w:r w:rsidRPr="00921A77">
        <w:rPr>
          <w:rFonts w:ascii="Arial" w:eastAsiaTheme="minorEastAsia" w:hAnsi="Arial" w:cs="Arial"/>
          <w:i/>
          <w:iCs/>
        </w:rPr>
        <w:t xml:space="preserve"> </w:t>
      </w:r>
      <w:proofErr w:type="spellStart"/>
      <w:r w:rsidRPr="00921A77">
        <w:rPr>
          <w:rFonts w:ascii="Arial" w:eastAsiaTheme="minorEastAsia" w:hAnsi="Arial" w:cs="Arial"/>
          <w:i/>
          <w:iCs/>
        </w:rPr>
        <w:t>Technologica</w:t>
      </w:r>
      <w:proofErr w:type="spellEnd"/>
      <w:r w:rsidRPr="00921A77">
        <w:rPr>
          <w:rFonts w:ascii="Arial" w:eastAsiaTheme="minorEastAsia" w:hAnsi="Arial" w:cs="Arial"/>
          <w:i/>
          <w:iCs/>
        </w:rPr>
        <w:t xml:space="preserve"> </w:t>
      </w:r>
      <w:proofErr w:type="spellStart"/>
      <w:r w:rsidRPr="00921A77">
        <w:rPr>
          <w:rFonts w:ascii="Arial" w:eastAsiaTheme="minorEastAsia" w:hAnsi="Arial" w:cs="Arial"/>
          <w:i/>
          <w:iCs/>
        </w:rPr>
        <w:t>Dubnicae</w:t>
      </w:r>
      <w:proofErr w:type="spellEnd"/>
      <w:r w:rsidRPr="00921A77">
        <w:rPr>
          <w:rFonts w:ascii="Arial" w:eastAsiaTheme="minorEastAsia" w:hAnsi="Arial" w:cs="Arial"/>
          <w:i/>
          <w:iCs/>
        </w:rPr>
        <w:t>,</w:t>
      </w:r>
      <w:r w:rsidRPr="00921A77">
        <w:rPr>
          <w:rFonts w:ascii="Arial" w:eastAsiaTheme="minorEastAsia" w:hAnsi="Arial" w:cs="Arial"/>
        </w:rPr>
        <w:t xml:space="preserve"> </w:t>
      </w:r>
      <w:r w:rsidRPr="00921A77">
        <w:rPr>
          <w:rFonts w:ascii="Arial" w:eastAsiaTheme="minorEastAsia" w:hAnsi="Arial" w:cs="Arial"/>
          <w:i/>
          <w:iCs/>
        </w:rPr>
        <w:t>5</w:t>
      </w:r>
      <w:r w:rsidRPr="00921A77">
        <w:rPr>
          <w:rFonts w:ascii="Arial" w:eastAsiaTheme="minorEastAsia" w:hAnsi="Arial" w:cs="Arial"/>
        </w:rPr>
        <w:t>(3), 11-23.</w:t>
      </w:r>
    </w:p>
    <w:p w14:paraId="08832215" w14:textId="01B964C2" w:rsidR="59503D11" w:rsidRPr="00921A77" w:rsidRDefault="0ABEA71C" w:rsidP="00921A77">
      <w:pPr>
        <w:spacing w:line="360" w:lineRule="auto"/>
        <w:rPr>
          <w:rFonts w:ascii="Arial" w:eastAsiaTheme="minorEastAsia" w:hAnsi="Arial" w:cs="Arial"/>
        </w:rPr>
      </w:pPr>
      <w:r w:rsidRPr="00921A77">
        <w:rPr>
          <w:rFonts w:ascii="Arial" w:eastAsiaTheme="minorEastAsia" w:hAnsi="Arial" w:cs="Arial"/>
        </w:rPr>
        <w:t>Gibbs, Graham (1988). Learning by Doing: A Guide to Teaching and Learning Methods. London: Further Education Unit.</w:t>
      </w:r>
    </w:p>
    <w:p w14:paraId="7A785C93" w14:textId="0732ABAA" w:rsidR="0ABEA71C" w:rsidRPr="00921A77" w:rsidRDefault="35ED2C67" w:rsidP="00921A77">
      <w:pPr>
        <w:spacing w:line="360" w:lineRule="auto"/>
        <w:rPr>
          <w:rFonts w:ascii="Arial" w:eastAsiaTheme="minorEastAsia" w:hAnsi="Arial" w:cs="Arial"/>
        </w:rPr>
      </w:pPr>
      <w:proofErr w:type="gramStart"/>
      <w:r w:rsidRPr="00921A77">
        <w:rPr>
          <w:rFonts w:ascii="Arial" w:eastAsiaTheme="minorEastAsia" w:hAnsi="Arial" w:cs="Arial"/>
        </w:rPr>
        <w:t>Hallam, S. and MacDonald, R.A.R. (2008).</w:t>
      </w:r>
      <w:proofErr w:type="gramEnd"/>
      <w:r w:rsidRPr="00921A77">
        <w:rPr>
          <w:rFonts w:ascii="Arial" w:eastAsiaTheme="minorEastAsia" w:hAnsi="Arial" w:cs="Arial"/>
        </w:rPr>
        <w:t xml:space="preserve"> </w:t>
      </w:r>
      <w:proofErr w:type="gramStart"/>
      <w:r w:rsidRPr="00921A77">
        <w:rPr>
          <w:rFonts w:ascii="Arial" w:eastAsiaTheme="minorEastAsia" w:hAnsi="Arial" w:cs="Arial"/>
        </w:rPr>
        <w:t>The effects of music in educational and community settings.</w:t>
      </w:r>
      <w:proofErr w:type="gramEnd"/>
      <w:r w:rsidRPr="00921A77">
        <w:rPr>
          <w:rFonts w:ascii="Arial" w:eastAsiaTheme="minorEastAsia" w:hAnsi="Arial" w:cs="Arial"/>
        </w:rPr>
        <w:t xml:space="preserve"> In: S. Hallam, J. </w:t>
      </w:r>
      <w:proofErr w:type="spellStart"/>
      <w:r w:rsidRPr="00921A77">
        <w:rPr>
          <w:rFonts w:ascii="Arial" w:eastAsiaTheme="minorEastAsia" w:hAnsi="Arial" w:cs="Arial"/>
        </w:rPr>
        <w:t>Sloboda</w:t>
      </w:r>
      <w:proofErr w:type="spellEnd"/>
      <w:r w:rsidRPr="00921A77">
        <w:rPr>
          <w:rFonts w:ascii="Arial" w:eastAsiaTheme="minorEastAsia" w:hAnsi="Arial" w:cs="Arial"/>
        </w:rPr>
        <w:t xml:space="preserve">, M. </w:t>
      </w:r>
      <w:proofErr w:type="spellStart"/>
      <w:r w:rsidRPr="00921A77">
        <w:rPr>
          <w:rFonts w:ascii="Arial" w:eastAsiaTheme="minorEastAsia" w:hAnsi="Arial" w:cs="Arial"/>
        </w:rPr>
        <w:t>Thault</w:t>
      </w:r>
      <w:proofErr w:type="spellEnd"/>
      <w:r w:rsidRPr="00921A77">
        <w:rPr>
          <w:rFonts w:ascii="Arial" w:eastAsiaTheme="minorEastAsia" w:hAnsi="Arial" w:cs="Arial"/>
        </w:rPr>
        <w:t xml:space="preserve"> (eds.) </w:t>
      </w:r>
      <w:proofErr w:type="gramStart"/>
      <w:r w:rsidRPr="00921A77">
        <w:rPr>
          <w:rFonts w:ascii="Arial" w:eastAsiaTheme="minorEastAsia" w:hAnsi="Arial" w:cs="Arial"/>
          <w:i/>
          <w:iCs/>
        </w:rPr>
        <w:t>The</w:t>
      </w:r>
      <w:proofErr w:type="gramEnd"/>
      <w:r w:rsidRPr="00921A77">
        <w:rPr>
          <w:rFonts w:ascii="Arial" w:eastAsiaTheme="minorEastAsia" w:hAnsi="Arial" w:cs="Arial"/>
          <w:i/>
          <w:iCs/>
        </w:rPr>
        <w:t xml:space="preserve"> Handbook of Music Psychology</w:t>
      </w:r>
      <w:r w:rsidRPr="00921A77">
        <w:rPr>
          <w:rFonts w:ascii="Arial" w:eastAsiaTheme="minorEastAsia" w:hAnsi="Arial" w:cs="Arial"/>
        </w:rPr>
        <w:t>, pp. 471–80. Oxford: Oxford University Press</w:t>
      </w:r>
    </w:p>
    <w:p w14:paraId="5F666143" w14:textId="49643141" w:rsidR="35ED2C67" w:rsidRPr="00921A77" w:rsidRDefault="35ED2C67" w:rsidP="00921A77">
      <w:pPr>
        <w:spacing w:line="360" w:lineRule="auto"/>
        <w:rPr>
          <w:rFonts w:ascii="Arial" w:eastAsiaTheme="minorEastAsia" w:hAnsi="Arial" w:cs="Arial"/>
        </w:rPr>
      </w:pPr>
      <w:proofErr w:type="gramStart"/>
      <w:r w:rsidRPr="00921A77">
        <w:rPr>
          <w:rFonts w:ascii="Arial" w:eastAsiaTheme="minorEastAsia" w:hAnsi="Arial" w:cs="Arial"/>
        </w:rPr>
        <w:t xml:space="preserve">Hassan, Z. A., </w:t>
      </w:r>
      <w:proofErr w:type="spellStart"/>
      <w:r w:rsidRPr="00921A77">
        <w:rPr>
          <w:rFonts w:ascii="Arial" w:eastAsiaTheme="minorEastAsia" w:hAnsi="Arial" w:cs="Arial"/>
        </w:rPr>
        <w:t>Schattner</w:t>
      </w:r>
      <w:proofErr w:type="spellEnd"/>
      <w:r w:rsidRPr="00921A77">
        <w:rPr>
          <w:rFonts w:ascii="Arial" w:eastAsiaTheme="minorEastAsia" w:hAnsi="Arial" w:cs="Arial"/>
        </w:rPr>
        <w:t xml:space="preserve">, P., &amp; </w:t>
      </w:r>
      <w:proofErr w:type="spellStart"/>
      <w:r w:rsidRPr="00921A77">
        <w:rPr>
          <w:rFonts w:ascii="Arial" w:eastAsiaTheme="minorEastAsia" w:hAnsi="Arial" w:cs="Arial"/>
        </w:rPr>
        <w:t>Mazza</w:t>
      </w:r>
      <w:proofErr w:type="spellEnd"/>
      <w:r w:rsidRPr="00921A77">
        <w:rPr>
          <w:rFonts w:ascii="Arial" w:eastAsiaTheme="minorEastAsia" w:hAnsi="Arial" w:cs="Arial"/>
        </w:rPr>
        <w:t>, D. (2006).</w:t>
      </w:r>
      <w:proofErr w:type="gramEnd"/>
      <w:r w:rsidRPr="00921A77">
        <w:rPr>
          <w:rFonts w:ascii="Arial" w:eastAsiaTheme="minorEastAsia" w:hAnsi="Arial" w:cs="Arial"/>
        </w:rPr>
        <w:t xml:space="preserve"> Doing A Pilot Study: Why Is It Essential? </w:t>
      </w:r>
      <w:r w:rsidRPr="00921A77">
        <w:rPr>
          <w:rFonts w:ascii="Arial" w:eastAsiaTheme="minorEastAsia" w:hAnsi="Arial" w:cs="Arial"/>
          <w:i/>
          <w:iCs/>
        </w:rPr>
        <w:t>Malaysian family physician: the official journal of the Academy of Family Physicians of Malaysia</w:t>
      </w:r>
      <w:r w:rsidRPr="00921A77">
        <w:rPr>
          <w:rFonts w:ascii="Arial" w:eastAsiaTheme="minorEastAsia" w:hAnsi="Arial" w:cs="Arial"/>
        </w:rPr>
        <w:t xml:space="preserve">, </w:t>
      </w:r>
      <w:r w:rsidRPr="00921A77">
        <w:rPr>
          <w:rFonts w:ascii="Arial" w:eastAsiaTheme="minorEastAsia" w:hAnsi="Arial" w:cs="Arial"/>
          <w:i/>
          <w:iCs/>
        </w:rPr>
        <w:t>1</w:t>
      </w:r>
      <w:r w:rsidRPr="00921A77">
        <w:rPr>
          <w:rFonts w:ascii="Arial" w:eastAsiaTheme="minorEastAsia" w:hAnsi="Arial" w:cs="Arial"/>
        </w:rPr>
        <w:t>(2-3), 70–73.</w:t>
      </w:r>
    </w:p>
    <w:p w14:paraId="7F6AEC99" w14:textId="34075C41" w:rsidR="2CBF46BE" w:rsidRPr="00921A77" w:rsidRDefault="0ABEA71C" w:rsidP="00921A77">
      <w:pPr>
        <w:spacing w:line="360" w:lineRule="auto"/>
        <w:rPr>
          <w:rFonts w:ascii="Arial" w:eastAsiaTheme="minorEastAsia" w:hAnsi="Arial" w:cs="Arial"/>
        </w:rPr>
      </w:pPr>
      <w:proofErr w:type="gramStart"/>
      <w:r w:rsidRPr="00921A77">
        <w:rPr>
          <w:rFonts w:ascii="Arial" w:eastAsiaTheme="minorEastAsia" w:hAnsi="Arial" w:cs="Arial"/>
        </w:rPr>
        <w:t xml:space="preserve">Hill, K., Pilling, M., &amp; </w:t>
      </w:r>
      <w:proofErr w:type="spellStart"/>
      <w:r w:rsidRPr="00921A77">
        <w:rPr>
          <w:rFonts w:ascii="Arial" w:eastAsiaTheme="minorEastAsia" w:hAnsi="Arial" w:cs="Arial"/>
        </w:rPr>
        <w:t>Foxcroft</w:t>
      </w:r>
      <w:proofErr w:type="spellEnd"/>
      <w:r w:rsidRPr="00921A77">
        <w:rPr>
          <w:rFonts w:ascii="Arial" w:eastAsiaTheme="minorEastAsia" w:hAnsi="Arial" w:cs="Arial"/>
        </w:rPr>
        <w:t>, D. (2018).</w:t>
      </w:r>
      <w:proofErr w:type="gramEnd"/>
      <w:r w:rsidRPr="00921A77">
        <w:rPr>
          <w:rFonts w:ascii="Arial" w:eastAsiaTheme="minorEastAsia" w:hAnsi="Arial" w:cs="Arial"/>
        </w:rPr>
        <w:t xml:space="preserve"> Affordances for drinking alcohol: A non</w:t>
      </w:r>
      <w:r w:rsidRPr="00921A77">
        <w:rPr>
          <w:rFonts w:ascii="Cambria Math" w:eastAsiaTheme="minorEastAsia" w:hAnsi="Cambria Math" w:cs="Cambria Math"/>
        </w:rPr>
        <w:t>‐</w:t>
      </w:r>
      <w:r w:rsidRPr="00921A77">
        <w:rPr>
          <w:rFonts w:ascii="Arial" w:eastAsiaTheme="minorEastAsia" w:hAnsi="Arial" w:cs="Arial"/>
        </w:rPr>
        <w:t xml:space="preserve">participant observation study in licensed premises. </w:t>
      </w:r>
      <w:r w:rsidRPr="00921A77">
        <w:rPr>
          <w:rFonts w:ascii="Arial" w:eastAsiaTheme="minorEastAsia" w:hAnsi="Arial" w:cs="Arial"/>
          <w:i/>
          <w:iCs/>
        </w:rPr>
        <w:t>European Journal of Social Psychology,</w:t>
      </w:r>
      <w:r w:rsidRPr="00921A77">
        <w:rPr>
          <w:rFonts w:ascii="Arial" w:eastAsiaTheme="minorEastAsia" w:hAnsi="Arial" w:cs="Arial"/>
        </w:rPr>
        <w:t xml:space="preserve"> </w:t>
      </w:r>
      <w:r w:rsidRPr="00921A77">
        <w:rPr>
          <w:rFonts w:ascii="Arial" w:eastAsiaTheme="minorEastAsia" w:hAnsi="Arial" w:cs="Arial"/>
          <w:i/>
          <w:iCs/>
        </w:rPr>
        <w:t>48</w:t>
      </w:r>
      <w:r w:rsidRPr="00921A77">
        <w:rPr>
          <w:rFonts w:ascii="Arial" w:eastAsiaTheme="minorEastAsia" w:hAnsi="Arial" w:cs="Arial"/>
        </w:rPr>
        <w:t>(6), 747-755.</w:t>
      </w:r>
    </w:p>
    <w:p w14:paraId="67F61FE8" w14:textId="1282A831" w:rsidR="3C4E79F9" w:rsidRPr="00921A77" w:rsidRDefault="0ABEA71C"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lastRenderedPageBreak/>
        <w:t>Juslin</w:t>
      </w:r>
      <w:proofErr w:type="spellEnd"/>
      <w:r w:rsidRPr="00921A77">
        <w:rPr>
          <w:rFonts w:ascii="Arial" w:eastAsiaTheme="minorEastAsia" w:hAnsi="Arial" w:cs="Arial"/>
        </w:rPr>
        <w:t xml:space="preserve">, P., </w:t>
      </w:r>
      <w:proofErr w:type="spellStart"/>
      <w:r w:rsidRPr="00921A77">
        <w:rPr>
          <w:rFonts w:ascii="Arial" w:eastAsiaTheme="minorEastAsia" w:hAnsi="Arial" w:cs="Arial"/>
        </w:rPr>
        <w:t>Barradas</w:t>
      </w:r>
      <w:proofErr w:type="spellEnd"/>
      <w:r w:rsidRPr="00921A77">
        <w:rPr>
          <w:rFonts w:ascii="Arial" w:eastAsiaTheme="minorEastAsia" w:hAnsi="Arial" w:cs="Arial"/>
        </w:rPr>
        <w:t xml:space="preserve">, G., </w:t>
      </w:r>
      <w:proofErr w:type="spellStart"/>
      <w:r w:rsidRPr="00921A77">
        <w:rPr>
          <w:rFonts w:ascii="Arial" w:eastAsiaTheme="minorEastAsia" w:hAnsi="Arial" w:cs="Arial"/>
        </w:rPr>
        <w:t>Ovsiannikow</w:t>
      </w:r>
      <w:proofErr w:type="spellEnd"/>
      <w:r w:rsidRPr="00921A77">
        <w:rPr>
          <w:rFonts w:ascii="Arial" w:eastAsiaTheme="minorEastAsia" w:hAnsi="Arial" w:cs="Arial"/>
        </w:rPr>
        <w:t xml:space="preserve">, M., </w:t>
      </w:r>
      <w:proofErr w:type="spellStart"/>
      <w:r w:rsidRPr="00921A77">
        <w:rPr>
          <w:rFonts w:ascii="Arial" w:eastAsiaTheme="minorEastAsia" w:hAnsi="Arial" w:cs="Arial"/>
        </w:rPr>
        <w:t>Limmo</w:t>
      </w:r>
      <w:proofErr w:type="spellEnd"/>
      <w:r w:rsidRPr="00921A77">
        <w:rPr>
          <w:rFonts w:ascii="Arial" w:eastAsiaTheme="minorEastAsia" w:hAnsi="Arial" w:cs="Arial"/>
        </w:rPr>
        <w:t>, J., &amp; Thompson, W. (2016).</w:t>
      </w:r>
      <w:proofErr w:type="gramEnd"/>
      <w:r w:rsidRPr="00921A77">
        <w:rPr>
          <w:rFonts w:ascii="Arial" w:eastAsiaTheme="minorEastAsia" w:hAnsi="Arial" w:cs="Arial"/>
        </w:rPr>
        <w:t xml:space="preserve"> </w:t>
      </w:r>
      <w:r w:rsidRPr="00921A77">
        <w:rPr>
          <w:rFonts w:ascii="Arial" w:eastAsiaTheme="minorEastAsia" w:hAnsi="Arial" w:cs="Arial"/>
          <w:i/>
          <w:iCs/>
        </w:rPr>
        <w:t>Prevalence of emotions, mechanisms, and motives in music listening: A comparison of individualist and collectivist cultures</w:t>
      </w:r>
      <w:r w:rsidRPr="00921A77">
        <w:rPr>
          <w:rFonts w:ascii="Arial" w:eastAsiaTheme="minorEastAsia" w:hAnsi="Arial" w:cs="Arial"/>
        </w:rPr>
        <w:t xml:space="preserve">. </w:t>
      </w:r>
      <w:proofErr w:type="spellStart"/>
      <w:r w:rsidRPr="00921A77">
        <w:rPr>
          <w:rFonts w:ascii="Arial" w:eastAsiaTheme="minorEastAsia" w:hAnsi="Arial" w:cs="Arial"/>
        </w:rPr>
        <w:t>Psychomusicology</w:t>
      </w:r>
      <w:proofErr w:type="spellEnd"/>
      <w:r w:rsidRPr="00921A77">
        <w:rPr>
          <w:rFonts w:ascii="Arial" w:eastAsiaTheme="minorEastAsia" w:hAnsi="Arial" w:cs="Arial"/>
        </w:rPr>
        <w:t xml:space="preserve">: Music, Mind, and Brain, 26(4), 293–326. </w:t>
      </w:r>
      <w:proofErr w:type="spellStart"/>
      <w:proofErr w:type="gramStart"/>
      <w:r w:rsidRPr="00921A77">
        <w:rPr>
          <w:rFonts w:ascii="Arial" w:eastAsiaTheme="minorEastAsia" w:hAnsi="Arial" w:cs="Arial"/>
        </w:rPr>
        <w:t>doi</w:t>
      </w:r>
      <w:proofErr w:type="spellEnd"/>
      <w:proofErr w:type="gramEnd"/>
      <w:r w:rsidRPr="00921A77">
        <w:rPr>
          <w:rFonts w:ascii="Arial" w:eastAsiaTheme="minorEastAsia" w:hAnsi="Arial" w:cs="Arial"/>
        </w:rPr>
        <w:t>: 10.1037/pmu0000161</w:t>
      </w:r>
    </w:p>
    <w:p w14:paraId="59C0ABC2" w14:textId="108759ED" w:rsidR="0ABEA71C" w:rsidRPr="00921A77" w:rsidRDefault="0ABEA71C"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t>Juslin</w:t>
      </w:r>
      <w:proofErr w:type="spellEnd"/>
      <w:r w:rsidRPr="00921A77">
        <w:rPr>
          <w:rFonts w:ascii="Arial" w:eastAsiaTheme="minorEastAsia" w:hAnsi="Arial" w:cs="Arial"/>
        </w:rPr>
        <w:t xml:space="preserve">, P. and </w:t>
      </w:r>
      <w:proofErr w:type="spellStart"/>
      <w:r w:rsidRPr="00921A77">
        <w:rPr>
          <w:rFonts w:ascii="Arial" w:eastAsiaTheme="minorEastAsia" w:hAnsi="Arial" w:cs="Arial"/>
        </w:rPr>
        <w:t>Sloboda</w:t>
      </w:r>
      <w:proofErr w:type="spellEnd"/>
      <w:r w:rsidRPr="00921A77">
        <w:rPr>
          <w:rFonts w:ascii="Arial" w:eastAsiaTheme="minorEastAsia" w:hAnsi="Arial" w:cs="Arial"/>
        </w:rPr>
        <w:t>, J.A. (eds.) (2010).</w:t>
      </w:r>
      <w:proofErr w:type="gramEnd"/>
      <w:r w:rsidRPr="00921A77">
        <w:rPr>
          <w:rFonts w:ascii="Arial" w:eastAsiaTheme="minorEastAsia" w:hAnsi="Arial" w:cs="Arial"/>
        </w:rPr>
        <w:t xml:space="preserve"> </w:t>
      </w:r>
      <w:r w:rsidRPr="00921A77">
        <w:rPr>
          <w:rFonts w:ascii="Arial" w:eastAsiaTheme="minorEastAsia" w:hAnsi="Arial" w:cs="Arial"/>
          <w:i/>
          <w:iCs/>
        </w:rPr>
        <w:t>Handbook of music and emotion: Theory, research, applications</w:t>
      </w:r>
      <w:r w:rsidRPr="00921A77">
        <w:rPr>
          <w:rFonts w:ascii="Arial" w:eastAsiaTheme="minorEastAsia" w:hAnsi="Arial" w:cs="Arial"/>
        </w:rPr>
        <w:t>. Oxford: Oxford University Press.</w:t>
      </w:r>
    </w:p>
    <w:p w14:paraId="788B92E0" w14:textId="790474C1" w:rsidR="2CBF46BE" w:rsidRPr="00921A77" w:rsidRDefault="0ABEA71C" w:rsidP="00921A77">
      <w:pPr>
        <w:spacing w:line="360" w:lineRule="auto"/>
        <w:rPr>
          <w:rFonts w:ascii="Arial" w:eastAsiaTheme="minorEastAsia" w:hAnsi="Arial" w:cs="Arial"/>
        </w:rPr>
      </w:pPr>
      <w:r w:rsidRPr="00921A77">
        <w:rPr>
          <w:rFonts w:ascii="Arial" w:eastAsiaTheme="minorEastAsia" w:hAnsi="Arial" w:cs="Arial"/>
        </w:rPr>
        <w:t xml:space="preserve">Kitzinger, J. (2005). </w:t>
      </w:r>
      <w:r w:rsidRPr="00921A77">
        <w:rPr>
          <w:rFonts w:ascii="Arial" w:eastAsiaTheme="minorEastAsia" w:hAnsi="Arial" w:cs="Arial"/>
          <w:i/>
          <w:iCs/>
        </w:rPr>
        <w:t>Focus group research: using group dynamics to explore perceptions, experiences and understandings.</w:t>
      </w:r>
      <w:r w:rsidRPr="00921A77">
        <w:rPr>
          <w:rFonts w:ascii="Arial" w:eastAsiaTheme="minorEastAsia" w:hAnsi="Arial" w:cs="Arial"/>
        </w:rPr>
        <w:t xml:space="preserve"> In: Holloway, </w:t>
      </w:r>
      <w:proofErr w:type="spellStart"/>
      <w:r w:rsidRPr="00921A77">
        <w:rPr>
          <w:rFonts w:ascii="Arial" w:eastAsiaTheme="minorEastAsia" w:hAnsi="Arial" w:cs="Arial"/>
        </w:rPr>
        <w:t>Immy</w:t>
      </w:r>
      <w:proofErr w:type="spellEnd"/>
      <w:r w:rsidRPr="00921A77">
        <w:rPr>
          <w:rFonts w:ascii="Arial" w:eastAsiaTheme="minorEastAsia" w:hAnsi="Arial" w:cs="Arial"/>
        </w:rPr>
        <w:t xml:space="preserve"> </w:t>
      </w:r>
      <w:proofErr w:type="spellStart"/>
      <w:r w:rsidRPr="00921A77">
        <w:rPr>
          <w:rFonts w:ascii="Arial" w:eastAsiaTheme="minorEastAsia" w:hAnsi="Arial" w:cs="Arial"/>
        </w:rPr>
        <w:t>ed.</w:t>
      </w:r>
      <w:r w:rsidRPr="00921A77">
        <w:rPr>
          <w:rFonts w:ascii="Arial" w:eastAsiaTheme="minorEastAsia" w:hAnsi="Arial" w:cs="Arial"/>
          <w:i/>
          <w:iCs/>
        </w:rPr>
        <w:t>Qualitative</w:t>
      </w:r>
      <w:proofErr w:type="spellEnd"/>
      <w:r w:rsidRPr="00921A77">
        <w:rPr>
          <w:rFonts w:ascii="Arial" w:eastAsiaTheme="minorEastAsia" w:hAnsi="Arial" w:cs="Arial"/>
          <w:i/>
          <w:iCs/>
        </w:rPr>
        <w:t xml:space="preserve"> research in health care</w:t>
      </w:r>
      <w:r w:rsidRPr="00921A77">
        <w:rPr>
          <w:rFonts w:ascii="Arial" w:eastAsiaTheme="minorEastAsia" w:hAnsi="Arial" w:cs="Arial"/>
        </w:rPr>
        <w:t>, Maidenhead: Open University Press</w:t>
      </w:r>
    </w:p>
    <w:p w14:paraId="6319DBE1" w14:textId="3A62A148" w:rsidR="3C4E79F9" w:rsidRPr="00921A77" w:rsidRDefault="0ABEA71C"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t>Koolidge</w:t>
      </w:r>
      <w:proofErr w:type="spellEnd"/>
      <w:r w:rsidRPr="00921A77">
        <w:rPr>
          <w:rFonts w:ascii="Arial" w:eastAsiaTheme="minorEastAsia" w:hAnsi="Arial" w:cs="Arial"/>
        </w:rPr>
        <w:t>, L. &amp; Holmes, R.M., (2018).</w:t>
      </w:r>
      <w:proofErr w:type="gramEnd"/>
      <w:r w:rsidRPr="00921A77">
        <w:rPr>
          <w:rFonts w:ascii="Arial" w:eastAsiaTheme="minorEastAsia" w:hAnsi="Arial" w:cs="Arial"/>
        </w:rPr>
        <w:t xml:space="preserve"> </w:t>
      </w:r>
      <w:proofErr w:type="gramStart"/>
      <w:r w:rsidRPr="00921A77">
        <w:rPr>
          <w:rFonts w:ascii="Arial" w:eastAsiaTheme="minorEastAsia" w:hAnsi="Arial" w:cs="Arial"/>
        </w:rPr>
        <w:t>Piecing It Together: The Effect of Background Music on Children’s Puzzle Assembly.</w:t>
      </w:r>
      <w:proofErr w:type="gramEnd"/>
      <w:r w:rsidRPr="00921A77">
        <w:rPr>
          <w:rFonts w:ascii="Arial" w:eastAsiaTheme="minorEastAsia" w:hAnsi="Arial" w:cs="Arial"/>
        </w:rPr>
        <w:t xml:space="preserve"> </w:t>
      </w:r>
      <w:proofErr w:type="gramStart"/>
      <w:r w:rsidRPr="00921A77">
        <w:rPr>
          <w:rFonts w:ascii="Arial" w:eastAsiaTheme="minorEastAsia" w:hAnsi="Arial" w:cs="Arial"/>
          <w:i/>
          <w:iCs/>
        </w:rPr>
        <w:t>Perceptual and Motor Skills</w:t>
      </w:r>
      <w:r w:rsidRPr="00921A77">
        <w:rPr>
          <w:rFonts w:ascii="Arial" w:eastAsiaTheme="minorEastAsia" w:hAnsi="Arial" w:cs="Arial"/>
        </w:rPr>
        <w:t>, 125(2), pp.387–399.</w:t>
      </w:r>
      <w:proofErr w:type="gramEnd"/>
    </w:p>
    <w:p w14:paraId="3ECDFD56" w14:textId="5FED612A" w:rsidR="2CBF46BE" w:rsidRPr="00921A77" w:rsidRDefault="0ABEA71C" w:rsidP="00921A77">
      <w:pPr>
        <w:spacing w:line="360" w:lineRule="auto"/>
        <w:rPr>
          <w:rFonts w:ascii="Arial" w:eastAsiaTheme="minorEastAsia" w:hAnsi="Arial" w:cs="Arial"/>
        </w:rPr>
      </w:pPr>
      <w:proofErr w:type="gramStart"/>
      <w:r w:rsidRPr="00921A77">
        <w:rPr>
          <w:rFonts w:ascii="Arial" w:eastAsiaTheme="minorEastAsia" w:hAnsi="Arial" w:cs="Arial"/>
        </w:rPr>
        <w:t>Kurtz, S. (2017).</w:t>
      </w:r>
      <w:proofErr w:type="gramEnd"/>
      <w:r w:rsidRPr="00921A77">
        <w:rPr>
          <w:rFonts w:ascii="Arial" w:eastAsiaTheme="minorEastAsia" w:hAnsi="Arial" w:cs="Arial"/>
        </w:rPr>
        <w:t xml:space="preserve"> Measuring and accounting for the Hawthorne effect during a direct overt observational study of intensive care unit nurses. </w:t>
      </w:r>
      <w:r w:rsidRPr="00921A77">
        <w:rPr>
          <w:rFonts w:ascii="Arial" w:eastAsiaTheme="minorEastAsia" w:hAnsi="Arial" w:cs="Arial"/>
          <w:i/>
          <w:iCs/>
        </w:rPr>
        <w:t>AJIC: American Journal of Infection Control</w:t>
      </w:r>
      <w:proofErr w:type="gramStart"/>
      <w:r w:rsidRPr="00921A77">
        <w:rPr>
          <w:rFonts w:ascii="Arial" w:eastAsiaTheme="minorEastAsia" w:hAnsi="Arial" w:cs="Arial"/>
          <w:i/>
          <w:iCs/>
        </w:rPr>
        <w:t>,45</w:t>
      </w:r>
      <w:proofErr w:type="gramEnd"/>
      <w:r w:rsidRPr="00921A77">
        <w:rPr>
          <w:rFonts w:ascii="Arial" w:eastAsiaTheme="minorEastAsia" w:hAnsi="Arial" w:cs="Arial"/>
        </w:rPr>
        <w:t>(9), 995-1000.</w:t>
      </w:r>
    </w:p>
    <w:p w14:paraId="6BDDF3DF" w14:textId="1A97CDA2" w:rsidR="3C4E79F9" w:rsidRPr="00921A77" w:rsidRDefault="0ABEA71C" w:rsidP="00921A77">
      <w:pPr>
        <w:spacing w:line="360" w:lineRule="auto"/>
        <w:rPr>
          <w:rFonts w:ascii="Arial" w:eastAsiaTheme="minorEastAsia" w:hAnsi="Arial" w:cs="Arial"/>
        </w:rPr>
      </w:pPr>
      <w:r w:rsidRPr="00921A77">
        <w:rPr>
          <w:rFonts w:ascii="Arial" w:eastAsiaTheme="minorEastAsia" w:hAnsi="Arial" w:cs="Arial"/>
        </w:rPr>
        <w:t xml:space="preserve">Leigh, R. (2013). </w:t>
      </w:r>
      <w:r w:rsidRPr="00921A77">
        <w:rPr>
          <w:rFonts w:ascii="Arial" w:eastAsiaTheme="minorEastAsia" w:hAnsi="Arial" w:cs="Arial"/>
          <w:i/>
          <w:iCs/>
        </w:rPr>
        <w:t>The joys of spring: Changes in mental alertness and brain function. Experimental Psychology</w:t>
      </w:r>
      <w:r w:rsidRPr="00921A77">
        <w:rPr>
          <w:rFonts w:ascii="Arial" w:eastAsiaTheme="minorEastAsia" w:hAnsi="Arial" w:cs="Arial"/>
        </w:rPr>
        <w:t xml:space="preserve">, 60(2), 71–79. </w:t>
      </w:r>
      <w:proofErr w:type="spellStart"/>
      <w:proofErr w:type="gramStart"/>
      <w:r w:rsidRPr="00921A77">
        <w:rPr>
          <w:rFonts w:ascii="Arial" w:eastAsiaTheme="minorEastAsia" w:hAnsi="Arial" w:cs="Arial"/>
        </w:rPr>
        <w:t>doi</w:t>
      </w:r>
      <w:proofErr w:type="spellEnd"/>
      <w:proofErr w:type="gramEnd"/>
      <w:r w:rsidRPr="00921A77">
        <w:rPr>
          <w:rFonts w:ascii="Arial" w:eastAsiaTheme="minorEastAsia" w:hAnsi="Arial" w:cs="Arial"/>
        </w:rPr>
        <w:t>: 10.1027/1618-3169/a000166</w:t>
      </w:r>
    </w:p>
    <w:p w14:paraId="41D94029" w14:textId="4EE7268C" w:rsidR="0ABEA71C" w:rsidRPr="00921A77" w:rsidRDefault="75FD1782" w:rsidP="00921A77">
      <w:pPr>
        <w:spacing w:line="360" w:lineRule="auto"/>
        <w:rPr>
          <w:rFonts w:ascii="Arial" w:eastAsiaTheme="minorEastAsia" w:hAnsi="Arial" w:cs="Arial"/>
        </w:rPr>
      </w:pPr>
      <w:proofErr w:type="gramStart"/>
      <w:r w:rsidRPr="00921A77">
        <w:rPr>
          <w:rFonts w:ascii="Arial" w:eastAsiaTheme="minorEastAsia" w:hAnsi="Arial" w:cs="Arial"/>
        </w:rPr>
        <w:t xml:space="preserve">MacDonald, R., </w:t>
      </w:r>
      <w:proofErr w:type="spellStart"/>
      <w:r w:rsidRPr="00921A77">
        <w:rPr>
          <w:rFonts w:ascii="Arial" w:eastAsiaTheme="minorEastAsia" w:hAnsi="Arial" w:cs="Arial"/>
        </w:rPr>
        <w:t>Kreutz</w:t>
      </w:r>
      <w:proofErr w:type="spellEnd"/>
      <w:r w:rsidRPr="00921A77">
        <w:rPr>
          <w:rFonts w:ascii="Arial" w:eastAsiaTheme="minorEastAsia" w:hAnsi="Arial" w:cs="Arial"/>
        </w:rPr>
        <w:t>, G., &amp; Mitchell, L. (2012).</w:t>
      </w:r>
      <w:proofErr w:type="gramEnd"/>
      <w:r w:rsidRPr="00921A77">
        <w:rPr>
          <w:rFonts w:ascii="Arial" w:eastAsiaTheme="minorEastAsia" w:hAnsi="Arial" w:cs="Arial"/>
        </w:rPr>
        <w:t xml:space="preserve"> </w:t>
      </w:r>
      <w:proofErr w:type="gramStart"/>
      <w:r w:rsidRPr="00921A77">
        <w:rPr>
          <w:rFonts w:ascii="Arial" w:eastAsiaTheme="minorEastAsia" w:hAnsi="Arial" w:cs="Arial"/>
          <w:i/>
          <w:iCs/>
        </w:rPr>
        <w:t>Music, health, and wellbeing</w:t>
      </w:r>
      <w:r w:rsidRPr="00921A77">
        <w:rPr>
          <w:rFonts w:ascii="Arial" w:eastAsiaTheme="minorEastAsia" w:hAnsi="Arial" w:cs="Arial"/>
        </w:rPr>
        <w:t>.</w:t>
      </w:r>
      <w:proofErr w:type="gramEnd"/>
      <w:r w:rsidRPr="00921A77">
        <w:rPr>
          <w:rFonts w:ascii="Arial" w:eastAsiaTheme="minorEastAsia" w:hAnsi="Arial" w:cs="Arial"/>
        </w:rPr>
        <w:t xml:space="preserve"> Oxford: Oxford University Press.</w:t>
      </w:r>
    </w:p>
    <w:p w14:paraId="1BC54826" w14:textId="790A859C" w:rsidR="0ABEA71C" w:rsidRPr="00921A77" w:rsidRDefault="0ABEA71C" w:rsidP="00921A77">
      <w:pPr>
        <w:spacing w:line="360" w:lineRule="auto"/>
        <w:rPr>
          <w:rFonts w:ascii="Arial" w:eastAsiaTheme="minorEastAsia" w:hAnsi="Arial" w:cs="Arial"/>
        </w:rPr>
      </w:pPr>
      <w:proofErr w:type="gramStart"/>
      <w:r w:rsidRPr="00921A77">
        <w:rPr>
          <w:rFonts w:ascii="Arial" w:eastAsiaTheme="minorEastAsia" w:hAnsi="Arial" w:cs="Arial"/>
        </w:rPr>
        <w:t>North, A.C. and Hargreaves, D.J. (2008).</w:t>
      </w:r>
      <w:proofErr w:type="gramEnd"/>
      <w:r w:rsidRPr="00921A77">
        <w:rPr>
          <w:rFonts w:ascii="Arial" w:eastAsiaTheme="minorEastAsia" w:hAnsi="Arial" w:cs="Arial"/>
        </w:rPr>
        <w:t xml:space="preserve"> </w:t>
      </w:r>
      <w:proofErr w:type="gramStart"/>
      <w:r w:rsidRPr="00921A77">
        <w:rPr>
          <w:rFonts w:ascii="Arial" w:eastAsiaTheme="minorEastAsia" w:hAnsi="Arial" w:cs="Arial"/>
          <w:i/>
          <w:iCs/>
        </w:rPr>
        <w:t>The Social and Applied Psychology of Music</w:t>
      </w:r>
      <w:r w:rsidRPr="00921A77">
        <w:rPr>
          <w:rFonts w:ascii="Arial" w:eastAsiaTheme="minorEastAsia" w:hAnsi="Arial" w:cs="Arial"/>
        </w:rPr>
        <w:t>.</w:t>
      </w:r>
      <w:proofErr w:type="gramEnd"/>
      <w:r w:rsidRPr="00921A77">
        <w:rPr>
          <w:rFonts w:ascii="Arial" w:eastAsiaTheme="minorEastAsia" w:hAnsi="Arial" w:cs="Arial"/>
        </w:rPr>
        <w:t xml:space="preserve"> Oxford: Oxford University Press</w:t>
      </w:r>
    </w:p>
    <w:p w14:paraId="067E8736" w14:textId="595B9544" w:rsidR="2CBF46BE" w:rsidRPr="00921A77" w:rsidRDefault="0ABEA71C" w:rsidP="00921A77">
      <w:pPr>
        <w:spacing w:line="360" w:lineRule="auto"/>
        <w:rPr>
          <w:rFonts w:ascii="Arial" w:eastAsiaTheme="minorEastAsia" w:hAnsi="Arial" w:cs="Arial"/>
        </w:rPr>
      </w:pPr>
      <w:proofErr w:type="spellStart"/>
      <w:r w:rsidRPr="00921A77">
        <w:rPr>
          <w:rFonts w:ascii="Arial" w:eastAsiaTheme="minorEastAsia" w:hAnsi="Arial" w:cs="Arial"/>
        </w:rPr>
        <w:t>Ogegbo</w:t>
      </w:r>
      <w:proofErr w:type="spellEnd"/>
      <w:r w:rsidRPr="00921A77">
        <w:rPr>
          <w:rFonts w:ascii="Arial" w:eastAsiaTheme="minorEastAsia" w:hAnsi="Arial" w:cs="Arial"/>
        </w:rPr>
        <w:t xml:space="preserve">, A. (2019). Benefits and challenges of lesson study: A case of teaching Physical Sciences in South Africa. </w:t>
      </w:r>
      <w:r w:rsidRPr="00921A77">
        <w:rPr>
          <w:rFonts w:ascii="Arial" w:eastAsiaTheme="minorEastAsia" w:hAnsi="Arial" w:cs="Arial"/>
          <w:i/>
          <w:iCs/>
        </w:rPr>
        <w:t>South African Journal of Education,</w:t>
      </w:r>
      <w:r w:rsidRPr="00921A77">
        <w:rPr>
          <w:rFonts w:ascii="Arial" w:eastAsiaTheme="minorEastAsia" w:hAnsi="Arial" w:cs="Arial"/>
        </w:rPr>
        <w:t xml:space="preserve"> </w:t>
      </w:r>
      <w:r w:rsidRPr="00921A77">
        <w:rPr>
          <w:rFonts w:ascii="Arial" w:eastAsiaTheme="minorEastAsia" w:hAnsi="Arial" w:cs="Arial"/>
          <w:i/>
          <w:iCs/>
        </w:rPr>
        <w:t>39</w:t>
      </w:r>
      <w:r w:rsidRPr="00921A77">
        <w:rPr>
          <w:rFonts w:ascii="Arial" w:eastAsiaTheme="minorEastAsia" w:hAnsi="Arial" w:cs="Arial"/>
        </w:rPr>
        <w:t>(1), 1-10.</w:t>
      </w:r>
    </w:p>
    <w:p w14:paraId="76970BDD" w14:textId="2B8E424A" w:rsidR="2CBF46BE" w:rsidRPr="00921A77" w:rsidRDefault="0ABEA71C"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t>Ojastu</w:t>
      </w:r>
      <w:proofErr w:type="spellEnd"/>
      <w:r w:rsidRPr="00921A77">
        <w:rPr>
          <w:rFonts w:ascii="Arial" w:eastAsiaTheme="minorEastAsia" w:hAnsi="Arial" w:cs="Arial"/>
        </w:rPr>
        <w:t>, D., Chiu, R., &amp; Olsen, P. (2011).</w:t>
      </w:r>
      <w:proofErr w:type="gramEnd"/>
      <w:r w:rsidRPr="00921A77">
        <w:rPr>
          <w:rFonts w:ascii="Arial" w:eastAsiaTheme="minorEastAsia" w:hAnsi="Arial" w:cs="Arial"/>
        </w:rPr>
        <w:t xml:space="preserve"> </w:t>
      </w:r>
      <w:proofErr w:type="gramStart"/>
      <w:r w:rsidRPr="00921A77">
        <w:rPr>
          <w:rFonts w:ascii="Arial" w:eastAsiaTheme="minorEastAsia" w:hAnsi="Arial" w:cs="Arial"/>
        </w:rPr>
        <w:t>Cognitive model of entrepreneurship and its reflection in education.</w:t>
      </w:r>
      <w:proofErr w:type="gramEnd"/>
      <w:r w:rsidRPr="00921A77">
        <w:rPr>
          <w:rFonts w:ascii="Arial" w:eastAsiaTheme="minorEastAsia" w:hAnsi="Arial" w:cs="Arial"/>
        </w:rPr>
        <w:t xml:space="preserve"> </w:t>
      </w:r>
      <w:proofErr w:type="gramStart"/>
      <w:r w:rsidRPr="00921A77">
        <w:rPr>
          <w:rFonts w:ascii="Arial" w:eastAsiaTheme="minorEastAsia" w:hAnsi="Arial" w:cs="Arial"/>
        </w:rPr>
        <w:t>Journal of Enterprising Culture, 19(2011)4: 397-434.</w:t>
      </w:r>
      <w:proofErr w:type="gramEnd"/>
    </w:p>
    <w:p w14:paraId="58E9D50E" w14:textId="54FA8CDD" w:rsidR="3C4E79F9" w:rsidRPr="00921A77" w:rsidRDefault="0ABEA71C" w:rsidP="00921A77">
      <w:pPr>
        <w:spacing w:line="360" w:lineRule="auto"/>
        <w:rPr>
          <w:rFonts w:ascii="Arial" w:eastAsiaTheme="minorEastAsia" w:hAnsi="Arial" w:cs="Arial"/>
        </w:rPr>
      </w:pPr>
      <w:proofErr w:type="gramStart"/>
      <w:r w:rsidRPr="00921A77">
        <w:rPr>
          <w:rFonts w:ascii="Arial" w:eastAsiaTheme="minorEastAsia" w:hAnsi="Arial" w:cs="Arial"/>
        </w:rPr>
        <w:t xml:space="preserve">Perham, N., &amp; </w:t>
      </w:r>
      <w:proofErr w:type="spellStart"/>
      <w:r w:rsidRPr="00921A77">
        <w:rPr>
          <w:rFonts w:ascii="Arial" w:eastAsiaTheme="minorEastAsia" w:hAnsi="Arial" w:cs="Arial"/>
        </w:rPr>
        <w:t>Withey</w:t>
      </w:r>
      <w:proofErr w:type="spellEnd"/>
      <w:r w:rsidRPr="00921A77">
        <w:rPr>
          <w:rFonts w:ascii="Arial" w:eastAsiaTheme="minorEastAsia" w:hAnsi="Arial" w:cs="Arial"/>
        </w:rPr>
        <w:t>, T. (2012).</w:t>
      </w:r>
      <w:proofErr w:type="gramEnd"/>
      <w:r w:rsidRPr="00921A77">
        <w:rPr>
          <w:rFonts w:ascii="Arial" w:eastAsiaTheme="minorEastAsia" w:hAnsi="Arial" w:cs="Arial"/>
        </w:rPr>
        <w:t xml:space="preserve"> </w:t>
      </w:r>
      <w:r w:rsidRPr="00921A77">
        <w:rPr>
          <w:rFonts w:ascii="Arial" w:eastAsiaTheme="minorEastAsia" w:hAnsi="Arial" w:cs="Arial"/>
          <w:i/>
          <w:iCs/>
        </w:rPr>
        <w:t>Liked music increases spatial rotation performance regardless of tempo</w:t>
      </w:r>
      <w:r w:rsidRPr="00921A77">
        <w:rPr>
          <w:rFonts w:ascii="Arial" w:eastAsiaTheme="minorEastAsia" w:hAnsi="Arial" w:cs="Arial"/>
        </w:rPr>
        <w:t xml:space="preserve">. Current Psychology, 31, 168–181. </w:t>
      </w:r>
      <w:proofErr w:type="gramStart"/>
      <w:r w:rsidRPr="00921A77">
        <w:rPr>
          <w:rFonts w:ascii="Arial" w:eastAsiaTheme="minorEastAsia" w:hAnsi="Arial" w:cs="Arial"/>
        </w:rPr>
        <w:t>doi:</w:t>
      </w:r>
      <w:proofErr w:type="gramEnd"/>
      <w:r w:rsidRPr="00921A77">
        <w:rPr>
          <w:rFonts w:ascii="Arial" w:eastAsiaTheme="minorEastAsia" w:hAnsi="Arial" w:cs="Arial"/>
        </w:rPr>
        <w:t>10.1007/s12144-012- 9141-6</w:t>
      </w:r>
    </w:p>
    <w:p w14:paraId="078AD81E" w14:textId="77777777" w:rsidR="009105C5" w:rsidRPr="00921A77" w:rsidRDefault="0ABEA71C"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t>Ruvinshteyn</w:t>
      </w:r>
      <w:proofErr w:type="spellEnd"/>
      <w:r w:rsidRPr="00921A77">
        <w:rPr>
          <w:rFonts w:ascii="Arial" w:eastAsiaTheme="minorEastAsia" w:hAnsi="Arial" w:cs="Arial"/>
        </w:rPr>
        <w:t xml:space="preserve">, M., and L. </w:t>
      </w:r>
      <w:proofErr w:type="spellStart"/>
      <w:r w:rsidRPr="00921A77">
        <w:rPr>
          <w:rFonts w:ascii="Arial" w:eastAsiaTheme="minorEastAsia" w:hAnsi="Arial" w:cs="Arial"/>
        </w:rPr>
        <w:t>Parrino</w:t>
      </w:r>
      <w:proofErr w:type="spellEnd"/>
      <w:r w:rsidRPr="00921A77">
        <w:rPr>
          <w:rFonts w:ascii="Arial" w:eastAsiaTheme="minorEastAsia" w:hAnsi="Arial" w:cs="Arial"/>
        </w:rPr>
        <w:t>.</w:t>
      </w:r>
      <w:proofErr w:type="gramEnd"/>
      <w:r w:rsidRPr="00921A77">
        <w:rPr>
          <w:rFonts w:ascii="Arial" w:eastAsiaTheme="minorEastAsia" w:hAnsi="Arial" w:cs="Arial"/>
        </w:rPr>
        <w:t xml:space="preserve"> (2006). </w:t>
      </w:r>
      <w:r w:rsidRPr="00921A77">
        <w:rPr>
          <w:rFonts w:ascii="Arial" w:eastAsiaTheme="minorEastAsia" w:hAnsi="Arial" w:cs="Arial"/>
          <w:i/>
          <w:iCs/>
        </w:rPr>
        <w:t>Music helps students retain math</w:t>
      </w:r>
      <w:r w:rsidRPr="00921A77">
        <w:rPr>
          <w:rFonts w:ascii="Arial" w:eastAsiaTheme="minorEastAsia" w:hAnsi="Arial" w:cs="Arial"/>
        </w:rPr>
        <w:t xml:space="preserve">. </w:t>
      </w:r>
      <w:proofErr w:type="gramStart"/>
      <w:r w:rsidRPr="00921A77">
        <w:rPr>
          <w:rFonts w:ascii="Arial" w:eastAsiaTheme="minorEastAsia" w:hAnsi="Arial" w:cs="Arial"/>
        </w:rPr>
        <w:t>Rutgers Focus.</w:t>
      </w:r>
      <w:proofErr w:type="gramEnd"/>
      <w:r w:rsidRPr="00921A77">
        <w:rPr>
          <w:rFonts w:ascii="Arial" w:eastAsiaTheme="minorEastAsia" w:hAnsi="Arial" w:cs="Arial"/>
        </w:rPr>
        <w:t xml:space="preserve"> Rutgers: The State University of New Jersey.</w:t>
      </w:r>
    </w:p>
    <w:p w14:paraId="60024176" w14:textId="1A7B7024" w:rsidR="3C4E79F9" w:rsidRPr="00921A77" w:rsidRDefault="186BBB44"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t>Savan</w:t>
      </w:r>
      <w:proofErr w:type="spellEnd"/>
      <w:r w:rsidRPr="00921A77">
        <w:rPr>
          <w:rFonts w:ascii="Arial" w:eastAsiaTheme="minorEastAsia" w:hAnsi="Arial" w:cs="Arial"/>
        </w:rPr>
        <w:t>, A. (2003).</w:t>
      </w:r>
      <w:proofErr w:type="gramEnd"/>
      <w:r w:rsidRPr="00921A77">
        <w:rPr>
          <w:rFonts w:ascii="Arial" w:eastAsiaTheme="minorEastAsia" w:hAnsi="Arial" w:cs="Arial"/>
          <w:i/>
          <w:iCs/>
        </w:rPr>
        <w:t xml:space="preserve"> </w:t>
      </w:r>
      <w:proofErr w:type="gramStart"/>
      <w:r w:rsidRPr="00921A77">
        <w:rPr>
          <w:rFonts w:ascii="Arial" w:eastAsiaTheme="minorEastAsia" w:hAnsi="Arial" w:cs="Arial"/>
          <w:i/>
          <w:iCs/>
        </w:rPr>
        <w:t>A study into the effects of background music on the co-ordination, behaviour and physiological response of children with special educational needs and emotional and behavioural difficulties</w:t>
      </w:r>
      <w:r w:rsidRPr="00921A77">
        <w:rPr>
          <w:rFonts w:ascii="Arial" w:eastAsiaTheme="minorEastAsia" w:hAnsi="Arial" w:cs="Arial"/>
        </w:rPr>
        <w:t>.</w:t>
      </w:r>
      <w:proofErr w:type="gramEnd"/>
      <w:r w:rsidRPr="00921A77">
        <w:rPr>
          <w:rFonts w:ascii="Arial" w:eastAsiaTheme="minorEastAsia" w:hAnsi="Arial" w:cs="Arial"/>
        </w:rPr>
        <w:t xml:space="preserve"> Reading: University of Reading </w:t>
      </w:r>
    </w:p>
    <w:p w14:paraId="66E0FE53" w14:textId="59AAC5B5" w:rsidR="186BBB44" w:rsidRPr="00921A77" w:rsidRDefault="186BBB44"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lastRenderedPageBreak/>
        <w:t>Saye</w:t>
      </w:r>
      <w:proofErr w:type="spellEnd"/>
      <w:r w:rsidRPr="00921A77">
        <w:rPr>
          <w:rFonts w:ascii="Arial" w:eastAsiaTheme="minorEastAsia" w:hAnsi="Arial" w:cs="Arial"/>
        </w:rPr>
        <w:t xml:space="preserve">, J., </w:t>
      </w:r>
      <w:proofErr w:type="spellStart"/>
      <w:r w:rsidRPr="00921A77">
        <w:rPr>
          <w:rFonts w:ascii="Arial" w:eastAsiaTheme="minorEastAsia" w:hAnsi="Arial" w:cs="Arial"/>
        </w:rPr>
        <w:t>Kohlmeier</w:t>
      </w:r>
      <w:proofErr w:type="spellEnd"/>
      <w:r w:rsidRPr="00921A77">
        <w:rPr>
          <w:rFonts w:ascii="Arial" w:eastAsiaTheme="minorEastAsia" w:hAnsi="Arial" w:cs="Arial"/>
        </w:rPr>
        <w:t>, J., Howell, J., McCormick, T., Jones, R., &amp; Brush, T. (2017).</w:t>
      </w:r>
      <w:proofErr w:type="gramEnd"/>
      <w:r w:rsidRPr="00921A77">
        <w:rPr>
          <w:rFonts w:ascii="Arial" w:eastAsiaTheme="minorEastAsia" w:hAnsi="Arial" w:cs="Arial"/>
        </w:rPr>
        <w:t xml:space="preserve"> </w:t>
      </w:r>
      <w:proofErr w:type="spellStart"/>
      <w:proofErr w:type="gramStart"/>
      <w:r w:rsidRPr="00921A77">
        <w:rPr>
          <w:rFonts w:ascii="Arial" w:eastAsiaTheme="minorEastAsia" w:hAnsi="Arial" w:cs="Arial"/>
        </w:rPr>
        <w:t>Scaffolded</w:t>
      </w:r>
      <w:proofErr w:type="spellEnd"/>
      <w:r w:rsidRPr="00921A77">
        <w:rPr>
          <w:rFonts w:ascii="Arial" w:eastAsiaTheme="minorEastAsia" w:hAnsi="Arial" w:cs="Arial"/>
        </w:rPr>
        <w:t xml:space="preserve"> lesson study.</w:t>
      </w:r>
      <w:proofErr w:type="gramEnd"/>
      <w:r w:rsidRPr="00921A77">
        <w:rPr>
          <w:rFonts w:ascii="Arial" w:eastAsiaTheme="minorEastAsia" w:hAnsi="Arial" w:cs="Arial"/>
        </w:rPr>
        <w:t xml:space="preserve"> </w:t>
      </w:r>
      <w:r w:rsidRPr="00921A77">
        <w:rPr>
          <w:rFonts w:ascii="Arial" w:eastAsiaTheme="minorEastAsia" w:hAnsi="Arial" w:cs="Arial"/>
          <w:i/>
          <w:iCs/>
        </w:rPr>
        <w:t>Social Studies Research and Practice,</w:t>
      </w:r>
      <w:r w:rsidRPr="00921A77">
        <w:rPr>
          <w:rFonts w:ascii="Arial" w:eastAsiaTheme="minorEastAsia" w:hAnsi="Arial" w:cs="Arial"/>
        </w:rPr>
        <w:t xml:space="preserve"> </w:t>
      </w:r>
      <w:r w:rsidRPr="00921A77">
        <w:rPr>
          <w:rFonts w:ascii="Arial" w:eastAsiaTheme="minorEastAsia" w:hAnsi="Arial" w:cs="Arial"/>
          <w:i/>
          <w:iCs/>
        </w:rPr>
        <w:t>12</w:t>
      </w:r>
      <w:r w:rsidRPr="00921A77">
        <w:rPr>
          <w:rFonts w:ascii="Arial" w:eastAsiaTheme="minorEastAsia" w:hAnsi="Arial" w:cs="Arial"/>
        </w:rPr>
        <w:t>(1), 95-112.</w:t>
      </w:r>
    </w:p>
    <w:p w14:paraId="7CBA5489" w14:textId="4FE89D70" w:rsidR="2CBF46BE" w:rsidRPr="00921A77" w:rsidRDefault="0ABEA71C" w:rsidP="00921A77">
      <w:pPr>
        <w:spacing w:line="360" w:lineRule="auto"/>
        <w:rPr>
          <w:rFonts w:ascii="Arial" w:eastAsiaTheme="minorEastAsia" w:hAnsi="Arial" w:cs="Arial"/>
        </w:rPr>
      </w:pPr>
      <w:proofErr w:type="gramStart"/>
      <w:r w:rsidRPr="00921A77">
        <w:rPr>
          <w:rFonts w:ascii="Arial" w:eastAsiaTheme="minorEastAsia" w:hAnsi="Arial" w:cs="Arial"/>
        </w:rPr>
        <w:t>Scott, J., &amp; Marshall, G. (2009).</w:t>
      </w:r>
      <w:proofErr w:type="gramEnd"/>
      <w:r w:rsidRPr="00921A77">
        <w:rPr>
          <w:rFonts w:ascii="Arial" w:eastAsiaTheme="minorEastAsia" w:hAnsi="Arial" w:cs="Arial"/>
        </w:rPr>
        <w:t xml:space="preserve"> </w:t>
      </w:r>
      <w:proofErr w:type="gramStart"/>
      <w:r w:rsidRPr="00921A77">
        <w:rPr>
          <w:rFonts w:ascii="Arial" w:eastAsiaTheme="minorEastAsia" w:hAnsi="Arial" w:cs="Arial"/>
        </w:rPr>
        <w:t>Non-participant observation.</w:t>
      </w:r>
      <w:proofErr w:type="gramEnd"/>
      <w:r w:rsidRPr="00921A77">
        <w:rPr>
          <w:rFonts w:ascii="Arial" w:eastAsiaTheme="minorEastAsia" w:hAnsi="Arial" w:cs="Arial"/>
        </w:rPr>
        <w:t xml:space="preserve"> </w:t>
      </w:r>
      <w:r w:rsidRPr="00921A77">
        <w:rPr>
          <w:rFonts w:ascii="Arial" w:eastAsiaTheme="minorEastAsia" w:hAnsi="Arial" w:cs="Arial"/>
          <w:i/>
          <w:iCs/>
        </w:rPr>
        <w:t>A Dictionary of Sociology,</w:t>
      </w:r>
      <w:r w:rsidRPr="00921A77">
        <w:rPr>
          <w:rFonts w:ascii="Arial" w:eastAsiaTheme="minorEastAsia" w:hAnsi="Arial" w:cs="Arial"/>
        </w:rPr>
        <w:t xml:space="preserve"> </w:t>
      </w:r>
      <w:proofErr w:type="gramStart"/>
      <w:r w:rsidRPr="00921A77">
        <w:rPr>
          <w:rFonts w:ascii="Arial" w:eastAsiaTheme="minorEastAsia" w:hAnsi="Arial" w:cs="Arial"/>
        </w:rPr>
        <w:t>A</w:t>
      </w:r>
      <w:proofErr w:type="gramEnd"/>
      <w:r w:rsidRPr="00921A77">
        <w:rPr>
          <w:rFonts w:ascii="Arial" w:eastAsiaTheme="minorEastAsia" w:hAnsi="Arial" w:cs="Arial"/>
        </w:rPr>
        <w:t xml:space="preserve"> Dictionary of Sociology.</w:t>
      </w:r>
    </w:p>
    <w:p w14:paraId="32A9D52F" w14:textId="4615E806" w:rsidR="3C4E79F9" w:rsidRPr="00921A77" w:rsidRDefault="0ABEA71C" w:rsidP="00921A77">
      <w:pPr>
        <w:spacing w:line="360" w:lineRule="auto"/>
        <w:rPr>
          <w:rFonts w:ascii="Arial" w:eastAsiaTheme="minorEastAsia" w:hAnsi="Arial" w:cs="Arial"/>
        </w:rPr>
      </w:pPr>
      <w:proofErr w:type="gramStart"/>
      <w:r w:rsidRPr="00921A77">
        <w:rPr>
          <w:rFonts w:ascii="Arial" w:eastAsiaTheme="minorEastAsia" w:hAnsi="Arial" w:cs="Arial"/>
        </w:rPr>
        <w:t>Shih, Yi-</w:t>
      </w:r>
      <w:proofErr w:type="spellStart"/>
      <w:r w:rsidRPr="00921A77">
        <w:rPr>
          <w:rFonts w:ascii="Arial" w:eastAsiaTheme="minorEastAsia" w:hAnsi="Arial" w:cs="Arial"/>
        </w:rPr>
        <w:t>Nuo</w:t>
      </w:r>
      <w:proofErr w:type="spellEnd"/>
      <w:r w:rsidRPr="00921A77">
        <w:rPr>
          <w:rFonts w:ascii="Arial" w:eastAsiaTheme="minorEastAsia" w:hAnsi="Arial" w:cs="Arial"/>
        </w:rPr>
        <w:t xml:space="preserve"> &amp; Huang, </w:t>
      </w:r>
      <w:proofErr w:type="spellStart"/>
      <w:r w:rsidRPr="00921A77">
        <w:rPr>
          <w:rFonts w:ascii="Arial" w:eastAsiaTheme="minorEastAsia" w:hAnsi="Arial" w:cs="Arial"/>
        </w:rPr>
        <w:t>Rong</w:t>
      </w:r>
      <w:proofErr w:type="spellEnd"/>
      <w:r w:rsidRPr="00921A77">
        <w:rPr>
          <w:rFonts w:ascii="Arial" w:eastAsiaTheme="minorEastAsia" w:hAnsi="Arial" w:cs="Arial"/>
        </w:rPr>
        <w:t xml:space="preserve">-Hwa &amp; Chiang, </w:t>
      </w:r>
      <w:proofErr w:type="spellStart"/>
      <w:r w:rsidRPr="00921A77">
        <w:rPr>
          <w:rFonts w:ascii="Arial" w:eastAsiaTheme="minorEastAsia" w:hAnsi="Arial" w:cs="Arial"/>
        </w:rPr>
        <w:t>Hsin</w:t>
      </w:r>
      <w:proofErr w:type="spellEnd"/>
      <w:r w:rsidRPr="00921A77">
        <w:rPr>
          <w:rFonts w:ascii="Arial" w:eastAsiaTheme="minorEastAsia" w:hAnsi="Arial" w:cs="Arial"/>
        </w:rPr>
        <w:t>-Yu.</w:t>
      </w:r>
      <w:proofErr w:type="gramEnd"/>
      <w:r w:rsidRPr="00921A77">
        <w:rPr>
          <w:rFonts w:ascii="Arial" w:eastAsiaTheme="minorEastAsia" w:hAnsi="Arial" w:cs="Arial"/>
        </w:rPr>
        <w:t xml:space="preserve"> (2012).</w:t>
      </w:r>
      <w:r w:rsidRPr="00921A77">
        <w:rPr>
          <w:rFonts w:ascii="Arial" w:eastAsiaTheme="minorEastAsia" w:hAnsi="Arial" w:cs="Arial"/>
          <w:i/>
          <w:iCs/>
        </w:rPr>
        <w:t xml:space="preserve"> Background music: Effects on attention performance.</w:t>
      </w:r>
      <w:r w:rsidRPr="00921A77">
        <w:rPr>
          <w:rFonts w:ascii="Arial" w:eastAsiaTheme="minorEastAsia" w:hAnsi="Arial" w:cs="Arial"/>
        </w:rPr>
        <w:t xml:space="preserve"> Work (Reading, Mass.). 42. 573-8. </w:t>
      </w:r>
      <w:proofErr w:type="gramStart"/>
      <w:r w:rsidRPr="00921A77">
        <w:rPr>
          <w:rFonts w:ascii="Arial" w:eastAsiaTheme="minorEastAsia" w:hAnsi="Arial" w:cs="Arial"/>
        </w:rPr>
        <w:t>10.3233/WOR-2012-1410.</w:t>
      </w:r>
      <w:proofErr w:type="gramEnd"/>
    </w:p>
    <w:p w14:paraId="5C1104FC" w14:textId="51FC3E1B" w:rsidR="2CBF46BE" w:rsidRPr="00921A77" w:rsidRDefault="0ABEA71C"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t>Stols</w:t>
      </w:r>
      <w:proofErr w:type="spellEnd"/>
      <w:r w:rsidRPr="00921A77">
        <w:rPr>
          <w:rFonts w:ascii="Arial" w:eastAsiaTheme="minorEastAsia" w:hAnsi="Arial" w:cs="Arial"/>
        </w:rPr>
        <w:t>, G &amp; Ono, Y (2016).</w:t>
      </w:r>
      <w:proofErr w:type="gramEnd"/>
      <w:r w:rsidRPr="00921A77">
        <w:rPr>
          <w:rFonts w:ascii="Arial" w:eastAsiaTheme="minorEastAsia" w:hAnsi="Arial" w:cs="Arial"/>
        </w:rPr>
        <w:t xml:space="preserve"> Lesson study: An implementation manual. </w:t>
      </w:r>
      <w:proofErr w:type="gramStart"/>
      <w:r w:rsidRPr="00921A77">
        <w:rPr>
          <w:rFonts w:ascii="Arial" w:eastAsiaTheme="minorEastAsia" w:hAnsi="Arial" w:cs="Arial"/>
        </w:rPr>
        <w:t>Available at https://schoolmaths.com/documents/Lesson%20Study%20Manu al_Eng_Stols_Ono_25Dec2016.pdf.</w:t>
      </w:r>
      <w:proofErr w:type="gramEnd"/>
      <w:r w:rsidRPr="00921A77">
        <w:rPr>
          <w:rFonts w:ascii="Arial" w:eastAsiaTheme="minorEastAsia" w:hAnsi="Arial" w:cs="Arial"/>
        </w:rPr>
        <w:t xml:space="preserve"> </w:t>
      </w:r>
      <w:proofErr w:type="gramStart"/>
      <w:r w:rsidRPr="00921A77">
        <w:rPr>
          <w:rFonts w:ascii="Arial" w:eastAsiaTheme="minorEastAsia" w:hAnsi="Arial" w:cs="Arial"/>
        </w:rPr>
        <w:t>Accessed 14</w:t>
      </w:r>
      <w:r w:rsidRPr="00921A77">
        <w:rPr>
          <w:rFonts w:ascii="Arial" w:eastAsiaTheme="minorEastAsia" w:hAnsi="Arial" w:cs="Arial"/>
          <w:vertAlign w:val="superscript"/>
        </w:rPr>
        <w:t>th</w:t>
      </w:r>
      <w:r w:rsidRPr="00921A77">
        <w:rPr>
          <w:rFonts w:ascii="Arial" w:eastAsiaTheme="minorEastAsia" w:hAnsi="Arial" w:cs="Arial"/>
        </w:rPr>
        <w:t xml:space="preserve"> February 2020.</w:t>
      </w:r>
      <w:proofErr w:type="gramEnd"/>
    </w:p>
    <w:p w14:paraId="08EA485F" w14:textId="411F304E" w:rsidR="0ABEA71C" w:rsidRPr="00921A77" w:rsidRDefault="186BBB44" w:rsidP="00921A77">
      <w:pPr>
        <w:spacing w:line="360" w:lineRule="auto"/>
        <w:rPr>
          <w:rFonts w:ascii="Arial" w:eastAsiaTheme="minorEastAsia" w:hAnsi="Arial" w:cs="Arial"/>
        </w:rPr>
      </w:pPr>
      <w:proofErr w:type="spellStart"/>
      <w:proofErr w:type="gramStart"/>
      <w:r w:rsidRPr="00921A77">
        <w:rPr>
          <w:rFonts w:ascii="Arial" w:eastAsia="Calibri" w:hAnsi="Arial" w:cs="Arial"/>
        </w:rPr>
        <w:t>Trondalen</w:t>
      </w:r>
      <w:proofErr w:type="spellEnd"/>
      <w:r w:rsidRPr="00921A77">
        <w:rPr>
          <w:rFonts w:ascii="Arial" w:eastAsia="Calibri" w:hAnsi="Arial" w:cs="Arial"/>
        </w:rPr>
        <w:t xml:space="preserve">, G &amp; </w:t>
      </w:r>
      <w:proofErr w:type="spellStart"/>
      <w:r w:rsidRPr="00921A77">
        <w:rPr>
          <w:rFonts w:ascii="Arial" w:eastAsia="Calibri" w:hAnsi="Arial" w:cs="Arial"/>
        </w:rPr>
        <w:t>Bonde</w:t>
      </w:r>
      <w:proofErr w:type="spellEnd"/>
      <w:r w:rsidRPr="00921A77">
        <w:rPr>
          <w:rFonts w:ascii="Arial" w:eastAsia="Calibri" w:hAnsi="Arial" w:cs="Arial"/>
        </w:rPr>
        <w:t>, L. (2012).</w:t>
      </w:r>
      <w:proofErr w:type="gramEnd"/>
      <w:r w:rsidRPr="00921A77">
        <w:rPr>
          <w:rFonts w:ascii="Arial" w:eastAsia="Calibri" w:hAnsi="Arial" w:cs="Arial"/>
        </w:rPr>
        <w:t xml:space="preserve"> Music Therapy: Models and Interventions. </w:t>
      </w:r>
      <w:proofErr w:type="gramStart"/>
      <w:r w:rsidRPr="00921A77">
        <w:rPr>
          <w:rFonts w:ascii="Arial" w:eastAsia="Calibri" w:hAnsi="Arial" w:cs="Arial"/>
          <w:i/>
          <w:iCs/>
        </w:rPr>
        <w:t>Music, Health, and Wellbeing</w:t>
      </w:r>
      <w:r w:rsidRPr="00921A77">
        <w:rPr>
          <w:rFonts w:ascii="Arial" w:eastAsia="Calibri" w:hAnsi="Arial" w:cs="Arial"/>
        </w:rPr>
        <w:t>.</w:t>
      </w:r>
      <w:proofErr w:type="gramEnd"/>
      <w:r w:rsidRPr="00921A77">
        <w:rPr>
          <w:rFonts w:ascii="Arial" w:eastAsia="Calibri" w:hAnsi="Arial" w:cs="Arial"/>
        </w:rPr>
        <w:t xml:space="preserve"> 10.</w:t>
      </w:r>
      <w:r w:rsidRPr="00921A77">
        <w:rPr>
          <w:rFonts w:ascii="Arial" w:eastAsiaTheme="minorEastAsia" w:hAnsi="Arial" w:cs="Arial"/>
        </w:rPr>
        <w:t>1093/</w:t>
      </w:r>
      <w:proofErr w:type="spellStart"/>
      <w:r w:rsidRPr="00921A77">
        <w:rPr>
          <w:rFonts w:ascii="Arial" w:eastAsiaTheme="minorEastAsia" w:hAnsi="Arial" w:cs="Arial"/>
        </w:rPr>
        <w:t>acprof:oso</w:t>
      </w:r>
      <w:proofErr w:type="spellEnd"/>
      <w:r w:rsidRPr="00921A77">
        <w:rPr>
          <w:rFonts w:ascii="Arial" w:eastAsiaTheme="minorEastAsia" w:hAnsi="Arial" w:cs="Arial"/>
        </w:rPr>
        <w:t>/9780199586974.003.0004.</w:t>
      </w:r>
    </w:p>
    <w:p w14:paraId="5B2949AC" w14:textId="1538C94E" w:rsidR="186BBB44" w:rsidRPr="00921A77" w:rsidRDefault="186BBB44" w:rsidP="00921A77">
      <w:pPr>
        <w:spacing w:line="360" w:lineRule="auto"/>
        <w:rPr>
          <w:rFonts w:ascii="Arial" w:eastAsiaTheme="minorEastAsia" w:hAnsi="Arial" w:cs="Arial"/>
        </w:rPr>
      </w:pPr>
      <w:proofErr w:type="spellStart"/>
      <w:proofErr w:type="gramStart"/>
      <w:r w:rsidRPr="00921A77">
        <w:rPr>
          <w:rFonts w:ascii="Arial" w:eastAsiaTheme="minorEastAsia" w:hAnsi="Arial" w:cs="Arial"/>
        </w:rPr>
        <w:t>Tze</w:t>
      </w:r>
      <w:proofErr w:type="spellEnd"/>
      <w:r w:rsidRPr="00921A77">
        <w:rPr>
          <w:rFonts w:ascii="Arial" w:eastAsiaTheme="minorEastAsia" w:hAnsi="Arial" w:cs="Arial"/>
        </w:rPr>
        <w:t>, P, and Chou, M. (2010).</w:t>
      </w:r>
      <w:proofErr w:type="gramEnd"/>
      <w:r w:rsidRPr="00921A77">
        <w:rPr>
          <w:rFonts w:ascii="Arial" w:eastAsiaTheme="minorEastAsia" w:hAnsi="Arial" w:cs="Arial"/>
        </w:rPr>
        <w:t xml:space="preserve"> Attention Drainage Effect: How Background Music Effects Concentration in Taiwanese College Students. </w:t>
      </w:r>
      <w:r w:rsidRPr="00921A77">
        <w:rPr>
          <w:rFonts w:ascii="Arial" w:eastAsiaTheme="minorEastAsia" w:hAnsi="Arial" w:cs="Arial"/>
          <w:i/>
          <w:iCs/>
        </w:rPr>
        <w:t>Journal of the Scholarship of Teaching and Learning,</w:t>
      </w:r>
      <w:r w:rsidRPr="00921A77">
        <w:rPr>
          <w:rFonts w:ascii="Arial" w:eastAsiaTheme="minorEastAsia" w:hAnsi="Arial" w:cs="Arial"/>
        </w:rPr>
        <w:t xml:space="preserve"> </w:t>
      </w:r>
      <w:r w:rsidRPr="00921A77">
        <w:rPr>
          <w:rFonts w:ascii="Arial" w:eastAsiaTheme="minorEastAsia" w:hAnsi="Arial" w:cs="Arial"/>
          <w:i/>
          <w:iCs/>
        </w:rPr>
        <w:t>10</w:t>
      </w:r>
      <w:r w:rsidRPr="00921A77">
        <w:rPr>
          <w:rFonts w:ascii="Arial" w:eastAsiaTheme="minorEastAsia" w:hAnsi="Arial" w:cs="Arial"/>
        </w:rPr>
        <w:t>(1), 36-46.</w:t>
      </w:r>
    </w:p>
    <w:p w14:paraId="72B2C346" w14:textId="77777777" w:rsidR="00A64240" w:rsidRPr="00921A77" w:rsidRDefault="00A64240" w:rsidP="00921A77">
      <w:pPr>
        <w:spacing w:line="360" w:lineRule="auto"/>
        <w:rPr>
          <w:rFonts w:ascii="Arial" w:eastAsiaTheme="minorEastAsia" w:hAnsi="Arial" w:cs="Arial"/>
          <w:shd w:val="clear" w:color="auto" w:fill="FFFFFF"/>
        </w:rPr>
      </w:pPr>
      <w:proofErr w:type="spellStart"/>
      <w:proofErr w:type="gramStart"/>
      <w:r w:rsidRPr="00921A77">
        <w:rPr>
          <w:rFonts w:ascii="Arial" w:eastAsiaTheme="minorEastAsia" w:hAnsi="Arial" w:cs="Arial"/>
          <w:shd w:val="clear" w:color="auto" w:fill="FFFFFF"/>
        </w:rPr>
        <w:t>Yildirim</w:t>
      </w:r>
      <w:proofErr w:type="spellEnd"/>
      <w:r w:rsidRPr="00921A77">
        <w:rPr>
          <w:rFonts w:ascii="Arial" w:eastAsiaTheme="minorEastAsia" w:hAnsi="Arial" w:cs="Arial"/>
          <w:shd w:val="clear" w:color="auto" w:fill="FFFFFF"/>
        </w:rPr>
        <w:t xml:space="preserve">, A. &amp; </w:t>
      </w:r>
      <w:proofErr w:type="spellStart"/>
      <w:r w:rsidRPr="00921A77">
        <w:rPr>
          <w:rFonts w:ascii="Arial" w:eastAsiaTheme="minorEastAsia" w:hAnsi="Arial" w:cs="Arial"/>
          <w:shd w:val="clear" w:color="auto" w:fill="FFFFFF"/>
        </w:rPr>
        <w:t>Simsek</w:t>
      </w:r>
      <w:proofErr w:type="spellEnd"/>
      <w:r w:rsidRPr="00921A77">
        <w:rPr>
          <w:rFonts w:ascii="Arial" w:eastAsiaTheme="minorEastAsia" w:hAnsi="Arial" w:cs="Arial"/>
          <w:shd w:val="clear" w:color="auto" w:fill="FFFFFF"/>
        </w:rPr>
        <w:t>, H. (2008).</w:t>
      </w:r>
      <w:proofErr w:type="gramEnd"/>
      <w:r w:rsidRPr="00921A77">
        <w:rPr>
          <w:rFonts w:ascii="Arial" w:eastAsiaTheme="minorEastAsia" w:hAnsi="Arial" w:cs="Arial"/>
          <w:shd w:val="clear" w:color="auto" w:fill="FFFFFF"/>
        </w:rPr>
        <w:t xml:space="preserve"> </w:t>
      </w:r>
      <w:proofErr w:type="spellStart"/>
      <w:r w:rsidRPr="00921A77">
        <w:rPr>
          <w:rFonts w:ascii="Arial" w:eastAsiaTheme="minorEastAsia" w:hAnsi="Arial" w:cs="Arial"/>
          <w:i/>
          <w:iCs/>
          <w:shd w:val="clear" w:color="auto" w:fill="FFFFFF"/>
        </w:rPr>
        <w:t>Sosyal</w:t>
      </w:r>
      <w:proofErr w:type="spellEnd"/>
      <w:r w:rsidRPr="00921A77">
        <w:rPr>
          <w:rFonts w:ascii="Arial" w:eastAsiaTheme="minorEastAsia" w:hAnsi="Arial" w:cs="Arial"/>
          <w:i/>
          <w:iCs/>
          <w:shd w:val="clear" w:color="auto" w:fill="FFFFFF"/>
        </w:rPr>
        <w:t xml:space="preserve"> </w:t>
      </w:r>
      <w:proofErr w:type="spellStart"/>
      <w:r w:rsidRPr="00921A77">
        <w:rPr>
          <w:rFonts w:ascii="Arial" w:eastAsiaTheme="minorEastAsia" w:hAnsi="Arial" w:cs="Arial"/>
          <w:i/>
          <w:iCs/>
          <w:shd w:val="clear" w:color="auto" w:fill="FFFFFF"/>
        </w:rPr>
        <w:t>Bilimlerde</w:t>
      </w:r>
      <w:proofErr w:type="spellEnd"/>
      <w:r w:rsidRPr="00921A77">
        <w:rPr>
          <w:rFonts w:ascii="Arial" w:eastAsiaTheme="minorEastAsia" w:hAnsi="Arial" w:cs="Arial"/>
          <w:i/>
          <w:iCs/>
          <w:shd w:val="clear" w:color="auto" w:fill="FFFFFF"/>
        </w:rPr>
        <w:t xml:space="preserve"> </w:t>
      </w:r>
      <w:proofErr w:type="spellStart"/>
      <w:r w:rsidRPr="00921A77">
        <w:rPr>
          <w:rFonts w:ascii="Arial" w:eastAsiaTheme="minorEastAsia" w:hAnsi="Arial" w:cs="Arial"/>
          <w:i/>
          <w:iCs/>
          <w:shd w:val="clear" w:color="auto" w:fill="FFFFFF"/>
        </w:rPr>
        <w:t>Nitel</w:t>
      </w:r>
      <w:proofErr w:type="spellEnd"/>
      <w:r w:rsidRPr="00921A77">
        <w:rPr>
          <w:rFonts w:ascii="Arial" w:eastAsiaTheme="minorEastAsia" w:hAnsi="Arial" w:cs="Arial"/>
          <w:i/>
          <w:iCs/>
          <w:shd w:val="clear" w:color="auto" w:fill="FFFFFF"/>
        </w:rPr>
        <w:t xml:space="preserve"> </w:t>
      </w:r>
      <w:proofErr w:type="spellStart"/>
      <w:r w:rsidRPr="00921A77">
        <w:rPr>
          <w:rFonts w:ascii="Arial" w:eastAsiaTheme="minorEastAsia" w:hAnsi="Arial" w:cs="Arial"/>
          <w:i/>
          <w:iCs/>
          <w:shd w:val="clear" w:color="auto" w:fill="FFFFFF"/>
        </w:rPr>
        <w:t>AraúWÕrma</w:t>
      </w:r>
      <w:proofErr w:type="spellEnd"/>
      <w:r w:rsidRPr="00921A77">
        <w:rPr>
          <w:rFonts w:ascii="Arial" w:eastAsiaTheme="minorEastAsia" w:hAnsi="Arial" w:cs="Arial"/>
          <w:i/>
          <w:iCs/>
          <w:shd w:val="clear" w:color="auto" w:fill="FFFFFF"/>
        </w:rPr>
        <w:t xml:space="preserve"> </w:t>
      </w:r>
      <w:proofErr w:type="spellStart"/>
      <w:r w:rsidRPr="00921A77">
        <w:rPr>
          <w:rFonts w:ascii="Arial" w:eastAsiaTheme="minorEastAsia" w:hAnsi="Arial" w:cs="Arial"/>
          <w:i/>
          <w:iCs/>
          <w:shd w:val="clear" w:color="auto" w:fill="FFFFFF"/>
        </w:rPr>
        <w:t>Yöntemleri</w:t>
      </w:r>
      <w:proofErr w:type="spellEnd"/>
      <w:r w:rsidRPr="00921A77">
        <w:rPr>
          <w:rFonts w:ascii="Arial" w:eastAsiaTheme="minorEastAsia" w:hAnsi="Arial" w:cs="Arial"/>
          <w:i/>
          <w:iCs/>
          <w:shd w:val="clear" w:color="auto" w:fill="FFFFFF"/>
        </w:rPr>
        <w:t xml:space="preserve"> (Qualitative Research Methods in Social Sciences)</w:t>
      </w:r>
      <w:r w:rsidRPr="00921A77">
        <w:rPr>
          <w:rFonts w:ascii="Arial" w:eastAsiaTheme="minorEastAsia" w:hAnsi="Arial" w:cs="Arial"/>
          <w:shd w:val="clear" w:color="auto" w:fill="FFFFFF"/>
        </w:rPr>
        <w:t xml:space="preserve">, (7th Edition), Ankara: </w:t>
      </w:r>
      <w:proofErr w:type="spellStart"/>
      <w:r w:rsidRPr="00921A77">
        <w:rPr>
          <w:rFonts w:ascii="Arial" w:eastAsiaTheme="minorEastAsia" w:hAnsi="Arial" w:cs="Arial"/>
          <w:shd w:val="clear" w:color="auto" w:fill="FFFFFF"/>
        </w:rPr>
        <w:t>Seçkin</w:t>
      </w:r>
      <w:proofErr w:type="spellEnd"/>
      <w:r w:rsidRPr="00921A77">
        <w:rPr>
          <w:rFonts w:ascii="Arial" w:eastAsiaTheme="minorEastAsia" w:hAnsi="Arial" w:cs="Arial"/>
          <w:shd w:val="clear" w:color="auto" w:fill="FFFFFF"/>
        </w:rPr>
        <w:t xml:space="preserve"> </w:t>
      </w:r>
      <w:proofErr w:type="spellStart"/>
      <w:r w:rsidRPr="00921A77">
        <w:rPr>
          <w:rFonts w:ascii="Arial" w:eastAsiaTheme="minorEastAsia" w:hAnsi="Arial" w:cs="Arial"/>
          <w:shd w:val="clear" w:color="auto" w:fill="FFFFFF"/>
        </w:rPr>
        <w:t>Yayincilik</w:t>
      </w:r>
      <w:proofErr w:type="spellEnd"/>
    </w:p>
    <w:p w14:paraId="15B538B3" w14:textId="1995A341" w:rsidR="2CBF46BE" w:rsidRPr="00921A77" w:rsidRDefault="186BBB44" w:rsidP="00921A77">
      <w:pPr>
        <w:spacing w:line="360" w:lineRule="auto"/>
        <w:rPr>
          <w:rFonts w:ascii="Arial" w:eastAsiaTheme="minorEastAsia" w:hAnsi="Arial" w:cs="Arial"/>
        </w:rPr>
      </w:pPr>
      <w:proofErr w:type="gramStart"/>
      <w:r w:rsidRPr="00921A77">
        <w:rPr>
          <w:rFonts w:ascii="Arial" w:eastAsiaTheme="minorEastAsia" w:hAnsi="Arial" w:cs="Arial"/>
        </w:rPr>
        <w:t xml:space="preserve">Whitford, T, &amp; </w:t>
      </w:r>
      <w:proofErr w:type="spellStart"/>
      <w:r w:rsidRPr="00921A77">
        <w:rPr>
          <w:rFonts w:ascii="Arial" w:eastAsiaTheme="minorEastAsia" w:hAnsi="Arial" w:cs="Arial"/>
        </w:rPr>
        <w:t>Prunckun</w:t>
      </w:r>
      <w:proofErr w:type="spellEnd"/>
      <w:r w:rsidRPr="00921A77">
        <w:rPr>
          <w:rFonts w:ascii="Arial" w:eastAsiaTheme="minorEastAsia" w:hAnsi="Arial" w:cs="Arial"/>
        </w:rPr>
        <w:t>, H. (2017).</w:t>
      </w:r>
      <w:proofErr w:type="gramEnd"/>
      <w:r w:rsidRPr="00921A77">
        <w:rPr>
          <w:rFonts w:ascii="Arial" w:eastAsiaTheme="minorEastAsia" w:hAnsi="Arial" w:cs="Arial"/>
        </w:rPr>
        <w:t xml:space="preserve"> Discreet, Not Covert: Reflections on Teaching Intelligence Analysis in a Non-Government Setting. </w:t>
      </w:r>
      <w:proofErr w:type="spellStart"/>
      <w:r w:rsidRPr="00921A77">
        <w:rPr>
          <w:rFonts w:ascii="Arial" w:eastAsiaTheme="minorEastAsia" w:hAnsi="Arial" w:cs="Arial"/>
          <w:i/>
          <w:iCs/>
        </w:rPr>
        <w:t>Salus</w:t>
      </w:r>
      <w:proofErr w:type="spellEnd"/>
      <w:r w:rsidRPr="00921A77">
        <w:rPr>
          <w:rFonts w:ascii="Arial" w:eastAsiaTheme="minorEastAsia" w:hAnsi="Arial" w:cs="Arial"/>
          <w:i/>
          <w:iCs/>
        </w:rPr>
        <w:t xml:space="preserve"> Journal,</w:t>
      </w:r>
      <w:r w:rsidRPr="00921A77">
        <w:rPr>
          <w:rFonts w:ascii="Arial" w:eastAsiaTheme="minorEastAsia" w:hAnsi="Arial" w:cs="Arial"/>
        </w:rPr>
        <w:t xml:space="preserve"> </w:t>
      </w:r>
      <w:r w:rsidRPr="00921A77">
        <w:rPr>
          <w:rFonts w:ascii="Arial" w:eastAsiaTheme="minorEastAsia" w:hAnsi="Arial" w:cs="Arial"/>
          <w:i/>
          <w:iCs/>
        </w:rPr>
        <w:t>5</w:t>
      </w:r>
      <w:r w:rsidRPr="00921A77">
        <w:rPr>
          <w:rFonts w:ascii="Arial" w:eastAsiaTheme="minorEastAsia" w:hAnsi="Arial" w:cs="Arial"/>
        </w:rPr>
        <w:t>(1), 46-61</w:t>
      </w:r>
    </w:p>
    <w:p w14:paraId="365F54CE" w14:textId="77777777" w:rsidR="0040277E" w:rsidRPr="00921A77" w:rsidRDefault="0040277E" w:rsidP="00921A77">
      <w:pPr>
        <w:spacing w:line="360" w:lineRule="auto"/>
        <w:rPr>
          <w:rFonts w:ascii="Arial" w:eastAsiaTheme="minorEastAsia" w:hAnsi="Arial" w:cs="Arial"/>
        </w:rPr>
      </w:pPr>
      <w:r w:rsidRPr="00921A77">
        <w:rPr>
          <w:rFonts w:ascii="Arial" w:eastAsiaTheme="minorEastAsia" w:hAnsi="Arial" w:cs="Arial"/>
          <w:shd w:val="clear" w:color="auto" w:fill="FFFFFF"/>
        </w:rPr>
        <w:t>Wilson, V</w:t>
      </w:r>
      <w:proofErr w:type="gramStart"/>
      <w:r w:rsidRPr="00921A77">
        <w:rPr>
          <w:rFonts w:ascii="Arial" w:eastAsiaTheme="minorEastAsia" w:hAnsi="Arial" w:cs="Arial"/>
          <w:shd w:val="clear" w:color="auto" w:fill="FFFFFF"/>
        </w:rPr>
        <w:t>.</w:t>
      </w:r>
      <w:r w:rsidR="00904D49" w:rsidRPr="00921A77">
        <w:rPr>
          <w:rFonts w:ascii="Arial" w:eastAsiaTheme="minorEastAsia" w:hAnsi="Arial" w:cs="Arial"/>
          <w:shd w:val="clear" w:color="auto" w:fill="FFFFFF"/>
        </w:rPr>
        <w:t>(</w:t>
      </w:r>
      <w:proofErr w:type="gramEnd"/>
      <w:r w:rsidRPr="00921A77">
        <w:rPr>
          <w:rFonts w:ascii="Arial" w:eastAsiaTheme="minorEastAsia" w:hAnsi="Arial" w:cs="Arial"/>
          <w:shd w:val="clear" w:color="auto" w:fill="FFFFFF"/>
        </w:rPr>
        <w:t>2016</w:t>
      </w:r>
      <w:r w:rsidR="00904D49" w:rsidRPr="00921A77">
        <w:rPr>
          <w:rFonts w:ascii="Arial" w:eastAsiaTheme="minorEastAsia" w:hAnsi="Arial" w:cs="Arial"/>
          <w:shd w:val="clear" w:color="auto" w:fill="FFFFFF"/>
        </w:rPr>
        <w:t>)</w:t>
      </w:r>
      <w:r w:rsidRPr="00921A77">
        <w:rPr>
          <w:rFonts w:ascii="Arial" w:eastAsiaTheme="minorEastAsia" w:hAnsi="Arial" w:cs="Arial"/>
          <w:shd w:val="clear" w:color="auto" w:fill="FFFFFF"/>
        </w:rPr>
        <w:t xml:space="preserve">. </w:t>
      </w:r>
      <w:r w:rsidRPr="00921A77">
        <w:rPr>
          <w:rFonts w:ascii="Arial" w:eastAsiaTheme="minorEastAsia" w:hAnsi="Arial" w:cs="Arial"/>
          <w:i/>
          <w:iCs/>
          <w:shd w:val="clear" w:color="auto" w:fill="FFFFFF"/>
        </w:rPr>
        <w:t>Research Methods: Interviews.</w:t>
      </w:r>
      <w:r w:rsidRPr="00921A77">
        <w:rPr>
          <w:rFonts w:ascii="Arial" w:eastAsiaTheme="minorEastAsia" w:hAnsi="Arial" w:cs="Arial"/>
          <w:shd w:val="clear" w:color="auto" w:fill="FFFFFF"/>
        </w:rPr>
        <w:t> </w:t>
      </w:r>
      <w:proofErr w:type="gramStart"/>
      <w:r w:rsidRPr="00921A77">
        <w:rPr>
          <w:rFonts w:ascii="Arial" w:eastAsiaTheme="minorEastAsia" w:hAnsi="Arial" w:cs="Arial"/>
          <w:i/>
          <w:iCs/>
          <w:shd w:val="clear" w:color="auto" w:fill="FFFFFF"/>
        </w:rPr>
        <w:t>Evidence Based Library and Information Practice</w:t>
      </w:r>
      <w:r w:rsidRPr="00921A77">
        <w:rPr>
          <w:rFonts w:ascii="Arial" w:eastAsiaTheme="minorEastAsia" w:hAnsi="Arial" w:cs="Arial"/>
          <w:shd w:val="clear" w:color="auto" w:fill="FFFFFF"/>
        </w:rPr>
        <w:t>, 11(1(S), pp.47–49.</w:t>
      </w:r>
      <w:proofErr w:type="gramEnd"/>
    </w:p>
    <w:p w14:paraId="5EA4F583" w14:textId="7BFE06EF" w:rsidR="186BBB44" w:rsidRPr="00921A77" w:rsidRDefault="186BBB44" w:rsidP="00921A77">
      <w:pPr>
        <w:spacing w:line="360" w:lineRule="auto"/>
        <w:rPr>
          <w:rFonts w:ascii="Arial" w:eastAsiaTheme="minorEastAsia" w:hAnsi="Arial" w:cs="Arial"/>
        </w:rPr>
      </w:pPr>
      <w:proofErr w:type="spellStart"/>
      <w:r w:rsidRPr="00921A77">
        <w:rPr>
          <w:rFonts w:ascii="Arial" w:eastAsiaTheme="minorEastAsia" w:hAnsi="Arial" w:cs="Arial"/>
        </w:rPr>
        <w:t>Ziv</w:t>
      </w:r>
      <w:proofErr w:type="spellEnd"/>
      <w:r w:rsidRPr="00921A77">
        <w:rPr>
          <w:rFonts w:ascii="Arial" w:eastAsiaTheme="minorEastAsia" w:hAnsi="Arial" w:cs="Arial"/>
        </w:rPr>
        <w:t xml:space="preserve">, N., Goshen, M. (2006) </w:t>
      </w:r>
      <w:proofErr w:type="gramStart"/>
      <w:r w:rsidRPr="00921A77">
        <w:rPr>
          <w:rFonts w:ascii="Arial" w:eastAsiaTheme="minorEastAsia" w:hAnsi="Arial" w:cs="Arial"/>
        </w:rPr>
        <w:t>The</w:t>
      </w:r>
      <w:proofErr w:type="gramEnd"/>
      <w:r w:rsidRPr="00921A77">
        <w:rPr>
          <w:rFonts w:ascii="Arial" w:eastAsiaTheme="minorEastAsia" w:hAnsi="Arial" w:cs="Arial"/>
        </w:rPr>
        <w:t xml:space="preserve"> effect of “sad” and “happy” background music on the interpretation of a story in 5 to 6-year-old children. British Journal of Music Education 23(3): 303–314</w:t>
      </w:r>
    </w:p>
    <w:p w14:paraId="02C2EE56" w14:textId="1751E9A0" w:rsidR="30B549DE" w:rsidRDefault="30B549DE" w:rsidP="30B549DE">
      <w:pPr>
        <w:rPr>
          <w:rFonts w:eastAsiaTheme="minorEastAsia"/>
          <w:sz w:val="24"/>
          <w:szCs w:val="24"/>
        </w:rPr>
      </w:pPr>
    </w:p>
    <w:p w14:paraId="56E4828B" w14:textId="62DBE955" w:rsidR="30B549DE" w:rsidRDefault="30B549DE" w:rsidP="30B549DE">
      <w:pPr>
        <w:rPr>
          <w:rFonts w:eastAsiaTheme="minorEastAsia"/>
          <w:sz w:val="24"/>
          <w:szCs w:val="24"/>
        </w:rPr>
      </w:pPr>
    </w:p>
    <w:p w14:paraId="1218CD6F" w14:textId="1BC46CFC" w:rsidR="30B549DE" w:rsidRDefault="30B549DE" w:rsidP="30B549DE">
      <w:bookmarkStart w:id="1" w:name="_GoBack"/>
      <w:bookmarkEnd w:id="1"/>
    </w:p>
    <w:sectPr w:rsidR="30B549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30204"/>
    <w:charset w:val="00"/>
    <w:family w:val="swiss"/>
    <w:pitch w:val="variable"/>
    <w:sig w:usb0="00000007"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B5A"/>
    <w:rsid w:val="000165E2"/>
    <w:rsid w:val="000744FD"/>
    <w:rsid w:val="002843FC"/>
    <w:rsid w:val="0035206A"/>
    <w:rsid w:val="0040277E"/>
    <w:rsid w:val="00404767"/>
    <w:rsid w:val="004A36CA"/>
    <w:rsid w:val="004B00A0"/>
    <w:rsid w:val="00626D84"/>
    <w:rsid w:val="00904D49"/>
    <w:rsid w:val="009105C5"/>
    <w:rsid w:val="00921A77"/>
    <w:rsid w:val="00964B5A"/>
    <w:rsid w:val="0097702F"/>
    <w:rsid w:val="00A64240"/>
    <w:rsid w:val="00B2673A"/>
    <w:rsid w:val="00BD7A07"/>
    <w:rsid w:val="00DF5535"/>
    <w:rsid w:val="00F86F33"/>
    <w:rsid w:val="0ABEA71C"/>
    <w:rsid w:val="0C36B9BC"/>
    <w:rsid w:val="186BBB44"/>
    <w:rsid w:val="2CBF46BE"/>
    <w:rsid w:val="2EDECC2D"/>
    <w:rsid w:val="30928B0A"/>
    <w:rsid w:val="30B549DE"/>
    <w:rsid w:val="35ED2C67"/>
    <w:rsid w:val="3C4E79F9"/>
    <w:rsid w:val="59503D11"/>
    <w:rsid w:val="6A2C1F7C"/>
    <w:rsid w:val="71F4AB27"/>
    <w:rsid w:val="75FD1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85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customStyle="1" w:styleId="AssignQuote">
    <w:name w:val="AssignQuote"/>
    <w:basedOn w:val="Normal"/>
    <w:next w:val="AssignBody"/>
    <w:link w:val="AssignQuoteChar"/>
    <w:qFormat/>
    <w:rsid w:val="00921A77"/>
    <w:pPr>
      <w:spacing w:after="0" w:line="360" w:lineRule="auto"/>
      <w:ind w:left="1134" w:right="1134"/>
    </w:pPr>
    <w:rPr>
      <w:rFonts w:ascii="Arial" w:hAnsi="Arial"/>
      <w:i/>
    </w:rPr>
  </w:style>
  <w:style w:type="paragraph" w:customStyle="1" w:styleId="AssignBody">
    <w:name w:val="AssignBody"/>
    <w:basedOn w:val="AssignQuote"/>
    <w:link w:val="AssignBodyChar"/>
    <w:qFormat/>
    <w:rsid w:val="00921A77"/>
    <w:pPr>
      <w:ind w:left="0" w:right="0"/>
    </w:pPr>
    <w:rPr>
      <w:i w:val="0"/>
    </w:rPr>
  </w:style>
  <w:style w:type="character" w:customStyle="1" w:styleId="AssignQuoteChar">
    <w:name w:val="AssignQuote Char"/>
    <w:basedOn w:val="DefaultParagraphFont"/>
    <w:link w:val="AssignQuote"/>
    <w:rsid w:val="00921A77"/>
    <w:rPr>
      <w:rFonts w:ascii="Arial" w:hAnsi="Arial"/>
      <w:i/>
    </w:rPr>
  </w:style>
  <w:style w:type="paragraph" w:customStyle="1" w:styleId="AssignSubHeader">
    <w:name w:val="AssignSubHeader"/>
    <w:basedOn w:val="AssignBody"/>
    <w:next w:val="AssignBody"/>
    <w:link w:val="AssignSubHeaderChar"/>
    <w:qFormat/>
    <w:rsid w:val="00921A77"/>
    <w:rPr>
      <w:b/>
      <w:i/>
      <w:sz w:val="28"/>
    </w:rPr>
  </w:style>
  <w:style w:type="character" w:customStyle="1" w:styleId="AssignBodyChar">
    <w:name w:val="AssignBody Char"/>
    <w:basedOn w:val="AssignQuoteChar"/>
    <w:link w:val="AssignBody"/>
    <w:rsid w:val="00921A77"/>
    <w:rPr>
      <w:rFonts w:ascii="Arial" w:hAnsi="Arial"/>
      <w:i w:val="0"/>
    </w:rPr>
  </w:style>
  <w:style w:type="paragraph" w:customStyle="1" w:styleId="AssignHeader">
    <w:name w:val="AssignHeader"/>
    <w:basedOn w:val="AssignSubHeader"/>
    <w:next w:val="AssignSubHeader"/>
    <w:link w:val="AssignHeaderChar"/>
    <w:qFormat/>
    <w:rsid w:val="00921A77"/>
    <w:pPr>
      <w:jc w:val="center"/>
    </w:pPr>
    <w:rPr>
      <w:sz w:val="36"/>
      <w:u w:val="single"/>
    </w:rPr>
  </w:style>
  <w:style w:type="character" w:customStyle="1" w:styleId="AssignSubHeaderChar">
    <w:name w:val="AssignSubHeader Char"/>
    <w:basedOn w:val="AssignBodyChar"/>
    <w:link w:val="AssignSubHeader"/>
    <w:rsid w:val="00921A77"/>
    <w:rPr>
      <w:rFonts w:ascii="Arial" w:hAnsi="Arial"/>
      <w:b/>
      <w:i/>
      <w:sz w:val="28"/>
    </w:rPr>
  </w:style>
  <w:style w:type="character" w:customStyle="1" w:styleId="AssignHeaderChar">
    <w:name w:val="AssignHeader Char"/>
    <w:basedOn w:val="AssignSubHeaderChar"/>
    <w:link w:val="AssignHeader"/>
    <w:rsid w:val="00921A77"/>
    <w:rPr>
      <w:rFonts w:ascii="Arial" w:hAnsi="Arial"/>
      <w:b/>
      <w:i/>
      <w:sz w:val="36"/>
      <w:u w:val="single"/>
    </w:rPr>
  </w:style>
  <w:style w:type="table" w:styleId="TableGrid">
    <w:name w:val="Table Grid"/>
    <w:basedOn w:val="TableNormal"/>
    <w:uiPriority w:val="39"/>
    <w:rsid w:val="00921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21A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customStyle="1" w:styleId="AssignQuote">
    <w:name w:val="AssignQuote"/>
    <w:basedOn w:val="Normal"/>
    <w:next w:val="AssignBody"/>
    <w:link w:val="AssignQuoteChar"/>
    <w:qFormat/>
    <w:rsid w:val="00921A77"/>
    <w:pPr>
      <w:spacing w:after="0" w:line="360" w:lineRule="auto"/>
      <w:ind w:left="1134" w:right="1134"/>
    </w:pPr>
    <w:rPr>
      <w:rFonts w:ascii="Arial" w:hAnsi="Arial"/>
      <w:i/>
    </w:rPr>
  </w:style>
  <w:style w:type="paragraph" w:customStyle="1" w:styleId="AssignBody">
    <w:name w:val="AssignBody"/>
    <w:basedOn w:val="AssignQuote"/>
    <w:link w:val="AssignBodyChar"/>
    <w:qFormat/>
    <w:rsid w:val="00921A77"/>
    <w:pPr>
      <w:ind w:left="0" w:right="0"/>
    </w:pPr>
    <w:rPr>
      <w:i w:val="0"/>
    </w:rPr>
  </w:style>
  <w:style w:type="character" w:customStyle="1" w:styleId="AssignQuoteChar">
    <w:name w:val="AssignQuote Char"/>
    <w:basedOn w:val="DefaultParagraphFont"/>
    <w:link w:val="AssignQuote"/>
    <w:rsid w:val="00921A77"/>
    <w:rPr>
      <w:rFonts w:ascii="Arial" w:hAnsi="Arial"/>
      <w:i/>
    </w:rPr>
  </w:style>
  <w:style w:type="paragraph" w:customStyle="1" w:styleId="AssignSubHeader">
    <w:name w:val="AssignSubHeader"/>
    <w:basedOn w:val="AssignBody"/>
    <w:next w:val="AssignBody"/>
    <w:link w:val="AssignSubHeaderChar"/>
    <w:qFormat/>
    <w:rsid w:val="00921A77"/>
    <w:rPr>
      <w:b/>
      <w:i/>
      <w:sz w:val="28"/>
    </w:rPr>
  </w:style>
  <w:style w:type="character" w:customStyle="1" w:styleId="AssignBodyChar">
    <w:name w:val="AssignBody Char"/>
    <w:basedOn w:val="AssignQuoteChar"/>
    <w:link w:val="AssignBody"/>
    <w:rsid w:val="00921A77"/>
    <w:rPr>
      <w:rFonts w:ascii="Arial" w:hAnsi="Arial"/>
      <w:i w:val="0"/>
    </w:rPr>
  </w:style>
  <w:style w:type="paragraph" w:customStyle="1" w:styleId="AssignHeader">
    <w:name w:val="AssignHeader"/>
    <w:basedOn w:val="AssignSubHeader"/>
    <w:next w:val="AssignSubHeader"/>
    <w:link w:val="AssignHeaderChar"/>
    <w:qFormat/>
    <w:rsid w:val="00921A77"/>
    <w:pPr>
      <w:jc w:val="center"/>
    </w:pPr>
    <w:rPr>
      <w:sz w:val="36"/>
      <w:u w:val="single"/>
    </w:rPr>
  </w:style>
  <w:style w:type="character" w:customStyle="1" w:styleId="AssignSubHeaderChar">
    <w:name w:val="AssignSubHeader Char"/>
    <w:basedOn w:val="AssignBodyChar"/>
    <w:link w:val="AssignSubHeader"/>
    <w:rsid w:val="00921A77"/>
    <w:rPr>
      <w:rFonts w:ascii="Arial" w:hAnsi="Arial"/>
      <w:b/>
      <w:i/>
      <w:sz w:val="28"/>
    </w:rPr>
  </w:style>
  <w:style w:type="character" w:customStyle="1" w:styleId="AssignHeaderChar">
    <w:name w:val="AssignHeader Char"/>
    <w:basedOn w:val="AssignSubHeaderChar"/>
    <w:link w:val="AssignHeader"/>
    <w:rsid w:val="00921A77"/>
    <w:rPr>
      <w:rFonts w:ascii="Arial" w:hAnsi="Arial"/>
      <w:b/>
      <w:i/>
      <w:sz w:val="36"/>
      <w:u w:val="single"/>
    </w:rPr>
  </w:style>
  <w:style w:type="table" w:styleId="TableGrid">
    <w:name w:val="Table Grid"/>
    <w:basedOn w:val="TableNormal"/>
    <w:uiPriority w:val="39"/>
    <w:rsid w:val="00921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21A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932739">
      <w:bodyDiv w:val="1"/>
      <w:marLeft w:val="0"/>
      <w:marRight w:val="0"/>
      <w:marTop w:val="0"/>
      <w:marBottom w:val="0"/>
      <w:divBdr>
        <w:top w:val="none" w:sz="0" w:space="0" w:color="auto"/>
        <w:left w:val="none" w:sz="0" w:space="0" w:color="auto"/>
        <w:bottom w:val="none" w:sz="0" w:space="0" w:color="auto"/>
        <w:right w:val="none" w:sz="0" w:space="0" w:color="auto"/>
      </w:divBdr>
      <w:divsChild>
        <w:div w:id="1923636540">
          <w:marLeft w:val="0"/>
          <w:marRight w:val="0"/>
          <w:marTop w:val="0"/>
          <w:marBottom w:val="0"/>
          <w:divBdr>
            <w:top w:val="none" w:sz="0" w:space="0" w:color="auto"/>
            <w:left w:val="none" w:sz="0" w:space="0" w:color="auto"/>
            <w:bottom w:val="none" w:sz="0" w:space="0" w:color="auto"/>
            <w:right w:val="none" w:sz="0" w:space="0" w:color="auto"/>
          </w:divBdr>
        </w:div>
        <w:div w:id="1836068226">
          <w:marLeft w:val="0"/>
          <w:marRight w:val="0"/>
          <w:marTop w:val="0"/>
          <w:marBottom w:val="0"/>
          <w:divBdr>
            <w:top w:val="none" w:sz="0" w:space="0" w:color="auto"/>
            <w:left w:val="none" w:sz="0" w:space="0" w:color="auto"/>
            <w:bottom w:val="none" w:sz="0" w:space="0" w:color="auto"/>
            <w:right w:val="none" w:sz="0" w:space="0" w:color="auto"/>
          </w:divBdr>
        </w:div>
        <w:div w:id="1957329353">
          <w:marLeft w:val="0"/>
          <w:marRight w:val="0"/>
          <w:marTop w:val="0"/>
          <w:marBottom w:val="0"/>
          <w:divBdr>
            <w:top w:val="none" w:sz="0" w:space="0" w:color="auto"/>
            <w:left w:val="none" w:sz="0" w:space="0" w:color="auto"/>
            <w:bottom w:val="none" w:sz="0" w:space="0" w:color="auto"/>
            <w:right w:val="none" w:sz="0" w:space="0" w:color="auto"/>
          </w:divBdr>
        </w:div>
        <w:div w:id="816721896">
          <w:marLeft w:val="0"/>
          <w:marRight w:val="0"/>
          <w:marTop w:val="0"/>
          <w:marBottom w:val="0"/>
          <w:divBdr>
            <w:top w:val="none" w:sz="0" w:space="0" w:color="auto"/>
            <w:left w:val="none" w:sz="0" w:space="0" w:color="auto"/>
            <w:bottom w:val="none" w:sz="0" w:space="0" w:color="auto"/>
            <w:right w:val="none" w:sz="0" w:space="0" w:color="auto"/>
          </w:divBdr>
        </w:div>
        <w:div w:id="1731032584">
          <w:marLeft w:val="0"/>
          <w:marRight w:val="0"/>
          <w:marTop w:val="0"/>
          <w:marBottom w:val="0"/>
          <w:divBdr>
            <w:top w:val="none" w:sz="0" w:space="0" w:color="auto"/>
            <w:left w:val="none" w:sz="0" w:space="0" w:color="auto"/>
            <w:bottom w:val="none" w:sz="0" w:space="0" w:color="auto"/>
            <w:right w:val="none" w:sz="0" w:space="0" w:color="auto"/>
          </w:divBdr>
        </w:div>
        <w:div w:id="703672098">
          <w:marLeft w:val="0"/>
          <w:marRight w:val="0"/>
          <w:marTop w:val="0"/>
          <w:marBottom w:val="0"/>
          <w:divBdr>
            <w:top w:val="none" w:sz="0" w:space="0" w:color="auto"/>
            <w:left w:val="none" w:sz="0" w:space="0" w:color="auto"/>
            <w:bottom w:val="none" w:sz="0" w:space="0" w:color="auto"/>
            <w:right w:val="none" w:sz="0" w:space="0" w:color="auto"/>
          </w:divBdr>
        </w:div>
        <w:div w:id="1382360748">
          <w:marLeft w:val="0"/>
          <w:marRight w:val="0"/>
          <w:marTop w:val="0"/>
          <w:marBottom w:val="0"/>
          <w:divBdr>
            <w:top w:val="none" w:sz="0" w:space="0" w:color="auto"/>
            <w:left w:val="none" w:sz="0" w:space="0" w:color="auto"/>
            <w:bottom w:val="none" w:sz="0" w:space="0" w:color="auto"/>
            <w:right w:val="none" w:sz="0" w:space="0" w:color="auto"/>
          </w:divBdr>
        </w:div>
        <w:div w:id="823665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collinsdictionary.com/dictionary/english/background-musi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era.ac.uk/researchers-resources/publications/ethical-guidelines-for-educational-research-201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97CA5-29E3-43CA-BF61-0D8F17093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5841</Words>
  <Characters>33298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Davies</dc:creator>
  <cp:lastModifiedBy>HOLLY</cp:lastModifiedBy>
  <cp:revision>4</cp:revision>
  <dcterms:created xsi:type="dcterms:W3CDTF">2020-02-18T16:26:00Z</dcterms:created>
  <dcterms:modified xsi:type="dcterms:W3CDTF">2020-02-19T13:29:00Z</dcterms:modified>
</cp:coreProperties>
</file>