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D9DE6" w14:textId="77777777" w:rsidR="00C85DD1" w:rsidRDefault="00C85DD1">
      <w:pPr>
        <w:spacing w:after="0" w:line="480" w:lineRule="auto"/>
        <w:rPr>
          <w:rFonts w:ascii="Times New Roman" w:hAnsi="Times New Roman" w:cs="Times New Roman"/>
          <w:sz w:val="24"/>
          <w:szCs w:val="24"/>
        </w:rPr>
      </w:pPr>
    </w:p>
    <w:p w14:paraId="0E7F5BBF" w14:textId="77777777" w:rsidR="00C85DD1" w:rsidRDefault="00C85DD1">
      <w:pPr>
        <w:spacing w:after="0" w:line="480" w:lineRule="auto"/>
        <w:jc w:val="center"/>
        <w:rPr>
          <w:rFonts w:ascii="Times New Roman" w:hAnsi="Times New Roman" w:cs="Times New Roman"/>
          <w:b/>
          <w:kern w:val="0"/>
          <w:sz w:val="24"/>
          <w:szCs w:val="24"/>
          <w14:ligatures w14:val="none"/>
        </w:rPr>
      </w:pPr>
    </w:p>
    <w:p w14:paraId="46EF6409" w14:textId="77777777" w:rsidR="00C85DD1" w:rsidRDefault="00C85DD1">
      <w:pPr>
        <w:spacing w:after="0" w:line="480" w:lineRule="auto"/>
        <w:jc w:val="center"/>
        <w:rPr>
          <w:rFonts w:ascii="Times New Roman" w:hAnsi="Times New Roman" w:cs="Times New Roman"/>
          <w:b/>
          <w:kern w:val="0"/>
          <w:sz w:val="24"/>
          <w:szCs w:val="24"/>
          <w14:ligatures w14:val="none"/>
        </w:rPr>
      </w:pPr>
    </w:p>
    <w:p w14:paraId="68DD8934" w14:textId="77777777" w:rsidR="00C85DD1" w:rsidRDefault="00790726">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Ways of Challenging Validity of a Will</w:t>
      </w:r>
    </w:p>
    <w:p w14:paraId="15E58B3A" w14:textId="77777777" w:rsidR="00C85DD1" w:rsidRDefault="00C85DD1">
      <w:pPr>
        <w:spacing w:after="0" w:line="480" w:lineRule="auto"/>
        <w:jc w:val="center"/>
        <w:rPr>
          <w:rFonts w:ascii="Times New Roman" w:hAnsi="Times New Roman" w:cs="Times New Roman"/>
          <w:b/>
          <w:kern w:val="0"/>
          <w:sz w:val="24"/>
          <w:szCs w:val="24"/>
          <w14:ligatures w14:val="none"/>
        </w:rPr>
      </w:pPr>
    </w:p>
    <w:p w14:paraId="221AE2CD" w14:textId="77777777" w:rsidR="00C85DD1" w:rsidRDefault="00C85DD1">
      <w:pPr>
        <w:spacing w:after="0" w:line="480" w:lineRule="auto"/>
        <w:jc w:val="center"/>
        <w:rPr>
          <w:rFonts w:ascii="Times New Roman" w:hAnsi="Times New Roman" w:cs="Times New Roman"/>
          <w:kern w:val="0"/>
          <w:sz w:val="24"/>
          <w:szCs w:val="24"/>
          <w14:ligatures w14:val="none"/>
        </w:rPr>
      </w:pPr>
    </w:p>
    <w:p w14:paraId="7C7B84D2" w14:textId="50D2B2AB" w:rsidR="00C85DD1" w:rsidRDefault="00790726">
      <w:pPr>
        <w:spacing w:after="0" w:line="48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Faisal Shamsdin</w:t>
      </w:r>
    </w:p>
    <w:p w14:paraId="29A36EE4" w14:textId="60B3AF1C" w:rsidR="00C85DD1" w:rsidRDefault="00790726">
      <w:pPr>
        <w:spacing w:after="0" w:line="48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UWTSD</w:t>
      </w:r>
    </w:p>
    <w:p w14:paraId="7DE1EB61" w14:textId="14B5167D" w:rsidR="00C85DD1" w:rsidRDefault="00790726">
      <w:pPr>
        <w:spacing w:after="0" w:line="48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Probate Practice</w:t>
      </w:r>
    </w:p>
    <w:p w14:paraId="5F0FDE2D" w14:textId="1F0A6BB7" w:rsidR="00C85DD1" w:rsidRDefault="00790726">
      <w:pPr>
        <w:spacing w:after="0" w:line="48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for James Drew</w:t>
      </w:r>
    </w:p>
    <w:p w14:paraId="7ECB3A96" w14:textId="43488C5B" w:rsidR="00C85DD1" w:rsidRDefault="00790726">
      <w:pPr>
        <w:spacing w:after="0" w:line="48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14</w:t>
      </w:r>
      <w:r w:rsidRPr="00790726">
        <w:rPr>
          <w:rFonts w:ascii="Times New Roman" w:hAnsi="Times New Roman" w:cs="Times New Roman"/>
          <w:kern w:val="0"/>
          <w:sz w:val="24"/>
          <w:szCs w:val="24"/>
          <w:vertAlign w:val="superscript"/>
          <w14:ligatures w14:val="none"/>
        </w:rPr>
        <w:t>th</w:t>
      </w:r>
      <w:r>
        <w:rPr>
          <w:rFonts w:ascii="Times New Roman" w:hAnsi="Times New Roman" w:cs="Times New Roman"/>
          <w:kern w:val="0"/>
          <w:sz w:val="24"/>
          <w:szCs w:val="24"/>
          <w14:ligatures w14:val="none"/>
        </w:rPr>
        <w:t xml:space="preserve"> </w:t>
      </w:r>
      <w:proofErr w:type="gramStart"/>
      <w:r>
        <w:rPr>
          <w:rFonts w:ascii="Times New Roman" w:hAnsi="Times New Roman" w:cs="Times New Roman"/>
          <w:kern w:val="0"/>
          <w:sz w:val="24"/>
          <w:szCs w:val="24"/>
          <w14:ligatures w14:val="none"/>
        </w:rPr>
        <w:t>March,</w:t>
      </w:r>
      <w:proofErr w:type="gramEnd"/>
      <w:r>
        <w:rPr>
          <w:rFonts w:ascii="Times New Roman" w:hAnsi="Times New Roman" w:cs="Times New Roman"/>
          <w:kern w:val="0"/>
          <w:sz w:val="24"/>
          <w:szCs w:val="24"/>
          <w14:ligatures w14:val="none"/>
        </w:rPr>
        <w:t xml:space="preserve"> 2023</w:t>
      </w:r>
    </w:p>
    <w:p w14:paraId="55938F51" w14:textId="77777777" w:rsidR="00C85DD1" w:rsidRDefault="00790726">
      <w:pPr>
        <w:spacing w:after="0" w:line="480" w:lineRule="auto"/>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br w:type="page"/>
      </w:r>
    </w:p>
    <w:p w14:paraId="18EDF5F6" w14:textId="77777777" w:rsidR="00C85DD1" w:rsidRDefault="00790726">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Ways of Challenging Validity of a Will</w:t>
      </w:r>
    </w:p>
    <w:p w14:paraId="7C01A88B"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By definition, a</w:t>
      </w:r>
      <w:r>
        <w:rPr>
          <w:rFonts w:ascii="Times New Roman" w:hAnsi="Times New Roman" w:cs="Times New Roman"/>
          <w:sz w:val="24"/>
          <w:szCs w:val="24"/>
        </w:rPr>
        <w:t xml:space="preserve"> will refers to the document that allows the testator to make decisions on how his or her estate shall be managed or distributed after his or her death. In its drafting, it is therefore important that a will meets all the legal requirement for it to be val</w:t>
      </w:r>
      <w:r>
        <w:rPr>
          <w:rFonts w:ascii="Times New Roman" w:hAnsi="Times New Roman" w:cs="Times New Roman"/>
          <w:sz w:val="24"/>
          <w:szCs w:val="24"/>
        </w:rPr>
        <w:t>id. Elements that make  a will to be valid vary from one jurisdiction to the other. However, there are basic elements that must be there for a will to be regarded as being valid. For instance, in England and Wales, for a will to be valid, it is a requireme</w:t>
      </w:r>
      <w:r>
        <w:rPr>
          <w:rFonts w:ascii="Times New Roman" w:hAnsi="Times New Roman" w:cs="Times New Roman"/>
          <w:sz w:val="24"/>
          <w:szCs w:val="24"/>
        </w:rPr>
        <w:t xml:space="preserve">nt that two independent witnesses oversees the testator’s executing the will and then appending the signature to the document. Other important elements that are to be considered when making a determination as to the legality of a will in England and Wales </w:t>
      </w:r>
      <w:r>
        <w:rPr>
          <w:rFonts w:ascii="Times New Roman" w:hAnsi="Times New Roman" w:cs="Times New Roman"/>
          <w:sz w:val="24"/>
          <w:szCs w:val="24"/>
        </w:rPr>
        <w:t>include the testamentary capacity, the circumstances of authoring the will, the terms of the estate disposition and so on. Whenever an aggrieved individual feels that any of the elements that should make a will is not present, they are permissible in law t</w:t>
      </w:r>
      <w:r>
        <w:rPr>
          <w:rFonts w:ascii="Times New Roman" w:hAnsi="Times New Roman" w:cs="Times New Roman"/>
          <w:sz w:val="24"/>
          <w:szCs w:val="24"/>
        </w:rPr>
        <w:t xml:space="preserve">o petition for its contestation (Kennedy 2012). There are a number of legally notable ways in which the validity of a will can be challenged as supported by the various court decisions. </w:t>
      </w:r>
    </w:p>
    <w:p w14:paraId="66ABD5F4"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first ground that makes the will contestable is where it noted th</w:t>
      </w:r>
      <w:r>
        <w:rPr>
          <w:rFonts w:ascii="Times New Roman" w:hAnsi="Times New Roman" w:cs="Times New Roman"/>
          <w:sz w:val="24"/>
          <w:szCs w:val="24"/>
        </w:rPr>
        <w:t>at the person who drew the will did not have sufficient mental capacity at the time of drawing the will. This is referred to as testamentary capacity. It is legal requirement that during the time of drawing the will, an individual must be of sound mind, me</w:t>
      </w:r>
      <w:r>
        <w:rPr>
          <w:rFonts w:ascii="Times New Roman" w:hAnsi="Times New Roman" w:cs="Times New Roman"/>
          <w:sz w:val="24"/>
          <w:szCs w:val="24"/>
        </w:rPr>
        <w:t>mory and understanding. This implies that the person at the time of drawing the will understand what they are doing and the implication of their actions. Sufficiency of mental capacity also implies that the person drawing the will has an understanding of t</w:t>
      </w:r>
      <w:r>
        <w:rPr>
          <w:rFonts w:ascii="Times New Roman" w:hAnsi="Times New Roman" w:cs="Times New Roman"/>
          <w:sz w:val="24"/>
          <w:szCs w:val="24"/>
        </w:rPr>
        <w:t xml:space="preserve">he properties that they are distributing (Jacobs &amp; Lambrechts 2013). The person drawing the will must be in position of appreciating the implication of either including or excluding certain elements in the will. As such, the testator must not be suffering </w:t>
      </w:r>
      <w:r>
        <w:rPr>
          <w:rFonts w:ascii="Times New Roman" w:hAnsi="Times New Roman" w:cs="Times New Roman"/>
          <w:sz w:val="24"/>
          <w:szCs w:val="24"/>
        </w:rPr>
        <w:t xml:space="preserve">from any </w:t>
      </w:r>
      <w:r>
        <w:rPr>
          <w:rFonts w:ascii="Times New Roman" w:hAnsi="Times New Roman" w:cs="Times New Roman"/>
          <w:sz w:val="24"/>
          <w:szCs w:val="24"/>
        </w:rPr>
        <w:lastRenderedPageBreak/>
        <w:t xml:space="preserve">disorder of mind. The case law of </w:t>
      </w:r>
      <w:r>
        <w:rPr>
          <w:rFonts w:ascii="Times New Roman" w:hAnsi="Times New Roman" w:cs="Times New Roman"/>
          <w:i/>
          <w:iCs/>
          <w:sz w:val="24"/>
          <w:szCs w:val="24"/>
        </w:rPr>
        <w:t>Banks v Goodfellow(1870)</w:t>
      </w:r>
      <w:r>
        <w:rPr>
          <w:rFonts w:ascii="Times New Roman" w:hAnsi="Times New Roman" w:cs="Times New Roman"/>
          <w:sz w:val="24"/>
          <w:szCs w:val="24"/>
        </w:rPr>
        <w:t xml:space="preserve"> established the test required for testamentary capacity to be assessed. </w:t>
      </w:r>
    </w:p>
    <w:p w14:paraId="693BDC69"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the event that it is established that the testator did not have the requisite mental capacity, then the will can</w:t>
      </w:r>
      <w:r>
        <w:rPr>
          <w:rFonts w:ascii="Times New Roman" w:hAnsi="Times New Roman" w:cs="Times New Roman"/>
          <w:sz w:val="24"/>
          <w:szCs w:val="24"/>
        </w:rPr>
        <w:t xml:space="preserve"> be challenged. When this arises, the test established in Banks v Goodfellow(supra) always stands. As the court noted in </w:t>
      </w:r>
      <w:r>
        <w:rPr>
          <w:rFonts w:ascii="Times New Roman" w:hAnsi="Times New Roman" w:cs="Times New Roman"/>
          <w:i/>
          <w:iCs/>
          <w:sz w:val="24"/>
          <w:szCs w:val="24"/>
        </w:rPr>
        <w:t xml:space="preserve">Clitheroe v Bond [2021] EWHC 1102 (Ch), </w:t>
      </w:r>
      <w:r>
        <w:rPr>
          <w:rFonts w:ascii="Times New Roman" w:hAnsi="Times New Roman" w:cs="Times New Roman"/>
          <w:sz w:val="24"/>
          <w:szCs w:val="24"/>
        </w:rPr>
        <w:t>the testamentary capacity of the testator established in the Mental Capacity Act, 2005 has to b</w:t>
      </w:r>
      <w:r>
        <w:rPr>
          <w:rFonts w:ascii="Times New Roman" w:hAnsi="Times New Roman" w:cs="Times New Roman"/>
          <w:sz w:val="24"/>
          <w:szCs w:val="24"/>
        </w:rPr>
        <w:t>e interpreted in line with the test established in the Banks case (Regan et al. 2005). In the event that it is established that at the time the testator was making a will was suffering from some serious illness that affected their mental capacity as was th</w:t>
      </w:r>
      <w:r>
        <w:rPr>
          <w:rFonts w:ascii="Times New Roman" w:hAnsi="Times New Roman" w:cs="Times New Roman"/>
          <w:sz w:val="24"/>
          <w:szCs w:val="24"/>
        </w:rPr>
        <w:t xml:space="preserve">e case in Clitheroe (2021) decision, then the court is likely to infer that the individual; died intestate. </w:t>
      </w:r>
    </w:p>
    <w:p w14:paraId="3883A221"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second ground where the validity of a will can be challenged is in the instances where it does not accord to the proper formalities This is als</w:t>
      </w:r>
      <w:r>
        <w:rPr>
          <w:rFonts w:ascii="Times New Roman" w:hAnsi="Times New Roman" w:cs="Times New Roman"/>
          <w:sz w:val="24"/>
          <w:szCs w:val="24"/>
        </w:rPr>
        <w:t>o referred to as lack of due execution in law. A will is said to be invalid if it fails to meet one or more of the formalities that have been outlined in Section 9 of the Wills Act, 1837. Section 9 of this Statute provides that:-</w:t>
      </w:r>
    </w:p>
    <w:p w14:paraId="2CEF9ABD"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No will shall be valid unl</w:t>
      </w:r>
      <w:r>
        <w:rPr>
          <w:rFonts w:ascii="Times New Roman" w:hAnsi="Times New Roman" w:cs="Times New Roman"/>
          <w:i/>
          <w:iCs/>
          <w:sz w:val="24"/>
          <w:szCs w:val="24"/>
        </w:rPr>
        <w:t>ess—</w:t>
      </w:r>
    </w:p>
    <w:p w14:paraId="7F101AD3"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 xml:space="preserve">(a) </w:t>
      </w:r>
      <w:r>
        <w:rPr>
          <w:rFonts w:ascii="Times New Roman" w:hAnsi="Times New Roman" w:cs="Times New Roman"/>
          <w:i/>
          <w:iCs/>
          <w:sz w:val="24"/>
          <w:szCs w:val="24"/>
        </w:rPr>
        <w:t>I</w:t>
      </w:r>
      <w:r>
        <w:rPr>
          <w:rFonts w:ascii="Times New Roman" w:hAnsi="Times New Roman" w:cs="Times New Roman"/>
          <w:i/>
          <w:iCs/>
          <w:sz w:val="24"/>
          <w:szCs w:val="24"/>
        </w:rPr>
        <w:t>t is in writing, and signed by the testator, or by some other person in his presence and by his direction; and</w:t>
      </w:r>
    </w:p>
    <w:p w14:paraId="27E20C83"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(b)</w:t>
      </w:r>
      <w:r>
        <w:rPr>
          <w:rFonts w:ascii="Times New Roman" w:hAnsi="Times New Roman" w:cs="Times New Roman"/>
          <w:i/>
          <w:iCs/>
          <w:sz w:val="24"/>
          <w:szCs w:val="24"/>
        </w:rPr>
        <w:t xml:space="preserve"> I</w:t>
      </w:r>
      <w:r>
        <w:rPr>
          <w:rFonts w:ascii="Times New Roman" w:hAnsi="Times New Roman" w:cs="Times New Roman"/>
          <w:i/>
          <w:iCs/>
          <w:sz w:val="24"/>
          <w:szCs w:val="24"/>
        </w:rPr>
        <w:t>t appears that the testator intended by his signature to give effect to the will; and</w:t>
      </w:r>
    </w:p>
    <w:p w14:paraId="2606BACF"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(c)</w:t>
      </w:r>
      <w:r>
        <w:rPr>
          <w:rFonts w:ascii="Times New Roman" w:hAnsi="Times New Roman" w:cs="Times New Roman"/>
          <w:i/>
          <w:iCs/>
          <w:sz w:val="24"/>
          <w:szCs w:val="24"/>
        </w:rPr>
        <w:t xml:space="preserve"> T</w:t>
      </w:r>
      <w:r>
        <w:rPr>
          <w:rFonts w:ascii="Times New Roman" w:hAnsi="Times New Roman" w:cs="Times New Roman"/>
          <w:i/>
          <w:iCs/>
          <w:sz w:val="24"/>
          <w:szCs w:val="24"/>
        </w:rPr>
        <w:t xml:space="preserve">he signature is made or </w:t>
      </w:r>
      <w:r>
        <w:rPr>
          <w:rFonts w:ascii="Times New Roman" w:hAnsi="Times New Roman" w:cs="Times New Roman"/>
          <w:i/>
          <w:iCs/>
          <w:sz w:val="24"/>
          <w:szCs w:val="24"/>
        </w:rPr>
        <w:t>acknowledged by the testator in the presence of two or more witnesses present at the same time; and</w:t>
      </w:r>
    </w:p>
    <w:p w14:paraId="6B395A08"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(d)</w:t>
      </w:r>
      <w:r>
        <w:rPr>
          <w:rFonts w:ascii="Times New Roman" w:hAnsi="Times New Roman" w:cs="Times New Roman"/>
          <w:i/>
          <w:iCs/>
          <w:sz w:val="24"/>
          <w:szCs w:val="24"/>
        </w:rPr>
        <w:t xml:space="preserve"> E</w:t>
      </w:r>
      <w:r>
        <w:rPr>
          <w:rFonts w:ascii="Times New Roman" w:hAnsi="Times New Roman" w:cs="Times New Roman"/>
          <w:i/>
          <w:iCs/>
          <w:sz w:val="24"/>
          <w:szCs w:val="24"/>
        </w:rPr>
        <w:t>ach witness either—</w:t>
      </w:r>
    </w:p>
    <w:p w14:paraId="123FE603"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(i)</w:t>
      </w:r>
      <w:r>
        <w:rPr>
          <w:rFonts w:ascii="Times New Roman" w:hAnsi="Times New Roman" w:cs="Times New Roman"/>
          <w:i/>
          <w:iCs/>
          <w:sz w:val="24"/>
          <w:szCs w:val="24"/>
        </w:rPr>
        <w:t xml:space="preserve"> A</w:t>
      </w:r>
      <w:r>
        <w:rPr>
          <w:rFonts w:ascii="Times New Roman" w:hAnsi="Times New Roman" w:cs="Times New Roman"/>
          <w:i/>
          <w:iCs/>
          <w:sz w:val="24"/>
          <w:szCs w:val="24"/>
        </w:rPr>
        <w:t>ttests and signs the will; or</w:t>
      </w:r>
    </w:p>
    <w:p w14:paraId="3867B35E"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lastRenderedPageBreak/>
        <w:t>(ii)</w:t>
      </w:r>
      <w:r>
        <w:rPr>
          <w:rFonts w:ascii="Times New Roman" w:hAnsi="Times New Roman" w:cs="Times New Roman"/>
          <w:i/>
          <w:iCs/>
          <w:sz w:val="24"/>
          <w:szCs w:val="24"/>
        </w:rPr>
        <w:t xml:space="preserve"> A</w:t>
      </w:r>
      <w:r>
        <w:rPr>
          <w:rFonts w:ascii="Times New Roman" w:hAnsi="Times New Roman" w:cs="Times New Roman"/>
          <w:i/>
          <w:iCs/>
          <w:sz w:val="24"/>
          <w:szCs w:val="24"/>
        </w:rPr>
        <w:t>cknowledges his signature, in the presence of the testator (but not necessarily in the pre</w:t>
      </w:r>
      <w:r>
        <w:rPr>
          <w:rFonts w:ascii="Times New Roman" w:hAnsi="Times New Roman" w:cs="Times New Roman"/>
          <w:i/>
          <w:iCs/>
          <w:sz w:val="24"/>
          <w:szCs w:val="24"/>
        </w:rPr>
        <w:t>sence of any other witness), but no form of attestation shall be necessary.</w:t>
      </w:r>
    </w:p>
    <w:p w14:paraId="7D58F26A"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However, it is important to note that there are some exceptions to the formalities that are set for due execution. In the requirement of writing, the exemption is made for the priv</w:t>
      </w:r>
      <w:r>
        <w:rPr>
          <w:rFonts w:ascii="Times New Roman" w:hAnsi="Times New Roman" w:cs="Times New Roman"/>
          <w:sz w:val="24"/>
          <w:szCs w:val="24"/>
        </w:rPr>
        <w:t>ileged wills which are made informally by a testator and still hold their validity. Privileged wills can be made by soldiers, mariners or seamen who are in active military service. The signature of the also includes using a thumbprint or giving part of the</w:t>
      </w:r>
      <w:r>
        <w:rPr>
          <w:rFonts w:ascii="Times New Roman" w:hAnsi="Times New Roman" w:cs="Times New Roman"/>
          <w:sz w:val="24"/>
          <w:szCs w:val="24"/>
        </w:rPr>
        <w:t xml:space="preserve"> testator’s signature (Orth 2008). Where the signature is not complete, it is important that there be an affidavit of due execution by an attesting witness or the solicitor who was in attendance at the time of executing the said will. It is a requirement t</w:t>
      </w:r>
      <w:r>
        <w:rPr>
          <w:rFonts w:ascii="Times New Roman" w:hAnsi="Times New Roman" w:cs="Times New Roman"/>
          <w:sz w:val="24"/>
          <w:szCs w:val="24"/>
        </w:rPr>
        <w:t>hat there be two witnesses who are not beneficiaries of the will. Where it appears that a witness is a beneficiary in the will, then he or she relinquishes their entitlement under the will as per Section 15 of the Wills Act, 1837. The witnesses need to hav</w:t>
      </w:r>
      <w:r>
        <w:rPr>
          <w:rFonts w:ascii="Times New Roman" w:hAnsi="Times New Roman" w:cs="Times New Roman"/>
          <w:sz w:val="24"/>
          <w:szCs w:val="24"/>
        </w:rPr>
        <w:t xml:space="preserve">e sufficient mental capacity for their attestation to be considered valid in law (Johnson 1983). As such they must not be hindered by any element such as drunkenness, or mental illness that may impair their attestation capacity. </w:t>
      </w:r>
    </w:p>
    <w:p w14:paraId="5858C178" w14:textId="77777777" w:rsidR="00C85DD1" w:rsidRDefault="00790726">
      <w:pPr>
        <w:spacing w:after="0" w:line="480" w:lineRule="auto"/>
        <w:ind w:firstLine="720"/>
        <w:rPr>
          <w:rStyle w:val="Strong"/>
          <w:rFonts w:ascii="Times New Roman" w:hAnsi="Times New Roman" w:cs="Times New Roman"/>
          <w:b w:val="0"/>
          <w:bCs w:val="0"/>
          <w:sz w:val="24"/>
          <w:szCs w:val="24"/>
        </w:rPr>
      </w:pPr>
      <w:r>
        <w:rPr>
          <w:rFonts w:ascii="Times New Roman" w:hAnsi="Times New Roman" w:cs="Times New Roman"/>
          <w:sz w:val="24"/>
          <w:szCs w:val="24"/>
        </w:rPr>
        <w:t>The third way in which the</w:t>
      </w:r>
      <w:r>
        <w:rPr>
          <w:rFonts w:ascii="Times New Roman" w:hAnsi="Times New Roman" w:cs="Times New Roman"/>
          <w:sz w:val="24"/>
          <w:szCs w:val="24"/>
        </w:rPr>
        <w:t xml:space="preserve"> validity of a will can be challenged is when it is established that there is lack of knowledge and approval in relation to the drawing of the will. It is expected that a person will have knowledge and must be in a position of approving the contents that a</w:t>
      </w:r>
      <w:r>
        <w:rPr>
          <w:rFonts w:ascii="Times New Roman" w:hAnsi="Times New Roman" w:cs="Times New Roman"/>
          <w:sz w:val="24"/>
          <w:szCs w:val="24"/>
        </w:rPr>
        <w:t>re in the will. The person must be in position to appreciate that they are signing the will and approve the contents that are contained thereof. Where it appears that the drawer of the will did not understand the contents of it, then the will can be challe</w:t>
      </w:r>
      <w:r>
        <w:rPr>
          <w:rFonts w:ascii="Times New Roman" w:hAnsi="Times New Roman" w:cs="Times New Roman"/>
          <w:sz w:val="24"/>
          <w:szCs w:val="24"/>
        </w:rPr>
        <w:t xml:space="preserve">nged. This is in spite of the fact that such a will appears to have been validly executed and the testator was posses with sufficient, mental capacity at the time of drawing the will. What needs to be shown is that the testator was not </w:t>
      </w:r>
      <w:r>
        <w:rPr>
          <w:rFonts w:ascii="Times New Roman" w:hAnsi="Times New Roman" w:cs="Times New Roman"/>
          <w:sz w:val="24"/>
          <w:szCs w:val="24"/>
        </w:rPr>
        <w:lastRenderedPageBreak/>
        <w:t>aware of the content</w:t>
      </w:r>
      <w:r>
        <w:rPr>
          <w:rFonts w:ascii="Times New Roman" w:hAnsi="Times New Roman" w:cs="Times New Roman"/>
          <w:sz w:val="24"/>
          <w:szCs w:val="24"/>
        </w:rPr>
        <w:t xml:space="preserve">s that are contained in the will or that there exists special circumstances that limited the knowledge of the testator as to the contents of the given will. One of such circumstances may arise where it appears that a person who assisted in the preparation </w:t>
      </w:r>
      <w:r>
        <w:rPr>
          <w:rFonts w:ascii="Times New Roman" w:hAnsi="Times New Roman" w:cs="Times New Roman"/>
          <w:sz w:val="24"/>
          <w:szCs w:val="24"/>
        </w:rPr>
        <w:t xml:space="preserve">of the will received a substantial gift from the estate of the testator. </w:t>
      </w:r>
      <w:r>
        <w:rPr>
          <w:rStyle w:val="Strong"/>
          <w:rFonts w:ascii="Times New Roman" w:hAnsi="Times New Roman" w:cs="Times New Roman"/>
          <w:b w:val="0"/>
          <w:bCs w:val="0"/>
          <w:sz w:val="24"/>
          <w:szCs w:val="24"/>
        </w:rPr>
        <w:t>In the recent case of </w:t>
      </w:r>
      <w:r>
        <w:rPr>
          <w:rStyle w:val="Emphasis"/>
          <w:rFonts w:ascii="Times New Roman" w:hAnsi="Times New Roman" w:cs="Times New Roman"/>
          <w:sz w:val="24"/>
          <w:szCs w:val="24"/>
        </w:rPr>
        <w:t>Mundil-Williams V Williams &amp; Ors [2021]</w:t>
      </w:r>
      <w:r>
        <w:rPr>
          <w:rStyle w:val="Strong"/>
          <w:rFonts w:ascii="Times New Roman" w:hAnsi="Times New Roman" w:cs="Times New Roman"/>
          <w:b w:val="0"/>
          <w:bCs w:val="0"/>
          <w:sz w:val="24"/>
          <w:szCs w:val="24"/>
        </w:rPr>
        <w:t> the High Court upheld a challenge to a will on grounds of want of knowledge and approval in a case in which there were no</w:t>
      </w:r>
      <w:r>
        <w:rPr>
          <w:rStyle w:val="Strong"/>
          <w:rFonts w:ascii="Times New Roman" w:hAnsi="Times New Roman" w:cs="Times New Roman"/>
          <w:b w:val="0"/>
          <w:bCs w:val="0"/>
          <w:sz w:val="24"/>
          <w:szCs w:val="24"/>
        </w:rPr>
        <w:t xml:space="preserve"> questions about testamentary capacity and the will was drafted by a firm of solicitors, read over by the testator and duly executed.</w:t>
      </w:r>
    </w:p>
    <w:p w14:paraId="60030743" w14:textId="77777777" w:rsidR="00C85DD1" w:rsidRDefault="00790726">
      <w:pPr>
        <w:spacing w:after="0" w:line="480" w:lineRule="auto"/>
        <w:ind w:firstLine="720"/>
        <w:rPr>
          <w:rFonts w:ascii="Times New Roman" w:hAnsi="Times New Roman" w:cs="Times New Roman"/>
          <w:sz w:val="24"/>
          <w:szCs w:val="24"/>
        </w:rPr>
      </w:pPr>
      <w:r>
        <w:rPr>
          <w:rStyle w:val="Strong"/>
          <w:rFonts w:ascii="Times New Roman" w:hAnsi="Times New Roman" w:cs="Times New Roman"/>
          <w:b w:val="0"/>
          <w:bCs w:val="0"/>
          <w:sz w:val="24"/>
          <w:szCs w:val="24"/>
        </w:rPr>
        <w:t xml:space="preserve">The fourth way in which the validity of a will can be </w:t>
      </w:r>
      <w:r>
        <w:rPr>
          <w:rStyle w:val="Strong"/>
          <w:rFonts w:ascii="Times New Roman" w:hAnsi="Times New Roman" w:cs="Times New Roman"/>
          <w:b w:val="0"/>
          <w:bCs w:val="0"/>
          <w:sz w:val="24"/>
          <w:szCs w:val="24"/>
        </w:rPr>
        <w:t xml:space="preserve">challenged is where it is established that there exists due influence at the time of drawing of the will by the testator. Undue influence arises in form of coercion or compulsion that makes the testator to draft a will in a manner that they would have not </w:t>
      </w:r>
      <w:r>
        <w:rPr>
          <w:rStyle w:val="Strong"/>
          <w:rFonts w:ascii="Times New Roman" w:hAnsi="Times New Roman" w:cs="Times New Roman"/>
          <w:b w:val="0"/>
          <w:bCs w:val="0"/>
          <w:sz w:val="24"/>
          <w:szCs w:val="24"/>
        </w:rPr>
        <w:t xml:space="preserve">wished had they been given chance to freely exercise their conscience. This must be supported by evidence to show that there existed extra circumstances that influenced the testator to draw the will in the manner they did (Borkowski 2000). Undue influence </w:t>
      </w:r>
      <w:r>
        <w:rPr>
          <w:rStyle w:val="Strong"/>
          <w:rFonts w:ascii="Times New Roman" w:hAnsi="Times New Roman" w:cs="Times New Roman"/>
          <w:b w:val="0"/>
          <w:bCs w:val="0"/>
          <w:sz w:val="24"/>
          <w:szCs w:val="24"/>
        </w:rPr>
        <w:t xml:space="preserve">is more than just persuasion and the case of </w:t>
      </w:r>
      <w:r>
        <w:rPr>
          <w:rFonts w:ascii="Times New Roman" w:hAnsi="Times New Roman" w:cs="Times New Roman"/>
          <w:sz w:val="24"/>
          <w:szCs w:val="24"/>
        </w:rPr>
        <w:t xml:space="preserve">Wingrove v Wingrove [1885] establishes the concept of undue influence in the instances of probate through the remarkable quote which states as follows;- </w:t>
      </w:r>
      <w:r>
        <w:rPr>
          <w:rFonts w:ascii="Times New Roman" w:hAnsi="Times New Roman" w:cs="Times New Roman"/>
          <w:i/>
          <w:iCs/>
          <w:sz w:val="24"/>
          <w:szCs w:val="24"/>
        </w:rPr>
        <w:t>“To be undue influence in the eye of the law there must be</w:t>
      </w:r>
      <w:r>
        <w:rPr>
          <w:rFonts w:ascii="Times New Roman" w:hAnsi="Times New Roman" w:cs="Times New Roman"/>
          <w:i/>
          <w:iCs/>
          <w:sz w:val="24"/>
          <w:szCs w:val="24"/>
        </w:rPr>
        <w:t xml:space="preserve"> – to sum it up in one word – coercion”.  </w:t>
      </w:r>
      <w:r>
        <w:rPr>
          <w:rFonts w:ascii="Times New Roman" w:hAnsi="Times New Roman" w:cs="Times New Roman"/>
          <w:sz w:val="24"/>
          <w:szCs w:val="24"/>
        </w:rPr>
        <w:t xml:space="preserve">Some of the notable forms of coercion that can be used in include imprisonment, verbal bullying, physical violence and so on. </w:t>
      </w:r>
    </w:p>
    <w:p w14:paraId="6F3A7A0A"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Further elaboration of what amounts to coercion is inferred in the decision of </w:t>
      </w:r>
      <w:r>
        <w:rPr>
          <w:rFonts w:ascii="Times New Roman" w:hAnsi="Times New Roman" w:cs="Times New Roman"/>
          <w:i/>
          <w:iCs/>
          <w:sz w:val="24"/>
          <w:szCs w:val="24"/>
        </w:rPr>
        <w:t xml:space="preserve">Edwards </w:t>
      </w:r>
      <w:r>
        <w:rPr>
          <w:rFonts w:ascii="Times New Roman" w:hAnsi="Times New Roman" w:cs="Times New Roman"/>
          <w:i/>
          <w:iCs/>
          <w:sz w:val="24"/>
          <w:szCs w:val="24"/>
        </w:rPr>
        <w:t>v Edwards [2007],</w:t>
      </w:r>
      <w:r>
        <w:rPr>
          <w:rFonts w:ascii="Times New Roman" w:hAnsi="Times New Roman" w:cs="Times New Roman"/>
          <w:sz w:val="24"/>
          <w:szCs w:val="24"/>
        </w:rPr>
        <w:t xml:space="preserve"> where the court in elaborating what coercion implies to remarked as follows;-</w:t>
      </w:r>
    </w:p>
    <w:p w14:paraId="3168D6A2" w14:textId="77777777" w:rsidR="00C85DD1" w:rsidRDefault="00790726">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"P</w:t>
      </w:r>
      <w:r>
        <w:rPr>
          <w:rFonts w:ascii="Times New Roman" w:hAnsi="Times New Roman" w:cs="Times New Roman"/>
          <w:i/>
          <w:iCs/>
          <w:sz w:val="24"/>
          <w:szCs w:val="24"/>
        </w:rPr>
        <w:t xml:space="preserve">ressure that overpowers the volition without convincing the testator’s judgment. It is to be distinguished from mere persuasion, appeals to ties of affection </w:t>
      </w:r>
      <w:r>
        <w:rPr>
          <w:rFonts w:ascii="Times New Roman" w:hAnsi="Times New Roman" w:cs="Times New Roman"/>
          <w:i/>
          <w:iCs/>
          <w:sz w:val="24"/>
          <w:szCs w:val="24"/>
        </w:rPr>
        <w:t xml:space="preserve">or pity for future destitution, all of which are legitimate. Pressure which causes a testator to succumb for the sake of a quiet life, </w:t>
      </w:r>
      <w:r>
        <w:rPr>
          <w:rFonts w:ascii="Times New Roman" w:hAnsi="Times New Roman" w:cs="Times New Roman"/>
          <w:i/>
          <w:iCs/>
          <w:sz w:val="24"/>
          <w:szCs w:val="24"/>
        </w:rPr>
        <w:lastRenderedPageBreak/>
        <w:t>if carried to an extent that overbears the testator’s free judgment discretion or wishes, is enough to amount to coercion</w:t>
      </w:r>
      <w:r>
        <w:rPr>
          <w:rFonts w:ascii="Times New Roman" w:hAnsi="Times New Roman" w:cs="Times New Roman"/>
          <w:i/>
          <w:iCs/>
          <w:sz w:val="24"/>
          <w:szCs w:val="24"/>
        </w:rPr>
        <w:t xml:space="preserve"> in this sense</w:t>
      </w:r>
      <w:r>
        <w:rPr>
          <w:rFonts w:ascii="Times New Roman" w:hAnsi="Times New Roman" w:cs="Times New Roman"/>
          <w:i/>
          <w:iCs/>
          <w:sz w:val="24"/>
          <w:szCs w:val="24"/>
        </w:rPr>
        <w:t>."</w:t>
      </w:r>
    </w:p>
    <w:p w14:paraId="1DFEC837"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Incidences of love and affection may not amount to undue influence as was the case in </w:t>
      </w:r>
      <w:r>
        <w:rPr>
          <w:rFonts w:ascii="Times New Roman" w:hAnsi="Times New Roman" w:cs="Times New Roman"/>
          <w:i/>
          <w:iCs/>
          <w:sz w:val="24"/>
          <w:szCs w:val="24"/>
        </w:rPr>
        <w:t>Hubbard and another v Scott and others [2011]</w:t>
      </w:r>
      <w:r>
        <w:rPr>
          <w:rFonts w:ascii="Times New Roman" w:hAnsi="Times New Roman" w:cs="Times New Roman"/>
          <w:sz w:val="24"/>
          <w:szCs w:val="24"/>
        </w:rPr>
        <w:t xml:space="preserve">. However, where it is expressly manifested that there existed difficult situations that made it impossible </w:t>
      </w:r>
      <w:r>
        <w:rPr>
          <w:rFonts w:ascii="Times New Roman" w:hAnsi="Times New Roman" w:cs="Times New Roman"/>
          <w:sz w:val="24"/>
          <w:szCs w:val="24"/>
        </w:rPr>
        <w:t xml:space="preserve">for the testator to exercise their free will, then aspect of undue influence can be said to manifest(Sloan 2020). This was upheld in the case of </w:t>
      </w:r>
      <w:r>
        <w:rPr>
          <w:rFonts w:ascii="Times New Roman" w:hAnsi="Times New Roman" w:cs="Times New Roman"/>
          <w:i/>
          <w:iCs/>
          <w:sz w:val="24"/>
          <w:szCs w:val="24"/>
        </w:rPr>
        <w:t>Schrader v Schrader [2013],</w:t>
      </w:r>
      <w:r>
        <w:rPr>
          <w:rFonts w:ascii="Times New Roman" w:hAnsi="Times New Roman" w:cs="Times New Roman"/>
          <w:sz w:val="24"/>
          <w:szCs w:val="24"/>
        </w:rPr>
        <w:t xml:space="preserve"> where Judge Mann stated that;-</w:t>
      </w:r>
    </w:p>
    <w:p w14:paraId="5253A4C5" w14:textId="77777777" w:rsidR="00C85DD1" w:rsidRDefault="00790726">
      <w:pPr>
        <w:spacing w:after="0" w:line="480" w:lineRule="auto"/>
        <w:ind w:firstLine="720"/>
        <w:rPr>
          <w:rStyle w:val="Emphasis"/>
          <w:rFonts w:ascii="Times New Roman" w:hAnsi="Times New Roman" w:cs="Times New Roman"/>
          <w:sz w:val="24"/>
          <w:szCs w:val="24"/>
        </w:rPr>
      </w:pPr>
      <w:r>
        <w:rPr>
          <w:rStyle w:val="Emphasis"/>
          <w:rFonts w:ascii="Times New Roman" w:hAnsi="Times New Roman" w:cs="Times New Roman"/>
          <w:sz w:val="24"/>
          <w:szCs w:val="24"/>
        </w:rPr>
        <w:t xml:space="preserve">“It will be a common feature of a large number of </w:t>
      </w:r>
      <w:r>
        <w:rPr>
          <w:rStyle w:val="Emphasis"/>
          <w:rFonts w:ascii="Times New Roman" w:hAnsi="Times New Roman" w:cs="Times New Roman"/>
          <w:sz w:val="24"/>
          <w:szCs w:val="24"/>
        </w:rPr>
        <w:t>undue influence cases that there is no direct evidence of the application of influence.  It is of the nature of undue influence that it goes on when no-one is looking.  That does not stop it being proved.  The proof has to come, if at all, from more circum</w:t>
      </w:r>
      <w:r>
        <w:rPr>
          <w:rStyle w:val="Emphasis"/>
          <w:rFonts w:ascii="Times New Roman" w:hAnsi="Times New Roman" w:cs="Times New Roman"/>
          <w:sz w:val="24"/>
          <w:szCs w:val="24"/>
        </w:rPr>
        <w:t>stantial evidence.”</w:t>
      </w:r>
    </w:p>
    <w:p w14:paraId="6DE4FBA5"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fifth way in which the validity of the will can be challenged is where it is apparent that the beneficiaries who expected to be provided for did not get a share that meets their expectations. The direct beneficiaries of an estate of</w:t>
      </w:r>
      <w:r>
        <w:rPr>
          <w:rFonts w:ascii="Times New Roman" w:hAnsi="Times New Roman" w:cs="Times New Roman"/>
          <w:sz w:val="24"/>
          <w:szCs w:val="24"/>
        </w:rPr>
        <w:t xml:space="preserve"> the deceased have expectation that they will be reasonably be provided for. This is normally for the wives, husbands, children and other members of the family that are closely related to the testator(Douglas 2014). The </w:t>
      </w:r>
      <w:hyperlink r:id="rId6" w:tgtFrame="_blank" w:history="1">
        <w:r>
          <w:rPr>
            <w:rStyle w:val="Hyperlink"/>
            <w:rFonts w:ascii="Times New Roman" w:hAnsi="Times New Roman" w:cs="Times New Roman"/>
            <w:color w:val="auto"/>
            <w:sz w:val="24"/>
            <w:szCs w:val="24"/>
            <w:u w:val="none"/>
          </w:rPr>
          <w:t xml:space="preserve">Inheritance (Provision for Family and </w:t>
        </w:r>
        <w:proofErr w:type="spellStart"/>
        <w:r>
          <w:rPr>
            <w:rStyle w:val="Hyperlink"/>
            <w:rFonts w:ascii="Times New Roman" w:hAnsi="Times New Roman" w:cs="Times New Roman"/>
            <w:color w:val="auto"/>
            <w:sz w:val="24"/>
            <w:szCs w:val="24"/>
            <w:u w:val="none"/>
          </w:rPr>
          <w:t>Dependants</w:t>
        </w:r>
        <w:proofErr w:type="spellEnd"/>
        <w:r>
          <w:rPr>
            <w:rStyle w:val="Hyperlink"/>
            <w:rFonts w:ascii="Times New Roman" w:hAnsi="Times New Roman" w:cs="Times New Roman"/>
            <w:color w:val="auto"/>
            <w:sz w:val="24"/>
            <w:szCs w:val="24"/>
            <w:u w:val="none"/>
          </w:rPr>
          <w:t>) Act 1975</w:t>
        </w:r>
      </w:hyperlink>
      <w:r>
        <w:rPr>
          <w:rFonts w:ascii="Times New Roman" w:hAnsi="Times New Roman" w:cs="Times New Roman"/>
          <w:sz w:val="24"/>
          <w:szCs w:val="24"/>
        </w:rPr>
        <w:t xml:space="preserve"> of the United Kingdom, provides that the estate of the deceased shall be in order of consanguinity. This creates legitimate </w:t>
      </w:r>
      <w:r>
        <w:rPr>
          <w:rFonts w:ascii="Times New Roman" w:hAnsi="Times New Roman" w:cs="Times New Roman"/>
          <w:sz w:val="24"/>
          <w:szCs w:val="24"/>
        </w:rPr>
        <w:t>expectation that those who are closely related to the testator will have substantial share of his or her estate. Similarly, the dependents of the testator are expected to get a share of the estate. In the instance where it is apparent that they were left o</w:t>
      </w:r>
      <w:r>
        <w:rPr>
          <w:rFonts w:ascii="Times New Roman" w:hAnsi="Times New Roman" w:cs="Times New Roman"/>
          <w:sz w:val="24"/>
          <w:szCs w:val="24"/>
        </w:rPr>
        <w:t xml:space="preserve">ut in the cause of drawing the will, then they can petition through the court system to challenge the validity of the will that left them out. Leaving out someone </w:t>
      </w:r>
      <w:r>
        <w:rPr>
          <w:rFonts w:ascii="Times New Roman" w:hAnsi="Times New Roman" w:cs="Times New Roman"/>
          <w:sz w:val="24"/>
          <w:szCs w:val="24"/>
        </w:rPr>
        <w:lastRenderedPageBreak/>
        <w:t>whom the testator has all along provided for during their lifetime such as an elderly person,</w:t>
      </w:r>
      <w:r>
        <w:rPr>
          <w:rFonts w:ascii="Times New Roman" w:hAnsi="Times New Roman" w:cs="Times New Roman"/>
          <w:sz w:val="24"/>
          <w:szCs w:val="24"/>
        </w:rPr>
        <w:t xml:space="preserve"> disabled child, mistress and so on gives good ground for challenging the validity of such a will. </w:t>
      </w:r>
    </w:p>
    <w:p w14:paraId="0496E03B"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sixth way in which the validity of a will can be challenged is where it is apparent that the amended will did not follow the right procedure. Any amendm</w:t>
      </w:r>
      <w:r>
        <w:rPr>
          <w:rFonts w:ascii="Times New Roman" w:hAnsi="Times New Roman" w:cs="Times New Roman"/>
          <w:sz w:val="24"/>
          <w:szCs w:val="24"/>
        </w:rPr>
        <w:t>ent in the will should be executed by the testator and both witnesses. In the scenario where the execution of these parties is missing, then the validity of such amendment can be challenged(Finch &amp; Mason 2013). The challenge normally arises in the legal in</w:t>
      </w:r>
      <w:r>
        <w:rPr>
          <w:rFonts w:ascii="Times New Roman" w:hAnsi="Times New Roman" w:cs="Times New Roman"/>
          <w:sz w:val="24"/>
          <w:szCs w:val="24"/>
        </w:rPr>
        <w:t>struments that are known as codicils. They have historically been used in amending some portions of the will without the need to have the entire will drawn again. Where the amendment has not been executed then it is invalid. As such the terms that were con</w:t>
      </w:r>
      <w:r>
        <w:rPr>
          <w:rFonts w:ascii="Times New Roman" w:hAnsi="Times New Roman" w:cs="Times New Roman"/>
          <w:sz w:val="24"/>
          <w:szCs w:val="24"/>
        </w:rPr>
        <w:t xml:space="preserve">tained in the initial will are the ones that stand out. Similarly, where original wording in the will has been obliterated, that wording is automatically ignored and does not have any impact on the will. </w:t>
      </w:r>
    </w:p>
    <w:p w14:paraId="2B24F181"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seventh way in which the validity of a will can</w:t>
      </w:r>
      <w:r>
        <w:rPr>
          <w:rFonts w:ascii="Times New Roman" w:hAnsi="Times New Roman" w:cs="Times New Roman"/>
          <w:sz w:val="24"/>
          <w:szCs w:val="24"/>
        </w:rPr>
        <w:t xml:space="preserve"> be challenged is where it is imminent that the will is a fraud or forgery. This can either be in the instances where the entire will is forged or only the signature that has been forged. Likewise, the contents of the will may be fraudulent in that they do</w:t>
      </w:r>
      <w:r>
        <w:rPr>
          <w:rFonts w:ascii="Times New Roman" w:hAnsi="Times New Roman" w:cs="Times New Roman"/>
          <w:sz w:val="24"/>
          <w:szCs w:val="24"/>
        </w:rPr>
        <w:t xml:space="preserve"> not disclose the right position regarding the mode of distribution of the deceased’s estate. A fraudulent will is the one that does not contain a true reflection of the wishes of the deceased, however, it has not been made through coercion (Groce et al. 2</w:t>
      </w:r>
      <w:r>
        <w:rPr>
          <w:rFonts w:ascii="Times New Roman" w:hAnsi="Times New Roman" w:cs="Times New Roman"/>
          <w:sz w:val="24"/>
          <w:szCs w:val="24"/>
        </w:rPr>
        <w:t>014). Some of the red flags in fraudulent will include wills that have beneficiaries that are not entitled to any inheritance from the estate of the deceased. These non-beneficiaries may have deliberately destroyed the provisions of the will in a bid to ge</w:t>
      </w:r>
      <w:r>
        <w:rPr>
          <w:rFonts w:ascii="Times New Roman" w:hAnsi="Times New Roman" w:cs="Times New Roman"/>
          <w:sz w:val="24"/>
          <w:szCs w:val="24"/>
        </w:rPr>
        <w:t xml:space="preserve">t beneficial interests that they are not entitled to from the estate of the deceased. Such will is termed as not having been executed properly since it does not contain the rightful mode of distribution of the estate of the deceased person. </w:t>
      </w:r>
    </w:p>
    <w:p w14:paraId="4351B2F0"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Contestation o</w:t>
      </w:r>
      <w:r>
        <w:rPr>
          <w:rFonts w:ascii="Times New Roman" w:hAnsi="Times New Roman" w:cs="Times New Roman"/>
          <w:sz w:val="24"/>
          <w:szCs w:val="24"/>
        </w:rPr>
        <w:t>f a will may also be raised in instances where the executor is behaving improperly. This relates to the executors who are not following the legal guidelines that are expected of them.  There are some executors who engage in acts of abusing the property and</w:t>
      </w:r>
      <w:r>
        <w:rPr>
          <w:rFonts w:ascii="Times New Roman" w:hAnsi="Times New Roman" w:cs="Times New Roman"/>
          <w:sz w:val="24"/>
          <w:szCs w:val="24"/>
        </w:rPr>
        <w:t xml:space="preserve"> fail to distribute it in accordance to the terms of the will. Additionally, some executors do not keep the beneficiaries informed of the dealings they have on the estate. This may make the beneficiaries feel aggrieved and therefore give them a leeway of e</w:t>
      </w:r>
      <w:r>
        <w:rPr>
          <w:rFonts w:ascii="Times New Roman" w:hAnsi="Times New Roman" w:cs="Times New Roman"/>
          <w:sz w:val="24"/>
          <w:szCs w:val="24"/>
        </w:rPr>
        <w:t>xploring the strategies that they can apply in handling the existing challenges. However, these kinds of challenges present difficulty since some parties of the estate may get into waste before the dispute is resolved.</w:t>
      </w:r>
    </w:p>
    <w:p w14:paraId="304A6932"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Notably, where an individual is desir</w:t>
      </w:r>
      <w:r>
        <w:rPr>
          <w:rFonts w:ascii="Times New Roman" w:hAnsi="Times New Roman" w:cs="Times New Roman"/>
          <w:sz w:val="24"/>
          <w:szCs w:val="24"/>
        </w:rPr>
        <w:t>ous of challenging the validity of a will using any of the outlined ways, it is expected that they shall follow the legally outlined procedures. It is advisable that they do commence the process by entering a caveat against the estate of the deceased. This</w:t>
      </w:r>
      <w:r>
        <w:rPr>
          <w:rFonts w:ascii="Times New Roman" w:hAnsi="Times New Roman" w:cs="Times New Roman"/>
          <w:sz w:val="24"/>
          <w:szCs w:val="24"/>
        </w:rPr>
        <w:t xml:space="preserve"> should happen way before the probate has been granted (Shulaman et al. 2007). A caveat goes a long way in stopping issuance of probate or the letters of administration against the estate of the deceased person. As such, the estate becomes frozen and there</w:t>
      </w:r>
      <w:r>
        <w:rPr>
          <w:rFonts w:ascii="Times New Roman" w:hAnsi="Times New Roman" w:cs="Times New Roman"/>
          <w:sz w:val="24"/>
          <w:szCs w:val="24"/>
        </w:rPr>
        <w:t xml:space="preserve"> are no further dealings with it. However, it is not advisable to enter caveat in the instances where the aggrieved person is making his or her claim from the estate of the deceased by invoking the provisions of the Inheritance Act. </w:t>
      </w:r>
    </w:p>
    <w:p w14:paraId="31B26BFF" w14:textId="77777777" w:rsidR="00C85DD1" w:rsidRDefault="007907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Essentially, it is exp</w:t>
      </w:r>
      <w:r>
        <w:rPr>
          <w:rFonts w:ascii="Times New Roman" w:hAnsi="Times New Roman" w:cs="Times New Roman"/>
          <w:sz w:val="24"/>
          <w:szCs w:val="24"/>
        </w:rPr>
        <w:t>ected that a valid will reflects the intention of the deceased on how they shall distribute their property. It is the expectation of the deceased that once, they die they will have their estate managed and distributed in the manner they have indicated in t</w:t>
      </w:r>
      <w:r>
        <w:rPr>
          <w:rFonts w:ascii="Times New Roman" w:hAnsi="Times New Roman" w:cs="Times New Roman"/>
          <w:sz w:val="24"/>
          <w:szCs w:val="24"/>
        </w:rPr>
        <w:t>he will (Brenkel et al. 2018). However, as courts have shown in England and Wales, there exists some case scenarios where this is not usually possible. This has in several instances paved way for contestation of the will. There are a number of ways through</w:t>
      </w:r>
      <w:r>
        <w:rPr>
          <w:rFonts w:ascii="Times New Roman" w:hAnsi="Times New Roman" w:cs="Times New Roman"/>
          <w:sz w:val="24"/>
          <w:szCs w:val="24"/>
        </w:rPr>
        <w:t xml:space="preserve"> which wills can be contested in so </w:t>
      </w:r>
      <w:r>
        <w:rPr>
          <w:rFonts w:ascii="Times New Roman" w:hAnsi="Times New Roman" w:cs="Times New Roman"/>
          <w:sz w:val="24"/>
          <w:szCs w:val="24"/>
        </w:rPr>
        <w:lastRenderedPageBreak/>
        <w:t>far as their validity and contents is concerned. If the will does not meet the legal threshold outlined in the quoted case laws and legislative provisions, then its validity can be challenged using the existing legal for</w:t>
      </w:r>
      <w:r>
        <w:rPr>
          <w:rFonts w:ascii="Times New Roman" w:hAnsi="Times New Roman" w:cs="Times New Roman"/>
          <w:sz w:val="24"/>
          <w:szCs w:val="24"/>
        </w:rPr>
        <w:t xml:space="preserve">ums. </w:t>
      </w:r>
    </w:p>
    <w:p w14:paraId="24E5DE65" w14:textId="77777777" w:rsidR="00C85DD1" w:rsidRDefault="00C85DD1">
      <w:pPr>
        <w:spacing w:after="0" w:line="480" w:lineRule="auto"/>
        <w:ind w:firstLine="720"/>
        <w:rPr>
          <w:rFonts w:ascii="Times New Roman" w:hAnsi="Times New Roman" w:cs="Times New Roman"/>
          <w:sz w:val="24"/>
          <w:szCs w:val="24"/>
        </w:rPr>
      </w:pPr>
    </w:p>
    <w:p w14:paraId="21918A7B" w14:textId="77777777" w:rsidR="00C85DD1" w:rsidRDefault="00C85DD1">
      <w:pPr>
        <w:spacing w:after="0" w:line="480" w:lineRule="auto"/>
        <w:ind w:firstLine="720"/>
        <w:rPr>
          <w:rFonts w:ascii="Times New Roman" w:hAnsi="Times New Roman" w:cs="Times New Roman"/>
          <w:sz w:val="24"/>
          <w:szCs w:val="24"/>
        </w:rPr>
      </w:pPr>
    </w:p>
    <w:p w14:paraId="677A5697" w14:textId="77777777" w:rsidR="00C85DD1" w:rsidRDefault="00C85DD1">
      <w:pPr>
        <w:spacing w:after="0" w:line="480" w:lineRule="auto"/>
        <w:ind w:firstLine="720"/>
        <w:rPr>
          <w:rFonts w:ascii="Times New Roman" w:hAnsi="Times New Roman" w:cs="Times New Roman"/>
          <w:sz w:val="24"/>
          <w:szCs w:val="24"/>
        </w:rPr>
      </w:pPr>
    </w:p>
    <w:p w14:paraId="5B58CAC0" w14:textId="77777777" w:rsidR="00C85DD1" w:rsidRDefault="00C85DD1">
      <w:pPr>
        <w:spacing w:after="0" w:line="480" w:lineRule="auto"/>
        <w:ind w:firstLine="720"/>
        <w:rPr>
          <w:rFonts w:ascii="Times New Roman" w:hAnsi="Times New Roman" w:cs="Times New Roman"/>
          <w:sz w:val="24"/>
          <w:szCs w:val="24"/>
        </w:rPr>
      </w:pPr>
    </w:p>
    <w:p w14:paraId="7867172A" w14:textId="77777777" w:rsidR="00C85DD1" w:rsidRDefault="00C85DD1">
      <w:pPr>
        <w:spacing w:after="0" w:line="480" w:lineRule="auto"/>
        <w:ind w:firstLine="720"/>
        <w:rPr>
          <w:rFonts w:ascii="Times New Roman" w:hAnsi="Times New Roman" w:cs="Times New Roman"/>
          <w:sz w:val="24"/>
          <w:szCs w:val="24"/>
        </w:rPr>
      </w:pPr>
    </w:p>
    <w:p w14:paraId="25F0AA49" w14:textId="77777777" w:rsidR="00C85DD1" w:rsidRDefault="00C85DD1">
      <w:pPr>
        <w:spacing w:after="0" w:line="480" w:lineRule="auto"/>
        <w:ind w:firstLine="720"/>
        <w:jc w:val="both"/>
        <w:rPr>
          <w:rFonts w:ascii="Times New Roman" w:hAnsi="Times New Roman" w:cs="Times New Roman"/>
          <w:sz w:val="24"/>
          <w:szCs w:val="24"/>
        </w:rPr>
      </w:pPr>
    </w:p>
    <w:p w14:paraId="1CC16819" w14:textId="77777777" w:rsidR="00C85DD1" w:rsidRDefault="00C85DD1">
      <w:pPr>
        <w:spacing w:after="0" w:line="480" w:lineRule="auto"/>
        <w:ind w:firstLine="720"/>
        <w:jc w:val="both"/>
        <w:rPr>
          <w:rFonts w:ascii="Times New Roman" w:hAnsi="Times New Roman" w:cs="Times New Roman"/>
          <w:sz w:val="24"/>
          <w:szCs w:val="24"/>
        </w:rPr>
      </w:pPr>
    </w:p>
    <w:p w14:paraId="42C335B0" w14:textId="77777777" w:rsidR="00C85DD1" w:rsidRDefault="00C85DD1">
      <w:pPr>
        <w:spacing w:after="0" w:line="480" w:lineRule="auto"/>
        <w:ind w:firstLine="720"/>
        <w:jc w:val="both"/>
        <w:rPr>
          <w:rFonts w:ascii="Times New Roman" w:hAnsi="Times New Roman" w:cs="Times New Roman"/>
          <w:sz w:val="24"/>
          <w:szCs w:val="24"/>
        </w:rPr>
      </w:pPr>
    </w:p>
    <w:p w14:paraId="55EF7A07" w14:textId="77777777" w:rsidR="00C85DD1" w:rsidRDefault="00C85DD1">
      <w:pPr>
        <w:spacing w:after="0" w:line="480" w:lineRule="auto"/>
        <w:ind w:firstLine="720"/>
        <w:jc w:val="both"/>
        <w:rPr>
          <w:rFonts w:ascii="Times New Roman" w:hAnsi="Times New Roman" w:cs="Times New Roman"/>
          <w:sz w:val="24"/>
          <w:szCs w:val="24"/>
        </w:rPr>
      </w:pPr>
    </w:p>
    <w:p w14:paraId="5F293742" w14:textId="77777777" w:rsidR="00C85DD1" w:rsidRDefault="00C85DD1">
      <w:pPr>
        <w:spacing w:after="0" w:line="480" w:lineRule="auto"/>
        <w:ind w:firstLine="720"/>
        <w:jc w:val="both"/>
        <w:rPr>
          <w:rFonts w:ascii="Times New Roman" w:hAnsi="Times New Roman" w:cs="Times New Roman"/>
          <w:sz w:val="24"/>
          <w:szCs w:val="24"/>
        </w:rPr>
      </w:pPr>
    </w:p>
    <w:p w14:paraId="4B39BB37" w14:textId="77777777" w:rsidR="00C85DD1" w:rsidRDefault="00C85DD1">
      <w:pPr>
        <w:spacing w:after="0" w:line="480" w:lineRule="auto"/>
        <w:ind w:firstLine="720"/>
        <w:jc w:val="both"/>
        <w:rPr>
          <w:rFonts w:ascii="Times New Roman" w:hAnsi="Times New Roman" w:cs="Times New Roman"/>
          <w:sz w:val="24"/>
          <w:szCs w:val="24"/>
        </w:rPr>
      </w:pPr>
    </w:p>
    <w:p w14:paraId="00CFF777" w14:textId="77777777" w:rsidR="00C85DD1" w:rsidRDefault="00C85DD1">
      <w:pPr>
        <w:spacing w:after="0" w:line="480" w:lineRule="auto"/>
        <w:ind w:firstLine="720"/>
        <w:jc w:val="both"/>
        <w:rPr>
          <w:rFonts w:ascii="Times New Roman" w:hAnsi="Times New Roman" w:cs="Times New Roman"/>
          <w:sz w:val="24"/>
          <w:szCs w:val="24"/>
        </w:rPr>
      </w:pPr>
    </w:p>
    <w:p w14:paraId="45553279" w14:textId="77777777" w:rsidR="00C85DD1" w:rsidRDefault="00C85DD1">
      <w:pPr>
        <w:spacing w:after="0" w:line="480" w:lineRule="auto"/>
        <w:ind w:firstLine="720"/>
        <w:jc w:val="both"/>
        <w:rPr>
          <w:rFonts w:ascii="Times New Roman" w:hAnsi="Times New Roman" w:cs="Times New Roman"/>
          <w:sz w:val="24"/>
          <w:szCs w:val="24"/>
        </w:rPr>
      </w:pPr>
    </w:p>
    <w:p w14:paraId="707E262B" w14:textId="77777777" w:rsidR="00C85DD1" w:rsidRDefault="00C85DD1">
      <w:pPr>
        <w:spacing w:after="0" w:line="480" w:lineRule="auto"/>
        <w:ind w:firstLine="720"/>
        <w:jc w:val="both"/>
        <w:rPr>
          <w:rFonts w:ascii="Times New Roman" w:hAnsi="Times New Roman" w:cs="Times New Roman"/>
          <w:sz w:val="24"/>
          <w:szCs w:val="24"/>
        </w:rPr>
      </w:pPr>
    </w:p>
    <w:p w14:paraId="328B3F9A" w14:textId="77777777" w:rsidR="00C85DD1" w:rsidRDefault="00C85DD1">
      <w:pPr>
        <w:spacing w:after="0" w:line="480" w:lineRule="auto"/>
        <w:ind w:firstLine="720"/>
        <w:jc w:val="both"/>
        <w:rPr>
          <w:rFonts w:ascii="Times New Roman" w:hAnsi="Times New Roman" w:cs="Times New Roman"/>
          <w:sz w:val="24"/>
          <w:szCs w:val="24"/>
        </w:rPr>
      </w:pPr>
    </w:p>
    <w:p w14:paraId="2313B3B7" w14:textId="77777777" w:rsidR="00C85DD1" w:rsidRDefault="00C85DD1">
      <w:pPr>
        <w:spacing w:after="0" w:line="480" w:lineRule="auto"/>
        <w:ind w:firstLine="720"/>
        <w:jc w:val="both"/>
        <w:rPr>
          <w:rFonts w:ascii="Times New Roman" w:hAnsi="Times New Roman" w:cs="Times New Roman"/>
          <w:sz w:val="24"/>
          <w:szCs w:val="24"/>
        </w:rPr>
      </w:pPr>
    </w:p>
    <w:p w14:paraId="45E232DF" w14:textId="77777777" w:rsidR="00C85DD1" w:rsidRDefault="00C85DD1">
      <w:pPr>
        <w:spacing w:after="0" w:line="480" w:lineRule="auto"/>
        <w:ind w:firstLine="720"/>
        <w:jc w:val="both"/>
        <w:rPr>
          <w:rFonts w:ascii="Times New Roman" w:hAnsi="Times New Roman" w:cs="Times New Roman"/>
          <w:sz w:val="24"/>
          <w:szCs w:val="24"/>
        </w:rPr>
      </w:pPr>
    </w:p>
    <w:p w14:paraId="11C6621E" w14:textId="77777777" w:rsidR="00C85DD1" w:rsidRDefault="00C85DD1">
      <w:pPr>
        <w:spacing w:after="0" w:line="480" w:lineRule="auto"/>
        <w:jc w:val="both"/>
        <w:rPr>
          <w:rFonts w:ascii="Times New Roman" w:hAnsi="Times New Roman" w:cs="Times New Roman"/>
          <w:sz w:val="24"/>
          <w:szCs w:val="24"/>
        </w:rPr>
      </w:pPr>
    </w:p>
    <w:p w14:paraId="02AEC8DB" w14:textId="77777777" w:rsidR="00C85DD1" w:rsidRDefault="00C85DD1">
      <w:pPr>
        <w:spacing w:after="0" w:line="480" w:lineRule="auto"/>
        <w:jc w:val="both"/>
        <w:rPr>
          <w:rFonts w:ascii="Times New Roman" w:hAnsi="Times New Roman" w:cs="Times New Roman"/>
          <w:sz w:val="24"/>
          <w:szCs w:val="24"/>
        </w:rPr>
      </w:pPr>
    </w:p>
    <w:p w14:paraId="065C36A1" w14:textId="77777777" w:rsidR="00C85DD1" w:rsidRDefault="00C85DD1">
      <w:pPr>
        <w:spacing w:after="0" w:line="480" w:lineRule="auto"/>
        <w:jc w:val="both"/>
        <w:rPr>
          <w:rFonts w:ascii="Times New Roman" w:hAnsi="Times New Roman" w:cs="Times New Roman"/>
          <w:sz w:val="24"/>
          <w:szCs w:val="24"/>
        </w:rPr>
      </w:pPr>
    </w:p>
    <w:p w14:paraId="1AA87365" w14:textId="77777777" w:rsidR="00C85DD1" w:rsidRDefault="00790726">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4B5F96F0"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Borkowski, J.A., 2000. Reforming Section 9 of the Wills Act 1837. </w:t>
      </w:r>
      <w:r>
        <w:rPr>
          <w:rFonts w:ascii="Times New Roman" w:eastAsia="Times New Roman" w:hAnsi="Times New Roman" w:cs="Times New Roman"/>
          <w:i/>
          <w:iCs/>
          <w:kern w:val="0"/>
          <w:sz w:val="24"/>
          <w:szCs w:val="24"/>
          <w14:ligatures w14:val="none"/>
        </w:rPr>
        <w:t>Conveyancer and Property Lawyer</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64</w:t>
      </w:r>
      <w:r>
        <w:rPr>
          <w:rFonts w:ascii="Times New Roman" w:eastAsia="Times New Roman" w:hAnsi="Times New Roman" w:cs="Times New Roman"/>
          <w:kern w:val="0"/>
          <w:sz w:val="24"/>
          <w:szCs w:val="24"/>
          <w14:ligatures w14:val="none"/>
        </w:rPr>
        <w:t>, pp.31-42.</w:t>
      </w:r>
    </w:p>
    <w:p w14:paraId="2D2E5B0E"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Brenkel, M., Whaley, K., Herrmann, N., Crawford, K., Hazan, E., Cardiff, L., Owen, A.M. and </w:t>
      </w:r>
      <w:r>
        <w:rPr>
          <w:rFonts w:ascii="Times New Roman" w:eastAsia="Times New Roman" w:hAnsi="Times New Roman" w:cs="Times New Roman"/>
          <w:kern w:val="0"/>
          <w:sz w:val="24"/>
          <w:szCs w:val="24"/>
          <w14:ligatures w14:val="none"/>
        </w:rPr>
        <w:t xml:space="preserve">Shulman, K., 2018. A case for the standardized assessment of testamentary capacity. </w:t>
      </w:r>
      <w:r>
        <w:rPr>
          <w:rFonts w:ascii="Times New Roman" w:eastAsia="Times New Roman" w:hAnsi="Times New Roman" w:cs="Times New Roman"/>
          <w:i/>
          <w:iCs/>
          <w:kern w:val="0"/>
          <w:sz w:val="24"/>
          <w:szCs w:val="24"/>
          <w14:ligatures w14:val="none"/>
        </w:rPr>
        <w:t>Canadian geriatrics journal</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21</w:t>
      </w:r>
      <w:r>
        <w:rPr>
          <w:rFonts w:ascii="Times New Roman" w:eastAsia="Times New Roman" w:hAnsi="Times New Roman" w:cs="Times New Roman"/>
          <w:kern w:val="0"/>
          <w:sz w:val="24"/>
          <w:szCs w:val="24"/>
          <w14:ligatures w14:val="none"/>
        </w:rPr>
        <w:t>(1), p.26.</w:t>
      </w:r>
    </w:p>
    <w:p w14:paraId="6667EC6B" w14:textId="77777777" w:rsidR="00C85DD1" w:rsidRDefault="00790726">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Douglas, G., 2014. Family provision and family practices-The discretionary regime of the Inheritance Act of England and </w:t>
      </w:r>
      <w:r>
        <w:rPr>
          <w:rFonts w:ascii="Times New Roman" w:hAnsi="Times New Roman" w:cs="Times New Roman"/>
          <w:sz w:val="24"/>
          <w:szCs w:val="24"/>
        </w:rPr>
        <w:t xml:space="preserve">Wales. </w:t>
      </w:r>
      <w:r>
        <w:rPr>
          <w:rFonts w:ascii="Times New Roman" w:hAnsi="Times New Roman" w:cs="Times New Roman"/>
          <w:i/>
          <w:iCs/>
          <w:sz w:val="24"/>
          <w:szCs w:val="24"/>
        </w:rPr>
        <w:t>Oñati Socio-legal Series</w:t>
      </w:r>
      <w:r>
        <w:rPr>
          <w:rFonts w:ascii="Times New Roman" w:hAnsi="Times New Roman" w:cs="Times New Roman"/>
          <w:sz w:val="24"/>
          <w:szCs w:val="24"/>
        </w:rPr>
        <w:t xml:space="preserve">, </w:t>
      </w:r>
      <w:r>
        <w:rPr>
          <w:rFonts w:ascii="Times New Roman" w:hAnsi="Times New Roman" w:cs="Times New Roman"/>
          <w:i/>
          <w:iCs/>
          <w:sz w:val="24"/>
          <w:szCs w:val="24"/>
        </w:rPr>
        <w:t>4</w:t>
      </w:r>
      <w:r>
        <w:rPr>
          <w:rFonts w:ascii="Times New Roman" w:hAnsi="Times New Roman" w:cs="Times New Roman"/>
          <w:sz w:val="24"/>
          <w:szCs w:val="24"/>
        </w:rPr>
        <w:t>(2).</w:t>
      </w:r>
    </w:p>
    <w:p w14:paraId="3BE5B7E3"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Finch, J. and Mason, J., 2013. </w:t>
      </w:r>
      <w:r>
        <w:rPr>
          <w:rFonts w:ascii="Times New Roman" w:eastAsia="Times New Roman" w:hAnsi="Times New Roman" w:cs="Times New Roman"/>
          <w:i/>
          <w:iCs/>
          <w:kern w:val="0"/>
          <w:sz w:val="24"/>
          <w:szCs w:val="24"/>
          <w14:ligatures w14:val="none"/>
        </w:rPr>
        <w:t>Passing on: Kinship and inheritance in England</w:t>
      </w:r>
      <w:r>
        <w:rPr>
          <w:rFonts w:ascii="Times New Roman" w:eastAsia="Times New Roman" w:hAnsi="Times New Roman" w:cs="Times New Roman"/>
          <w:kern w:val="0"/>
          <w:sz w:val="24"/>
          <w:szCs w:val="24"/>
          <w14:ligatures w14:val="none"/>
        </w:rPr>
        <w:t>. Routledge.</w:t>
      </w:r>
    </w:p>
    <w:p w14:paraId="76CC5255"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Groce, N.E., London, J. and Stein, M.A., 2014. Inheritance, poverty, and disability. </w:t>
      </w:r>
      <w:r>
        <w:rPr>
          <w:rFonts w:ascii="Times New Roman" w:eastAsia="Times New Roman" w:hAnsi="Times New Roman" w:cs="Times New Roman"/>
          <w:i/>
          <w:iCs/>
          <w:kern w:val="0"/>
          <w:sz w:val="24"/>
          <w:szCs w:val="24"/>
          <w14:ligatures w14:val="none"/>
        </w:rPr>
        <w:t>Disability &amp; Society</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29</w:t>
      </w:r>
      <w:r>
        <w:rPr>
          <w:rFonts w:ascii="Times New Roman" w:eastAsia="Times New Roman" w:hAnsi="Times New Roman" w:cs="Times New Roman"/>
          <w:kern w:val="0"/>
          <w:sz w:val="24"/>
          <w:szCs w:val="24"/>
          <w14:ligatures w14:val="none"/>
        </w:rPr>
        <w:t>(10), pp.1554-1568</w:t>
      </w:r>
      <w:r>
        <w:rPr>
          <w:rFonts w:ascii="Times New Roman" w:eastAsia="Times New Roman" w:hAnsi="Times New Roman" w:cs="Times New Roman"/>
          <w:kern w:val="0"/>
          <w:sz w:val="24"/>
          <w:szCs w:val="24"/>
          <w14:ligatures w14:val="none"/>
        </w:rPr>
        <w:t>.</w:t>
      </w:r>
    </w:p>
    <w:p w14:paraId="177F830A" w14:textId="77777777" w:rsidR="00C85DD1" w:rsidRDefault="00790726">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Jacobs, J. and Lambrechts, L., 2013. Valid or not? General principles for challenging a will: Wills Week feature. </w:t>
      </w:r>
      <w:r>
        <w:rPr>
          <w:rFonts w:ascii="Times New Roman" w:hAnsi="Times New Roman" w:cs="Times New Roman"/>
          <w:i/>
          <w:iCs/>
          <w:sz w:val="24"/>
          <w:szCs w:val="24"/>
        </w:rPr>
        <w:t>De Rebus</w:t>
      </w:r>
      <w:r>
        <w:rPr>
          <w:rFonts w:ascii="Times New Roman" w:hAnsi="Times New Roman" w:cs="Times New Roman"/>
          <w:sz w:val="24"/>
          <w:szCs w:val="24"/>
        </w:rPr>
        <w:t xml:space="preserve">, </w:t>
      </w:r>
      <w:r>
        <w:rPr>
          <w:rFonts w:ascii="Times New Roman" w:hAnsi="Times New Roman" w:cs="Times New Roman"/>
          <w:i/>
          <w:iCs/>
          <w:sz w:val="24"/>
          <w:szCs w:val="24"/>
        </w:rPr>
        <w:t>2013</w:t>
      </w:r>
      <w:r>
        <w:rPr>
          <w:rFonts w:ascii="Times New Roman" w:hAnsi="Times New Roman" w:cs="Times New Roman"/>
          <w:sz w:val="24"/>
          <w:szCs w:val="24"/>
        </w:rPr>
        <w:t>(535), pp.30-32.</w:t>
      </w:r>
    </w:p>
    <w:p w14:paraId="11D2C95D"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Johnson, I., 1983. Testamentary powers of appointment and the Wills Act 1837. </w:t>
      </w:r>
      <w:r>
        <w:rPr>
          <w:rFonts w:ascii="Times New Roman" w:eastAsia="Times New Roman" w:hAnsi="Times New Roman" w:cs="Times New Roman"/>
          <w:i/>
          <w:iCs/>
          <w:kern w:val="0"/>
          <w:sz w:val="24"/>
          <w:szCs w:val="24"/>
          <w14:ligatures w14:val="none"/>
        </w:rPr>
        <w:t>Liverpool L. Rev.</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5</w:t>
      </w:r>
      <w:r>
        <w:rPr>
          <w:rFonts w:ascii="Times New Roman" w:eastAsia="Times New Roman" w:hAnsi="Times New Roman" w:cs="Times New Roman"/>
          <w:kern w:val="0"/>
          <w:sz w:val="24"/>
          <w:szCs w:val="24"/>
          <w14:ligatures w14:val="none"/>
        </w:rPr>
        <w:t>, p.199.</w:t>
      </w:r>
    </w:p>
    <w:p w14:paraId="5E83A723"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Ke</w:t>
      </w:r>
      <w:r>
        <w:rPr>
          <w:rFonts w:ascii="Times New Roman" w:eastAsia="Times New Roman" w:hAnsi="Times New Roman" w:cs="Times New Roman"/>
          <w:kern w:val="0"/>
          <w:sz w:val="24"/>
          <w:szCs w:val="24"/>
          <w14:ligatures w14:val="none"/>
        </w:rPr>
        <w:t xml:space="preserve">nnedy, K.M., 2012. Testamentary capacity: a practical guide to assessment of ability to make a valid will. </w:t>
      </w:r>
      <w:r>
        <w:rPr>
          <w:rFonts w:ascii="Times New Roman" w:eastAsia="Times New Roman" w:hAnsi="Times New Roman" w:cs="Times New Roman"/>
          <w:i/>
          <w:iCs/>
          <w:kern w:val="0"/>
          <w:sz w:val="24"/>
          <w:szCs w:val="24"/>
          <w14:ligatures w14:val="none"/>
        </w:rPr>
        <w:t>Journal of Forensic and Legal Medicine</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19</w:t>
      </w:r>
      <w:r>
        <w:rPr>
          <w:rFonts w:ascii="Times New Roman" w:eastAsia="Times New Roman" w:hAnsi="Times New Roman" w:cs="Times New Roman"/>
          <w:kern w:val="0"/>
          <w:sz w:val="24"/>
          <w:szCs w:val="24"/>
          <w14:ligatures w14:val="none"/>
        </w:rPr>
        <w:t>(4), pp.191-195.</w:t>
      </w:r>
    </w:p>
    <w:p w14:paraId="7BAFC5F3"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Orth, J.V., 2008. Wills Act Formalities: How Much Compliance Is Enough?. </w:t>
      </w:r>
      <w:r>
        <w:rPr>
          <w:rFonts w:ascii="Times New Roman" w:eastAsia="Times New Roman" w:hAnsi="Times New Roman" w:cs="Times New Roman"/>
          <w:i/>
          <w:iCs/>
          <w:kern w:val="0"/>
          <w:sz w:val="24"/>
          <w:szCs w:val="24"/>
          <w14:ligatures w14:val="none"/>
        </w:rPr>
        <w:t>Real Property, Tr</w:t>
      </w:r>
      <w:r>
        <w:rPr>
          <w:rFonts w:ascii="Times New Roman" w:eastAsia="Times New Roman" w:hAnsi="Times New Roman" w:cs="Times New Roman"/>
          <w:i/>
          <w:iCs/>
          <w:kern w:val="0"/>
          <w:sz w:val="24"/>
          <w:szCs w:val="24"/>
          <w14:ligatures w14:val="none"/>
        </w:rPr>
        <w:t>ust and Estate Law Journal</w:t>
      </w:r>
      <w:r>
        <w:rPr>
          <w:rFonts w:ascii="Times New Roman" w:eastAsia="Times New Roman" w:hAnsi="Times New Roman" w:cs="Times New Roman"/>
          <w:kern w:val="0"/>
          <w:sz w:val="24"/>
          <w:szCs w:val="24"/>
          <w14:ligatures w14:val="none"/>
        </w:rPr>
        <w:t>, pp.73-81.</w:t>
      </w:r>
    </w:p>
    <w:p w14:paraId="2149EC1F" w14:textId="77777777" w:rsidR="00C85DD1" w:rsidRDefault="00790726">
      <w:pPr>
        <w:spacing w:after="0" w:line="480" w:lineRule="auto"/>
        <w:ind w:left="720" w:hanging="720"/>
        <w:rPr>
          <w:rFonts w:ascii="Times New Roman" w:hAnsi="Times New Roman" w:cs="Times New Roman"/>
          <w:sz w:val="24"/>
          <w:szCs w:val="24"/>
        </w:rPr>
      </w:pPr>
      <w:r>
        <w:rPr>
          <w:rFonts w:ascii="Times New Roman" w:eastAsia="Times New Roman" w:hAnsi="Times New Roman" w:cs="Times New Roman"/>
          <w:kern w:val="0"/>
          <w:sz w:val="24"/>
          <w:szCs w:val="24"/>
          <w14:ligatures w14:val="none"/>
        </w:rPr>
        <w:t xml:space="preserve">Regan, J., Hamer, G. and Wright, A., 2005. Can patients with dementia prepare a valid will?. </w:t>
      </w:r>
      <w:r>
        <w:rPr>
          <w:rFonts w:ascii="Times New Roman" w:eastAsia="Times New Roman" w:hAnsi="Times New Roman" w:cs="Times New Roman"/>
          <w:i/>
          <w:iCs/>
          <w:kern w:val="0"/>
          <w:sz w:val="24"/>
          <w:szCs w:val="24"/>
          <w14:ligatures w14:val="none"/>
        </w:rPr>
        <w:t>Current Psychiatry</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4</w:t>
      </w:r>
      <w:r>
        <w:rPr>
          <w:rFonts w:ascii="Times New Roman" w:eastAsia="Times New Roman" w:hAnsi="Times New Roman" w:cs="Times New Roman"/>
          <w:kern w:val="0"/>
          <w:sz w:val="24"/>
          <w:szCs w:val="24"/>
          <w14:ligatures w14:val="none"/>
        </w:rPr>
        <w:t>(10), p.124.</w:t>
      </w:r>
    </w:p>
    <w:p w14:paraId="2BF42A05" w14:textId="77777777" w:rsidR="00C85DD1" w:rsidRDefault="00790726">
      <w:pPr>
        <w:spacing w:after="0" w:line="480" w:lineRule="auto"/>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Shulman, K.I., Cohen, C.A., Kirsh, F.C., Hull, I.M. and Champine, P.R., 2007. Assessment of</w:t>
      </w:r>
      <w:r>
        <w:rPr>
          <w:rFonts w:ascii="Times New Roman" w:eastAsia="Times New Roman" w:hAnsi="Times New Roman" w:cs="Times New Roman"/>
          <w:kern w:val="0"/>
          <w:sz w:val="24"/>
          <w:szCs w:val="24"/>
          <w14:ligatures w14:val="none"/>
        </w:rPr>
        <w:t xml:space="preserve"> testamentary capacity and vulnerability to undue influence. </w:t>
      </w:r>
      <w:r>
        <w:rPr>
          <w:rFonts w:ascii="Times New Roman" w:eastAsia="Times New Roman" w:hAnsi="Times New Roman" w:cs="Times New Roman"/>
          <w:i/>
          <w:iCs/>
          <w:kern w:val="0"/>
          <w:sz w:val="24"/>
          <w:szCs w:val="24"/>
          <w14:ligatures w14:val="none"/>
        </w:rPr>
        <w:t>American Journal of Psychiatry</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i/>
          <w:iCs/>
          <w:kern w:val="0"/>
          <w:sz w:val="24"/>
          <w:szCs w:val="24"/>
          <w14:ligatures w14:val="none"/>
        </w:rPr>
        <w:t>164</w:t>
      </w:r>
      <w:r>
        <w:rPr>
          <w:rFonts w:ascii="Times New Roman" w:eastAsia="Times New Roman" w:hAnsi="Times New Roman" w:cs="Times New Roman"/>
          <w:kern w:val="0"/>
          <w:sz w:val="24"/>
          <w:szCs w:val="24"/>
          <w14:ligatures w14:val="none"/>
        </w:rPr>
        <w:t>(5), pp.722-727.</w:t>
      </w:r>
    </w:p>
    <w:p w14:paraId="50FCC39A" w14:textId="77777777" w:rsidR="00C85DD1" w:rsidRDefault="00790726">
      <w:pPr>
        <w:spacing w:after="0" w:line="480" w:lineRule="auto"/>
        <w:ind w:left="720" w:hanging="720"/>
        <w:rPr>
          <w:rFonts w:ascii="Times New Roman" w:hAnsi="Times New Roman" w:cs="Times New Roman"/>
          <w:sz w:val="24"/>
          <w:szCs w:val="24"/>
        </w:rPr>
      </w:pPr>
      <w:r>
        <w:rPr>
          <w:rFonts w:ascii="Times New Roman" w:eastAsia="Times New Roman" w:hAnsi="Times New Roman" w:cs="Times New Roman"/>
          <w:kern w:val="0"/>
          <w:sz w:val="24"/>
          <w:szCs w:val="24"/>
          <w14:ligatures w14:val="none"/>
        </w:rPr>
        <w:t>Sloan, B., 2020. Forfeiture and the Effect of Section 33A of the Wills Act 1837.</w:t>
      </w:r>
    </w:p>
    <w:sectPr w:rsidR="00C85DD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BAA71" w14:textId="77777777" w:rsidR="00000000" w:rsidRDefault="00790726">
      <w:pPr>
        <w:spacing w:after="0" w:line="240" w:lineRule="auto"/>
      </w:pPr>
      <w:r>
        <w:separator/>
      </w:r>
    </w:p>
  </w:endnote>
  <w:endnote w:type="continuationSeparator" w:id="0">
    <w:p w14:paraId="271B8613" w14:textId="77777777" w:rsidR="00000000" w:rsidRDefault="00790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D738" w14:textId="77777777" w:rsidR="00000000" w:rsidRDefault="00790726">
      <w:pPr>
        <w:spacing w:after="0" w:line="240" w:lineRule="auto"/>
      </w:pPr>
      <w:r>
        <w:separator/>
      </w:r>
    </w:p>
  </w:footnote>
  <w:footnote w:type="continuationSeparator" w:id="0">
    <w:p w14:paraId="3F8034CB" w14:textId="77777777" w:rsidR="00000000" w:rsidRDefault="00790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3402" w14:textId="77777777" w:rsidR="00C85DD1" w:rsidRDefault="00790726">
    <w:pPr>
      <w:pStyle w:val="Header"/>
      <w:jc w:val="right"/>
    </w:pPr>
    <w:r>
      <w:fldChar w:fldCharType="begin"/>
    </w:r>
    <w:r>
      <w:instrText xml:space="preserve"> PAGE   \* MERGEFORMAT </w:instrText>
    </w:r>
    <w:r>
      <w:fldChar w:fldCharType="separate"/>
    </w:r>
    <w:r>
      <w:rPr>
        <w:noProof/>
      </w:rPr>
      <w:t>10</w:t>
    </w:r>
    <w:r>
      <w:rPr>
        <w:noProof/>
      </w:rPr>
      <w:fldChar w:fldCharType="end"/>
    </w:r>
  </w:p>
  <w:p w14:paraId="704BFFEC" w14:textId="77777777" w:rsidR="00C85DD1" w:rsidRDefault="00C85D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D1"/>
    <w:rsid w:val="00790726"/>
    <w:rsid w:val="00C85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CFAD"/>
  <w15:docId w15:val="{6AE390E4-76D9-471F-811D-F04EFB98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75/6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2440</Words>
  <Characters>13910</Characters>
  <Application>Microsoft Office Word</Application>
  <DocSecurity>4</DocSecurity>
  <Lines>115</Lines>
  <Paragraphs>32</Paragraphs>
  <ScaleCrop>false</ScaleCrop>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Faisal Shamsdin</cp:lastModifiedBy>
  <cp:revision>2</cp:revision>
  <dcterms:created xsi:type="dcterms:W3CDTF">2023-03-17T13:47:00Z</dcterms:created>
  <dcterms:modified xsi:type="dcterms:W3CDTF">2023-03-17T13:47:00Z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75c452c3-9e09-484f-b5eb-5b53845a00b9</vt:lpwstr>
  </property>
  <property fmtid="{D5CDD505-2E9C-101B-9397-08002B2CF9AE}" pid="3" name="ICV">
    <vt:lpwstr>ce50ddf9b1b84e4f894f8854597146ff</vt:lpwstr>
  </property>
</Properties>
</file>