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21A8" w14:textId="77777777" w:rsidR="002D7E9E" w:rsidRDefault="002D7E9E">
      <w:pPr>
        <w:rPr>
          <w:rFonts w:ascii="Arial" w:hAnsi="Arial" w:cs="Arial"/>
          <w:b/>
          <w:bCs/>
        </w:rPr>
      </w:pPr>
    </w:p>
    <w:p w14:paraId="32661FC9" w14:textId="77777777" w:rsidR="002D7E9E" w:rsidRDefault="002D7E9E">
      <w:pPr>
        <w:rPr>
          <w:rFonts w:ascii="Arial" w:hAnsi="Arial" w:cs="Arial"/>
          <w:b/>
          <w:bCs/>
        </w:rPr>
      </w:pPr>
    </w:p>
    <w:p w14:paraId="707AB1CF" w14:textId="77777777" w:rsidR="002D7E9E" w:rsidRDefault="002D7E9E">
      <w:pPr>
        <w:rPr>
          <w:rFonts w:ascii="Arial" w:hAnsi="Arial" w:cs="Arial"/>
          <w:b/>
          <w:bCs/>
        </w:rPr>
      </w:pPr>
    </w:p>
    <w:p w14:paraId="767B2F81" w14:textId="77777777" w:rsidR="002D7E9E" w:rsidRDefault="002D7E9E">
      <w:pPr>
        <w:rPr>
          <w:rFonts w:ascii="Arial" w:hAnsi="Arial" w:cs="Arial"/>
          <w:b/>
          <w:bCs/>
        </w:rPr>
      </w:pPr>
    </w:p>
    <w:p w14:paraId="4B3ECCDA" w14:textId="77777777" w:rsidR="002D7E9E" w:rsidRDefault="002D7E9E">
      <w:pPr>
        <w:rPr>
          <w:rFonts w:ascii="Arial" w:hAnsi="Arial" w:cs="Arial"/>
          <w:b/>
          <w:bCs/>
        </w:rPr>
      </w:pPr>
    </w:p>
    <w:p w14:paraId="6184A4D6" w14:textId="77777777" w:rsidR="002D7E9E" w:rsidRDefault="002D7E9E">
      <w:pPr>
        <w:rPr>
          <w:rFonts w:ascii="Arial" w:hAnsi="Arial" w:cs="Arial"/>
          <w:b/>
          <w:bCs/>
        </w:rPr>
      </w:pPr>
    </w:p>
    <w:p w14:paraId="494EF89A" w14:textId="77777777" w:rsidR="00784D22" w:rsidRDefault="00784D22">
      <w:pPr>
        <w:rPr>
          <w:rFonts w:ascii="Arial" w:hAnsi="Arial" w:cs="Arial"/>
          <w:b/>
          <w:bCs/>
        </w:rPr>
      </w:pPr>
    </w:p>
    <w:p w14:paraId="3050C3C3" w14:textId="77777777" w:rsidR="00784D22" w:rsidRDefault="00784D22">
      <w:pPr>
        <w:rPr>
          <w:rFonts w:ascii="Arial" w:hAnsi="Arial" w:cs="Arial"/>
          <w:b/>
          <w:bCs/>
        </w:rPr>
      </w:pPr>
    </w:p>
    <w:p w14:paraId="42D21D06" w14:textId="77777777" w:rsidR="00784D22" w:rsidRDefault="00784D22">
      <w:pPr>
        <w:rPr>
          <w:rFonts w:ascii="Arial" w:hAnsi="Arial" w:cs="Arial"/>
          <w:b/>
          <w:bCs/>
        </w:rPr>
      </w:pPr>
    </w:p>
    <w:p w14:paraId="137F64F1" w14:textId="77777777" w:rsidR="00784D22" w:rsidRDefault="00784D22">
      <w:pPr>
        <w:rPr>
          <w:rFonts w:ascii="Arial" w:hAnsi="Arial" w:cs="Arial"/>
          <w:b/>
          <w:bCs/>
        </w:rPr>
      </w:pPr>
    </w:p>
    <w:p w14:paraId="02D8ADA3" w14:textId="77777777" w:rsidR="002D7E9E" w:rsidRDefault="002D7E9E">
      <w:pPr>
        <w:rPr>
          <w:rFonts w:ascii="Arial" w:hAnsi="Arial" w:cs="Arial"/>
          <w:b/>
          <w:bCs/>
        </w:rPr>
      </w:pPr>
    </w:p>
    <w:p w14:paraId="403458E0" w14:textId="77777777" w:rsidR="002D7E9E" w:rsidRDefault="002D7E9E">
      <w:pPr>
        <w:rPr>
          <w:rFonts w:ascii="Arial" w:hAnsi="Arial" w:cs="Arial"/>
          <w:b/>
          <w:bCs/>
        </w:rPr>
      </w:pPr>
    </w:p>
    <w:p w14:paraId="11DA09B4" w14:textId="43E8A97D" w:rsidR="002D7E9E" w:rsidRDefault="002D7E9E" w:rsidP="002D7E9E">
      <w:pPr>
        <w:jc w:val="center"/>
        <w:rPr>
          <w:rFonts w:ascii="Arial" w:hAnsi="Arial" w:cs="Arial"/>
          <w:b/>
          <w:bCs/>
        </w:rPr>
      </w:pPr>
      <w:r>
        <w:rPr>
          <w:rFonts w:ascii="Arial" w:hAnsi="Arial" w:cs="Arial"/>
          <w:b/>
          <w:bCs/>
        </w:rPr>
        <w:t>AI declaration</w:t>
      </w:r>
    </w:p>
    <w:p w14:paraId="50C0B635" w14:textId="73FD6381" w:rsidR="002D7E9E" w:rsidRPr="002D7E9E" w:rsidRDefault="002D7E9E" w:rsidP="002D7E9E">
      <w:pPr>
        <w:jc w:val="center"/>
        <w:rPr>
          <w:rFonts w:ascii="Arial" w:hAnsi="Arial" w:cs="Arial"/>
        </w:rPr>
      </w:pPr>
      <w:r w:rsidRPr="002D7E9E">
        <w:rPr>
          <w:rFonts w:ascii="Arial" w:hAnsi="Arial" w:cs="Arial"/>
        </w:rPr>
        <w:t>I confirm that I have not presented any AI generated text as my own work</w:t>
      </w:r>
      <w:r w:rsidRPr="002D7E9E">
        <w:rPr>
          <w:rFonts w:ascii="Arial" w:hAnsi="Arial" w:cs="Arial"/>
        </w:rPr>
        <w:t>.</w:t>
      </w:r>
    </w:p>
    <w:p w14:paraId="01EAEDA5" w14:textId="77777777" w:rsidR="002D7E9E" w:rsidRDefault="002D7E9E">
      <w:pPr>
        <w:rPr>
          <w:rFonts w:ascii="Arial" w:hAnsi="Arial" w:cs="Arial"/>
          <w:b/>
          <w:bCs/>
        </w:rPr>
      </w:pPr>
    </w:p>
    <w:p w14:paraId="4DC8EC18" w14:textId="77777777" w:rsidR="002D7E9E" w:rsidRDefault="002D7E9E">
      <w:pPr>
        <w:rPr>
          <w:rFonts w:ascii="Arial" w:hAnsi="Arial" w:cs="Arial"/>
          <w:b/>
          <w:bCs/>
        </w:rPr>
      </w:pPr>
    </w:p>
    <w:p w14:paraId="5DC2D898" w14:textId="77777777" w:rsidR="002D7E9E" w:rsidRDefault="002D7E9E">
      <w:pPr>
        <w:rPr>
          <w:rFonts w:ascii="Arial" w:hAnsi="Arial" w:cs="Arial"/>
          <w:b/>
          <w:bCs/>
        </w:rPr>
      </w:pPr>
    </w:p>
    <w:p w14:paraId="62FDA7BA" w14:textId="77777777" w:rsidR="002D7E9E" w:rsidRDefault="002D7E9E">
      <w:pPr>
        <w:rPr>
          <w:rFonts w:ascii="Arial" w:hAnsi="Arial" w:cs="Arial"/>
          <w:b/>
          <w:bCs/>
        </w:rPr>
      </w:pPr>
    </w:p>
    <w:p w14:paraId="1F18108C" w14:textId="77777777" w:rsidR="002D7E9E" w:rsidRDefault="002D7E9E">
      <w:pPr>
        <w:rPr>
          <w:rFonts w:ascii="Arial" w:hAnsi="Arial" w:cs="Arial"/>
          <w:b/>
          <w:bCs/>
        </w:rPr>
      </w:pPr>
    </w:p>
    <w:p w14:paraId="143796E8" w14:textId="77777777" w:rsidR="002D7E9E" w:rsidRDefault="002D7E9E">
      <w:pPr>
        <w:rPr>
          <w:rFonts w:ascii="Arial" w:hAnsi="Arial" w:cs="Arial"/>
          <w:b/>
          <w:bCs/>
        </w:rPr>
      </w:pPr>
    </w:p>
    <w:p w14:paraId="5E40796F" w14:textId="77777777" w:rsidR="002D7E9E" w:rsidRDefault="002D7E9E">
      <w:pPr>
        <w:rPr>
          <w:rFonts w:ascii="Arial" w:hAnsi="Arial" w:cs="Arial"/>
          <w:b/>
          <w:bCs/>
        </w:rPr>
      </w:pPr>
    </w:p>
    <w:p w14:paraId="3A0D7CED" w14:textId="77777777" w:rsidR="002D7E9E" w:rsidRDefault="002D7E9E">
      <w:pPr>
        <w:rPr>
          <w:rFonts w:ascii="Arial" w:hAnsi="Arial" w:cs="Arial"/>
          <w:b/>
          <w:bCs/>
        </w:rPr>
      </w:pPr>
    </w:p>
    <w:p w14:paraId="676DFC0E" w14:textId="77777777" w:rsidR="002D7E9E" w:rsidRDefault="002D7E9E" w:rsidP="002D7E9E">
      <w:pPr>
        <w:rPr>
          <w:rFonts w:ascii="Arial" w:hAnsi="Arial" w:cs="Arial"/>
          <w:b/>
          <w:bCs/>
        </w:rPr>
      </w:pPr>
    </w:p>
    <w:p w14:paraId="1915A08A" w14:textId="77777777" w:rsidR="002D7E9E" w:rsidRDefault="002D7E9E" w:rsidP="002D7E9E">
      <w:pPr>
        <w:rPr>
          <w:rFonts w:ascii="Arial" w:hAnsi="Arial" w:cs="Arial"/>
          <w:b/>
          <w:bCs/>
        </w:rPr>
      </w:pPr>
    </w:p>
    <w:p w14:paraId="784E6698" w14:textId="77777777" w:rsidR="002D7E9E" w:rsidRDefault="002D7E9E" w:rsidP="002D7E9E">
      <w:pPr>
        <w:rPr>
          <w:rFonts w:ascii="Arial" w:hAnsi="Arial" w:cs="Arial"/>
          <w:b/>
          <w:bCs/>
        </w:rPr>
      </w:pPr>
    </w:p>
    <w:p w14:paraId="375A23CB" w14:textId="77777777" w:rsidR="002D7E9E" w:rsidRDefault="002D7E9E">
      <w:pPr>
        <w:rPr>
          <w:rFonts w:ascii="Arial" w:hAnsi="Arial" w:cs="Arial"/>
          <w:b/>
          <w:bCs/>
        </w:rPr>
      </w:pPr>
      <w:r>
        <w:rPr>
          <w:rFonts w:ascii="Arial" w:hAnsi="Arial" w:cs="Arial"/>
          <w:b/>
          <w:bCs/>
        </w:rPr>
        <w:br w:type="page"/>
      </w:r>
    </w:p>
    <w:p w14:paraId="3E30E513" w14:textId="72C2D45F" w:rsidR="000D4A0E" w:rsidRPr="0089427E" w:rsidRDefault="00C34290" w:rsidP="002D7E9E">
      <w:pPr>
        <w:rPr>
          <w:rFonts w:ascii="Arial" w:hAnsi="Arial" w:cs="Arial"/>
          <w:b/>
          <w:bCs/>
        </w:rPr>
      </w:pPr>
      <w:r w:rsidRPr="0089427E">
        <w:rPr>
          <w:rFonts w:ascii="Arial" w:hAnsi="Arial" w:cs="Arial"/>
          <w:b/>
          <w:bCs/>
        </w:rPr>
        <w:lastRenderedPageBreak/>
        <w:t>What is m</w:t>
      </w:r>
      <w:r w:rsidR="00393181" w:rsidRPr="0089427E">
        <w:rPr>
          <w:rFonts w:ascii="Arial" w:hAnsi="Arial" w:cs="Arial"/>
          <w:b/>
          <w:bCs/>
        </w:rPr>
        <w:t>enstrual inequality</w:t>
      </w:r>
      <w:r w:rsidRPr="0089427E">
        <w:rPr>
          <w:rFonts w:ascii="Arial" w:hAnsi="Arial" w:cs="Arial"/>
          <w:b/>
          <w:bCs/>
        </w:rPr>
        <w:t>.</w:t>
      </w:r>
    </w:p>
    <w:p w14:paraId="7464D851" w14:textId="77777777" w:rsidR="00393181" w:rsidRPr="0089427E" w:rsidRDefault="00393181" w:rsidP="0089427E">
      <w:pPr>
        <w:spacing w:line="360" w:lineRule="auto"/>
        <w:jc w:val="both"/>
        <w:rPr>
          <w:rFonts w:ascii="Arial" w:hAnsi="Arial" w:cs="Arial"/>
          <w:b/>
          <w:bCs/>
        </w:rPr>
      </w:pPr>
    </w:p>
    <w:p w14:paraId="200CD982" w14:textId="4E809DC1" w:rsidR="000108C1" w:rsidRPr="000108C1" w:rsidRDefault="000108C1" w:rsidP="0089427E">
      <w:pPr>
        <w:spacing w:line="360" w:lineRule="auto"/>
        <w:jc w:val="both"/>
        <w:rPr>
          <w:rFonts w:ascii="Arial" w:hAnsi="Arial" w:cs="Arial"/>
        </w:rPr>
      </w:pPr>
      <w:r w:rsidRPr="000108C1">
        <w:rPr>
          <w:rFonts w:ascii="Arial" w:hAnsi="Arial" w:cs="Arial"/>
        </w:rPr>
        <w:t xml:space="preserve">Menstruation is a normal and natural physiological process, which indicates health and fertility, despite the global negative connotations (Pao, 2023; Werner, Punzi, and Turkenburg, 2023). Historically, the symbolism of blood was associated with valour and respect, and currently, pop culture entertainment with graphic bloodshed is widely watched and highly regarded (Bobel </w:t>
      </w:r>
      <w:r w:rsidRPr="000108C1">
        <w:rPr>
          <w:rFonts w:ascii="Arial" w:hAnsi="Arial" w:cs="Arial"/>
          <w:i/>
          <w:iCs/>
        </w:rPr>
        <w:t>et al.,</w:t>
      </w:r>
      <w:r w:rsidRPr="000108C1">
        <w:rPr>
          <w:rFonts w:ascii="Arial" w:hAnsi="Arial" w:cs="Arial"/>
        </w:rPr>
        <w:t xml:space="preserve"> 2020; Khorsand </w:t>
      </w:r>
      <w:r w:rsidRPr="000108C1">
        <w:rPr>
          <w:rFonts w:ascii="Arial" w:hAnsi="Arial" w:cs="Arial"/>
          <w:i/>
          <w:iCs/>
        </w:rPr>
        <w:t>et al.,</w:t>
      </w:r>
      <w:r w:rsidRPr="000108C1">
        <w:rPr>
          <w:rFonts w:ascii="Arial" w:hAnsi="Arial" w:cs="Arial"/>
        </w:rPr>
        <w:t xml:space="preserve"> 2023), </w:t>
      </w:r>
      <w:r w:rsidR="006F0AE1">
        <w:rPr>
          <w:rFonts w:ascii="Arial" w:hAnsi="Arial" w:cs="Arial"/>
        </w:rPr>
        <w:t xml:space="preserve">which is </w:t>
      </w:r>
      <w:r w:rsidRPr="000108C1">
        <w:rPr>
          <w:rFonts w:ascii="Arial" w:hAnsi="Arial" w:cs="Arial"/>
        </w:rPr>
        <w:t>juxtaposed with the worldwide shame and impurity of menstrual blood. Therefore, the experience of menstruation is influenced by social, economic, and cultural norms and attitudes, leaving people who menstruate misinformed</w:t>
      </w:r>
      <w:r w:rsidR="00F87082">
        <w:rPr>
          <w:rFonts w:ascii="Arial" w:hAnsi="Arial" w:cs="Arial"/>
        </w:rPr>
        <w:t xml:space="preserve"> </w:t>
      </w:r>
      <w:r w:rsidRPr="000108C1">
        <w:rPr>
          <w:rFonts w:ascii="Arial" w:hAnsi="Arial" w:cs="Arial"/>
        </w:rPr>
        <w:t xml:space="preserve">and stigmatised (UN Women, 2019; Steele and Goldblatt, 2020; Bagala </w:t>
      </w:r>
      <w:r w:rsidRPr="000108C1">
        <w:rPr>
          <w:rFonts w:ascii="Arial" w:hAnsi="Arial" w:cs="Arial"/>
          <w:i/>
          <w:iCs/>
        </w:rPr>
        <w:t>et al.,</w:t>
      </w:r>
      <w:r w:rsidRPr="000108C1">
        <w:rPr>
          <w:rFonts w:ascii="Arial" w:hAnsi="Arial" w:cs="Arial"/>
        </w:rPr>
        <w:t xml:space="preserve"> 2023).</w:t>
      </w:r>
    </w:p>
    <w:p w14:paraId="28010D98" w14:textId="34E93B23" w:rsidR="000108C1" w:rsidRPr="000108C1" w:rsidRDefault="000108C1" w:rsidP="0089427E">
      <w:pPr>
        <w:spacing w:line="360" w:lineRule="auto"/>
        <w:jc w:val="both"/>
        <w:rPr>
          <w:rFonts w:ascii="Arial" w:hAnsi="Arial" w:cs="Arial"/>
        </w:rPr>
      </w:pPr>
      <w:r w:rsidRPr="000108C1">
        <w:rPr>
          <w:rFonts w:ascii="Arial" w:hAnsi="Arial" w:cs="Arial"/>
        </w:rPr>
        <w:t>Menstrual inequality is the systematic disparities in accessing menstrual products, health, education,</w:t>
      </w:r>
      <w:r w:rsidR="002B587A">
        <w:rPr>
          <w:rFonts w:ascii="Arial" w:hAnsi="Arial" w:cs="Arial"/>
        </w:rPr>
        <w:t xml:space="preserve"> and</w:t>
      </w:r>
      <w:r w:rsidRPr="000108C1">
        <w:rPr>
          <w:rFonts w:ascii="Arial" w:hAnsi="Arial" w:cs="Arial"/>
        </w:rPr>
        <w:t xml:space="preserve"> sanitation facilities (Cardoso </w:t>
      </w:r>
      <w:r w:rsidRPr="000108C1">
        <w:rPr>
          <w:rFonts w:ascii="Arial" w:hAnsi="Arial" w:cs="Arial"/>
          <w:i/>
          <w:iCs/>
        </w:rPr>
        <w:t>et al.,</w:t>
      </w:r>
      <w:r w:rsidRPr="000108C1">
        <w:rPr>
          <w:rFonts w:ascii="Arial" w:hAnsi="Arial" w:cs="Arial"/>
        </w:rPr>
        <w:t xml:space="preserve"> 2021; Holst </w:t>
      </w:r>
      <w:r w:rsidRPr="000108C1">
        <w:rPr>
          <w:rFonts w:ascii="Arial" w:hAnsi="Arial" w:cs="Arial"/>
          <w:i/>
          <w:iCs/>
        </w:rPr>
        <w:t>et al.,</w:t>
      </w:r>
      <w:r w:rsidRPr="000108C1">
        <w:rPr>
          <w:rFonts w:ascii="Arial" w:hAnsi="Arial" w:cs="Arial"/>
        </w:rPr>
        <w:t xml:space="preserve"> 2022). Holst </w:t>
      </w:r>
      <w:r w:rsidRPr="000108C1">
        <w:rPr>
          <w:rFonts w:ascii="Arial" w:hAnsi="Arial" w:cs="Arial"/>
          <w:i/>
          <w:iCs/>
        </w:rPr>
        <w:t>et al.</w:t>
      </w:r>
      <w:r w:rsidRPr="000108C1">
        <w:rPr>
          <w:rFonts w:ascii="Arial" w:hAnsi="Arial" w:cs="Arial"/>
        </w:rPr>
        <w:t xml:space="preserve"> (2022) and Garcia </w:t>
      </w:r>
      <w:r w:rsidRPr="000108C1">
        <w:rPr>
          <w:rFonts w:ascii="Arial" w:hAnsi="Arial" w:cs="Arial"/>
          <w:i/>
          <w:iCs/>
        </w:rPr>
        <w:t>et al.</w:t>
      </w:r>
      <w:r w:rsidRPr="000108C1">
        <w:rPr>
          <w:rFonts w:ascii="Arial" w:hAnsi="Arial" w:cs="Arial"/>
        </w:rPr>
        <w:t xml:space="preserve"> (2022) argued menstrual stigma is related to women, historically, being viewed and treated as objects for social reproduction, and the widespread menstrual inequality could be explained through ingrained androcentric norms and values, a gender-based discrimination. The failure to address menstruation perpetuates gender inequalities (Tesfu and Williams, 2025), compared</w:t>
      </w:r>
      <w:r w:rsidR="004D16BC">
        <w:rPr>
          <w:rFonts w:ascii="Arial" w:hAnsi="Arial" w:cs="Arial"/>
        </w:rPr>
        <w:t xml:space="preserve"> </w:t>
      </w:r>
      <w:r w:rsidRPr="000108C1">
        <w:rPr>
          <w:rFonts w:ascii="Arial" w:hAnsi="Arial" w:cs="Arial"/>
        </w:rPr>
        <w:t>to transforming the twenty-first century into one centered on solidarity and equity</w:t>
      </w:r>
      <w:r w:rsidR="004D16BC">
        <w:rPr>
          <w:rFonts w:ascii="Arial" w:hAnsi="Arial" w:cs="Arial"/>
        </w:rPr>
        <w:t xml:space="preserve"> </w:t>
      </w:r>
      <w:r w:rsidR="00786374">
        <w:rPr>
          <w:rFonts w:ascii="Arial" w:hAnsi="Arial" w:cs="Arial"/>
        </w:rPr>
        <w:t>by achieving menstrual equity</w:t>
      </w:r>
      <w:r w:rsidRPr="000108C1">
        <w:rPr>
          <w:rFonts w:ascii="Arial" w:hAnsi="Arial" w:cs="Arial"/>
        </w:rPr>
        <w:t xml:space="preserve"> (Haug, 2016).</w:t>
      </w:r>
    </w:p>
    <w:p w14:paraId="4B7350FE" w14:textId="77777777" w:rsidR="000108C1" w:rsidRPr="000108C1" w:rsidRDefault="000108C1" w:rsidP="0089427E">
      <w:pPr>
        <w:spacing w:line="360" w:lineRule="auto"/>
        <w:jc w:val="both"/>
        <w:rPr>
          <w:rFonts w:ascii="Arial" w:hAnsi="Arial" w:cs="Arial"/>
        </w:rPr>
      </w:pPr>
      <w:r w:rsidRPr="000108C1">
        <w:rPr>
          <w:rFonts w:ascii="Arial" w:hAnsi="Arial" w:cs="Arial"/>
        </w:rPr>
        <w:t>It is important to acknowledge not all women menstruate and not everyone who menstruates identifies as a woman (Hill, 2019; Graham, 2023). Gender is the socially constructed ideas and conformity to the ideals and beliefs of what a woman should be, whereas sex refers to the biological and physiological anatomy which differentiate a male from female (Cohen and Karim, 2021). Menstruation was traditionally viewed as a women’s issue, however, in the twenty-first century, the inclusive discussions on menstruation represent everyone who menstruates, including non-binary, transgender people (Lowik, 2021). Therefore, the author will aim to be inclusive when discussing the gender identity of people who menstruate, to ensure everyone is represented and included.</w:t>
      </w:r>
    </w:p>
    <w:p w14:paraId="21F6F2C6" w14:textId="77777777" w:rsidR="000108C1" w:rsidRPr="000108C1" w:rsidRDefault="000108C1" w:rsidP="0089427E">
      <w:pPr>
        <w:spacing w:line="360" w:lineRule="auto"/>
        <w:jc w:val="both"/>
        <w:rPr>
          <w:rFonts w:ascii="Arial" w:hAnsi="Arial" w:cs="Arial"/>
        </w:rPr>
      </w:pPr>
      <w:r w:rsidRPr="000108C1">
        <w:rPr>
          <w:rFonts w:ascii="Arial" w:hAnsi="Arial" w:cs="Arial"/>
        </w:rPr>
        <w:t> </w:t>
      </w:r>
    </w:p>
    <w:p w14:paraId="19CC48E2" w14:textId="77777777" w:rsidR="000108C1" w:rsidRPr="000108C1" w:rsidRDefault="000108C1" w:rsidP="0089427E">
      <w:pPr>
        <w:spacing w:line="360" w:lineRule="auto"/>
        <w:jc w:val="both"/>
        <w:rPr>
          <w:rFonts w:ascii="Arial" w:hAnsi="Arial" w:cs="Arial"/>
        </w:rPr>
      </w:pPr>
      <w:r w:rsidRPr="000108C1">
        <w:rPr>
          <w:rFonts w:ascii="Arial" w:hAnsi="Arial" w:cs="Arial"/>
        </w:rPr>
        <w:lastRenderedPageBreak/>
        <w:t>The absence of a clear definition of equality has resulted in an ambiguity of inequality, as while these terms are district concepts, they are interrelated (Woods, Benschop, and van den Brink, 2021). In support, Minow (2021) stated the interpretation of equality and equity can support the understanding of inequality and inequity, through considering traditional and historic ideologies in comparison to twenty-first century morals towards the same individuals. Furthermore, Kimberlé Crenshaw’s Intersectionality theory expresses the absence of single determinants for the cause of inequality or equality, but changing social categories, contexts, and relationships (Woods, Benschop, and van den Brink, 2021). Therefore, a conclusive definition for these contested terms is needed, but with various influences on individuals’ perception and beliefs on inequality and equality, this could pose a challenge to establish.</w:t>
      </w:r>
    </w:p>
    <w:p w14:paraId="4D14CD5C" w14:textId="77777777" w:rsidR="000108C1" w:rsidRPr="000108C1" w:rsidRDefault="000108C1" w:rsidP="0089427E">
      <w:pPr>
        <w:spacing w:line="360" w:lineRule="auto"/>
        <w:jc w:val="both"/>
        <w:rPr>
          <w:rFonts w:ascii="Arial" w:hAnsi="Arial" w:cs="Arial"/>
        </w:rPr>
      </w:pPr>
      <w:r w:rsidRPr="000108C1">
        <w:rPr>
          <w:rFonts w:ascii="Arial" w:hAnsi="Arial" w:cs="Arial"/>
        </w:rPr>
        <w:t>Inequality is multidimensional with numerous causes and encompasses stereotypes and prejudices disproportionately disadvantageous to individuals because of personal characteristics (Askin and Stoll, 2024). Woods, Benschop, and van den Brink (2021) and Keister and Southgate (2022) state inequality is when individuals experience marginalisation and discrimination from inevitable disparities in social status and intersecting power dynamics. Inequalities can exacerbate conflict, threaten democratic governance, and undermine human rights (Askin and Stoll, 2024), illustrating a human crisis issue. Overcoming inequality requires reforming existing avenues to success and adjusting allocation of resources (Minow, 2021), and furthermore, inclusive and transformative social attitudes to inequalities are critical in affecting change in politics and society (Askin and Stoll, 2024).</w:t>
      </w:r>
    </w:p>
    <w:p w14:paraId="3217124C" w14:textId="77777777" w:rsidR="000108C1" w:rsidRPr="000108C1" w:rsidRDefault="000108C1" w:rsidP="0089427E">
      <w:pPr>
        <w:spacing w:line="360" w:lineRule="auto"/>
        <w:jc w:val="both"/>
        <w:rPr>
          <w:rFonts w:ascii="Arial" w:hAnsi="Arial" w:cs="Arial"/>
        </w:rPr>
      </w:pPr>
      <w:r w:rsidRPr="000108C1">
        <w:rPr>
          <w:rFonts w:ascii="Arial" w:hAnsi="Arial" w:cs="Arial"/>
        </w:rPr>
        <w:t>Equality is described, both socially and ethically, as individuals holding and being attributed the same positions and values (Kolemen and Cansu, 2023), supported by Goldberg (2023) stating equality is treating everyone identically following legal policies and legislation created to ensure this right is upheld. Christian Schemmel’s Idea of Relational Equality emphasised the importance of treating people justly and providing equal structural protection can support equality and social justice (Ricci, 2020). In addition, Dahl (1996) states all humans are of equal intrinsic worth, a belief that no one person is superior, and therefore, each should be provided with equal consideration and respect. Therefore, equality aims to provide fairness and equal opportunities to everyone, and legislative protection should be enforced to guarantee this right.</w:t>
      </w:r>
    </w:p>
    <w:p w14:paraId="3A25B936" w14:textId="77777777" w:rsidR="000108C1" w:rsidRPr="000108C1" w:rsidRDefault="000108C1" w:rsidP="0089427E">
      <w:pPr>
        <w:spacing w:line="360" w:lineRule="auto"/>
        <w:jc w:val="both"/>
        <w:rPr>
          <w:rFonts w:ascii="Arial" w:hAnsi="Arial" w:cs="Arial"/>
        </w:rPr>
      </w:pPr>
      <w:r w:rsidRPr="000108C1">
        <w:rPr>
          <w:rFonts w:ascii="Arial" w:hAnsi="Arial" w:cs="Arial"/>
        </w:rPr>
        <w:lastRenderedPageBreak/>
        <w:t>However, the absence of a clear definition of equity means everyone can claim to be ensuring equity, but with individual views and opinions on this definition, the values and aims of equity might not be achieved (Levinson, Geron, and Brighouse, 2022). In addition, Dahl (1996) expressed equality is a goal and obligation which is unlikely to be achieved, as these standards and expectations are challenging to adhere to. In support, Levinson, Geron, and Brighouse (2022) states it is impossible to achieve full equity due to cultural and political barriers, structural injustices, and resource scarcity. Furthermore, Andritoi (2007) states the values of equality have endeavoured to be defended by religious, psychological, and philosophical discussions, but have not sustained. Breau and Essletzbichler (2013) indicated a society which is considered unfair, influenced by individuals’ perception of social beliefs, opinions, and behaviours, reduces motivation for change. Therefore, these contested definitions reinforce why menstrual inequality has prevailed throughout generations, as society cannot legislate and enforce an egalitarian ideology without a worldwide and national consensus on the values and practices equality and inequality should include.</w:t>
      </w:r>
    </w:p>
    <w:p w14:paraId="543F3105" w14:textId="77777777" w:rsidR="000108C1" w:rsidRPr="000108C1" w:rsidRDefault="000108C1" w:rsidP="0089427E">
      <w:pPr>
        <w:spacing w:line="360" w:lineRule="auto"/>
        <w:jc w:val="both"/>
        <w:rPr>
          <w:rFonts w:ascii="Arial" w:hAnsi="Arial" w:cs="Arial"/>
        </w:rPr>
      </w:pPr>
      <w:r w:rsidRPr="000108C1">
        <w:rPr>
          <w:rFonts w:ascii="Arial" w:hAnsi="Arial" w:cs="Arial"/>
        </w:rPr>
        <w:t> </w:t>
      </w:r>
    </w:p>
    <w:p w14:paraId="174875F2" w14:textId="0560B7B4" w:rsidR="000108C1" w:rsidRPr="000108C1" w:rsidRDefault="000108C1" w:rsidP="0089427E">
      <w:pPr>
        <w:spacing w:line="360" w:lineRule="auto"/>
        <w:jc w:val="both"/>
        <w:rPr>
          <w:rFonts w:ascii="Arial" w:hAnsi="Arial" w:cs="Arial"/>
        </w:rPr>
      </w:pPr>
      <w:r w:rsidRPr="000108C1">
        <w:rPr>
          <w:rFonts w:ascii="Arial" w:hAnsi="Arial" w:cs="Arial"/>
        </w:rPr>
        <w:t xml:space="preserve">Period poverty is worldwide and interposes on people who menstruate livelihoods (UN Women, 2024) but has been overlooked despite presenting as a global health issue (Jaafar, Ismail, and Azzeri, 2023). Michel </w:t>
      </w:r>
      <w:r w:rsidRPr="000108C1">
        <w:rPr>
          <w:rFonts w:ascii="Arial" w:hAnsi="Arial" w:cs="Arial"/>
          <w:i/>
          <w:iCs/>
        </w:rPr>
        <w:t xml:space="preserve">et al. </w:t>
      </w:r>
      <w:r w:rsidRPr="000108C1">
        <w:rPr>
          <w:rFonts w:ascii="Arial" w:hAnsi="Arial" w:cs="Arial"/>
        </w:rPr>
        <w:t xml:space="preserve">(2022), Casola, Luber, and Riley (2023), and UN Women (2024) stated period poverty is the inability to access the quantity or quality of resources, from menstrual products and education to hygiene facilities and waste management, needed to have a dignified and healthy menstrual cycle. Menstrual products are necessary for all people who menstruate, but the cost of these items creates challenges (Moon </w:t>
      </w:r>
      <w:r w:rsidRPr="000108C1">
        <w:rPr>
          <w:rFonts w:ascii="Arial" w:hAnsi="Arial" w:cs="Arial"/>
          <w:i/>
          <w:iCs/>
        </w:rPr>
        <w:t>et al.,</w:t>
      </w:r>
      <w:r w:rsidRPr="000108C1">
        <w:rPr>
          <w:rFonts w:ascii="Arial" w:hAnsi="Arial" w:cs="Arial"/>
        </w:rPr>
        <w:t xml:space="preserve"> 2020). Without sufficient and available menstrual products, millions of people who menstruate can experience physical and men</w:t>
      </w:r>
      <w:r w:rsidR="00786374">
        <w:rPr>
          <w:rFonts w:ascii="Arial" w:hAnsi="Arial" w:cs="Arial"/>
        </w:rPr>
        <w:t>tal</w:t>
      </w:r>
      <w:r w:rsidRPr="000108C1">
        <w:rPr>
          <w:rFonts w:ascii="Arial" w:hAnsi="Arial" w:cs="Arial"/>
        </w:rPr>
        <w:t xml:space="preserve"> health problems (Muthara, 2016; Tull, 2019; Jaafar, Ismail, and Azzeri, 2023), as period poverty has been associated with health issues including depression and urinary tract infections (Michel </w:t>
      </w:r>
      <w:r w:rsidRPr="000108C1">
        <w:rPr>
          <w:rFonts w:ascii="Arial" w:hAnsi="Arial" w:cs="Arial"/>
          <w:i/>
          <w:iCs/>
        </w:rPr>
        <w:t>et al.,</w:t>
      </w:r>
      <w:r w:rsidRPr="000108C1">
        <w:rPr>
          <w:rFonts w:ascii="Arial" w:hAnsi="Arial" w:cs="Arial"/>
        </w:rPr>
        <w:t xml:space="preserve"> 2022). Therefore, menstrual products should be categorised as essential items (Plan International UK, 2020) and should be accessible, regardless of gender, because </w:t>
      </w:r>
      <w:r w:rsidR="00786374">
        <w:rPr>
          <w:rFonts w:ascii="Arial" w:hAnsi="Arial" w:cs="Arial"/>
        </w:rPr>
        <w:t>every day, millions</w:t>
      </w:r>
      <w:r w:rsidR="00D0535E">
        <w:rPr>
          <w:rFonts w:ascii="Arial" w:hAnsi="Arial" w:cs="Arial"/>
        </w:rPr>
        <w:t xml:space="preserve"> of people who menstruate must decide whether to </w:t>
      </w:r>
      <w:r w:rsidRPr="000108C1">
        <w:rPr>
          <w:rFonts w:ascii="Arial" w:hAnsi="Arial" w:cs="Arial"/>
        </w:rPr>
        <w:t>purchase food or menstrual products</w:t>
      </w:r>
      <w:r w:rsidR="00D0535E">
        <w:rPr>
          <w:rFonts w:ascii="Arial" w:hAnsi="Arial" w:cs="Arial"/>
        </w:rPr>
        <w:t xml:space="preserve"> </w:t>
      </w:r>
      <w:r w:rsidRPr="000108C1">
        <w:rPr>
          <w:rFonts w:ascii="Arial" w:hAnsi="Arial" w:cs="Arial"/>
        </w:rPr>
        <w:t>(Barnett, 2021; Pycroft, 2022).</w:t>
      </w:r>
    </w:p>
    <w:p w14:paraId="51E17252" w14:textId="104E67B9" w:rsidR="000108C1" w:rsidRPr="000108C1" w:rsidRDefault="000108C1" w:rsidP="0089427E">
      <w:pPr>
        <w:spacing w:line="360" w:lineRule="auto"/>
        <w:jc w:val="both"/>
        <w:rPr>
          <w:rFonts w:ascii="Arial" w:hAnsi="Arial" w:cs="Arial"/>
        </w:rPr>
      </w:pPr>
      <w:r w:rsidRPr="000108C1">
        <w:rPr>
          <w:rFonts w:ascii="Arial" w:hAnsi="Arial" w:cs="Arial"/>
        </w:rPr>
        <w:lastRenderedPageBreak/>
        <w:t xml:space="preserve">Unmet menstrual hygiene needs, from using unsuitable products to absorb menstrual blood to the absence of clean toilets or sanitation facilities, can increase school absenteeism in people who menstruate (Cardoso </w:t>
      </w:r>
      <w:r w:rsidRPr="000108C1">
        <w:rPr>
          <w:rFonts w:ascii="Arial" w:hAnsi="Arial" w:cs="Arial"/>
          <w:i/>
          <w:iCs/>
        </w:rPr>
        <w:t>et al.,</w:t>
      </w:r>
      <w:r w:rsidRPr="000108C1">
        <w:rPr>
          <w:rFonts w:ascii="Arial" w:hAnsi="Arial" w:cs="Arial"/>
        </w:rPr>
        <w:t xml:space="preserve"> 2021; Kuhlmann </w:t>
      </w:r>
      <w:r w:rsidRPr="000108C1">
        <w:rPr>
          <w:rFonts w:ascii="Arial" w:hAnsi="Arial" w:cs="Arial"/>
          <w:i/>
          <w:iCs/>
        </w:rPr>
        <w:t>et al.,</w:t>
      </w:r>
      <w:r w:rsidRPr="000108C1">
        <w:rPr>
          <w:rFonts w:ascii="Arial" w:hAnsi="Arial" w:cs="Arial"/>
        </w:rPr>
        <w:t xml:space="preserve"> 2021). In support, Alam </w:t>
      </w:r>
      <w:r w:rsidRPr="000108C1">
        <w:rPr>
          <w:rFonts w:ascii="Arial" w:hAnsi="Arial" w:cs="Arial"/>
          <w:i/>
          <w:iCs/>
        </w:rPr>
        <w:t>et al.</w:t>
      </w:r>
      <w:r w:rsidRPr="000108C1">
        <w:rPr>
          <w:rFonts w:ascii="Arial" w:hAnsi="Arial" w:cs="Arial"/>
        </w:rPr>
        <w:t xml:space="preserve"> (2017), Vashisht </w:t>
      </w:r>
      <w:r w:rsidRPr="000108C1">
        <w:rPr>
          <w:rFonts w:ascii="Arial" w:hAnsi="Arial" w:cs="Arial"/>
          <w:i/>
          <w:iCs/>
        </w:rPr>
        <w:t>et al.</w:t>
      </w:r>
      <w:r w:rsidRPr="000108C1">
        <w:rPr>
          <w:rFonts w:ascii="Arial" w:hAnsi="Arial" w:cs="Arial"/>
        </w:rPr>
        <w:t xml:space="preserve"> (2018), and Inthaphatha </w:t>
      </w:r>
      <w:r w:rsidRPr="000108C1">
        <w:rPr>
          <w:rFonts w:ascii="Arial" w:hAnsi="Arial" w:cs="Arial"/>
          <w:i/>
          <w:iCs/>
        </w:rPr>
        <w:t>et al.</w:t>
      </w:r>
      <w:r w:rsidRPr="000108C1">
        <w:rPr>
          <w:rFonts w:ascii="Arial" w:hAnsi="Arial" w:cs="Arial"/>
        </w:rPr>
        <w:t xml:space="preserve"> (2021) illustrate the long-term consequences for people who menstruate on missed education, as personal welfare, health, and economic and social development can be negatively affected, in addition to enduring feelings of fear and shame of menstruation. Furthermore, Sawyer </w:t>
      </w:r>
      <w:r w:rsidRPr="000108C1">
        <w:rPr>
          <w:rFonts w:ascii="Arial" w:hAnsi="Arial" w:cs="Arial"/>
          <w:i/>
          <w:iCs/>
        </w:rPr>
        <w:t>et al.</w:t>
      </w:r>
      <w:r w:rsidRPr="000108C1">
        <w:rPr>
          <w:rFonts w:ascii="Arial" w:hAnsi="Arial" w:cs="Arial"/>
        </w:rPr>
        <w:t xml:space="preserve"> (2025) stated school absenteeism is affected by those individuals who have menstrual disorders or diseases including endometriosis, dysmenorrhea, menorrhagia, premenstrual syndrome, and polycystic ovary syndrome (NHS, 2023), resulting in numerous days </w:t>
      </w:r>
      <w:r w:rsidR="00D578FA">
        <w:rPr>
          <w:rFonts w:ascii="Arial" w:hAnsi="Arial" w:cs="Arial"/>
        </w:rPr>
        <w:t>absent</w:t>
      </w:r>
      <w:r w:rsidRPr="000108C1">
        <w:rPr>
          <w:rFonts w:ascii="Arial" w:hAnsi="Arial" w:cs="Arial"/>
        </w:rPr>
        <w:t xml:space="preserve"> each month, which can negatively affect individuals’ opportunities and quality of life (Åkerman </w:t>
      </w:r>
      <w:r w:rsidRPr="000108C1">
        <w:rPr>
          <w:rFonts w:ascii="Arial" w:hAnsi="Arial" w:cs="Arial"/>
          <w:i/>
          <w:iCs/>
        </w:rPr>
        <w:t>et al.,</w:t>
      </w:r>
      <w:r w:rsidRPr="000108C1">
        <w:rPr>
          <w:rFonts w:ascii="Arial" w:hAnsi="Arial" w:cs="Arial"/>
        </w:rPr>
        <w:t xml:space="preserve"> 2024). Sophie Laws (1990) noticed the etiquette of menstruation which people who menstruate adhere to, which requires concealing evidence of menstruation despite the challenges this poses. Therefore, people who menstruate conform to invisible rules and standards to remain </w:t>
      </w:r>
      <w:r w:rsidR="00D578FA">
        <w:rPr>
          <w:rFonts w:ascii="Arial" w:hAnsi="Arial" w:cs="Arial"/>
        </w:rPr>
        <w:t>composed</w:t>
      </w:r>
      <w:r w:rsidR="00D578FA" w:rsidRPr="000108C1">
        <w:rPr>
          <w:rFonts w:ascii="Arial" w:hAnsi="Arial" w:cs="Arial"/>
        </w:rPr>
        <w:t xml:space="preserve"> </w:t>
      </w:r>
      <w:r w:rsidRPr="000108C1">
        <w:rPr>
          <w:rFonts w:ascii="Arial" w:hAnsi="Arial" w:cs="Arial"/>
        </w:rPr>
        <w:t xml:space="preserve">and manage without additional support. Without the destigmatisation of menstruation, people who menstruate might continue to internalise negative connotations about a healthy physiological process. The worldwide preconceived and ingrained belief which regards period-related pain is normal and to be tolerated (Ferfolja </w:t>
      </w:r>
      <w:r w:rsidRPr="000108C1">
        <w:rPr>
          <w:rFonts w:ascii="Arial" w:hAnsi="Arial" w:cs="Arial"/>
          <w:i/>
          <w:iCs/>
        </w:rPr>
        <w:t xml:space="preserve">et al., </w:t>
      </w:r>
      <w:r w:rsidRPr="000108C1">
        <w:rPr>
          <w:rFonts w:ascii="Arial" w:hAnsi="Arial" w:cs="Arial"/>
        </w:rPr>
        <w:t xml:space="preserve">2023; Graham, 2023), can create generational misinformation, which reproduces menstrual inequality, </w:t>
      </w:r>
      <w:r w:rsidR="00D578FA">
        <w:rPr>
          <w:rFonts w:ascii="Arial" w:hAnsi="Arial" w:cs="Arial"/>
        </w:rPr>
        <w:t>therefore,</w:t>
      </w:r>
      <w:r w:rsidRPr="000108C1">
        <w:rPr>
          <w:rFonts w:ascii="Arial" w:hAnsi="Arial" w:cs="Arial"/>
        </w:rPr>
        <w:t xml:space="preserve"> education on period irregularities could have significant</w:t>
      </w:r>
      <w:r w:rsidR="00D578FA">
        <w:rPr>
          <w:rFonts w:ascii="Arial" w:hAnsi="Arial" w:cs="Arial"/>
        </w:rPr>
        <w:t xml:space="preserve"> long-term</w:t>
      </w:r>
      <w:r w:rsidRPr="000108C1">
        <w:rPr>
          <w:rFonts w:ascii="Arial" w:hAnsi="Arial" w:cs="Arial"/>
        </w:rPr>
        <w:t xml:space="preserve"> health </w:t>
      </w:r>
      <w:r w:rsidR="00352B14">
        <w:rPr>
          <w:rFonts w:ascii="Arial" w:hAnsi="Arial" w:cs="Arial"/>
        </w:rPr>
        <w:t xml:space="preserve">and career </w:t>
      </w:r>
      <w:r w:rsidRPr="000108C1">
        <w:rPr>
          <w:rFonts w:ascii="Arial" w:hAnsi="Arial" w:cs="Arial"/>
        </w:rPr>
        <w:t>benefits</w:t>
      </w:r>
      <w:r w:rsidR="00352B14">
        <w:rPr>
          <w:rFonts w:ascii="Arial" w:hAnsi="Arial" w:cs="Arial"/>
        </w:rPr>
        <w:t xml:space="preserve"> </w:t>
      </w:r>
      <w:r w:rsidRPr="000108C1">
        <w:rPr>
          <w:rFonts w:ascii="Arial" w:hAnsi="Arial" w:cs="Arial"/>
        </w:rPr>
        <w:t xml:space="preserve">(Hill, 2019; Randhawa </w:t>
      </w:r>
      <w:r w:rsidRPr="000108C1">
        <w:rPr>
          <w:rFonts w:ascii="Arial" w:hAnsi="Arial" w:cs="Arial"/>
          <w:i/>
          <w:iCs/>
        </w:rPr>
        <w:t>et al.,</w:t>
      </w:r>
      <w:r w:rsidRPr="000108C1">
        <w:rPr>
          <w:rFonts w:ascii="Arial" w:hAnsi="Arial" w:cs="Arial"/>
        </w:rPr>
        <w:t xml:space="preserve"> 2021).</w:t>
      </w:r>
    </w:p>
    <w:p w14:paraId="50EB907A" w14:textId="77777777" w:rsidR="000108C1" w:rsidRPr="000108C1" w:rsidRDefault="000108C1" w:rsidP="0089427E">
      <w:pPr>
        <w:spacing w:line="360" w:lineRule="auto"/>
        <w:jc w:val="both"/>
        <w:rPr>
          <w:rFonts w:ascii="Arial" w:hAnsi="Arial" w:cs="Arial"/>
        </w:rPr>
      </w:pPr>
      <w:r w:rsidRPr="000108C1">
        <w:rPr>
          <w:rFonts w:ascii="Arial" w:hAnsi="Arial" w:cs="Arial"/>
        </w:rPr>
        <w:t xml:space="preserve">The </w:t>
      </w:r>
      <w:r w:rsidRPr="000108C1">
        <w:rPr>
          <w:rFonts w:ascii="Arial" w:hAnsi="Arial" w:cs="Arial"/>
          <w:i/>
          <w:iCs/>
        </w:rPr>
        <w:t>Period Products (Free Provision) (Scotland) Act 2021</w:t>
      </w:r>
      <w:r w:rsidRPr="000108C1">
        <w:rPr>
          <w:rFonts w:ascii="Arial" w:hAnsi="Arial" w:cs="Arial"/>
        </w:rPr>
        <w:t xml:space="preserve"> was the first legislation, globally, to legally require all public institutions to provide free menstrual products, ensuring everyone can manage their periods with dignity. Recently, Northern Ireland established the </w:t>
      </w:r>
      <w:r w:rsidRPr="000108C1">
        <w:rPr>
          <w:rFonts w:ascii="Arial" w:hAnsi="Arial" w:cs="Arial"/>
          <w:i/>
          <w:iCs/>
        </w:rPr>
        <w:t>Period Products (Free Provision) Act (Northern Ireland) 2022</w:t>
      </w:r>
      <w:r w:rsidRPr="000108C1">
        <w:rPr>
          <w:rFonts w:ascii="Arial" w:hAnsi="Arial" w:cs="Arial"/>
        </w:rPr>
        <w:t xml:space="preserve">, which demonstrates the increasing awareness of menstrual inequality and period poverty from government officials. Increasing access to menstrual products encourages financial and physical well-being, particularly to those in vulnerable populations (Ramaiyer </w:t>
      </w:r>
      <w:r w:rsidRPr="000108C1">
        <w:rPr>
          <w:rFonts w:ascii="Arial" w:hAnsi="Arial" w:cs="Arial"/>
          <w:i/>
          <w:iCs/>
        </w:rPr>
        <w:t>et al.,</w:t>
      </w:r>
      <w:r w:rsidRPr="000108C1">
        <w:rPr>
          <w:rFonts w:ascii="Arial" w:hAnsi="Arial" w:cs="Arial"/>
        </w:rPr>
        <w:t xml:space="preserve"> 2023). Intersectoral collaboration regarding period poverty for the development of cost-effective and safe menstrual products, and more widely menstrual inequality, is essential to ensure it is overcome (Michel </w:t>
      </w:r>
      <w:r w:rsidRPr="000108C1">
        <w:rPr>
          <w:rFonts w:ascii="Arial" w:hAnsi="Arial" w:cs="Arial"/>
          <w:i/>
          <w:iCs/>
        </w:rPr>
        <w:t>et al.,</w:t>
      </w:r>
      <w:r w:rsidRPr="000108C1">
        <w:rPr>
          <w:rFonts w:ascii="Arial" w:hAnsi="Arial" w:cs="Arial"/>
        </w:rPr>
        <w:t xml:space="preserve"> 2022; </w:t>
      </w:r>
      <w:r w:rsidRPr="000108C1">
        <w:rPr>
          <w:rFonts w:ascii="Arial" w:hAnsi="Arial" w:cs="Arial"/>
        </w:rPr>
        <w:lastRenderedPageBreak/>
        <w:t xml:space="preserve">Ramaiyer </w:t>
      </w:r>
      <w:r w:rsidRPr="000108C1">
        <w:rPr>
          <w:rFonts w:ascii="Arial" w:hAnsi="Arial" w:cs="Arial"/>
          <w:i/>
          <w:iCs/>
        </w:rPr>
        <w:t>et al.,</w:t>
      </w:r>
      <w:r w:rsidRPr="000108C1">
        <w:rPr>
          <w:rFonts w:ascii="Arial" w:hAnsi="Arial" w:cs="Arial"/>
        </w:rPr>
        <w:t xml:space="preserve"> 2023). The legislative changes in Scotland and Northern Ireland are significant in acknowledging menstrual inequality and ensuring it is discussed by individuals in power. Therefore, without political and activist support, menstrual inequality can continuously reproduce throughout generations, afflicting people who menstruate livelihoods and opportunities each month. Prioritising menstrual health in public health policies, economic strategies, and educational programs can promote significant advancements in reducing period poverty, ending menstrual inequality, and attaining gender equity (Tohit and Haque, 2024).</w:t>
      </w:r>
    </w:p>
    <w:p w14:paraId="7812663E" w14:textId="2EAA1E79" w:rsidR="000108C1" w:rsidRPr="000108C1" w:rsidRDefault="000108C1" w:rsidP="0089427E">
      <w:pPr>
        <w:spacing w:line="360" w:lineRule="auto"/>
        <w:jc w:val="both"/>
        <w:rPr>
          <w:rFonts w:ascii="Arial" w:hAnsi="Arial" w:cs="Arial"/>
        </w:rPr>
      </w:pPr>
      <w:r w:rsidRPr="000108C1">
        <w:rPr>
          <w:rFonts w:ascii="Arial" w:hAnsi="Arial" w:cs="Arial"/>
        </w:rPr>
        <w:t xml:space="preserve">Choi </w:t>
      </w:r>
      <w:r w:rsidRPr="000108C1">
        <w:rPr>
          <w:rFonts w:ascii="Arial" w:hAnsi="Arial" w:cs="Arial"/>
          <w:i/>
          <w:iCs/>
        </w:rPr>
        <w:t>et al.</w:t>
      </w:r>
      <w:r w:rsidRPr="000108C1">
        <w:rPr>
          <w:rFonts w:ascii="Arial" w:hAnsi="Arial" w:cs="Arial"/>
        </w:rPr>
        <w:t xml:space="preserve"> (2021) expressed that people who menstruate choose </w:t>
      </w:r>
      <w:r w:rsidR="008C017B">
        <w:rPr>
          <w:rFonts w:ascii="Arial" w:hAnsi="Arial" w:cs="Arial"/>
        </w:rPr>
        <w:t xml:space="preserve">the </w:t>
      </w:r>
      <w:r w:rsidR="00A870DA">
        <w:rPr>
          <w:rFonts w:ascii="Arial" w:hAnsi="Arial" w:cs="Arial"/>
        </w:rPr>
        <w:t>convenience</w:t>
      </w:r>
      <w:r w:rsidR="008C017B">
        <w:rPr>
          <w:rFonts w:ascii="Arial" w:hAnsi="Arial" w:cs="Arial"/>
        </w:rPr>
        <w:t xml:space="preserve"> of </w:t>
      </w:r>
      <w:r w:rsidRPr="000108C1">
        <w:rPr>
          <w:rFonts w:ascii="Arial" w:hAnsi="Arial" w:cs="Arial"/>
        </w:rPr>
        <w:t xml:space="preserve">menstrual pads and tampons </w:t>
      </w:r>
      <w:r w:rsidR="008C017B" w:rsidRPr="000108C1">
        <w:rPr>
          <w:rFonts w:ascii="Arial" w:hAnsi="Arial" w:cs="Arial"/>
        </w:rPr>
        <w:t>although</w:t>
      </w:r>
      <w:r w:rsidRPr="000108C1">
        <w:rPr>
          <w:rFonts w:ascii="Arial" w:hAnsi="Arial" w:cs="Arial"/>
        </w:rPr>
        <w:t xml:space="preserve"> </w:t>
      </w:r>
      <w:r w:rsidR="008C017B">
        <w:rPr>
          <w:rFonts w:ascii="Arial" w:hAnsi="Arial" w:cs="Arial"/>
        </w:rPr>
        <w:t xml:space="preserve">there is </w:t>
      </w:r>
      <w:r w:rsidRPr="000108C1">
        <w:rPr>
          <w:rFonts w:ascii="Arial" w:hAnsi="Arial" w:cs="Arial"/>
        </w:rPr>
        <w:t>uncertainty over the health risks</w:t>
      </w:r>
      <w:r w:rsidR="008C017B">
        <w:rPr>
          <w:rFonts w:ascii="Arial" w:hAnsi="Arial" w:cs="Arial"/>
        </w:rPr>
        <w:t xml:space="preserve"> because of </w:t>
      </w:r>
      <w:r w:rsidRPr="000108C1">
        <w:rPr>
          <w:rFonts w:ascii="Arial" w:hAnsi="Arial" w:cs="Arial"/>
        </w:rPr>
        <w:t xml:space="preserve">chemical </w:t>
      </w:r>
      <w:r w:rsidR="008C017B">
        <w:rPr>
          <w:rFonts w:ascii="Arial" w:hAnsi="Arial" w:cs="Arial"/>
        </w:rPr>
        <w:t>ingredients</w:t>
      </w:r>
      <w:r w:rsidRPr="000108C1">
        <w:rPr>
          <w:rFonts w:ascii="Arial" w:hAnsi="Arial" w:cs="Arial"/>
        </w:rPr>
        <w:t xml:space="preserve"> within the products. Hand </w:t>
      </w:r>
      <w:r w:rsidRPr="000108C1">
        <w:rPr>
          <w:rFonts w:ascii="Arial" w:hAnsi="Arial" w:cs="Arial"/>
          <w:i/>
          <w:iCs/>
        </w:rPr>
        <w:t>et al.</w:t>
      </w:r>
      <w:r w:rsidRPr="000108C1">
        <w:rPr>
          <w:rFonts w:ascii="Arial" w:hAnsi="Arial" w:cs="Arial"/>
        </w:rPr>
        <w:t xml:space="preserve"> (2023) stated menstrual products contain fragrances, dioxins, and synthetic fibres, which can cause cancer of the female reproductive system</w:t>
      </w:r>
      <w:r w:rsidR="00352B14">
        <w:rPr>
          <w:rFonts w:ascii="Arial" w:hAnsi="Arial" w:cs="Arial"/>
        </w:rPr>
        <w:t>. H</w:t>
      </w:r>
      <w:r w:rsidRPr="000108C1">
        <w:rPr>
          <w:rFonts w:ascii="Arial" w:hAnsi="Arial" w:cs="Arial"/>
        </w:rPr>
        <w:t>owever, while the levels of these ingredients and materials do not exceed toxic health guidelines, continuous exposure can lead to significant health issues</w:t>
      </w:r>
      <w:r w:rsidR="00352B14">
        <w:rPr>
          <w:rFonts w:ascii="Arial" w:hAnsi="Arial" w:cs="Arial"/>
        </w:rPr>
        <w:t xml:space="preserve"> (</w:t>
      </w:r>
      <w:r w:rsidR="00352B14" w:rsidRPr="000108C1">
        <w:rPr>
          <w:rFonts w:ascii="Arial" w:hAnsi="Arial" w:cs="Arial"/>
        </w:rPr>
        <w:t xml:space="preserve">Hand </w:t>
      </w:r>
      <w:r w:rsidR="00352B14" w:rsidRPr="000108C1">
        <w:rPr>
          <w:rFonts w:ascii="Arial" w:hAnsi="Arial" w:cs="Arial"/>
          <w:i/>
          <w:iCs/>
        </w:rPr>
        <w:t>et al.</w:t>
      </w:r>
      <w:r w:rsidR="00352B14">
        <w:rPr>
          <w:rFonts w:ascii="Arial" w:hAnsi="Arial" w:cs="Arial"/>
        </w:rPr>
        <w:t xml:space="preserve">, </w:t>
      </w:r>
      <w:r w:rsidR="00352B14" w:rsidRPr="000108C1">
        <w:rPr>
          <w:rFonts w:ascii="Arial" w:hAnsi="Arial" w:cs="Arial"/>
        </w:rPr>
        <w:t>2023)</w:t>
      </w:r>
      <w:r w:rsidRPr="000108C1">
        <w:rPr>
          <w:rFonts w:ascii="Arial" w:hAnsi="Arial" w:cs="Arial"/>
        </w:rPr>
        <w:t xml:space="preserve">. The avoidance and reluctance to discuss or find informative menstrual health information can cause a traumatic menstrual cycle for individuals (Pao, 2023). Therefore, while providing free menstrual products can support menstrual equity, the regulations and health warnings should be considered in menstrual products, as long-term health issues might develop. Furthermore, menstrual healthcare is important for menstrual equity (Medina-Perucha </w:t>
      </w:r>
      <w:r w:rsidRPr="000108C1">
        <w:rPr>
          <w:rFonts w:ascii="Arial" w:hAnsi="Arial" w:cs="Arial"/>
          <w:i/>
          <w:iCs/>
        </w:rPr>
        <w:t>et al.,</w:t>
      </w:r>
      <w:r w:rsidRPr="000108C1">
        <w:rPr>
          <w:rFonts w:ascii="Arial" w:hAnsi="Arial" w:cs="Arial"/>
        </w:rPr>
        <w:t xml:space="preserve"> 2023), a</w:t>
      </w:r>
      <w:r w:rsidR="00A870DA">
        <w:rPr>
          <w:rFonts w:ascii="Arial" w:hAnsi="Arial" w:cs="Arial"/>
        </w:rPr>
        <w:t>nd</w:t>
      </w:r>
      <w:r w:rsidRPr="000108C1">
        <w:rPr>
          <w:rFonts w:ascii="Arial" w:hAnsi="Arial" w:cs="Arial"/>
        </w:rPr>
        <w:t xml:space="preserve"> sometimes, medical professionals are not knowledgeable in differentiating between normal and abnormal menstrual symptoms due to the absence of research into reproductive health  (Seear, 2009; Babbar </w:t>
      </w:r>
      <w:r w:rsidRPr="000108C1">
        <w:rPr>
          <w:rFonts w:ascii="Arial" w:hAnsi="Arial" w:cs="Arial"/>
          <w:i/>
          <w:iCs/>
        </w:rPr>
        <w:t>et al.,</w:t>
      </w:r>
      <w:r w:rsidRPr="000108C1">
        <w:rPr>
          <w:rFonts w:ascii="Arial" w:hAnsi="Arial" w:cs="Arial"/>
        </w:rPr>
        <w:t xml:space="preserve"> 2022). Therefore, people who menstruate may not seek medical advice for their menstrual symptoms, regardless of severity, because of limited awareness and attitudinal barriers (Uchibori </w:t>
      </w:r>
      <w:r w:rsidRPr="000108C1">
        <w:rPr>
          <w:rFonts w:ascii="Arial" w:hAnsi="Arial" w:cs="Arial"/>
          <w:i/>
          <w:iCs/>
        </w:rPr>
        <w:t>et al.,</w:t>
      </w:r>
      <w:r w:rsidRPr="000108C1">
        <w:rPr>
          <w:rFonts w:ascii="Arial" w:hAnsi="Arial" w:cs="Arial"/>
        </w:rPr>
        <w:t xml:space="preserve"> 2023). The UK Government (2025) 10 Year Health Plan for England acknowledges the inequalities in women’s health, and proposes to actively listen to women’s experiences, considering their background and barriers, while confronting the inequalities they have encountered. The reproduction of menstrual inequality is challenged through government policies stating an active focus on supporting people who menstruate; however, the efficacy of the plan cannot be known.</w:t>
      </w:r>
    </w:p>
    <w:p w14:paraId="74E95520" w14:textId="3E11B1E5" w:rsidR="000108C1" w:rsidRPr="000108C1" w:rsidRDefault="000108C1" w:rsidP="0089427E">
      <w:pPr>
        <w:spacing w:line="360" w:lineRule="auto"/>
        <w:jc w:val="both"/>
        <w:rPr>
          <w:rFonts w:ascii="Arial" w:hAnsi="Arial" w:cs="Arial"/>
        </w:rPr>
      </w:pPr>
      <w:r w:rsidRPr="000108C1">
        <w:rPr>
          <w:rFonts w:ascii="Arial" w:hAnsi="Arial" w:cs="Arial"/>
        </w:rPr>
        <w:t xml:space="preserve">The Sustainable Development Goals (2015), to be reached by 2030, aim to achieve gender equality for women and girls, provide good health, well-being, sanitation, and </w:t>
      </w:r>
      <w:r w:rsidRPr="000108C1">
        <w:rPr>
          <w:rFonts w:ascii="Arial" w:hAnsi="Arial" w:cs="Arial"/>
        </w:rPr>
        <w:lastRenderedPageBreak/>
        <w:t xml:space="preserve">ensure inclusive and equitable education for all (United Nations Department of Economic and Social Affairs, 2015). However, menstrual health is not clearly mentioned in the Sustainable Development Goals, which is an issue as it informs national and global policies and programs (Loughnan </w:t>
      </w:r>
      <w:r w:rsidRPr="000108C1">
        <w:rPr>
          <w:rFonts w:ascii="Arial" w:hAnsi="Arial" w:cs="Arial"/>
          <w:i/>
          <w:iCs/>
        </w:rPr>
        <w:t>et al.,</w:t>
      </w:r>
      <w:r w:rsidRPr="000108C1">
        <w:rPr>
          <w:rFonts w:ascii="Arial" w:hAnsi="Arial" w:cs="Arial"/>
        </w:rPr>
        <w:t xml:space="preserve"> 2020; Tesfu and Williams, 2025). Therefore, the targets and indicators created cannot indicate the progress or absence of essential support for people who menstruate experience in their countries (Loughnan </w:t>
      </w:r>
      <w:r w:rsidRPr="000108C1">
        <w:rPr>
          <w:rFonts w:ascii="Arial" w:hAnsi="Arial" w:cs="Arial"/>
          <w:i/>
          <w:iCs/>
        </w:rPr>
        <w:t>et al.,</w:t>
      </w:r>
      <w:r w:rsidRPr="000108C1">
        <w:rPr>
          <w:rFonts w:ascii="Arial" w:hAnsi="Arial" w:cs="Arial"/>
        </w:rPr>
        <w:t xml:space="preserve"> 2020). For menstrual inequality to be addressed, an action-based and monitorable process should be established to ensure unmet needs are not being overlooked (Loughnan </w:t>
      </w:r>
      <w:r w:rsidRPr="000108C1">
        <w:rPr>
          <w:rFonts w:ascii="Arial" w:hAnsi="Arial" w:cs="Arial"/>
          <w:i/>
          <w:iCs/>
        </w:rPr>
        <w:t>et al.,</w:t>
      </w:r>
      <w:r w:rsidRPr="000108C1">
        <w:rPr>
          <w:rFonts w:ascii="Arial" w:hAnsi="Arial" w:cs="Arial"/>
        </w:rPr>
        <w:t xml:space="preserve"> 2020). Therefore, a prominent organisation, while endeavouring to achieve an equitable world, has ignored menstrual inequality, and because this research is well-known, other government policies may choose to focus on these imperative goals and dismiss the interwoven correlation to menstruation.</w:t>
      </w:r>
    </w:p>
    <w:p w14:paraId="3673AF87" w14:textId="77777777" w:rsidR="000108C1" w:rsidRPr="000108C1" w:rsidRDefault="000108C1" w:rsidP="0089427E">
      <w:pPr>
        <w:spacing w:line="360" w:lineRule="auto"/>
        <w:jc w:val="both"/>
        <w:rPr>
          <w:rFonts w:ascii="Arial" w:hAnsi="Arial" w:cs="Arial"/>
        </w:rPr>
      </w:pPr>
      <w:r w:rsidRPr="000108C1">
        <w:rPr>
          <w:rFonts w:ascii="Arial" w:hAnsi="Arial" w:cs="Arial"/>
        </w:rPr>
        <w:t>The systemic disadvantage of people who menstruate is not entirely due to the natural process of menstruation, but the domination institutions and governments have on people who menstruate and their physiological functions (Ricci, 2020) has significant influence on the attitudes towards menstruation. Herbert I. Schiller defined cultural imperialism as when society, or worldwide, established a dominant class culture as the norm (Ricci, 2020). The gender divide in society can be correlated with the sexual labour division, a Marxist view, which suggests an economic influence on the practices and stereotypes towards women’s careers (Holmstrom, 2002). The economic and political influence on menstruation is important to acknowledge, as menstrual inequality is intertwined into all aspects of society, indicating the reproduction of harmful stereotypes towards women and people who menstruate throughout generations of individuals with dominant power status.</w:t>
      </w:r>
    </w:p>
    <w:p w14:paraId="0F218E1C" w14:textId="77777777" w:rsidR="000108C1" w:rsidRPr="000108C1" w:rsidRDefault="000108C1" w:rsidP="0089427E">
      <w:pPr>
        <w:spacing w:line="360" w:lineRule="auto"/>
        <w:jc w:val="both"/>
        <w:rPr>
          <w:rFonts w:ascii="Arial" w:hAnsi="Arial" w:cs="Arial"/>
        </w:rPr>
      </w:pPr>
      <w:r w:rsidRPr="000108C1">
        <w:rPr>
          <w:rFonts w:ascii="Arial" w:hAnsi="Arial" w:cs="Arial"/>
        </w:rPr>
        <w:t>The socially contrasted perception of high maintenance women and their luxurious products supported the price disparities in male and female products (Kardetoft, 2022). Without legislated financial protection, the taxation of menstrual products can affect those experiencing poverty more (Casola, Luber, and Riley, 2023). The UK Government removed menstrual product tax on January 1</w:t>
      </w:r>
      <w:r w:rsidRPr="000108C1">
        <w:rPr>
          <w:rFonts w:ascii="Arial" w:hAnsi="Arial" w:cs="Arial"/>
          <w:vertAlign w:val="superscript"/>
        </w:rPr>
        <w:t>st</w:t>
      </w:r>
      <w:r w:rsidRPr="000108C1">
        <w:rPr>
          <w:rFonts w:ascii="Arial" w:hAnsi="Arial" w:cs="Arial"/>
        </w:rPr>
        <w:t>, 2021, however, some reusable products, including period underwear, did not receive tax exclusion until January 1</w:t>
      </w:r>
      <w:r w:rsidRPr="000108C1">
        <w:rPr>
          <w:rFonts w:ascii="Arial" w:hAnsi="Arial" w:cs="Arial"/>
          <w:vertAlign w:val="superscript"/>
        </w:rPr>
        <w:t>st</w:t>
      </w:r>
      <w:r w:rsidRPr="000108C1">
        <w:rPr>
          <w:rFonts w:ascii="Arial" w:hAnsi="Arial" w:cs="Arial"/>
        </w:rPr>
        <w:t xml:space="preserve">, 2024 (HM Revenue &amp; Customs, 2023). Flinders and Lowery (2023) stated the taxation of menstrual products transformed into a symbolic policy on the disparities between gender related items, demonstrating the misogynist political legislation </w:t>
      </w:r>
      <w:r w:rsidRPr="000108C1">
        <w:rPr>
          <w:rFonts w:ascii="Arial" w:hAnsi="Arial" w:cs="Arial"/>
        </w:rPr>
        <w:lastRenderedPageBreak/>
        <w:t>upheld in the twenty-first century. Nevertheless, while removing VAT on menstrual products was a significant victory for those who menstruate in the UK, individuals who are trapped by period poverty are unlikely to benefit from this change (Flinders and Lowery, 2023). In the UK, positive awareness and attitudes have effectively changed one aspect of menstrual inequality, nevertheless, the wider issue of period poverty and menstrual inequality has not been addressed.</w:t>
      </w:r>
    </w:p>
    <w:p w14:paraId="15558744" w14:textId="1A488499" w:rsidR="000108C1" w:rsidRPr="000108C1" w:rsidRDefault="000108C1" w:rsidP="0089427E">
      <w:pPr>
        <w:spacing w:line="360" w:lineRule="auto"/>
        <w:jc w:val="both"/>
        <w:rPr>
          <w:rFonts w:ascii="Arial" w:hAnsi="Arial" w:cs="Arial"/>
        </w:rPr>
      </w:pPr>
      <w:r w:rsidRPr="000108C1">
        <w:rPr>
          <w:rFonts w:ascii="Arial" w:hAnsi="Arial" w:cs="Arial"/>
        </w:rPr>
        <w:t xml:space="preserve">Gaybor (2020), Sanjakdar (2021), and Tomlinson (2021) address how our meaning-making is influenced </w:t>
      </w:r>
      <w:r w:rsidR="002D199E">
        <w:rPr>
          <w:rFonts w:ascii="Arial" w:hAnsi="Arial" w:cs="Arial"/>
        </w:rPr>
        <w:t xml:space="preserve">by </w:t>
      </w:r>
      <w:r w:rsidRPr="000108C1">
        <w:rPr>
          <w:rFonts w:ascii="Arial" w:hAnsi="Arial" w:cs="Arial"/>
        </w:rPr>
        <w:t xml:space="preserve">socially constructed </w:t>
      </w:r>
      <w:r w:rsidR="002D199E" w:rsidRPr="000108C1">
        <w:rPr>
          <w:rFonts w:ascii="Arial" w:hAnsi="Arial" w:cs="Arial"/>
        </w:rPr>
        <w:t>ideas</w:t>
      </w:r>
      <w:r w:rsidRPr="000108C1">
        <w:rPr>
          <w:rFonts w:ascii="Arial" w:hAnsi="Arial" w:cs="Arial"/>
        </w:rPr>
        <w:t xml:space="preserve"> </w:t>
      </w:r>
      <w:r w:rsidR="00EE16EA">
        <w:rPr>
          <w:rFonts w:ascii="Arial" w:hAnsi="Arial" w:cs="Arial"/>
        </w:rPr>
        <w:t xml:space="preserve">through the </w:t>
      </w:r>
      <w:r w:rsidRPr="000108C1">
        <w:rPr>
          <w:rFonts w:ascii="Arial" w:hAnsi="Arial" w:cs="Arial"/>
        </w:rPr>
        <w:t xml:space="preserve">media, </w:t>
      </w:r>
      <w:r w:rsidR="002D199E" w:rsidRPr="000108C1">
        <w:rPr>
          <w:rFonts w:ascii="Arial" w:hAnsi="Arial" w:cs="Arial"/>
        </w:rPr>
        <w:t>implying</w:t>
      </w:r>
      <w:r w:rsidRPr="000108C1">
        <w:rPr>
          <w:rFonts w:ascii="Arial" w:hAnsi="Arial" w:cs="Arial"/>
        </w:rPr>
        <w:t xml:space="preserve"> social attitudes</w:t>
      </w:r>
      <w:r w:rsidR="000E1331">
        <w:rPr>
          <w:rFonts w:ascii="Arial" w:hAnsi="Arial" w:cs="Arial"/>
        </w:rPr>
        <w:t xml:space="preserve"> </w:t>
      </w:r>
      <w:r w:rsidRPr="000108C1">
        <w:rPr>
          <w:rFonts w:ascii="Arial" w:hAnsi="Arial" w:cs="Arial"/>
        </w:rPr>
        <w:t xml:space="preserve">and biases are </w:t>
      </w:r>
      <w:r w:rsidR="000E1331" w:rsidRPr="000108C1">
        <w:rPr>
          <w:rFonts w:ascii="Arial" w:hAnsi="Arial" w:cs="Arial"/>
        </w:rPr>
        <w:t>regulated</w:t>
      </w:r>
      <w:r w:rsidRPr="000108C1">
        <w:rPr>
          <w:rFonts w:ascii="Arial" w:hAnsi="Arial" w:cs="Arial"/>
        </w:rPr>
        <w:t xml:space="preserve"> </w:t>
      </w:r>
      <w:r w:rsidR="000E1331">
        <w:rPr>
          <w:rFonts w:ascii="Arial" w:hAnsi="Arial" w:cs="Arial"/>
        </w:rPr>
        <w:t xml:space="preserve">by </w:t>
      </w:r>
      <w:r w:rsidRPr="000108C1">
        <w:rPr>
          <w:rFonts w:ascii="Arial" w:hAnsi="Arial" w:cs="Arial"/>
        </w:rPr>
        <w:t>politics</w:t>
      </w:r>
      <w:r w:rsidR="000E1331">
        <w:rPr>
          <w:rFonts w:ascii="Arial" w:hAnsi="Arial" w:cs="Arial"/>
        </w:rPr>
        <w:t xml:space="preserve"> and </w:t>
      </w:r>
      <w:r w:rsidR="00EE16EA">
        <w:rPr>
          <w:rFonts w:ascii="Arial" w:hAnsi="Arial" w:cs="Arial"/>
        </w:rPr>
        <w:t>corporate media owners</w:t>
      </w:r>
      <w:r w:rsidRPr="000108C1">
        <w:rPr>
          <w:rFonts w:ascii="Arial" w:hAnsi="Arial" w:cs="Arial"/>
        </w:rPr>
        <w:t>. In support, Sophie Laws (1990) expressed the social meaning of menstruation is political and based on</w:t>
      </w:r>
      <w:r w:rsidR="00EE16EA">
        <w:rPr>
          <w:rFonts w:ascii="Arial" w:hAnsi="Arial" w:cs="Arial"/>
        </w:rPr>
        <w:t xml:space="preserve"> a</w:t>
      </w:r>
      <w:r w:rsidRPr="000108C1">
        <w:rPr>
          <w:rFonts w:ascii="Arial" w:hAnsi="Arial" w:cs="Arial"/>
        </w:rPr>
        <w:t xml:space="preserve"> gender-divided society. In  support, Susan Okin (1989) stated women’s oppression is established by gender prejudices, which is an interconnected social structure suppressing women’s opportunities (Ricci, 2020). Adhering to patriarchal expectations of sexual desirability and femininity involves the concealment of menstruation (Nash, 2022), creating a society which silences discussions and language of menstruation as it does not align with these expectations (Molyneaux, 2025). Jane Ussher (2006) argued menstrual taboo encourages women’s self-surveillance and contributes to</w:t>
      </w:r>
      <w:r w:rsidR="00EE16EA">
        <w:rPr>
          <w:rFonts w:ascii="Arial" w:hAnsi="Arial" w:cs="Arial"/>
        </w:rPr>
        <w:t xml:space="preserve"> the</w:t>
      </w:r>
      <w:r w:rsidRPr="000108C1">
        <w:rPr>
          <w:rFonts w:ascii="Arial" w:hAnsi="Arial" w:cs="Arial"/>
        </w:rPr>
        <w:t xml:space="preserve"> shame and guilt women experience during menstrual cycles (Nash, 2022), which is further emphasised by Åkerman </w:t>
      </w:r>
      <w:r w:rsidRPr="000108C1">
        <w:rPr>
          <w:rFonts w:ascii="Arial" w:hAnsi="Arial" w:cs="Arial"/>
          <w:i/>
          <w:iCs/>
        </w:rPr>
        <w:t xml:space="preserve">et al. </w:t>
      </w:r>
      <w:r w:rsidRPr="000108C1">
        <w:rPr>
          <w:rFonts w:ascii="Arial" w:hAnsi="Arial" w:cs="Arial"/>
        </w:rPr>
        <w:t>(2024) who stated the social stigma surrounding menstrual blood can alter women’s perception to restrictive behaviours of secrecy.</w:t>
      </w:r>
    </w:p>
    <w:p w14:paraId="0D32ECEF" w14:textId="77777777" w:rsidR="000108C1" w:rsidRPr="000108C1" w:rsidRDefault="000108C1" w:rsidP="0089427E">
      <w:pPr>
        <w:spacing w:line="360" w:lineRule="auto"/>
        <w:jc w:val="both"/>
        <w:rPr>
          <w:rFonts w:ascii="Arial" w:hAnsi="Arial" w:cs="Arial"/>
        </w:rPr>
      </w:pPr>
      <w:r w:rsidRPr="000108C1">
        <w:rPr>
          <w:rFonts w:ascii="Arial" w:hAnsi="Arial" w:cs="Arial"/>
        </w:rPr>
        <w:t xml:space="preserve">The ongoing stigma around menstruation impedes action on adequately addressing menstrual inequality (Loughnan </w:t>
      </w:r>
      <w:r w:rsidRPr="000108C1">
        <w:rPr>
          <w:rFonts w:ascii="Arial" w:hAnsi="Arial" w:cs="Arial"/>
          <w:i/>
          <w:iCs/>
        </w:rPr>
        <w:t>et al.,</w:t>
      </w:r>
      <w:r w:rsidRPr="000108C1">
        <w:rPr>
          <w:rFonts w:ascii="Arial" w:hAnsi="Arial" w:cs="Arial"/>
        </w:rPr>
        <w:t xml:space="preserve"> 2020). Erving Goffman conceptualised stigma, stating it reduced individuals from a whole to a tainted part, a process called social devaluation (Werner, Punzi, and Turkenburg, 2023). The </w:t>
      </w:r>
      <w:r w:rsidRPr="000108C1">
        <w:rPr>
          <w:rFonts w:ascii="Arial" w:hAnsi="Arial" w:cs="Arial"/>
          <w:i/>
          <w:iCs/>
        </w:rPr>
        <w:t>Convention on the Elimination of All Forms of Discrimination against Women (1979)</w:t>
      </w:r>
      <w:r w:rsidRPr="000108C1">
        <w:rPr>
          <w:rFonts w:ascii="Arial" w:hAnsi="Arial" w:cs="Arial"/>
        </w:rPr>
        <w:t xml:space="preserve"> addressed the necessity of acknowledging women in human rights concerns, and provided formal recognition to the influence stereotypes, cultures, and traditions have on women, resulting in political and legal constraints for women. Furthermore, the </w:t>
      </w:r>
      <w:r w:rsidRPr="000108C1">
        <w:rPr>
          <w:rFonts w:ascii="Arial" w:hAnsi="Arial" w:cs="Arial"/>
          <w:i/>
          <w:iCs/>
        </w:rPr>
        <w:t>Human Rights Act 1998</w:t>
      </w:r>
      <w:r w:rsidRPr="000108C1">
        <w:rPr>
          <w:rFonts w:ascii="Arial" w:hAnsi="Arial" w:cs="Arial"/>
        </w:rPr>
        <w:t xml:space="preserve"> states sex as a protected characteristic, which lawfully requires equal treatment regardless of sex. While these political and organisational legislations have necessitated equality, the persistent stigma on menstruation remains, and therefore, forthcoming policies should ensure menstrual equity and equality towards people who </w:t>
      </w:r>
      <w:r w:rsidRPr="000108C1">
        <w:rPr>
          <w:rFonts w:ascii="Arial" w:hAnsi="Arial" w:cs="Arial"/>
        </w:rPr>
        <w:lastRenderedPageBreak/>
        <w:t>menstruate is interwoven throughout political, economic, societal, and educational practices.</w:t>
      </w:r>
    </w:p>
    <w:p w14:paraId="75B84D42" w14:textId="3BC5C286" w:rsidR="000108C1" w:rsidRPr="000108C1" w:rsidRDefault="000108C1" w:rsidP="0089427E">
      <w:pPr>
        <w:spacing w:line="360" w:lineRule="auto"/>
        <w:jc w:val="both"/>
        <w:rPr>
          <w:rFonts w:ascii="Arial" w:hAnsi="Arial" w:cs="Arial"/>
        </w:rPr>
      </w:pPr>
      <w:r w:rsidRPr="000108C1">
        <w:rPr>
          <w:rFonts w:ascii="Arial" w:hAnsi="Arial" w:cs="Arial"/>
        </w:rPr>
        <w:t xml:space="preserve">Education is an important setting for socialisation, as gender roles are learnt and reinforced through peer interactions (Nehoda </w:t>
      </w:r>
      <w:r w:rsidRPr="000108C1">
        <w:rPr>
          <w:rFonts w:ascii="Arial" w:hAnsi="Arial" w:cs="Arial"/>
          <w:i/>
          <w:iCs/>
        </w:rPr>
        <w:t>et al.,</w:t>
      </w:r>
      <w:r w:rsidRPr="000108C1">
        <w:rPr>
          <w:rFonts w:ascii="Arial" w:hAnsi="Arial" w:cs="Arial"/>
        </w:rPr>
        <w:t xml:space="preserve"> 2024), reinforcing the contributing influence schools hold on restrictive and inclusive gender constructs and norms (de Villarreal and Scotton, 2024). Within the hidden curriculum, stereotypes persist, despite curriculums and educational policies adopting an inclusive ethos (Nehoda </w:t>
      </w:r>
      <w:r w:rsidRPr="000108C1">
        <w:rPr>
          <w:rFonts w:ascii="Arial" w:hAnsi="Arial" w:cs="Arial"/>
          <w:i/>
          <w:iCs/>
        </w:rPr>
        <w:t>et al.,</w:t>
      </w:r>
      <w:r w:rsidRPr="000108C1">
        <w:rPr>
          <w:rFonts w:ascii="Arial" w:hAnsi="Arial" w:cs="Arial"/>
        </w:rPr>
        <w:t xml:space="preserve"> 2024), </w:t>
      </w:r>
      <w:r w:rsidR="00BF0E13">
        <w:rPr>
          <w:rFonts w:ascii="Arial" w:hAnsi="Arial" w:cs="Arial"/>
        </w:rPr>
        <w:t>but</w:t>
      </w:r>
      <w:r w:rsidRPr="000108C1">
        <w:rPr>
          <w:rFonts w:ascii="Arial" w:hAnsi="Arial" w:cs="Arial"/>
        </w:rPr>
        <w:t xml:space="preserve"> Knight and Crick (2021) critiqued </w:t>
      </w:r>
      <w:r w:rsidR="00BF0E13">
        <w:rPr>
          <w:rFonts w:ascii="Arial" w:hAnsi="Arial" w:cs="Arial"/>
        </w:rPr>
        <w:t xml:space="preserve">this </w:t>
      </w:r>
      <w:r w:rsidRPr="000108C1">
        <w:rPr>
          <w:rFonts w:ascii="Arial" w:hAnsi="Arial" w:cs="Arial"/>
        </w:rPr>
        <w:t xml:space="preserve">due to an absence of consistency in defining inclusive practices. In addition, older generations are more likely not to have received comprehensive menstrual health education, as it has only been compulsory since 2021 for young people in Wales (Medina-Perucha </w:t>
      </w:r>
      <w:r w:rsidRPr="000108C1">
        <w:rPr>
          <w:rFonts w:ascii="Arial" w:hAnsi="Arial" w:cs="Arial"/>
          <w:i/>
          <w:iCs/>
        </w:rPr>
        <w:t>et al.,</w:t>
      </w:r>
      <w:r w:rsidRPr="000108C1">
        <w:rPr>
          <w:rFonts w:ascii="Arial" w:hAnsi="Arial" w:cs="Arial"/>
        </w:rPr>
        <w:t xml:space="preserve"> 2023). Pierre Bourdieu addressed how social and cultural inequalities are reproduced from one generation to another, as the dominant group controlling economic, political, and social resources regulate the discussions and topics considered appropriate for the next generation (Harker, Mahar, and Wilkes, 1990). Furthermore, Mary Inman stated women’s oppression is multifaceted with cultural, psychological, economic, and political influencing the image of women (Vogel, 2000). Without informative education, people who menstruate vulnerable to </w:t>
      </w:r>
      <w:r w:rsidR="006A0AAF">
        <w:rPr>
          <w:rFonts w:ascii="Arial" w:hAnsi="Arial" w:cs="Arial"/>
        </w:rPr>
        <w:t xml:space="preserve">misinformation </w:t>
      </w:r>
      <w:r w:rsidRPr="000108C1">
        <w:rPr>
          <w:rFonts w:ascii="Arial" w:hAnsi="Arial" w:cs="Arial"/>
        </w:rPr>
        <w:t xml:space="preserve">about their bodies, which </w:t>
      </w:r>
      <w:r w:rsidR="006A0AAF">
        <w:rPr>
          <w:rFonts w:ascii="Arial" w:hAnsi="Arial" w:cs="Arial"/>
        </w:rPr>
        <w:t xml:space="preserve">some </w:t>
      </w:r>
      <w:r w:rsidRPr="000108C1">
        <w:rPr>
          <w:rFonts w:ascii="Arial" w:hAnsi="Arial" w:cs="Arial"/>
        </w:rPr>
        <w:t>endure quietly</w:t>
      </w:r>
      <w:r w:rsidR="006536DF">
        <w:rPr>
          <w:rFonts w:ascii="Arial" w:hAnsi="Arial" w:cs="Arial"/>
        </w:rPr>
        <w:t xml:space="preserve"> without question </w:t>
      </w:r>
      <w:r w:rsidRPr="000108C1">
        <w:rPr>
          <w:rFonts w:ascii="Arial" w:hAnsi="Arial" w:cs="Arial"/>
        </w:rPr>
        <w:t>(Markle, 2017; Kaur, Kaur, and Kaur, 2018; Fennie,</w:t>
      </w:r>
      <w:r w:rsidR="00E57BA3">
        <w:rPr>
          <w:rFonts w:ascii="Arial" w:hAnsi="Arial" w:cs="Arial"/>
        </w:rPr>
        <w:t xml:space="preserve"> </w:t>
      </w:r>
      <w:r w:rsidRPr="000108C1">
        <w:rPr>
          <w:rFonts w:ascii="Arial" w:hAnsi="Arial" w:cs="Arial"/>
        </w:rPr>
        <w:t>Moletsane, and Padmanabhanunni, 2022).</w:t>
      </w:r>
    </w:p>
    <w:p w14:paraId="3A78E546" w14:textId="2CC45ACF" w:rsidR="000108C1" w:rsidRPr="000108C1" w:rsidRDefault="000108C1" w:rsidP="0089427E">
      <w:pPr>
        <w:spacing w:line="360" w:lineRule="auto"/>
        <w:jc w:val="both"/>
        <w:rPr>
          <w:rFonts w:ascii="Arial" w:hAnsi="Arial" w:cs="Arial"/>
        </w:rPr>
      </w:pPr>
      <w:r w:rsidRPr="000108C1">
        <w:rPr>
          <w:rFonts w:ascii="Arial" w:hAnsi="Arial" w:cs="Arial"/>
        </w:rPr>
        <w:t xml:space="preserve">The teaching of the normal and healthy process of menstruation and ensuring medically accurate information (de Villarreal and Scotton, 2024) is not delivered in all educational settings. The censorship of menstruation reduces the positive educational knowledge shown in media and in feminist political discussions and issues (Gaybor, 2020). Furthermore, gender segregated lessons on menstrual health creates barriers in male understanding of menstruation, leading to misinformation and ignorance of reproductive health (Moon </w:t>
      </w:r>
      <w:r w:rsidRPr="000108C1">
        <w:rPr>
          <w:rFonts w:ascii="Arial" w:hAnsi="Arial" w:cs="Arial"/>
          <w:i/>
          <w:iCs/>
        </w:rPr>
        <w:t xml:space="preserve">et al., </w:t>
      </w:r>
      <w:r w:rsidRPr="000108C1">
        <w:rPr>
          <w:rFonts w:ascii="Arial" w:hAnsi="Arial" w:cs="Arial"/>
        </w:rPr>
        <w:t xml:space="preserve">2020). Most children and young people receive formal education, and without informative discussion about reproductive health, young people might not learn about themselves or their peers (SIECUS, 2024), and this misinformation causes people into adulthood to research health information about their bodies (Herr, 2021). In addition, traditional information about menstruation denies and excludes women’s own perspective and opinion (Laws, 1990). Standpoint theory is acknowledging how individuals’ perspectives are informed by personal experiences </w:t>
      </w:r>
      <w:r w:rsidRPr="000108C1">
        <w:rPr>
          <w:rFonts w:ascii="Arial" w:hAnsi="Arial" w:cs="Arial"/>
        </w:rPr>
        <w:lastRenderedPageBreak/>
        <w:t>within their cultures and relationships, demonstrating the influence in individuals' understanding and behaviour of themselves and others (Punyanunt-Carter, 2025). Patricia Hill Collins (1997) interpreted standpoint theory as an interpretive framework to understand how knowledge is essential in transforming unjust power systems. This establishes the reproduction of menstrual health misinformation as throughout generations families can impose inaccurate advice, therefore, in the twenty-first century, young people should be educated on verifiable menstrual health information.</w:t>
      </w:r>
    </w:p>
    <w:p w14:paraId="4B00717D" w14:textId="2DBCD918" w:rsidR="000108C1" w:rsidRPr="000108C1" w:rsidRDefault="000108C1" w:rsidP="0089427E">
      <w:pPr>
        <w:spacing w:line="360" w:lineRule="auto"/>
        <w:jc w:val="both"/>
        <w:rPr>
          <w:rFonts w:ascii="Arial" w:hAnsi="Arial" w:cs="Arial"/>
        </w:rPr>
      </w:pPr>
      <w:r w:rsidRPr="000108C1">
        <w:rPr>
          <w:rFonts w:ascii="Arial" w:hAnsi="Arial" w:cs="Arial"/>
        </w:rPr>
        <w:t xml:space="preserve">In the UK, there is an absence of clarity and consistency in the understanding of what education is taught on menstrual health, and if any support or guidance is offered to students after the initial lesson (Brown </w:t>
      </w:r>
      <w:r w:rsidRPr="000108C1">
        <w:rPr>
          <w:rFonts w:ascii="Arial" w:hAnsi="Arial" w:cs="Arial"/>
          <w:i/>
          <w:iCs/>
        </w:rPr>
        <w:t>et al.,</w:t>
      </w:r>
      <w:r w:rsidRPr="000108C1">
        <w:rPr>
          <w:rFonts w:ascii="Arial" w:hAnsi="Arial" w:cs="Arial"/>
        </w:rPr>
        <w:t xml:space="preserve"> 2022). However, in accordance with the </w:t>
      </w:r>
      <w:r w:rsidRPr="000108C1">
        <w:rPr>
          <w:rFonts w:ascii="Arial" w:hAnsi="Arial" w:cs="Arial"/>
          <w:i/>
          <w:iCs/>
        </w:rPr>
        <w:t>Curriculum and Assessment (Wales) Act 2021</w:t>
      </w:r>
      <w:r w:rsidRPr="000108C1">
        <w:rPr>
          <w:rFonts w:ascii="Arial" w:hAnsi="Arial" w:cs="Arial"/>
        </w:rPr>
        <w:t xml:space="preserve">, stating student should become valued and capable societal members, the Curriculum for Wales provides continuous mandatory menstrual health lessons, with the objective of destigmatising menstruation and promoting positive menstrual information (Welsh Government, 2024a). Nevertheless, the guidance is nonspecific and </w:t>
      </w:r>
      <w:r w:rsidR="006536DF" w:rsidRPr="000108C1">
        <w:rPr>
          <w:rFonts w:ascii="Arial" w:hAnsi="Arial" w:cs="Arial"/>
        </w:rPr>
        <w:t>places</w:t>
      </w:r>
      <w:r w:rsidRPr="000108C1">
        <w:rPr>
          <w:rFonts w:ascii="Arial" w:hAnsi="Arial" w:cs="Arial"/>
        </w:rPr>
        <w:t xml:space="preserve"> practitioners and schools in control of the content which should be covered (Welsh Government, 2024b), which would create inconsistencies in the menstrual health education taught to students in different lessons and year groups. Learning about menstrual health can support people who menstruate to advocate for their health (Trant </w:t>
      </w:r>
      <w:r w:rsidRPr="000108C1">
        <w:rPr>
          <w:rFonts w:ascii="Arial" w:hAnsi="Arial" w:cs="Arial"/>
          <w:i/>
          <w:iCs/>
        </w:rPr>
        <w:t>et al.,</w:t>
      </w:r>
      <w:r w:rsidRPr="000108C1">
        <w:rPr>
          <w:rFonts w:ascii="Arial" w:hAnsi="Arial" w:cs="Arial"/>
        </w:rPr>
        <w:t xml:space="preserve"> 2023), emphasising the importance of government education curriculums teaching anatomical and physiological information, in endeavour to reduce menstrual inequality and improve health outcomes (Medina-Perucha </w:t>
      </w:r>
      <w:r w:rsidRPr="000108C1">
        <w:rPr>
          <w:rFonts w:ascii="Arial" w:hAnsi="Arial" w:cs="Arial"/>
          <w:i/>
          <w:iCs/>
        </w:rPr>
        <w:t>et al.,</w:t>
      </w:r>
      <w:r w:rsidRPr="000108C1">
        <w:rPr>
          <w:rFonts w:ascii="Arial" w:hAnsi="Arial" w:cs="Arial"/>
        </w:rPr>
        <w:t xml:space="preserve"> 2023). Furthermore, to achieve gender equity, core issues which contribute and retain this inequality should be addressed, in both the curriculum and teacher training programmes (Nehoda </w:t>
      </w:r>
      <w:r w:rsidRPr="000108C1">
        <w:rPr>
          <w:rFonts w:ascii="Arial" w:hAnsi="Arial" w:cs="Arial"/>
          <w:i/>
          <w:iCs/>
        </w:rPr>
        <w:t>et al.,</w:t>
      </w:r>
      <w:r w:rsidRPr="000108C1">
        <w:rPr>
          <w:rFonts w:ascii="Arial" w:hAnsi="Arial" w:cs="Arial"/>
        </w:rPr>
        <w:t xml:space="preserve"> 2024).</w:t>
      </w:r>
    </w:p>
    <w:p w14:paraId="6B0EB80D" w14:textId="4F9E7880" w:rsidR="000108C1" w:rsidRPr="000108C1" w:rsidRDefault="000108C1" w:rsidP="0089427E">
      <w:pPr>
        <w:spacing w:line="360" w:lineRule="auto"/>
        <w:jc w:val="both"/>
        <w:rPr>
          <w:rFonts w:ascii="Arial" w:hAnsi="Arial" w:cs="Arial"/>
        </w:rPr>
      </w:pPr>
      <w:r w:rsidRPr="000108C1">
        <w:rPr>
          <w:rFonts w:ascii="Arial" w:hAnsi="Arial" w:cs="Arial"/>
        </w:rPr>
        <w:t xml:space="preserve">The progress to achieve menstrual equality is overshadowed by short-term policies and interventions with limited monitoring of interventions, which does not show accountability or intention for future innovation (Bagala </w:t>
      </w:r>
      <w:r w:rsidRPr="000108C1">
        <w:rPr>
          <w:rFonts w:ascii="Arial" w:hAnsi="Arial" w:cs="Arial"/>
          <w:i/>
          <w:iCs/>
        </w:rPr>
        <w:t>et al.,</w:t>
      </w:r>
      <w:r w:rsidRPr="000108C1">
        <w:rPr>
          <w:rFonts w:ascii="Arial" w:hAnsi="Arial" w:cs="Arial"/>
        </w:rPr>
        <w:t xml:space="preserve"> 2023). However, the Welsh Government (2023) Period Proud Wales Action Plan provided a five-year plan to ensure Wales achieves menstrual equality, acknowledging periods are not luxury, addressing informative health and education discussions, and challenging societal silence and taboo of menstruation. The Welsh Government (2025) released a progress update for the five-year plan which included brief information about the menopause guidance announced and funding allocations. However, the update was </w:t>
      </w:r>
      <w:r w:rsidRPr="000108C1">
        <w:rPr>
          <w:rFonts w:ascii="Arial" w:hAnsi="Arial" w:cs="Arial"/>
        </w:rPr>
        <w:lastRenderedPageBreak/>
        <w:t>not in detail and vague in providing complete information about the status to achieve menstrual equality in Wales. Nevertheless, the World Health Organisation (2022) addressed menstrual health would be included in forthcoming agendas as a commitment to breaking the silence on menstruation, petitioning governments to improve menstrual equality policies. Iris Marion Young’s Five Faces of Oppression (1990) discussed the structural injustice and oppression of social groups, and stated measuring inequality through specifically focusing on individual groups indicates the inadequacies and improvements needed (Ricci, 2020). Therefore, longitudinal and focused research studies should be conducted to ensure menstrual inequality is represented adequately within policies, w</w:t>
      </w:r>
      <w:r w:rsidR="006536DF">
        <w:rPr>
          <w:rFonts w:ascii="Arial" w:hAnsi="Arial" w:cs="Arial"/>
        </w:rPr>
        <w:t xml:space="preserve">hich has </w:t>
      </w:r>
      <w:r w:rsidRPr="000108C1">
        <w:rPr>
          <w:rFonts w:ascii="Arial" w:hAnsi="Arial" w:cs="Arial"/>
        </w:rPr>
        <w:t>outcomes designed with the aim to reduce menstrual inequality.</w:t>
      </w:r>
    </w:p>
    <w:p w14:paraId="2EB7BD4A" w14:textId="77777777" w:rsidR="000108C1" w:rsidRPr="000108C1" w:rsidRDefault="000108C1" w:rsidP="0089427E">
      <w:pPr>
        <w:spacing w:line="360" w:lineRule="auto"/>
        <w:jc w:val="both"/>
        <w:rPr>
          <w:rFonts w:ascii="Arial" w:hAnsi="Arial" w:cs="Arial"/>
        </w:rPr>
      </w:pPr>
      <w:r w:rsidRPr="000108C1">
        <w:rPr>
          <w:rFonts w:ascii="Arial" w:hAnsi="Arial" w:cs="Arial"/>
        </w:rPr>
        <w:t xml:space="preserve">Throughout centuries, religion has created a narrative that menstruation should be perceived with shame and fear, causing restrictions and misinformation regarding menstruation (Tan, Haththotuwa, and Fraser, 2017). In orthodox and Brahmin Hindu societies, menstruating women are excluded from worshipping, physical contact, and cooking because they are considered polluted and unhygienic (Tan, Haththotuwa, and Fraser, 2017; Pao, 2023). In Nepal, the practice of Chhaupadi, which has been prohibited since 2018, restricted girls and women to menstrual huts, through creating an environment of fear, and suggesting bad things would happen to loved ones and the village’s misfortune would be blamed on them if they did not comply (Tan, Haththotuwa, and Fraser, 2017; Joshi, 2022). William E. Phipps argued religious institutions have prescribed impurity to people who menstruate to exclude them from retaining authoritative positions (Ramaiyer </w:t>
      </w:r>
      <w:r w:rsidRPr="000108C1">
        <w:rPr>
          <w:rFonts w:ascii="Arial" w:hAnsi="Arial" w:cs="Arial"/>
          <w:i/>
          <w:iCs/>
        </w:rPr>
        <w:t>et al.,</w:t>
      </w:r>
      <w:r w:rsidRPr="000108C1">
        <w:rPr>
          <w:rFonts w:ascii="Arial" w:hAnsi="Arial" w:cs="Arial"/>
        </w:rPr>
        <w:t xml:space="preserve"> 2023). Pierre Bourdieu’s Habitus (1977) is an evolving process through which individuals perceive, think, act, and approach society and their place in it, emphasising that everyone has an internal archive of personal experiences which shape who they are (Costa, Burke, and Murphy, 2018). Religious practices and beliefs, which are unsafe and prejudicial, should not be ignored or dismissed by people who do not follow the same religion or are atheist, because menstrual inequality in these religions will reproduce throughout generations. Therefore, it is imperative governments acknowledge faith as a contributing influence on menstrual inequality, and where possible, provide support to people who menstruate through medical information, accessible menstrual products, and sanitation facilities.</w:t>
      </w:r>
    </w:p>
    <w:p w14:paraId="59E58F61" w14:textId="77777777" w:rsidR="000108C1" w:rsidRPr="000108C1" w:rsidRDefault="000108C1" w:rsidP="0089427E">
      <w:pPr>
        <w:spacing w:line="360" w:lineRule="auto"/>
        <w:jc w:val="both"/>
        <w:rPr>
          <w:rFonts w:ascii="Arial" w:hAnsi="Arial" w:cs="Arial"/>
        </w:rPr>
      </w:pPr>
      <w:r w:rsidRPr="000108C1">
        <w:rPr>
          <w:rFonts w:ascii="Arial" w:hAnsi="Arial" w:cs="Arial"/>
        </w:rPr>
        <w:lastRenderedPageBreak/>
        <w:t>Talcott Parsons’ functionalism approach emphasised the importance of components working together for society to operate effectively (Keister and Southgate, 2022). Menstrual inequality cannot be overcome without a worldwide, interconnected approach, challenging prevalent stigmas and stereotypes of menstruation through medically informed education curriculums. In addition, providing accessible menstrual products and sanitation facilities permits people who menstruate to manage their periods with dignity, and these essential necessities should be permitted in countries legislative policies and practices.</w:t>
      </w:r>
    </w:p>
    <w:p w14:paraId="56BA71BA" w14:textId="77777777" w:rsidR="000108C1" w:rsidRPr="000108C1" w:rsidRDefault="000108C1" w:rsidP="0089427E">
      <w:pPr>
        <w:spacing w:line="360" w:lineRule="auto"/>
        <w:jc w:val="both"/>
        <w:rPr>
          <w:rFonts w:ascii="Arial" w:hAnsi="Arial" w:cs="Arial"/>
        </w:rPr>
      </w:pPr>
      <w:r w:rsidRPr="000108C1">
        <w:rPr>
          <w:rFonts w:ascii="Arial" w:hAnsi="Arial" w:cs="Arial"/>
        </w:rPr>
        <w:t> </w:t>
      </w:r>
    </w:p>
    <w:p w14:paraId="2E5E260A" w14:textId="011905A0" w:rsidR="00237869" w:rsidRPr="0089427E" w:rsidRDefault="000108C1" w:rsidP="0089427E">
      <w:pPr>
        <w:spacing w:line="360" w:lineRule="auto"/>
        <w:jc w:val="both"/>
        <w:rPr>
          <w:rFonts w:ascii="Arial" w:hAnsi="Arial" w:cs="Arial"/>
        </w:rPr>
      </w:pPr>
      <w:r w:rsidRPr="000108C1">
        <w:rPr>
          <w:rFonts w:ascii="Arial" w:hAnsi="Arial" w:cs="Arial"/>
        </w:rPr>
        <w:t>To conclude, society cannot reproduce without menstruation, but it continues to shame people who menstruate. Menstrual inequality is worldwide and affecting millions of people who menstruate each month. Inequality for people who menstruate involves the misinformation, inaccessible and unaffordable menstrual products, absence of sanitation facilities, prevailing stereotypes and stigmas, healthcare barriers, and dismissive education curriculums. Menstrual inequality is interconnected to gender equity, a greater social issue which should be actively discussed to stop the reproduction of menstrual inequality onto the next generation. For menstrual inequality to be overcome, as a society, discussions, language, and behaviours regarding menstruation must transform from secretive and embarrassed to encouraging and assured. This transformation is unlikely to be immediate, as generational and internalised beliefs must be questioned and educated, but the discussions of menstruation are continuing and awareness is growing, which indicates an optimistic future to achieve menstrual equity</w:t>
      </w:r>
      <w:r w:rsidRPr="0089427E">
        <w:rPr>
          <w:rFonts w:ascii="Arial" w:hAnsi="Arial" w:cs="Arial"/>
        </w:rPr>
        <w:t xml:space="preserve">. </w:t>
      </w:r>
      <w:r w:rsidR="00237869" w:rsidRPr="0089427E">
        <w:rPr>
          <w:rFonts w:ascii="Arial" w:hAnsi="Arial" w:cs="Arial"/>
        </w:rPr>
        <w:br w:type="page"/>
      </w:r>
    </w:p>
    <w:p w14:paraId="56504BAF" w14:textId="23101EBF" w:rsidR="00662C3C" w:rsidRPr="0089427E" w:rsidRDefault="00237869" w:rsidP="0089427E">
      <w:pPr>
        <w:spacing w:line="360" w:lineRule="auto"/>
        <w:jc w:val="both"/>
        <w:rPr>
          <w:rFonts w:ascii="Arial" w:hAnsi="Arial" w:cs="Arial"/>
          <w:b/>
          <w:bCs/>
        </w:rPr>
      </w:pPr>
      <w:r w:rsidRPr="0089427E">
        <w:rPr>
          <w:rFonts w:ascii="Arial" w:hAnsi="Arial" w:cs="Arial"/>
          <w:b/>
          <w:bCs/>
        </w:rPr>
        <w:lastRenderedPageBreak/>
        <w:t>Reference list</w:t>
      </w:r>
    </w:p>
    <w:p w14:paraId="4542700D" w14:textId="3BF70B0D" w:rsidR="00734228" w:rsidRPr="0089427E" w:rsidRDefault="00734228" w:rsidP="00E52629">
      <w:pPr>
        <w:spacing w:line="360" w:lineRule="auto"/>
        <w:ind w:hanging="284"/>
        <w:rPr>
          <w:rFonts w:ascii="Arial" w:hAnsi="Arial" w:cs="Arial"/>
        </w:rPr>
      </w:pPr>
      <w:r w:rsidRPr="0089427E">
        <w:rPr>
          <w:rFonts w:ascii="Arial" w:hAnsi="Arial" w:cs="Arial"/>
        </w:rPr>
        <w:t>Åkerman, E., Wängborg, A., Persson, M., Sörensdotter, R. and Klingberg-Allvin, M. (2024) ‘</w:t>
      </w:r>
      <w:r w:rsidR="00C16F2F" w:rsidRPr="0089427E">
        <w:rPr>
          <w:rFonts w:ascii="Arial" w:hAnsi="Arial" w:cs="Arial"/>
        </w:rPr>
        <w:t xml:space="preserve">Navigating menstrual stigma and norms: a qualitative study on young people’s menstrual experiences and strategies for improving menstrual health’, </w:t>
      </w:r>
      <w:r w:rsidR="00C16F2F" w:rsidRPr="0089427E">
        <w:rPr>
          <w:rFonts w:ascii="Arial" w:hAnsi="Arial" w:cs="Arial"/>
          <w:i/>
          <w:iCs/>
        </w:rPr>
        <w:t>BMC Public Health</w:t>
      </w:r>
      <w:r w:rsidR="00C16F2F" w:rsidRPr="0089427E">
        <w:rPr>
          <w:rFonts w:ascii="Arial" w:hAnsi="Arial" w:cs="Arial"/>
        </w:rPr>
        <w:t>, 24 (December) article 3401. Available at: https://doi.org/10.1186/s12889-024-20936-5</w:t>
      </w:r>
      <w:r w:rsidR="00C16F2F" w:rsidRPr="0089427E">
        <w:rPr>
          <w:rFonts w:ascii="Arial" w:hAnsi="Arial" w:cs="Arial"/>
          <w:b/>
          <w:bCs/>
        </w:rPr>
        <w:t xml:space="preserve"> </w:t>
      </w:r>
    </w:p>
    <w:p w14:paraId="6C131D7B" w14:textId="3ACF7EDB" w:rsidR="00237869" w:rsidRPr="0089427E" w:rsidRDefault="00C11876" w:rsidP="00E52629">
      <w:pPr>
        <w:spacing w:line="360" w:lineRule="auto"/>
        <w:ind w:hanging="284"/>
        <w:rPr>
          <w:rFonts w:ascii="Arial" w:hAnsi="Arial" w:cs="Arial"/>
        </w:rPr>
      </w:pPr>
      <w:r w:rsidRPr="0089427E">
        <w:rPr>
          <w:rFonts w:ascii="Arial" w:hAnsi="Arial" w:cs="Arial"/>
        </w:rPr>
        <w:t xml:space="preserve">Alam, M-U., Luby, S.P., Halder, A.K., Islam, K., Opel, A., Shoab, </w:t>
      </w:r>
      <w:r w:rsidR="009D07B2" w:rsidRPr="0089427E">
        <w:rPr>
          <w:rFonts w:ascii="Arial" w:hAnsi="Arial" w:cs="Arial"/>
        </w:rPr>
        <w:t xml:space="preserve">A.K., </w:t>
      </w:r>
      <w:r w:rsidR="0034479E" w:rsidRPr="0089427E">
        <w:rPr>
          <w:rFonts w:ascii="Arial" w:hAnsi="Arial" w:cs="Arial"/>
        </w:rPr>
        <w:t>Ghosh, P.K., Rahman, M., Mahon, T. and Unicomb, L. (2017)</w:t>
      </w:r>
      <w:r w:rsidR="00C40EC1" w:rsidRPr="0089427E">
        <w:rPr>
          <w:rFonts w:ascii="Arial" w:hAnsi="Arial" w:cs="Arial"/>
        </w:rPr>
        <w:t xml:space="preserve"> ‘Menstrual hygiene management among Bangladeshi adolescent schoolgirls and risk factors affecting school absence: results from a cross-sectional survey’, </w:t>
      </w:r>
      <w:r w:rsidR="00C40EC1" w:rsidRPr="0089427E">
        <w:rPr>
          <w:rFonts w:ascii="Arial" w:hAnsi="Arial" w:cs="Arial"/>
          <w:i/>
          <w:iCs/>
        </w:rPr>
        <w:t>BMJ Open</w:t>
      </w:r>
      <w:r w:rsidR="00C40EC1" w:rsidRPr="0089427E">
        <w:rPr>
          <w:rFonts w:ascii="Arial" w:hAnsi="Arial" w:cs="Arial"/>
        </w:rPr>
        <w:t xml:space="preserve">, </w:t>
      </w:r>
      <w:r w:rsidR="00E03D34" w:rsidRPr="0089427E">
        <w:rPr>
          <w:rFonts w:ascii="Arial" w:hAnsi="Arial" w:cs="Arial"/>
        </w:rPr>
        <w:t xml:space="preserve">7(7). Available at: https://doi.org/10.1136/bmjopen-2016-015508 </w:t>
      </w:r>
    </w:p>
    <w:p w14:paraId="02D48148" w14:textId="4ACE8544" w:rsidR="006F56E8" w:rsidRPr="0089427E" w:rsidRDefault="006F56E8" w:rsidP="00E52629">
      <w:pPr>
        <w:spacing w:line="360" w:lineRule="auto"/>
        <w:ind w:hanging="284"/>
        <w:rPr>
          <w:rFonts w:ascii="Arial" w:hAnsi="Arial" w:cs="Arial"/>
        </w:rPr>
      </w:pPr>
      <w:r w:rsidRPr="0089427E">
        <w:rPr>
          <w:rFonts w:ascii="Arial" w:hAnsi="Arial" w:cs="Arial"/>
        </w:rPr>
        <w:t xml:space="preserve">Andritoi, C. (2007) ‘Equality – A Contested Concept’, </w:t>
      </w:r>
      <w:r w:rsidR="00A17C7F" w:rsidRPr="0089427E">
        <w:rPr>
          <w:rFonts w:ascii="Arial" w:hAnsi="Arial" w:cs="Arial"/>
          <w:i/>
          <w:iCs/>
        </w:rPr>
        <w:t>Annales Universitatis Apulensis Series Jurisprudentia</w:t>
      </w:r>
      <w:r w:rsidR="00A17C7F" w:rsidRPr="0089427E">
        <w:rPr>
          <w:rFonts w:ascii="Arial" w:hAnsi="Arial" w:cs="Arial"/>
        </w:rPr>
        <w:t xml:space="preserve">, 10. Available at: https://heinonline.org/HOL/LandingPage?handle=hein.journals/auaplsj10&amp;div=4&amp;id=&amp;page= (Accessed: 26 October 2025). </w:t>
      </w:r>
    </w:p>
    <w:p w14:paraId="6FC52D24" w14:textId="7692F355" w:rsidR="00B73019" w:rsidRPr="0089427E" w:rsidRDefault="000C62FB" w:rsidP="00E52629">
      <w:pPr>
        <w:spacing w:line="360" w:lineRule="auto"/>
        <w:ind w:hanging="284"/>
        <w:rPr>
          <w:rFonts w:ascii="Arial" w:hAnsi="Arial" w:cs="Arial"/>
          <w:b/>
          <w:bCs/>
        </w:rPr>
      </w:pPr>
      <w:r w:rsidRPr="0089427E">
        <w:rPr>
          <w:rFonts w:ascii="Arial" w:hAnsi="Arial" w:cs="Arial"/>
        </w:rPr>
        <w:t xml:space="preserve">Askin, E. and Stoll, H. (eds) (2024) </w:t>
      </w:r>
      <w:r w:rsidR="00BD21B4" w:rsidRPr="0089427E">
        <w:rPr>
          <w:rFonts w:ascii="Arial" w:hAnsi="Arial" w:cs="Arial"/>
          <w:i/>
          <w:iCs/>
        </w:rPr>
        <w:t>Contested Equality:</w:t>
      </w:r>
      <w:r w:rsidR="00BD21B4" w:rsidRPr="0089427E">
        <w:rPr>
          <w:rFonts w:ascii="Arial" w:hAnsi="Arial" w:cs="Arial"/>
          <w:b/>
          <w:bCs/>
          <w:i/>
          <w:iCs/>
        </w:rPr>
        <w:t xml:space="preserve"> </w:t>
      </w:r>
      <w:r w:rsidR="00BD21B4" w:rsidRPr="0089427E">
        <w:rPr>
          <w:rFonts w:ascii="Arial" w:hAnsi="Arial" w:cs="Arial"/>
          <w:i/>
          <w:iCs/>
        </w:rPr>
        <w:t>International and Comparative Legal Perspectives</w:t>
      </w:r>
      <w:r w:rsidR="00BD21B4" w:rsidRPr="0089427E">
        <w:rPr>
          <w:rFonts w:ascii="Arial" w:hAnsi="Arial" w:cs="Arial"/>
        </w:rPr>
        <w:t xml:space="preserve">. </w:t>
      </w:r>
      <w:r w:rsidR="002F0508" w:rsidRPr="0089427E">
        <w:rPr>
          <w:rFonts w:ascii="Arial" w:hAnsi="Arial" w:cs="Arial"/>
        </w:rPr>
        <w:t xml:space="preserve">Cheltenham: Edward Elgar Publishing. </w:t>
      </w:r>
    </w:p>
    <w:p w14:paraId="7D592318" w14:textId="13C08061" w:rsidR="00572EC6" w:rsidRPr="0089427E" w:rsidRDefault="00572EC6" w:rsidP="00E52629">
      <w:pPr>
        <w:spacing w:line="360" w:lineRule="auto"/>
        <w:ind w:hanging="284"/>
        <w:rPr>
          <w:rFonts w:ascii="Arial" w:hAnsi="Arial" w:cs="Arial"/>
        </w:rPr>
      </w:pPr>
      <w:r w:rsidRPr="0089427E">
        <w:rPr>
          <w:rFonts w:ascii="Arial" w:hAnsi="Arial" w:cs="Arial"/>
        </w:rPr>
        <w:t>Babbar, K., Martin, J., Ruiz, J., Parry, A.A. and Sommer, M. (2022) ‘</w:t>
      </w:r>
      <w:r w:rsidR="001D797B" w:rsidRPr="0089427E">
        <w:rPr>
          <w:rFonts w:ascii="Arial" w:hAnsi="Arial" w:cs="Arial"/>
        </w:rPr>
        <w:t xml:space="preserve">Menstrual health is a public health and human rights issue’, </w:t>
      </w:r>
      <w:r w:rsidR="001D797B" w:rsidRPr="0089427E">
        <w:rPr>
          <w:rFonts w:ascii="Arial" w:hAnsi="Arial" w:cs="Arial"/>
          <w:i/>
          <w:iCs/>
        </w:rPr>
        <w:t>The Lancet Public Health</w:t>
      </w:r>
      <w:r w:rsidR="001D797B" w:rsidRPr="0089427E">
        <w:rPr>
          <w:rFonts w:ascii="Arial" w:hAnsi="Arial" w:cs="Arial"/>
        </w:rPr>
        <w:t xml:space="preserve">, 7(1), pp. 10-11. Available at: https://www.thelancet.com/journals/lanpub/article/PIIS2468-2667(21)00212-7/fulltext (Accessed: 2 November 2025). </w:t>
      </w:r>
    </w:p>
    <w:p w14:paraId="4DA2BF7F" w14:textId="4B79B821" w:rsidR="00244653" w:rsidRPr="0089427E" w:rsidRDefault="00244653" w:rsidP="00E52629">
      <w:pPr>
        <w:spacing w:line="360" w:lineRule="auto"/>
        <w:ind w:hanging="284"/>
        <w:rPr>
          <w:rFonts w:ascii="Arial" w:hAnsi="Arial" w:cs="Arial"/>
        </w:rPr>
      </w:pPr>
      <w:r w:rsidRPr="0089427E">
        <w:rPr>
          <w:rFonts w:ascii="Arial" w:hAnsi="Arial" w:cs="Arial"/>
        </w:rPr>
        <w:t>Bagala, L., Mahon, T., Mura</w:t>
      </w:r>
      <w:r w:rsidR="000D42BF" w:rsidRPr="0089427E">
        <w:rPr>
          <w:rFonts w:ascii="Arial" w:hAnsi="Arial" w:cs="Arial"/>
        </w:rPr>
        <w:t>l</w:t>
      </w:r>
      <w:r w:rsidRPr="0089427E">
        <w:rPr>
          <w:rFonts w:ascii="Arial" w:hAnsi="Arial" w:cs="Arial"/>
        </w:rPr>
        <w:t>idharan, A. and Wilson, E. (2023) ‘</w:t>
      </w:r>
      <w:r w:rsidR="00FA3A27" w:rsidRPr="0089427E">
        <w:rPr>
          <w:rFonts w:ascii="Arial" w:hAnsi="Arial" w:cs="Arial"/>
        </w:rPr>
        <w:t xml:space="preserve">There can be no gender equality without menstrual justice’, </w:t>
      </w:r>
      <w:r w:rsidR="000D42BF" w:rsidRPr="0089427E">
        <w:rPr>
          <w:rFonts w:ascii="Arial" w:hAnsi="Arial" w:cs="Arial"/>
          <w:i/>
          <w:iCs/>
        </w:rPr>
        <w:t>BMJ</w:t>
      </w:r>
      <w:r w:rsidR="000D42BF" w:rsidRPr="0089427E">
        <w:rPr>
          <w:rFonts w:ascii="Arial" w:hAnsi="Arial" w:cs="Arial"/>
        </w:rPr>
        <w:t xml:space="preserve">, 382. Available at: </w:t>
      </w:r>
      <w:r w:rsidR="00DD6E52" w:rsidRPr="0089427E">
        <w:rPr>
          <w:rFonts w:ascii="Arial" w:hAnsi="Arial" w:cs="Arial"/>
        </w:rPr>
        <w:t xml:space="preserve">https://doi.org/10.1136/bmj.p2079 </w:t>
      </w:r>
    </w:p>
    <w:p w14:paraId="5848CAE9" w14:textId="74CF80DE" w:rsidR="00355051" w:rsidRPr="0089427E" w:rsidRDefault="00355051" w:rsidP="00E52629">
      <w:pPr>
        <w:spacing w:line="360" w:lineRule="auto"/>
        <w:ind w:hanging="284"/>
        <w:rPr>
          <w:rFonts w:ascii="Arial" w:hAnsi="Arial" w:cs="Arial"/>
        </w:rPr>
      </w:pPr>
      <w:r w:rsidRPr="0089427E">
        <w:rPr>
          <w:rFonts w:ascii="Arial" w:hAnsi="Arial" w:cs="Arial"/>
        </w:rPr>
        <w:t xml:space="preserve">Barnett, E. (2021) </w:t>
      </w:r>
      <w:r w:rsidRPr="0089427E">
        <w:rPr>
          <w:rFonts w:ascii="Arial" w:hAnsi="Arial" w:cs="Arial"/>
          <w:i/>
          <w:iCs/>
        </w:rPr>
        <w:t>Period</w:t>
      </w:r>
      <w:r w:rsidRPr="0089427E">
        <w:rPr>
          <w:rFonts w:ascii="Arial" w:hAnsi="Arial" w:cs="Arial"/>
        </w:rPr>
        <w:t>. 2nd edn. London: HQ.</w:t>
      </w:r>
    </w:p>
    <w:p w14:paraId="245E98EB" w14:textId="3FB290BB" w:rsidR="00197FBE" w:rsidRPr="0089427E" w:rsidRDefault="00197FBE" w:rsidP="00E52629">
      <w:pPr>
        <w:spacing w:line="360" w:lineRule="auto"/>
        <w:ind w:hanging="284"/>
        <w:rPr>
          <w:rFonts w:ascii="Arial" w:hAnsi="Arial" w:cs="Arial"/>
        </w:rPr>
      </w:pPr>
      <w:r w:rsidRPr="0089427E">
        <w:rPr>
          <w:rFonts w:ascii="Arial" w:hAnsi="Arial" w:cs="Arial"/>
        </w:rPr>
        <w:t xml:space="preserve">Bobel, C., Winkler, I.T., Fahs, B., Hasson, K.A., Kissling, E.A. and Roberts, T-A. (eds) (2020) </w:t>
      </w:r>
      <w:r w:rsidRPr="0089427E">
        <w:rPr>
          <w:rFonts w:ascii="Arial" w:hAnsi="Arial" w:cs="Arial"/>
          <w:i/>
          <w:iCs/>
        </w:rPr>
        <w:t>The Palgrave Handbook of Critical Menstruation Studies.</w:t>
      </w:r>
      <w:r w:rsidRPr="0089427E">
        <w:rPr>
          <w:rFonts w:ascii="Arial" w:hAnsi="Arial" w:cs="Arial"/>
        </w:rPr>
        <w:t xml:space="preserve"> Singapore: Palgrave Macmillan.</w:t>
      </w:r>
    </w:p>
    <w:p w14:paraId="6BAF8428" w14:textId="259AA969" w:rsidR="00FF1F5F" w:rsidRPr="0089427E" w:rsidRDefault="008F4EB3" w:rsidP="00E52629">
      <w:pPr>
        <w:spacing w:line="360" w:lineRule="auto"/>
        <w:ind w:hanging="284"/>
        <w:rPr>
          <w:rFonts w:ascii="Arial" w:hAnsi="Arial" w:cs="Arial"/>
        </w:rPr>
      </w:pPr>
      <w:r w:rsidRPr="0089427E">
        <w:rPr>
          <w:rFonts w:ascii="Arial" w:hAnsi="Arial" w:cs="Arial"/>
        </w:rPr>
        <w:t xml:space="preserve">Breau, S. and </w:t>
      </w:r>
      <w:r w:rsidR="00577B04" w:rsidRPr="0089427E">
        <w:rPr>
          <w:rFonts w:ascii="Arial" w:hAnsi="Arial" w:cs="Arial"/>
        </w:rPr>
        <w:t xml:space="preserve">Essletzbichler, J. (2013) ‘Contesting inequality’, </w:t>
      </w:r>
      <w:r w:rsidR="00806642" w:rsidRPr="0089427E">
        <w:rPr>
          <w:rFonts w:ascii="Arial" w:hAnsi="Arial" w:cs="Arial"/>
          <w:i/>
          <w:iCs/>
        </w:rPr>
        <w:t>Environment and Planning A,</w:t>
      </w:r>
      <w:r w:rsidR="00806642" w:rsidRPr="0089427E">
        <w:rPr>
          <w:rFonts w:ascii="Arial" w:hAnsi="Arial" w:cs="Arial"/>
        </w:rPr>
        <w:t xml:space="preserve"> 45, pp. 1775-1784. Available at: </w:t>
      </w:r>
      <w:hyperlink r:id="rId11" w:history="1">
        <w:r w:rsidR="00FF1F5F" w:rsidRPr="0089427E">
          <w:rPr>
            <w:rStyle w:val="Hyperlink"/>
            <w:rFonts w:ascii="Arial" w:hAnsi="Arial" w:cs="Arial"/>
            <w:color w:val="auto"/>
            <w:u w:val="none"/>
          </w:rPr>
          <w:t>https://doi.org/10.1068/a46244</w:t>
        </w:r>
      </w:hyperlink>
    </w:p>
    <w:p w14:paraId="7BFDE8B6" w14:textId="5CC41888" w:rsidR="00FF1F5F" w:rsidRPr="0089427E" w:rsidRDefault="00FF1F5F" w:rsidP="00E52629">
      <w:pPr>
        <w:spacing w:line="360" w:lineRule="auto"/>
        <w:ind w:hanging="284"/>
        <w:rPr>
          <w:rFonts w:ascii="Arial" w:hAnsi="Arial" w:cs="Arial"/>
        </w:rPr>
      </w:pPr>
      <w:r w:rsidRPr="0089427E">
        <w:rPr>
          <w:rFonts w:ascii="Arial" w:hAnsi="Arial" w:cs="Arial"/>
        </w:rPr>
        <w:lastRenderedPageBreak/>
        <w:t>Brown</w:t>
      </w:r>
      <w:r w:rsidR="00261D7C" w:rsidRPr="0089427E">
        <w:rPr>
          <w:rFonts w:ascii="Arial" w:hAnsi="Arial" w:cs="Arial"/>
        </w:rPr>
        <w:t>, N., Williams, R., Bruinvels, G., Piasecki, J. and Forrest, L.J. (2022) ‘</w:t>
      </w:r>
      <w:r w:rsidR="00071AB5" w:rsidRPr="0089427E">
        <w:rPr>
          <w:rFonts w:ascii="Arial" w:hAnsi="Arial" w:cs="Arial"/>
        </w:rPr>
        <w:t xml:space="preserve">Teachers' Perceptions and Experiences of Menstrual Cycle Education and Support in UK Schools’, </w:t>
      </w:r>
      <w:r w:rsidR="00071AB5" w:rsidRPr="0089427E">
        <w:rPr>
          <w:rFonts w:ascii="Arial" w:hAnsi="Arial" w:cs="Arial"/>
          <w:i/>
          <w:iCs/>
        </w:rPr>
        <w:t>Frontiers in Global Women’s Health</w:t>
      </w:r>
      <w:r w:rsidR="00071AB5" w:rsidRPr="0089427E">
        <w:rPr>
          <w:rFonts w:ascii="Arial" w:hAnsi="Arial" w:cs="Arial"/>
        </w:rPr>
        <w:t xml:space="preserve">, 3. Available at: </w:t>
      </w:r>
      <w:r w:rsidR="00900279" w:rsidRPr="0089427E">
        <w:rPr>
          <w:rFonts w:ascii="Arial" w:hAnsi="Arial" w:cs="Arial"/>
        </w:rPr>
        <w:t xml:space="preserve">https://doi.org/10.3389/fgwh.2022.827365 </w:t>
      </w:r>
    </w:p>
    <w:p w14:paraId="0628EF8F" w14:textId="65A6CB24" w:rsidR="00DC215C" w:rsidRPr="0089427E" w:rsidRDefault="00DC215C" w:rsidP="00E52629">
      <w:pPr>
        <w:spacing w:line="360" w:lineRule="auto"/>
        <w:ind w:hanging="284"/>
        <w:rPr>
          <w:rFonts w:ascii="Arial" w:hAnsi="Arial" w:cs="Arial"/>
        </w:rPr>
      </w:pPr>
      <w:r w:rsidRPr="0089427E">
        <w:rPr>
          <w:rFonts w:ascii="Arial" w:hAnsi="Arial" w:cs="Arial"/>
        </w:rPr>
        <w:t>Cardoso, L.F., Scolese, A.M., Hamidaddin, A. and Gupta, J. (2021) ‘</w:t>
      </w:r>
      <w:r w:rsidR="00356E57" w:rsidRPr="0089427E">
        <w:rPr>
          <w:rFonts w:ascii="Arial" w:hAnsi="Arial" w:cs="Arial"/>
        </w:rPr>
        <w:t xml:space="preserve">Period poverty and mental health implications among college-aged women in the United States’, </w:t>
      </w:r>
      <w:r w:rsidR="00356E57" w:rsidRPr="0089427E">
        <w:rPr>
          <w:rFonts w:ascii="Arial" w:hAnsi="Arial" w:cs="Arial"/>
          <w:i/>
          <w:iCs/>
        </w:rPr>
        <w:t>BMC Women’s Health</w:t>
      </w:r>
      <w:r w:rsidR="00356E57" w:rsidRPr="0089427E">
        <w:rPr>
          <w:rFonts w:ascii="Arial" w:hAnsi="Arial" w:cs="Arial"/>
        </w:rPr>
        <w:t xml:space="preserve">, 21 </w:t>
      </w:r>
      <w:r w:rsidR="00294445" w:rsidRPr="0089427E">
        <w:rPr>
          <w:rFonts w:ascii="Arial" w:hAnsi="Arial" w:cs="Arial"/>
        </w:rPr>
        <w:t xml:space="preserve">(January) article </w:t>
      </w:r>
      <w:r w:rsidR="00EA1730" w:rsidRPr="0089427E">
        <w:rPr>
          <w:rFonts w:ascii="Arial" w:hAnsi="Arial" w:cs="Arial"/>
        </w:rPr>
        <w:t xml:space="preserve">14. Available at: https://doi.org/10.1186/s12905-020-01149-5 </w:t>
      </w:r>
    </w:p>
    <w:p w14:paraId="72D9F34E" w14:textId="12114EC0" w:rsidR="008C307A" w:rsidRPr="0089427E" w:rsidRDefault="008C307A" w:rsidP="00E52629">
      <w:pPr>
        <w:spacing w:line="360" w:lineRule="auto"/>
        <w:ind w:hanging="284"/>
        <w:rPr>
          <w:rFonts w:ascii="Arial" w:hAnsi="Arial" w:cs="Arial"/>
          <w:b/>
          <w:bCs/>
        </w:rPr>
      </w:pPr>
      <w:r w:rsidRPr="0089427E">
        <w:rPr>
          <w:rFonts w:ascii="Arial" w:hAnsi="Arial" w:cs="Arial"/>
        </w:rPr>
        <w:t>Casola, A.R., Luber, K. and Riley, A.H. (2023) ‘</w:t>
      </w:r>
      <w:r w:rsidR="00E46A9C" w:rsidRPr="0089427E">
        <w:rPr>
          <w:rFonts w:ascii="Arial" w:hAnsi="Arial" w:cs="Arial"/>
        </w:rPr>
        <w:t>Period Poverty: An Epidemiologic and Biopsychosocial Analysis’</w:t>
      </w:r>
      <w:r w:rsidR="00E46A9C" w:rsidRPr="0089427E">
        <w:rPr>
          <w:rFonts w:ascii="Arial" w:hAnsi="Arial" w:cs="Arial"/>
          <w:i/>
          <w:iCs/>
        </w:rPr>
        <w:t>, Health Promotion Practice</w:t>
      </w:r>
      <w:r w:rsidR="00E46A9C" w:rsidRPr="0089427E">
        <w:rPr>
          <w:rFonts w:ascii="Arial" w:hAnsi="Arial" w:cs="Arial"/>
        </w:rPr>
        <w:t>, 26(1), pp. 65-74. Available at: https://doi.org/10.1177/15248399231192998</w:t>
      </w:r>
      <w:r w:rsidR="00E46A9C" w:rsidRPr="0089427E">
        <w:rPr>
          <w:rFonts w:ascii="Arial" w:hAnsi="Arial" w:cs="Arial"/>
          <w:b/>
          <w:bCs/>
        </w:rPr>
        <w:t xml:space="preserve"> </w:t>
      </w:r>
    </w:p>
    <w:p w14:paraId="64732877" w14:textId="55162902" w:rsidR="008E022D" w:rsidRPr="0089427E" w:rsidRDefault="008E022D" w:rsidP="00E52629">
      <w:pPr>
        <w:spacing w:line="360" w:lineRule="auto"/>
        <w:ind w:hanging="284"/>
        <w:rPr>
          <w:rFonts w:ascii="Arial" w:hAnsi="Arial" w:cs="Arial"/>
        </w:rPr>
      </w:pPr>
      <w:r w:rsidRPr="0089427E">
        <w:rPr>
          <w:rFonts w:ascii="Arial" w:hAnsi="Arial" w:cs="Arial"/>
        </w:rPr>
        <w:t xml:space="preserve">Choi, H., Lim, N-K., Jung, H., Kim, O. and Park, H-Y. (2021) ‘Use of Menstrual Sanitary Products in Women of Reproductive Age: Korea Nurses’ Health Study’, </w:t>
      </w:r>
      <w:r w:rsidRPr="0089427E">
        <w:rPr>
          <w:rFonts w:ascii="Arial" w:hAnsi="Arial" w:cs="Arial"/>
          <w:i/>
          <w:iCs/>
        </w:rPr>
        <w:t>Osong Public Health and Research Perspectives</w:t>
      </w:r>
      <w:r w:rsidRPr="0089427E">
        <w:rPr>
          <w:rFonts w:ascii="Arial" w:hAnsi="Arial" w:cs="Arial"/>
        </w:rPr>
        <w:t>, 12(1), pp. 20-28. Available at: https://doi.org/10.24171/j.phrp.2021.12.1.04</w:t>
      </w:r>
    </w:p>
    <w:p w14:paraId="065532EA" w14:textId="18697DD2" w:rsidR="008907C8" w:rsidRPr="0089427E" w:rsidRDefault="008907C8" w:rsidP="00E52629">
      <w:pPr>
        <w:spacing w:line="360" w:lineRule="auto"/>
        <w:ind w:hanging="284"/>
        <w:rPr>
          <w:rFonts w:ascii="Arial" w:hAnsi="Arial" w:cs="Arial"/>
        </w:rPr>
      </w:pPr>
      <w:r w:rsidRPr="0089427E">
        <w:rPr>
          <w:rFonts w:ascii="Arial" w:hAnsi="Arial" w:cs="Arial"/>
        </w:rPr>
        <w:t>Cohen, D.K. and Karim, S.M. (2021) ‘</w:t>
      </w:r>
      <w:r w:rsidR="00101533" w:rsidRPr="0089427E">
        <w:rPr>
          <w:rFonts w:ascii="Arial" w:hAnsi="Arial" w:cs="Arial"/>
        </w:rPr>
        <w:t xml:space="preserve">Does More Equality for Women Mean Less War? Rethinking Sex and Gender Inequality and Political Violence’, </w:t>
      </w:r>
      <w:r w:rsidR="00101533" w:rsidRPr="0089427E">
        <w:rPr>
          <w:rFonts w:ascii="Arial" w:hAnsi="Arial" w:cs="Arial"/>
          <w:i/>
          <w:iCs/>
        </w:rPr>
        <w:t>International Organization</w:t>
      </w:r>
      <w:r w:rsidR="00101533" w:rsidRPr="0089427E">
        <w:rPr>
          <w:rFonts w:ascii="Arial" w:hAnsi="Arial" w:cs="Arial"/>
        </w:rPr>
        <w:t xml:space="preserve">, 76(2), pp. 414-444. Available at: https://doi.org/10.1017/S0020818321000333 </w:t>
      </w:r>
    </w:p>
    <w:p w14:paraId="105F5BFD" w14:textId="4AF2E90B" w:rsidR="005C4119" w:rsidRPr="0089427E" w:rsidRDefault="005C4119" w:rsidP="00E52629">
      <w:pPr>
        <w:spacing w:line="360" w:lineRule="auto"/>
        <w:ind w:hanging="284"/>
        <w:rPr>
          <w:rFonts w:ascii="Arial" w:hAnsi="Arial" w:cs="Arial"/>
          <w:b/>
          <w:bCs/>
        </w:rPr>
      </w:pPr>
      <w:r w:rsidRPr="0089427E">
        <w:rPr>
          <w:rFonts w:ascii="Arial" w:hAnsi="Arial" w:cs="Arial"/>
        </w:rPr>
        <w:t>Collins, P.H. (1997) ‘</w:t>
      </w:r>
      <w:r w:rsidR="003516F4" w:rsidRPr="0089427E">
        <w:rPr>
          <w:rFonts w:ascii="Arial" w:hAnsi="Arial" w:cs="Arial"/>
        </w:rPr>
        <w:t>Comment on Hekman's "Truth and Method: Feminist Standpoint Theory Revisited": Where's the Power?’,</w:t>
      </w:r>
      <w:r w:rsidR="003516F4" w:rsidRPr="0089427E">
        <w:rPr>
          <w:rFonts w:ascii="Arial" w:hAnsi="Arial" w:cs="Arial"/>
          <w:b/>
          <w:bCs/>
        </w:rPr>
        <w:t xml:space="preserve"> </w:t>
      </w:r>
      <w:r w:rsidR="003516F4" w:rsidRPr="0089427E">
        <w:rPr>
          <w:rFonts w:ascii="Arial" w:hAnsi="Arial" w:cs="Arial"/>
          <w:i/>
          <w:iCs/>
        </w:rPr>
        <w:t>Signs: Journal of Women in Culture and Society</w:t>
      </w:r>
      <w:r w:rsidR="003516F4" w:rsidRPr="0089427E">
        <w:rPr>
          <w:rFonts w:ascii="Arial" w:hAnsi="Arial" w:cs="Arial"/>
        </w:rPr>
        <w:t>, 22(2). Available at: https://doi.org/10.1086/495162</w:t>
      </w:r>
      <w:r w:rsidR="003516F4" w:rsidRPr="0089427E">
        <w:rPr>
          <w:rFonts w:ascii="Arial" w:hAnsi="Arial" w:cs="Arial"/>
          <w:b/>
          <w:bCs/>
        </w:rPr>
        <w:t xml:space="preserve"> </w:t>
      </w:r>
    </w:p>
    <w:p w14:paraId="605E9E14" w14:textId="063DAE0B" w:rsidR="00C82E48" w:rsidRPr="0089427E" w:rsidRDefault="00C82E48" w:rsidP="00E52629">
      <w:pPr>
        <w:spacing w:line="360" w:lineRule="auto"/>
        <w:ind w:hanging="284"/>
        <w:rPr>
          <w:rFonts w:ascii="Arial" w:hAnsi="Arial" w:cs="Arial"/>
        </w:rPr>
      </w:pPr>
      <w:r w:rsidRPr="0089427E">
        <w:rPr>
          <w:rFonts w:ascii="Arial" w:hAnsi="Arial" w:cs="Arial"/>
        </w:rPr>
        <w:t>Costa, C., Burke, C. and Murphy</w:t>
      </w:r>
      <w:r w:rsidR="00DB2E07" w:rsidRPr="0089427E">
        <w:rPr>
          <w:rFonts w:ascii="Arial" w:hAnsi="Arial" w:cs="Arial"/>
        </w:rPr>
        <w:t xml:space="preserve">, M. (2018) ‘Capturing habitus: theory, method and reflexivity’, </w:t>
      </w:r>
      <w:r w:rsidR="00DB2E07" w:rsidRPr="0089427E">
        <w:rPr>
          <w:rFonts w:ascii="Arial" w:hAnsi="Arial" w:cs="Arial"/>
          <w:i/>
          <w:iCs/>
        </w:rPr>
        <w:t>International Journal of Research &amp; Method in Education</w:t>
      </w:r>
      <w:r w:rsidR="00DB2E07" w:rsidRPr="0089427E">
        <w:rPr>
          <w:rFonts w:ascii="Arial" w:hAnsi="Arial" w:cs="Arial"/>
        </w:rPr>
        <w:t xml:space="preserve">, </w:t>
      </w:r>
      <w:r w:rsidR="001E3EAE" w:rsidRPr="0089427E">
        <w:rPr>
          <w:rFonts w:ascii="Arial" w:hAnsi="Arial" w:cs="Arial"/>
        </w:rPr>
        <w:t xml:space="preserve">42(1), pp. 19-32. Available at: https://doi.org/10.1080/1743727X.2017.1420771 </w:t>
      </w:r>
    </w:p>
    <w:p w14:paraId="19DA96F5" w14:textId="6811E9BD" w:rsidR="00EF0580" w:rsidRPr="0089427E" w:rsidRDefault="00EF0580" w:rsidP="00E52629">
      <w:pPr>
        <w:spacing w:line="360" w:lineRule="auto"/>
        <w:ind w:hanging="284"/>
        <w:rPr>
          <w:rFonts w:ascii="Arial" w:hAnsi="Arial" w:cs="Arial"/>
        </w:rPr>
      </w:pPr>
      <w:r w:rsidRPr="0089427E">
        <w:rPr>
          <w:rFonts w:ascii="Arial" w:hAnsi="Arial" w:cs="Arial"/>
          <w:i/>
          <w:iCs/>
        </w:rPr>
        <w:t>Curriculum and Assessment (Wales) Act 2021</w:t>
      </w:r>
      <w:r w:rsidRPr="0089427E">
        <w:rPr>
          <w:rFonts w:ascii="Arial" w:hAnsi="Arial" w:cs="Arial"/>
        </w:rPr>
        <w:t xml:space="preserve"> (asc 4). Available at: https://www.legislation.gov.uk/asc/2021/4/contents/enacted (Accessed: 15 October 2025).</w:t>
      </w:r>
    </w:p>
    <w:p w14:paraId="1584E399" w14:textId="3BC0CE21" w:rsidR="0027785D" w:rsidRPr="0089427E" w:rsidRDefault="0027785D" w:rsidP="00E52629">
      <w:pPr>
        <w:spacing w:line="360" w:lineRule="auto"/>
        <w:ind w:hanging="284"/>
        <w:rPr>
          <w:rFonts w:ascii="Arial" w:hAnsi="Arial" w:cs="Arial"/>
        </w:rPr>
      </w:pPr>
      <w:r w:rsidRPr="0089427E">
        <w:rPr>
          <w:rFonts w:ascii="Arial" w:hAnsi="Arial" w:cs="Arial"/>
        </w:rPr>
        <w:t xml:space="preserve">Dahl, R.A. (1996) ‘Equality versus Inequality’, </w:t>
      </w:r>
      <w:r w:rsidRPr="0089427E">
        <w:rPr>
          <w:rFonts w:ascii="Arial" w:hAnsi="Arial" w:cs="Arial"/>
          <w:i/>
          <w:iCs/>
        </w:rPr>
        <w:t>PS: Political Science &amp; Politics</w:t>
      </w:r>
      <w:r w:rsidRPr="0089427E">
        <w:rPr>
          <w:rFonts w:ascii="Arial" w:hAnsi="Arial" w:cs="Arial"/>
        </w:rPr>
        <w:t xml:space="preserve">, 29(4), pp. 639-648. Available at: https://doi.org/10.2307/420786 </w:t>
      </w:r>
    </w:p>
    <w:p w14:paraId="27720136" w14:textId="01508AF4" w:rsidR="00C153E6" w:rsidRPr="0089427E" w:rsidRDefault="00C153E6" w:rsidP="00E52629">
      <w:pPr>
        <w:spacing w:line="360" w:lineRule="auto"/>
        <w:ind w:hanging="284"/>
        <w:rPr>
          <w:rFonts w:ascii="Arial" w:hAnsi="Arial" w:cs="Arial"/>
          <w:b/>
          <w:bCs/>
        </w:rPr>
      </w:pPr>
      <w:r w:rsidRPr="0089427E">
        <w:rPr>
          <w:rFonts w:ascii="Arial" w:hAnsi="Arial" w:cs="Arial"/>
        </w:rPr>
        <w:lastRenderedPageBreak/>
        <w:t>de V</w:t>
      </w:r>
      <w:r w:rsidR="00F74C96" w:rsidRPr="0089427E">
        <w:rPr>
          <w:rFonts w:ascii="Arial" w:hAnsi="Arial" w:cs="Arial"/>
        </w:rPr>
        <w:t>illarreal, M.P. and Scotton, P. (2024) ‘</w:t>
      </w:r>
      <w:proofErr w:type="gramStart"/>
      <w:r w:rsidR="00F74C96" w:rsidRPr="0089427E">
        <w:rPr>
          <w:rFonts w:ascii="Arial" w:hAnsi="Arial" w:cs="Arial"/>
        </w:rPr>
        <w:t>Yes</w:t>
      </w:r>
      <w:proofErr w:type="gramEnd"/>
      <w:r w:rsidR="00F74C96" w:rsidRPr="0089427E">
        <w:rPr>
          <w:rFonts w:ascii="Arial" w:hAnsi="Arial" w:cs="Arial"/>
        </w:rPr>
        <w:t xml:space="preserve"> We Can: Promoting Gender Equality from University to Primary Education Teaching through the Design of Knowledge Models’, </w:t>
      </w:r>
      <w:r w:rsidR="00F74C96" w:rsidRPr="0089427E">
        <w:rPr>
          <w:rFonts w:ascii="Arial" w:hAnsi="Arial" w:cs="Arial"/>
          <w:i/>
          <w:iCs/>
        </w:rPr>
        <w:t>Interchange</w:t>
      </w:r>
      <w:r w:rsidR="00F74C96" w:rsidRPr="0089427E">
        <w:rPr>
          <w:rFonts w:ascii="Arial" w:hAnsi="Arial" w:cs="Arial"/>
        </w:rPr>
        <w:t>, 55, pp. 349-365. Available at: https://doi.org/10.1007/s10780-024-09522-1</w:t>
      </w:r>
      <w:r w:rsidR="00F74C96" w:rsidRPr="0089427E">
        <w:rPr>
          <w:rFonts w:ascii="Arial" w:hAnsi="Arial" w:cs="Arial"/>
          <w:b/>
          <w:bCs/>
        </w:rPr>
        <w:t xml:space="preserve"> </w:t>
      </w:r>
    </w:p>
    <w:p w14:paraId="343B6819" w14:textId="7AD1785A" w:rsidR="0082571C" w:rsidRPr="0089427E" w:rsidRDefault="0082571C" w:rsidP="00E52629">
      <w:pPr>
        <w:spacing w:line="360" w:lineRule="auto"/>
        <w:ind w:hanging="284"/>
        <w:rPr>
          <w:rFonts w:ascii="Arial" w:hAnsi="Arial" w:cs="Arial"/>
        </w:rPr>
      </w:pPr>
      <w:r w:rsidRPr="0089427E">
        <w:rPr>
          <w:rFonts w:ascii="Arial" w:hAnsi="Arial" w:cs="Arial"/>
        </w:rPr>
        <w:t xml:space="preserve">Fennie, T., Moletsane, M. and Padmanabhanunni, A. (2022) ‘Adolescent girls’ perceptions and cultural beliefs about menstruation and menstrual practices: A scoping review’, </w:t>
      </w:r>
      <w:r w:rsidRPr="0089427E">
        <w:rPr>
          <w:rFonts w:ascii="Arial" w:hAnsi="Arial" w:cs="Arial"/>
          <w:i/>
          <w:iCs/>
        </w:rPr>
        <w:t>African Journal of Reproductive Health</w:t>
      </w:r>
      <w:r w:rsidRPr="0089427E">
        <w:rPr>
          <w:rFonts w:ascii="Arial" w:hAnsi="Arial" w:cs="Arial"/>
        </w:rPr>
        <w:t>, 26(2), pp. 88-105. Available at: https://www.ajol.info/index.php/ajrh/article/view/224348 (Accessed: 2</w:t>
      </w:r>
      <w:r w:rsidR="000A2785" w:rsidRPr="0089427E">
        <w:rPr>
          <w:rFonts w:ascii="Arial" w:hAnsi="Arial" w:cs="Arial"/>
        </w:rPr>
        <w:t>2 October</w:t>
      </w:r>
      <w:r w:rsidRPr="0089427E">
        <w:rPr>
          <w:rFonts w:ascii="Arial" w:hAnsi="Arial" w:cs="Arial"/>
        </w:rPr>
        <w:t xml:space="preserve"> 2025).</w:t>
      </w:r>
    </w:p>
    <w:p w14:paraId="5B5C7B7A" w14:textId="13A82B3A" w:rsidR="00CF1DE6" w:rsidRPr="0089427E" w:rsidRDefault="00CF1DE6" w:rsidP="00E52629">
      <w:pPr>
        <w:spacing w:line="360" w:lineRule="auto"/>
        <w:ind w:hanging="284"/>
        <w:rPr>
          <w:rFonts w:ascii="Arial" w:hAnsi="Arial" w:cs="Arial"/>
        </w:rPr>
      </w:pPr>
      <w:r w:rsidRPr="0089427E">
        <w:rPr>
          <w:rFonts w:ascii="Arial" w:hAnsi="Arial" w:cs="Arial"/>
        </w:rPr>
        <w:t xml:space="preserve">Ferfolja, T., Holmes, K., Curry, C., S., Parry, K. and Armour, M. (2023) ‘What can Australian schools do better? Supporting students during menstruation’, </w:t>
      </w:r>
      <w:r w:rsidRPr="0089427E">
        <w:rPr>
          <w:rFonts w:ascii="Arial" w:hAnsi="Arial" w:cs="Arial"/>
          <w:i/>
          <w:iCs/>
        </w:rPr>
        <w:t>The Australian Educational Researcher</w:t>
      </w:r>
      <w:r w:rsidRPr="0089427E">
        <w:rPr>
          <w:rFonts w:ascii="Arial" w:hAnsi="Arial" w:cs="Arial"/>
        </w:rPr>
        <w:t>, 51, pp. 497-514. Available at: https://doi.org/10.1007/s13384-023-00610-2 </w:t>
      </w:r>
    </w:p>
    <w:p w14:paraId="070264CD" w14:textId="03DFF908" w:rsidR="00AB4005" w:rsidRPr="0089427E" w:rsidRDefault="00AB4005" w:rsidP="00E52629">
      <w:pPr>
        <w:spacing w:line="360" w:lineRule="auto"/>
        <w:ind w:hanging="284"/>
        <w:rPr>
          <w:rFonts w:ascii="Arial" w:hAnsi="Arial" w:cs="Arial"/>
        </w:rPr>
      </w:pPr>
      <w:r w:rsidRPr="0089427E">
        <w:rPr>
          <w:rFonts w:ascii="Arial" w:hAnsi="Arial" w:cs="Arial"/>
        </w:rPr>
        <w:t>Flinders, M. and Lowery, G. (</w:t>
      </w:r>
      <w:r w:rsidR="002814AD" w:rsidRPr="0089427E">
        <w:rPr>
          <w:rFonts w:ascii="Arial" w:hAnsi="Arial" w:cs="Arial"/>
        </w:rPr>
        <w:t xml:space="preserve">2023) ‘Period politics and policy change: the taxation of menstrual products in the United Kingdom, 1996 2021’, </w:t>
      </w:r>
      <w:r w:rsidR="002814AD" w:rsidRPr="0089427E">
        <w:rPr>
          <w:rFonts w:ascii="Arial" w:hAnsi="Arial" w:cs="Arial"/>
          <w:i/>
          <w:iCs/>
        </w:rPr>
        <w:t>Contemporary British History</w:t>
      </w:r>
      <w:r w:rsidR="002814AD" w:rsidRPr="0089427E">
        <w:rPr>
          <w:rFonts w:ascii="Arial" w:hAnsi="Arial" w:cs="Arial"/>
        </w:rPr>
        <w:t xml:space="preserve">, 37(2), pp. 238-265. Available at: </w:t>
      </w:r>
      <w:r w:rsidR="004D3FB9" w:rsidRPr="0089427E">
        <w:rPr>
          <w:rFonts w:ascii="Arial" w:hAnsi="Arial" w:cs="Arial"/>
        </w:rPr>
        <w:t xml:space="preserve">https://doi.org/10.1080/13619462.2023.2184804 </w:t>
      </w:r>
    </w:p>
    <w:p w14:paraId="0D548D8F" w14:textId="1BE5C0A2" w:rsidR="00165F5A" w:rsidRPr="0089427E" w:rsidRDefault="00581EEB" w:rsidP="00E52629">
      <w:pPr>
        <w:spacing w:line="360" w:lineRule="auto"/>
        <w:ind w:hanging="284"/>
        <w:rPr>
          <w:rFonts w:ascii="Arial" w:hAnsi="Arial" w:cs="Arial"/>
          <w:b/>
          <w:bCs/>
        </w:rPr>
      </w:pPr>
      <w:r w:rsidRPr="0089427E">
        <w:rPr>
          <w:rFonts w:ascii="Arial" w:hAnsi="Arial" w:cs="Arial"/>
        </w:rPr>
        <w:t>Garcia, M.N., Andrews, E.A., White, C.C., Dixon, D.A., López, A.N. and Stewart, D. (2022) ‘</w:t>
      </w:r>
      <w:r w:rsidR="006E0DA0" w:rsidRPr="0089427E">
        <w:rPr>
          <w:rFonts w:ascii="Arial" w:hAnsi="Arial" w:cs="Arial"/>
        </w:rPr>
        <w:t xml:space="preserve">Advancing women, parity, and gender equity’, </w:t>
      </w:r>
      <w:r w:rsidR="006E0DA0" w:rsidRPr="0089427E">
        <w:rPr>
          <w:rFonts w:ascii="Arial" w:hAnsi="Arial" w:cs="Arial"/>
          <w:i/>
          <w:iCs/>
        </w:rPr>
        <w:t>Journal of Dental Education</w:t>
      </w:r>
      <w:r w:rsidR="006E0DA0" w:rsidRPr="0089427E">
        <w:rPr>
          <w:rFonts w:ascii="Arial" w:hAnsi="Arial" w:cs="Arial"/>
        </w:rPr>
        <w:t>, 86(9), pp. 1182-1190. Available at: https://doi.org/10.1002/jdd.13018</w:t>
      </w:r>
      <w:r w:rsidR="006E0DA0" w:rsidRPr="0089427E">
        <w:rPr>
          <w:rFonts w:ascii="Arial" w:hAnsi="Arial" w:cs="Arial"/>
          <w:b/>
          <w:bCs/>
        </w:rPr>
        <w:t xml:space="preserve"> </w:t>
      </w:r>
    </w:p>
    <w:p w14:paraId="42C51FF1" w14:textId="6CE278C7" w:rsidR="002F7BF3" w:rsidRPr="0089427E" w:rsidRDefault="002F7BF3" w:rsidP="00E52629">
      <w:pPr>
        <w:spacing w:line="360" w:lineRule="auto"/>
        <w:ind w:hanging="284"/>
        <w:rPr>
          <w:rFonts w:ascii="Arial" w:hAnsi="Arial" w:cs="Arial"/>
        </w:rPr>
      </w:pPr>
      <w:r w:rsidRPr="0089427E">
        <w:rPr>
          <w:rFonts w:ascii="Arial" w:hAnsi="Arial" w:cs="Arial"/>
        </w:rPr>
        <w:t xml:space="preserve">Gaybor, J. (2020) ‘Everyday (online) body politics of menstruation’, </w:t>
      </w:r>
      <w:r w:rsidRPr="0089427E">
        <w:rPr>
          <w:rFonts w:ascii="Arial" w:hAnsi="Arial" w:cs="Arial"/>
          <w:i/>
          <w:iCs/>
        </w:rPr>
        <w:t>Feminist Media Studies</w:t>
      </w:r>
      <w:r w:rsidRPr="0089427E">
        <w:rPr>
          <w:rFonts w:ascii="Arial" w:hAnsi="Arial" w:cs="Arial"/>
        </w:rPr>
        <w:t>, 22(4), pp. 989-913. Available at: https://doi.org/10.1080/14680777.2020.1847157</w:t>
      </w:r>
    </w:p>
    <w:p w14:paraId="37176C8D" w14:textId="08DBF969" w:rsidR="004D415F" w:rsidRPr="0089427E" w:rsidRDefault="004D415F" w:rsidP="00E52629">
      <w:pPr>
        <w:spacing w:line="360" w:lineRule="auto"/>
        <w:ind w:hanging="284"/>
        <w:rPr>
          <w:rFonts w:ascii="Arial" w:hAnsi="Arial" w:cs="Arial"/>
          <w:b/>
          <w:bCs/>
        </w:rPr>
      </w:pPr>
      <w:r w:rsidRPr="0089427E">
        <w:rPr>
          <w:rFonts w:ascii="Arial" w:hAnsi="Arial" w:cs="Arial"/>
        </w:rPr>
        <w:t xml:space="preserve">Goldberg, E. </w:t>
      </w:r>
      <w:r w:rsidR="001730E6" w:rsidRPr="0089427E">
        <w:rPr>
          <w:rFonts w:ascii="Arial" w:hAnsi="Arial" w:cs="Arial"/>
        </w:rPr>
        <w:t xml:space="preserve">(2023) ‘Defining and Balancing Equity’, </w:t>
      </w:r>
      <w:r w:rsidR="001730E6" w:rsidRPr="0089427E">
        <w:rPr>
          <w:rFonts w:ascii="Arial" w:hAnsi="Arial" w:cs="Arial"/>
          <w:i/>
          <w:iCs/>
        </w:rPr>
        <w:t>Nevada Law Journal</w:t>
      </w:r>
      <w:r w:rsidR="001730E6" w:rsidRPr="0089427E">
        <w:rPr>
          <w:rFonts w:ascii="Arial" w:hAnsi="Arial" w:cs="Arial"/>
        </w:rPr>
        <w:t>, 24(1). Available at: https://scholars.law.unlv.edu/nlj/vol24/iss1/4/ (Accessed: 5 November 2025).</w:t>
      </w:r>
      <w:r w:rsidR="001730E6" w:rsidRPr="0089427E">
        <w:rPr>
          <w:rFonts w:ascii="Arial" w:hAnsi="Arial" w:cs="Arial"/>
          <w:b/>
          <w:bCs/>
        </w:rPr>
        <w:t xml:space="preserve"> </w:t>
      </w:r>
    </w:p>
    <w:p w14:paraId="7DCB6FD3" w14:textId="4B703844" w:rsidR="007C7F5B" w:rsidRPr="0089427E" w:rsidRDefault="007C7F5B" w:rsidP="00E52629">
      <w:pPr>
        <w:spacing w:line="360" w:lineRule="auto"/>
        <w:ind w:hanging="284"/>
        <w:rPr>
          <w:rFonts w:ascii="Arial" w:hAnsi="Arial" w:cs="Arial"/>
        </w:rPr>
      </w:pPr>
      <w:r w:rsidRPr="0089427E">
        <w:rPr>
          <w:rFonts w:ascii="Arial" w:hAnsi="Arial" w:cs="Arial"/>
        </w:rPr>
        <w:t xml:space="preserve">Graham, S. (2023) </w:t>
      </w:r>
      <w:r w:rsidRPr="0089427E">
        <w:rPr>
          <w:rFonts w:ascii="Arial" w:hAnsi="Arial" w:cs="Arial"/>
          <w:i/>
          <w:iCs/>
        </w:rPr>
        <w:t>Rebel Bodies.</w:t>
      </w:r>
      <w:r w:rsidRPr="0089427E">
        <w:rPr>
          <w:rFonts w:ascii="Arial" w:hAnsi="Arial" w:cs="Arial"/>
        </w:rPr>
        <w:t xml:space="preserve"> Dublin: Green Tree.</w:t>
      </w:r>
    </w:p>
    <w:p w14:paraId="7B68D8E5" w14:textId="138F198D" w:rsidR="00416765" w:rsidRPr="0089427E" w:rsidRDefault="00416765" w:rsidP="00E52629">
      <w:pPr>
        <w:spacing w:line="360" w:lineRule="auto"/>
        <w:ind w:hanging="284"/>
        <w:rPr>
          <w:rFonts w:ascii="Arial" w:hAnsi="Arial" w:cs="Arial"/>
        </w:rPr>
      </w:pPr>
      <w:r w:rsidRPr="0089427E">
        <w:rPr>
          <w:rFonts w:ascii="Arial" w:hAnsi="Arial" w:cs="Arial"/>
        </w:rPr>
        <w:t>Hand, J., Hwang, C., Vogel, W., Lopez, C. and Hwang, S. (2023) ‘</w:t>
      </w:r>
      <w:r w:rsidR="004200ED" w:rsidRPr="0089427E">
        <w:rPr>
          <w:rFonts w:ascii="Arial" w:hAnsi="Arial" w:cs="Arial"/>
        </w:rPr>
        <w:t xml:space="preserve">An exploration of market organic sanitary products for improving menstrual health and environmental </w:t>
      </w:r>
      <w:r w:rsidR="004200ED" w:rsidRPr="0089427E">
        <w:rPr>
          <w:rFonts w:ascii="Arial" w:hAnsi="Arial" w:cs="Arial"/>
        </w:rPr>
        <w:lastRenderedPageBreak/>
        <w:t xml:space="preserve">impact’, </w:t>
      </w:r>
      <w:r w:rsidR="004200ED" w:rsidRPr="0089427E">
        <w:rPr>
          <w:rFonts w:ascii="Arial" w:hAnsi="Arial" w:cs="Arial"/>
          <w:i/>
          <w:iCs/>
        </w:rPr>
        <w:t>Journal of Water, Sanitation &amp; Hygiene for Development</w:t>
      </w:r>
      <w:r w:rsidR="004200ED" w:rsidRPr="0089427E">
        <w:rPr>
          <w:rFonts w:ascii="Arial" w:hAnsi="Arial" w:cs="Arial"/>
        </w:rPr>
        <w:t xml:space="preserve">, 13(2), pp. 63-77. Available at: </w:t>
      </w:r>
      <w:r w:rsidR="00747660" w:rsidRPr="0089427E">
        <w:rPr>
          <w:rFonts w:ascii="Arial" w:hAnsi="Arial" w:cs="Arial"/>
        </w:rPr>
        <w:t xml:space="preserve">https://doi.org/10.2166/washdev.2023.020 </w:t>
      </w:r>
    </w:p>
    <w:p w14:paraId="79695D16" w14:textId="581FD024" w:rsidR="00AB60D0" w:rsidRPr="0089427E" w:rsidRDefault="00AB60D0" w:rsidP="00E52629">
      <w:pPr>
        <w:spacing w:line="360" w:lineRule="auto"/>
        <w:ind w:hanging="284"/>
        <w:rPr>
          <w:rFonts w:ascii="Arial" w:hAnsi="Arial" w:cs="Arial"/>
        </w:rPr>
      </w:pPr>
      <w:r w:rsidRPr="0089427E">
        <w:rPr>
          <w:rFonts w:ascii="Arial" w:hAnsi="Arial" w:cs="Arial"/>
        </w:rPr>
        <w:t xml:space="preserve">Harker, R., Mahar, C. and Wilkes, C. (eds) (1990) </w:t>
      </w:r>
      <w:r w:rsidRPr="0089427E">
        <w:rPr>
          <w:rFonts w:ascii="Arial" w:hAnsi="Arial" w:cs="Arial"/>
          <w:i/>
          <w:iCs/>
        </w:rPr>
        <w:t>An Introduction to the Work of Pierre Bourdieu: The Practice of Theory</w:t>
      </w:r>
      <w:r w:rsidRPr="0089427E">
        <w:rPr>
          <w:rFonts w:ascii="Arial" w:hAnsi="Arial" w:cs="Arial"/>
        </w:rPr>
        <w:t xml:space="preserve">. </w:t>
      </w:r>
      <w:r w:rsidR="00A62EE1" w:rsidRPr="0089427E">
        <w:rPr>
          <w:rFonts w:ascii="Arial" w:hAnsi="Arial" w:cs="Arial"/>
        </w:rPr>
        <w:t>UK: Palgrave Macmillan.</w:t>
      </w:r>
    </w:p>
    <w:p w14:paraId="18F994B1" w14:textId="34168845" w:rsidR="00A94060" w:rsidRPr="0089427E" w:rsidRDefault="00A94060" w:rsidP="00E52629">
      <w:pPr>
        <w:spacing w:line="360" w:lineRule="auto"/>
        <w:ind w:hanging="284"/>
        <w:rPr>
          <w:rFonts w:ascii="Arial" w:hAnsi="Arial" w:cs="Arial"/>
        </w:rPr>
      </w:pPr>
      <w:r w:rsidRPr="0089427E">
        <w:rPr>
          <w:rFonts w:ascii="Arial" w:hAnsi="Arial" w:cs="Arial"/>
        </w:rPr>
        <w:t xml:space="preserve">Haug, F. (2016) ‘Marxism-Feminism’, </w:t>
      </w:r>
      <w:r w:rsidR="004C655A" w:rsidRPr="0089427E">
        <w:rPr>
          <w:rFonts w:ascii="Arial" w:hAnsi="Arial" w:cs="Arial"/>
          <w:i/>
          <w:iCs/>
        </w:rPr>
        <w:t>Historical Materialism</w:t>
      </w:r>
      <w:r w:rsidR="004C655A" w:rsidRPr="0089427E">
        <w:rPr>
          <w:rFonts w:ascii="Arial" w:hAnsi="Arial" w:cs="Arial"/>
        </w:rPr>
        <w:t xml:space="preserve">, 24(4), pp. 257-270. Available at: https://doi.org/10.1163/1569206X-12341493 </w:t>
      </w:r>
    </w:p>
    <w:p w14:paraId="37D9FA28" w14:textId="14638890" w:rsidR="00680C9E" w:rsidRPr="0089427E" w:rsidRDefault="00680C9E" w:rsidP="00E52629">
      <w:pPr>
        <w:spacing w:line="360" w:lineRule="auto"/>
        <w:ind w:hanging="284"/>
        <w:rPr>
          <w:rFonts w:ascii="Arial" w:hAnsi="Arial" w:cs="Arial"/>
        </w:rPr>
      </w:pPr>
      <w:r w:rsidRPr="0089427E">
        <w:rPr>
          <w:rFonts w:ascii="Arial" w:hAnsi="Arial" w:cs="Arial"/>
        </w:rPr>
        <w:t xml:space="preserve">Herr, O. (2021) </w:t>
      </w:r>
      <w:r w:rsidRPr="0089427E">
        <w:rPr>
          <w:rFonts w:ascii="Arial" w:hAnsi="Arial" w:cs="Arial"/>
          <w:i/>
          <w:iCs/>
        </w:rPr>
        <w:t>Inclusive menstrual health education is essential for equality.</w:t>
      </w:r>
      <w:r w:rsidRPr="0089427E">
        <w:rPr>
          <w:rFonts w:ascii="Arial" w:hAnsi="Arial" w:cs="Arial"/>
        </w:rPr>
        <w:t xml:space="preserve"> Available at: https://www.britishscienceassociation.org/blog/inclusive-menstrual-health-education-is-essential-for-equality (Accessed: 22 October 2025). </w:t>
      </w:r>
    </w:p>
    <w:p w14:paraId="4AEE9332" w14:textId="2B047E89" w:rsidR="006D4C9E" w:rsidRPr="0089427E" w:rsidRDefault="006D4C9E" w:rsidP="00E52629">
      <w:pPr>
        <w:spacing w:line="360" w:lineRule="auto"/>
        <w:ind w:hanging="284"/>
        <w:rPr>
          <w:rFonts w:ascii="Arial" w:hAnsi="Arial" w:cs="Arial"/>
        </w:rPr>
      </w:pPr>
      <w:r w:rsidRPr="0089427E">
        <w:rPr>
          <w:rFonts w:ascii="Arial" w:hAnsi="Arial" w:cs="Arial"/>
        </w:rPr>
        <w:t xml:space="preserve">Hill, M. (2019) </w:t>
      </w:r>
      <w:r w:rsidRPr="0089427E">
        <w:rPr>
          <w:rFonts w:ascii="Arial" w:hAnsi="Arial" w:cs="Arial"/>
          <w:i/>
          <w:iCs/>
        </w:rPr>
        <w:t xml:space="preserve">Period Power: Harness Your Hormones and Get Your Cycle Working For You. </w:t>
      </w:r>
      <w:r w:rsidRPr="0089427E">
        <w:rPr>
          <w:rFonts w:ascii="Arial" w:hAnsi="Arial" w:cs="Arial"/>
        </w:rPr>
        <w:t>Dublin: Green Tree.  </w:t>
      </w:r>
    </w:p>
    <w:p w14:paraId="6536F130" w14:textId="1879CD3A" w:rsidR="00F01419" w:rsidRPr="0089427E" w:rsidRDefault="00F01419" w:rsidP="00E52629">
      <w:pPr>
        <w:spacing w:line="360" w:lineRule="auto"/>
        <w:ind w:hanging="284"/>
        <w:rPr>
          <w:rFonts w:ascii="Arial" w:hAnsi="Arial" w:cs="Arial"/>
        </w:rPr>
      </w:pPr>
      <w:r w:rsidRPr="0089427E">
        <w:rPr>
          <w:rFonts w:ascii="Arial" w:hAnsi="Arial" w:cs="Arial"/>
        </w:rPr>
        <w:t xml:space="preserve">HM Revenue &amp; Customs (2023) </w:t>
      </w:r>
      <w:r w:rsidRPr="0089427E">
        <w:rPr>
          <w:rFonts w:ascii="Arial" w:hAnsi="Arial" w:cs="Arial"/>
          <w:i/>
          <w:iCs/>
        </w:rPr>
        <w:t>Women’s sanitary products – period underwear.</w:t>
      </w:r>
      <w:r w:rsidRPr="0089427E">
        <w:rPr>
          <w:rFonts w:ascii="Arial" w:hAnsi="Arial" w:cs="Arial"/>
        </w:rPr>
        <w:t xml:space="preserve"> </w:t>
      </w:r>
      <w:r w:rsidR="007E4A9D" w:rsidRPr="0089427E">
        <w:rPr>
          <w:rFonts w:ascii="Arial" w:hAnsi="Arial" w:cs="Arial"/>
        </w:rPr>
        <w:t xml:space="preserve">Available at: </w:t>
      </w:r>
      <w:r w:rsidR="007F6700" w:rsidRPr="0089427E">
        <w:rPr>
          <w:rFonts w:ascii="Arial" w:hAnsi="Arial" w:cs="Arial"/>
        </w:rPr>
        <w:t xml:space="preserve">https://www.gov.uk/government/publications/expanding-the-zero-rate-of-vat-to-include-period-underwear/womens-sanitary-products-period-underwear (Accessed: 1 November 2025). </w:t>
      </w:r>
    </w:p>
    <w:p w14:paraId="60B24091" w14:textId="675C76AF" w:rsidR="001819CD" w:rsidRPr="0089427E" w:rsidRDefault="001819CD" w:rsidP="00E52629">
      <w:pPr>
        <w:spacing w:line="360" w:lineRule="auto"/>
        <w:ind w:hanging="284"/>
        <w:rPr>
          <w:rFonts w:ascii="Arial" w:hAnsi="Arial" w:cs="Arial"/>
        </w:rPr>
      </w:pPr>
      <w:r w:rsidRPr="0089427E">
        <w:rPr>
          <w:rFonts w:ascii="Arial" w:hAnsi="Arial" w:cs="Arial"/>
        </w:rPr>
        <w:t xml:space="preserve">Holmstrom, N. </w:t>
      </w:r>
      <w:r w:rsidR="00E1036D" w:rsidRPr="0089427E">
        <w:rPr>
          <w:rFonts w:ascii="Arial" w:hAnsi="Arial" w:cs="Arial"/>
        </w:rPr>
        <w:t xml:space="preserve">(ed) </w:t>
      </w:r>
      <w:r w:rsidR="00774825" w:rsidRPr="0089427E">
        <w:rPr>
          <w:rFonts w:ascii="Arial" w:hAnsi="Arial" w:cs="Arial"/>
        </w:rPr>
        <w:t xml:space="preserve">(2002) </w:t>
      </w:r>
      <w:r w:rsidR="00774825" w:rsidRPr="0089427E">
        <w:rPr>
          <w:rFonts w:ascii="Arial" w:hAnsi="Arial" w:cs="Arial"/>
          <w:i/>
          <w:iCs/>
        </w:rPr>
        <w:t xml:space="preserve">The </w:t>
      </w:r>
      <w:r w:rsidR="007B759A" w:rsidRPr="0089427E">
        <w:rPr>
          <w:rFonts w:ascii="Arial" w:hAnsi="Arial" w:cs="Arial"/>
          <w:i/>
          <w:iCs/>
        </w:rPr>
        <w:t>Socialist Feminist Project: A Contemporary Reader in Theory and Politics</w:t>
      </w:r>
      <w:r w:rsidR="004F1CAA" w:rsidRPr="0089427E">
        <w:rPr>
          <w:rFonts w:ascii="Arial" w:hAnsi="Arial" w:cs="Arial"/>
        </w:rPr>
        <w:t xml:space="preserve">. </w:t>
      </w:r>
      <w:r w:rsidR="004921B3" w:rsidRPr="0089427E">
        <w:rPr>
          <w:rFonts w:ascii="Arial" w:hAnsi="Arial" w:cs="Arial"/>
        </w:rPr>
        <w:t>New York: Monthly Review Press. p</w:t>
      </w:r>
      <w:r w:rsidR="00181BAB" w:rsidRPr="0089427E">
        <w:rPr>
          <w:rFonts w:ascii="Arial" w:hAnsi="Arial" w:cs="Arial"/>
        </w:rPr>
        <w:t>p. 1-28.</w:t>
      </w:r>
    </w:p>
    <w:p w14:paraId="4ED6169A" w14:textId="7B0757CE" w:rsidR="00570631" w:rsidRPr="0089427E" w:rsidRDefault="00570631" w:rsidP="00E52629">
      <w:pPr>
        <w:spacing w:line="360" w:lineRule="auto"/>
        <w:ind w:hanging="284"/>
        <w:rPr>
          <w:rFonts w:ascii="Arial" w:hAnsi="Arial" w:cs="Arial"/>
          <w:b/>
          <w:bCs/>
        </w:rPr>
      </w:pPr>
      <w:r w:rsidRPr="0089427E">
        <w:rPr>
          <w:rFonts w:ascii="Arial" w:hAnsi="Arial" w:cs="Arial"/>
        </w:rPr>
        <w:t>Holst, A.S., Jacques-Aviñó, C., Berenguera, A., Pinzón-Sanabria, D., Valls-Llobet, C., Munrós-Feliu, J., Martínez-Bueno, C., López-Jiménez, T., Vicente-Hernández, M.M. and Medina-Perucha, L.</w:t>
      </w:r>
      <w:r w:rsidR="00610FF2" w:rsidRPr="0089427E">
        <w:rPr>
          <w:rFonts w:ascii="Arial" w:hAnsi="Arial" w:cs="Arial"/>
        </w:rPr>
        <w:t xml:space="preserve"> (2022) ‘Experiences of menstrual inequity and menstrual health among women and people who menstruate in the Barcelona area (Spain): a qualitative study’, </w:t>
      </w:r>
      <w:r w:rsidR="00610FF2" w:rsidRPr="0089427E">
        <w:rPr>
          <w:rFonts w:ascii="Arial" w:hAnsi="Arial" w:cs="Arial"/>
          <w:i/>
          <w:iCs/>
        </w:rPr>
        <w:t>Reproductive Health</w:t>
      </w:r>
      <w:r w:rsidR="00610FF2" w:rsidRPr="0089427E">
        <w:rPr>
          <w:rFonts w:ascii="Arial" w:hAnsi="Arial" w:cs="Arial"/>
        </w:rPr>
        <w:t>, 19 (February) article 45. Available at: https://doi.org/10.1186/s12978-022-01354-5</w:t>
      </w:r>
      <w:r w:rsidR="00610FF2" w:rsidRPr="0089427E">
        <w:rPr>
          <w:rFonts w:ascii="Arial" w:hAnsi="Arial" w:cs="Arial"/>
          <w:b/>
          <w:bCs/>
        </w:rPr>
        <w:t xml:space="preserve"> </w:t>
      </w:r>
    </w:p>
    <w:p w14:paraId="40C99AD3" w14:textId="31351452" w:rsidR="00475AB1" w:rsidRPr="0089427E" w:rsidRDefault="00475AB1" w:rsidP="00E52629">
      <w:pPr>
        <w:spacing w:line="360" w:lineRule="auto"/>
        <w:ind w:hanging="284"/>
        <w:rPr>
          <w:rFonts w:ascii="Arial" w:hAnsi="Arial" w:cs="Arial"/>
        </w:rPr>
      </w:pPr>
      <w:r w:rsidRPr="0089427E">
        <w:rPr>
          <w:rFonts w:ascii="Arial" w:hAnsi="Arial" w:cs="Arial"/>
          <w:i/>
          <w:iCs/>
        </w:rPr>
        <w:t>Human Rights Act 1998</w:t>
      </w:r>
      <w:r w:rsidR="00130B64" w:rsidRPr="0089427E">
        <w:rPr>
          <w:rFonts w:ascii="Arial" w:hAnsi="Arial" w:cs="Arial"/>
        </w:rPr>
        <w:t xml:space="preserve">, c. 42. Available at: https://www.legislation.gov.uk/en/ukpga/1998/42/introduction (Accessed: 3 November 2025). </w:t>
      </w:r>
    </w:p>
    <w:p w14:paraId="42F9142B" w14:textId="0D59012B" w:rsidR="008B4936" w:rsidRPr="0089427E" w:rsidRDefault="001A42DB" w:rsidP="00E52629">
      <w:pPr>
        <w:spacing w:line="360" w:lineRule="auto"/>
        <w:ind w:hanging="284"/>
        <w:rPr>
          <w:rFonts w:ascii="Arial" w:hAnsi="Arial" w:cs="Arial"/>
          <w:b/>
          <w:bCs/>
        </w:rPr>
      </w:pPr>
      <w:r w:rsidRPr="0089427E">
        <w:rPr>
          <w:rFonts w:ascii="Arial" w:hAnsi="Arial" w:cs="Arial"/>
        </w:rPr>
        <w:t xml:space="preserve">Inthaphatha, S., Louangpradith, V., Xiong, L.I., Xiong, V., Ly, L., Xaitengcha, V., Phengsavanh, A., Hamajima, N. and Yamamoto, E. </w:t>
      </w:r>
      <w:r w:rsidR="00056357" w:rsidRPr="0089427E">
        <w:rPr>
          <w:rFonts w:ascii="Arial" w:hAnsi="Arial" w:cs="Arial"/>
        </w:rPr>
        <w:t xml:space="preserve">(2021) ‘Menstrual health and factors associated with school absence among secondary school girls in Luang </w:t>
      </w:r>
      <w:r w:rsidR="00056357" w:rsidRPr="0089427E">
        <w:rPr>
          <w:rFonts w:ascii="Arial" w:hAnsi="Arial" w:cs="Arial"/>
        </w:rPr>
        <w:lastRenderedPageBreak/>
        <w:t>Prabang Province, Lao People’s Democratic Republic: A cross-sectional study’</w:t>
      </w:r>
      <w:r w:rsidR="00CC2ED0" w:rsidRPr="0089427E">
        <w:rPr>
          <w:rFonts w:ascii="Arial" w:hAnsi="Arial" w:cs="Arial"/>
        </w:rPr>
        <w:t xml:space="preserve">, </w:t>
      </w:r>
      <w:r w:rsidR="00056357" w:rsidRPr="0089427E">
        <w:rPr>
          <w:rFonts w:ascii="Arial" w:hAnsi="Arial" w:cs="Arial"/>
          <w:i/>
          <w:iCs/>
        </w:rPr>
        <w:t>PLoS One</w:t>
      </w:r>
      <w:r w:rsidR="00056357" w:rsidRPr="0089427E">
        <w:rPr>
          <w:rFonts w:ascii="Arial" w:hAnsi="Arial" w:cs="Arial"/>
        </w:rPr>
        <w:t xml:space="preserve">. Available at: </w:t>
      </w:r>
      <w:r w:rsidR="00CC2ED0" w:rsidRPr="0089427E">
        <w:rPr>
          <w:rFonts w:ascii="Arial" w:hAnsi="Arial" w:cs="Arial"/>
        </w:rPr>
        <w:t>https://doi.org/10.1371/journal.pone.0261268</w:t>
      </w:r>
      <w:r w:rsidR="00CC2ED0" w:rsidRPr="0089427E">
        <w:rPr>
          <w:rFonts w:ascii="Arial" w:hAnsi="Arial" w:cs="Arial"/>
          <w:b/>
          <w:bCs/>
        </w:rPr>
        <w:t xml:space="preserve"> </w:t>
      </w:r>
    </w:p>
    <w:p w14:paraId="58814364" w14:textId="0C06642B" w:rsidR="0001131F" w:rsidRPr="0089427E" w:rsidRDefault="0001131F" w:rsidP="00E52629">
      <w:pPr>
        <w:spacing w:line="360" w:lineRule="auto"/>
        <w:ind w:hanging="284"/>
        <w:rPr>
          <w:rFonts w:ascii="Arial" w:hAnsi="Arial" w:cs="Arial"/>
        </w:rPr>
      </w:pPr>
      <w:r w:rsidRPr="0089427E">
        <w:rPr>
          <w:rFonts w:ascii="Arial" w:hAnsi="Arial" w:cs="Arial"/>
        </w:rPr>
        <w:t>Jaafar, H., Ismail, S.Y. and Azzeri, A. (2023) ‘</w:t>
      </w:r>
      <w:r w:rsidR="00E26413" w:rsidRPr="0089427E">
        <w:rPr>
          <w:rFonts w:ascii="Arial" w:hAnsi="Arial" w:cs="Arial"/>
        </w:rPr>
        <w:t xml:space="preserve">Period Poverty: A Neglected Public Health Issue’, </w:t>
      </w:r>
      <w:r w:rsidR="00E26413" w:rsidRPr="0089427E">
        <w:rPr>
          <w:rFonts w:ascii="Arial" w:hAnsi="Arial" w:cs="Arial"/>
          <w:i/>
          <w:iCs/>
        </w:rPr>
        <w:t>Korean Journal of Family Medicine</w:t>
      </w:r>
      <w:r w:rsidR="00E26413" w:rsidRPr="0089427E">
        <w:rPr>
          <w:rFonts w:ascii="Arial" w:hAnsi="Arial" w:cs="Arial"/>
        </w:rPr>
        <w:t xml:space="preserve">, 44(4), pp. 183-188. Available at: https://doi.org/10.4082/kjfm.22.0206 </w:t>
      </w:r>
    </w:p>
    <w:p w14:paraId="0DBF5193" w14:textId="035C746F" w:rsidR="000D125D" w:rsidRPr="0089427E" w:rsidRDefault="000D125D" w:rsidP="00E52629">
      <w:pPr>
        <w:spacing w:line="360" w:lineRule="auto"/>
        <w:ind w:hanging="284"/>
        <w:rPr>
          <w:rFonts w:ascii="Arial" w:hAnsi="Arial" w:cs="Arial"/>
        </w:rPr>
      </w:pPr>
      <w:r w:rsidRPr="0089427E">
        <w:rPr>
          <w:rFonts w:ascii="Arial" w:hAnsi="Arial" w:cs="Arial"/>
        </w:rPr>
        <w:t>Joshi, S. (202</w:t>
      </w:r>
      <w:r w:rsidR="002F4F81" w:rsidRPr="0089427E">
        <w:rPr>
          <w:rFonts w:ascii="Arial" w:hAnsi="Arial" w:cs="Arial"/>
        </w:rPr>
        <w:t>2</w:t>
      </w:r>
      <w:r w:rsidRPr="0089427E">
        <w:rPr>
          <w:rFonts w:ascii="Arial" w:hAnsi="Arial" w:cs="Arial"/>
        </w:rPr>
        <w:t xml:space="preserve">) ‘Chhaupadi practice in Nepal: A literature review’, </w:t>
      </w:r>
      <w:r w:rsidR="002F2AF3" w:rsidRPr="0089427E">
        <w:rPr>
          <w:rFonts w:ascii="Arial" w:hAnsi="Arial" w:cs="Arial"/>
          <w:i/>
          <w:iCs/>
        </w:rPr>
        <w:t>World Medical &amp; Health Policy</w:t>
      </w:r>
      <w:r w:rsidR="002F2AF3" w:rsidRPr="0089427E">
        <w:rPr>
          <w:rFonts w:ascii="Arial" w:hAnsi="Arial" w:cs="Arial"/>
        </w:rPr>
        <w:t>, 14(1), pp.</w:t>
      </w:r>
      <w:r w:rsidR="00161B0C" w:rsidRPr="0089427E">
        <w:rPr>
          <w:rFonts w:ascii="Arial" w:hAnsi="Arial" w:cs="Arial"/>
        </w:rPr>
        <w:t xml:space="preserve"> 121-137. Available at: https://doi.org/10.1002%2Fwmh3.491 </w:t>
      </w:r>
    </w:p>
    <w:p w14:paraId="7A3A3C1D" w14:textId="48033CCF" w:rsidR="001D62CC" w:rsidRPr="0089427E" w:rsidRDefault="001D62CC" w:rsidP="00E52629">
      <w:pPr>
        <w:spacing w:line="360" w:lineRule="auto"/>
        <w:ind w:hanging="284"/>
        <w:rPr>
          <w:rFonts w:ascii="Arial" w:hAnsi="Arial" w:cs="Arial"/>
        </w:rPr>
      </w:pPr>
      <w:r w:rsidRPr="0089427E">
        <w:rPr>
          <w:rFonts w:ascii="Arial" w:hAnsi="Arial" w:cs="Arial"/>
        </w:rPr>
        <w:t xml:space="preserve">Kardetoft, M. </w:t>
      </w:r>
      <w:r w:rsidR="00313912" w:rsidRPr="0089427E">
        <w:rPr>
          <w:rFonts w:ascii="Arial" w:hAnsi="Arial" w:cs="Arial"/>
        </w:rPr>
        <w:t xml:space="preserve">(2022) </w:t>
      </w:r>
      <w:r w:rsidR="00313912" w:rsidRPr="0089427E">
        <w:rPr>
          <w:rFonts w:ascii="Arial" w:hAnsi="Arial" w:cs="Arial"/>
          <w:i/>
          <w:iCs/>
        </w:rPr>
        <w:t>The Pink Tax: An investigation of gender-based price discrimination in the Swedish market for personal hygiene products</w:t>
      </w:r>
      <w:r w:rsidR="00313912" w:rsidRPr="0089427E">
        <w:rPr>
          <w:rFonts w:ascii="Arial" w:hAnsi="Arial" w:cs="Arial"/>
        </w:rPr>
        <w:t>.</w:t>
      </w:r>
      <w:r w:rsidR="00076DD8" w:rsidRPr="0089427E">
        <w:rPr>
          <w:rFonts w:ascii="Arial" w:hAnsi="Arial" w:cs="Arial"/>
        </w:rPr>
        <w:t xml:space="preserve"> Master’s thesis. Jönköping University. Available at: https://www.diva-portal.org/smash/record.jsf?pid=diva2%3A1668432&amp;dswid=3314 (Accessed: 1 November 2025). </w:t>
      </w:r>
    </w:p>
    <w:p w14:paraId="0F26B73B" w14:textId="5A8A473F" w:rsidR="007021BD" w:rsidRPr="0089427E" w:rsidRDefault="007021BD" w:rsidP="00E52629">
      <w:pPr>
        <w:spacing w:line="360" w:lineRule="auto"/>
        <w:ind w:hanging="284"/>
        <w:rPr>
          <w:rFonts w:ascii="Arial" w:hAnsi="Arial" w:cs="Arial"/>
        </w:rPr>
      </w:pPr>
      <w:r w:rsidRPr="0089427E">
        <w:rPr>
          <w:rFonts w:ascii="Arial" w:hAnsi="Arial" w:cs="Arial"/>
        </w:rPr>
        <w:t xml:space="preserve">Kaur, R., Kaur, K. and Kaur, R. (2018) ‘Menstrual Hygiene, Management, and Waste Disposal: Practices and Challenges Faced by Girls/Women in Developing Countries’, </w:t>
      </w:r>
      <w:r w:rsidRPr="0089427E">
        <w:rPr>
          <w:rFonts w:ascii="Arial" w:hAnsi="Arial" w:cs="Arial"/>
          <w:i/>
          <w:iCs/>
        </w:rPr>
        <w:t>Journal of Environmental and Public Health</w:t>
      </w:r>
      <w:r w:rsidRPr="0089427E">
        <w:rPr>
          <w:rFonts w:ascii="Arial" w:hAnsi="Arial" w:cs="Arial"/>
        </w:rPr>
        <w:t>, 1. Available at: https://doi.org/10.1155/2018/1730964</w:t>
      </w:r>
    </w:p>
    <w:p w14:paraId="6344F899" w14:textId="24B6C4B3" w:rsidR="005B239C" w:rsidRPr="0089427E" w:rsidRDefault="005B239C" w:rsidP="00E52629">
      <w:pPr>
        <w:spacing w:line="360" w:lineRule="auto"/>
        <w:ind w:hanging="284"/>
        <w:rPr>
          <w:rFonts w:ascii="Arial" w:hAnsi="Arial" w:cs="Arial"/>
        </w:rPr>
      </w:pPr>
      <w:r w:rsidRPr="0089427E">
        <w:rPr>
          <w:rFonts w:ascii="Arial" w:hAnsi="Arial" w:cs="Arial"/>
        </w:rPr>
        <w:t xml:space="preserve">Keister, L.A. and Southgate, D.E. (2022) </w:t>
      </w:r>
      <w:r w:rsidR="00AA00F3" w:rsidRPr="0089427E">
        <w:rPr>
          <w:rFonts w:ascii="Arial" w:hAnsi="Arial" w:cs="Arial"/>
          <w:i/>
          <w:iCs/>
        </w:rPr>
        <w:t>Inequality: A Contemporary Approach to Race, Class, and Gender.</w:t>
      </w:r>
      <w:r w:rsidR="00AA00F3" w:rsidRPr="0089427E">
        <w:rPr>
          <w:rFonts w:ascii="Arial" w:hAnsi="Arial" w:cs="Arial"/>
        </w:rPr>
        <w:t xml:space="preserve"> 2nd edn. Cornwall: TJ Books Limited. </w:t>
      </w:r>
    </w:p>
    <w:p w14:paraId="159EB127" w14:textId="263648D0" w:rsidR="002C6A79" w:rsidRPr="0089427E" w:rsidRDefault="002C6A79" w:rsidP="00E52629">
      <w:pPr>
        <w:spacing w:line="360" w:lineRule="auto"/>
        <w:ind w:hanging="284"/>
        <w:rPr>
          <w:rFonts w:ascii="Arial" w:hAnsi="Arial" w:cs="Arial"/>
        </w:rPr>
      </w:pPr>
      <w:r w:rsidRPr="0089427E">
        <w:rPr>
          <w:rFonts w:ascii="Arial" w:hAnsi="Arial" w:cs="Arial"/>
        </w:rPr>
        <w:t xml:space="preserve">Khorsand, P., Dada, S., </w:t>
      </w:r>
      <w:r w:rsidR="00EA44D8" w:rsidRPr="0089427E">
        <w:rPr>
          <w:rFonts w:ascii="Arial" w:hAnsi="Arial" w:cs="Arial"/>
        </w:rPr>
        <w:t>Jung, L., Law, S., Patil, P., Wangari, M.C., Omrani, O.E. and van Daalen, K. (2023) ‘</w:t>
      </w:r>
      <w:r w:rsidR="002950B6" w:rsidRPr="0089427E">
        <w:rPr>
          <w:rFonts w:ascii="Arial" w:hAnsi="Arial" w:cs="Arial"/>
        </w:rPr>
        <w:t xml:space="preserve">A planetary health perspective on menstruation: menstrual equity and climate action’, </w:t>
      </w:r>
      <w:r w:rsidR="002950B6" w:rsidRPr="0089427E">
        <w:rPr>
          <w:rFonts w:ascii="Arial" w:hAnsi="Arial" w:cs="Arial"/>
          <w:i/>
          <w:iCs/>
        </w:rPr>
        <w:t>The Lancet Planetary Health</w:t>
      </w:r>
      <w:r w:rsidR="002950B6" w:rsidRPr="0089427E">
        <w:rPr>
          <w:rFonts w:ascii="Arial" w:hAnsi="Arial" w:cs="Arial"/>
        </w:rPr>
        <w:t xml:space="preserve">, 7(5), pp. 347-349. Available at: </w:t>
      </w:r>
      <w:r w:rsidR="00B84999" w:rsidRPr="0089427E">
        <w:rPr>
          <w:rFonts w:ascii="Arial" w:hAnsi="Arial" w:cs="Arial"/>
        </w:rPr>
        <w:t xml:space="preserve">https://www.thelancet.com/journals/lanplh/article/PIIS2542-5196(23)00081-5/fulltext (Accessed: 2 November 2025). </w:t>
      </w:r>
    </w:p>
    <w:p w14:paraId="1A1EB1FE" w14:textId="6CE7D444" w:rsidR="001C0CEB" w:rsidRPr="0089427E" w:rsidRDefault="001C0CEB" w:rsidP="00E52629">
      <w:pPr>
        <w:spacing w:line="360" w:lineRule="auto"/>
        <w:ind w:hanging="284"/>
        <w:rPr>
          <w:rFonts w:ascii="Arial" w:hAnsi="Arial" w:cs="Arial"/>
          <w:b/>
          <w:bCs/>
        </w:rPr>
      </w:pPr>
      <w:r w:rsidRPr="0089427E">
        <w:rPr>
          <w:rFonts w:ascii="Arial" w:hAnsi="Arial" w:cs="Arial"/>
        </w:rPr>
        <w:t xml:space="preserve">Knight, C. and Crick, T. (2021) ‘Inclusive Education in Wales: Interpreting Discourses of Values and Practice Using Critical Policy Analysis’, </w:t>
      </w:r>
      <w:r w:rsidRPr="0089427E">
        <w:rPr>
          <w:rFonts w:ascii="Arial" w:hAnsi="Arial" w:cs="Arial"/>
          <w:i/>
          <w:iCs/>
        </w:rPr>
        <w:t>ECNU Review of Education</w:t>
      </w:r>
      <w:r w:rsidRPr="0089427E">
        <w:rPr>
          <w:rFonts w:ascii="Arial" w:hAnsi="Arial" w:cs="Arial"/>
        </w:rPr>
        <w:t xml:space="preserve">, </w:t>
      </w:r>
      <w:r w:rsidR="00020479" w:rsidRPr="0089427E">
        <w:rPr>
          <w:rFonts w:ascii="Arial" w:hAnsi="Arial" w:cs="Arial"/>
        </w:rPr>
        <w:t>5(2), pp. 258-283. Available at: https://doi.org/10.1177/20965311211039858</w:t>
      </w:r>
      <w:r w:rsidR="00020479" w:rsidRPr="0089427E">
        <w:rPr>
          <w:rFonts w:ascii="Arial" w:hAnsi="Arial" w:cs="Arial"/>
          <w:b/>
          <w:bCs/>
        </w:rPr>
        <w:t xml:space="preserve"> </w:t>
      </w:r>
    </w:p>
    <w:p w14:paraId="1C5D950D" w14:textId="690CA1E6" w:rsidR="00B60328" w:rsidRPr="0089427E" w:rsidRDefault="00B60328" w:rsidP="00E52629">
      <w:pPr>
        <w:spacing w:line="360" w:lineRule="auto"/>
        <w:ind w:hanging="284"/>
        <w:rPr>
          <w:rFonts w:ascii="Arial" w:hAnsi="Arial" w:cs="Arial"/>
          <w:b/>
          <w:bCs/>
        </w:rPr>
      </w:pPr>
      <w:r w:rsidRPr="0089427E">
        <w:rPr>
          <w:rFonts w:ascii="Arial" w:hAnsi="Arial" w:cs="Arial"/>
        </w:rPr>
        <w:t>Kolem</w:t>
      </w:r>
      <w:r w:rsidR="006D4ED3" w:rsidRPr="0089427E">
        <w:rPr>
          <w:rFonts w:ascii="Arial" w:hAnsi="Arial" w:cs="Arial"/>
        </w:rPr>
        <w:t>e</w:t>
      </w:r>
      <w:r w:rsidRPr="0089427E">
        <w:rPr>
          <w:rFonts w:ascii="Arial" w:hAnsi="Arial" w:cs="Arial"/>
        </w:rPr>
        <w:t xml:space="preserve">n, S. and Cansu, </w:t>
      </w:r>
      <w:r w:rsidR="00BF4E96" w:rsidRPr="0089427E">
        <w:rPr>
          <w:rFonts w:ascii="Arial" w:hAnsi="Arial" w:cs="Arial"/>
        </w:rPr>
        <w:t xml:space="preserve">Ö.Ü. (2023) ‘The Impacts of Distance Education on Equality and Inequality of Opportunity in Education’, </w:t>
      </w:r>
      <w:r w:rsidR="00BF4E96" w:rsidRPr="0089427E">
        <w:rPr>
          <w:rFonts w:ascii="Arial" w:hAnsi="Arial" w:cs="Arial"/>
          <w:i/>
          <w:iCs/>
        </w:rPr>
        <w:t>Turkish Online Journal of Educational Technology</w:t>
      </w:r>
      <w:r w:rsidR="00BF4E96" w:rsidRPr="0089427E">
        <w:rPr>
          <w:rFonts w:ascii="Arial" w:hAnsi="Arial" w:cs="Arial"/>
        </w:rPr>
        <w:t>, 22(2), pp. 110-120. Available at: https://eric.ed.gov/?id=EJ1391305 (Accessed: 5 November 2025).</w:t>
      </w:r>
      <w:r w:rsidR="00BF4E96" w:rsidRPr="0089427E">
        <w:rPr>
          <w:rFonts w:ascii="Arial" w:hAnsi="Arial" w:cs="Arial"/>
          <w:b/>
          <w:bCs/>
        </w:rPr>
        <w:t xml:space="preserve"> </w:t>
      </w:r>
    </w:p>
    <w:p w14:paraId="11B240FC" w14:textId="77777777" w:rsidR="00802FF1" w:rsidRPr="0089427E" w:rsidRDefault="00391847" w:rsidP="00E52629">
      <w:pPr>
        <w:spacing w:line="360" w:lineRule="auto"/>
        <w:ind w:hanging="284"/>
        <w:rPr>
          <w:rFonts w:ascii="Arial" w:hAnsi="Arial" w:cs="Arial"/>
        </w:rPr>
      </w:pPr>
      <w:r w:rsidRPr="0089427E">
        <w:rPr>
          <w:rFonts w:ascii="Arial" w:hAnsi="Arial" w:cs="Arial"/>
        </w:rPr>
        <w:lastRenderedPageBreak/>
        <w:t>Kuhlmann, A.S., Teni, M.T., Key, R. and Billingsley, C. (2021) ‘</w:t>
      </w:r>
      <w:r w:rsidR="00792CFE" w:rsidRPr="0089427E">
        <w:rPr>
          <w:rFonts w:ascii="Arial" w:hAnsi="Arial" w:cs="Arial"/>
        </w:rPr>
        <w:t xml:space="preserve">Period Product Insecurity, School Absenteeism, and use of School Resources to Obtain Period Products among High School Students in St. Louis, Missouri’, </w:t>
      </w:r>
      <w:r w:rsidR="00792CFE" w:rsidRPr="0089427E">
        <w:rPr>
          <w:rFonts w:ascii="Arial" w:hAnsi="Arial" w:cs="Arial"/>
          <w:i/>
          <w:iCs/>
        </w:rPr>
        <w:t>The Journal of School Nursing</w:t>
      </w:r>
      <w:r w:rsidR="00792CFE" w:rsidRPr="0089427E">
        <w:rPr>
          <w:rFonts w:ascii="Arial" w:hAnsi="Arial" w:cs="Arial"/>
        </w:rPr>
        <w:t xml:space="preserve">, 40(3), pp. 329-335. Available at: https://doi.org/10.1177/10598405211069601 </w:t>
      </w:r>
    </w:p>
    <w:p w14:paraId="78C519D3" w14:textId="4C157BAD" w:rsidR="0007318B" w:rsidRPr="0089427E" w:rsidRDefault="0007318B" w:rsidP="00E52629">
      <w:pPr>
        <w:spacing w:line="360" w:lineRule="auto"/>
        <w:ind w:hanging="284"/>
        <w:rPr>
          <w:rFonts w:ascii="Arial" w:hAnsi="Arial" w:cs="Arial"/>
        </w:rPr>
      </w:pPr>
      <w:r w:rsidRPr="0089427E">
        <w:rPr>
          <w:rFonts w:ascii="Arial" w:hAnsi="Arial" w:cs="Arial"/>
        </w:rPr>
        <w:t xml:space="preserve">Laws, S. (1990) </w:t>
      </w:r>
      <w:r w:rsidRPr="0089427E">
        <w:rPr>
          <w:rFonts w:ascii="Arial" w:hAnsi="Arial" w:cs="Arial"/>
          <w:i/>
          <w:iCs/>
        </w:rPr>
        <w:t>Issues of Blood: The Politics of Menstruation</w:t>
      </w:r>
      <w:r w:rsidRPr="0089427E">
        <w:rPr>
          <w:rFonts w:ascii="Arial" w:hAnsi="Arial" w:cs="Arial"/>
        </w:rPr>
        <w:t xml:space="preserve">. </w:t>
      </w:r>
      <w:r w:rsidR="00960AC3" w:rsidRPr="0089427E">
        <w:rPr>
          <w:rFonts w:ascii="Arial" w:hAnsi="Arial" w:cs="Arial"/>
        </w:rPr>
        <w:t xml:space="preserve">London: Macmillan. </w:t>
      </w:r>
    </w:p>
    <w:p w14:paraId="4A209E67" w14:textId="324F01F1" w:rsidR="00DE6327" w:rsidRPr="0089427E" w:rsidRDefault="00DE6327" w:rsidP="00E52629">
      <w:pPr>
        <w:spacing w:line="360" w:lineRule="auto"/>
        <w:ind w:hanging="284"/>
        <w:rPr>
          <w:rFonts w:ascii="Arial" w:hAnsi="Arial" w:cs="Arial"/>
        </w:rPr>
      </w:pPr>
      <w:r w:rsidRPr="0089427E">
        <w:rPr>
          <w:rFonts w:ascii="Arial" w:hAnsi="Arial" w:cs="Arial"/>
        </w:rPr>
        <w:t xml:space="preserve">Levinson, M., Geron, T. and Brighouse, H. (2022) ‘Conceptions of Educational Equity’, </w:t>
      </w:r>
      <w:r w:rsidRPr="0089427E">
        <w:rPr>
          <w:rFonts w:ascii="Arial" w:hAnsi="Arial" w:cs="Arial"/>
          <w:i/>
          <w:iCs/>
        </w:rPr>
        <w:t>AERA Open</w:t>
      </w:r>
      <w:r w:rsidRPr="0089427E">
        <w:rPr>
          <w:rFonts w:ascii="Arial" w:hAnsi="Arial" w:cs="Arial"/>
        </w:rPr>
        <w:t xml:space="preserve">, 8. Available at: https://doi.org/10.1177/23328584221121344 </w:t>
      </w:r>
    </w:p>
    <w:p w14:paraId="22DC395B" w14:textId="234F5A61" w:rsidR="009608A0" w:rsidRPr="0089427E" w:rsidRDefault="009608A0" w:rsidP="00E52629">
      <w:pPr>
        <w:spacing w:line="360" w:lineRule="auto"/>
        <w:ind w:hanging="284"/>
        <w:rPr>
          <w:rFonts w:ascii="Arial" w:hAnsi="Arial" w:cs="Arial"/>
          <w:b/>
          <w:bCs/>
        </w:rPr>
      </w:pPr>
      <w:r w:rsidRPr="0089427E">
        <w:rPr>
          <w:rFonts w:ascii="Arial" w:hAnsi="Arial" w:cs="Arial"/>
        </w:rPr>
        <w:t>Loughnan, L., Mahon, T., Goddard, S., Bain, R. and Sommer, M. (2020)</w:t>
      </w:r>
      <w:r w:rsidR="00EE595A" w:rsidRPr="0089427E">
        <w:rPr>
          <w:rFonts w:ascii="Arial" w:hAnsi="Arial" w:cs="Arial"/>
        </w:rPr>
        <w:t xml:space="preserve"> ‘</w:t>
      </w:r>
      <w:r w:rsidR="004634E1" w:rsidRPr="0089427E">
        <w:rPr>
          <w:rFonts w:ascii="Arial" w:hAnsi="Arial" w:cs="Arial"/>
        </w:rPr>
        <w:t xml:space="preserve">Monitoring Menstrual Health in the Sustainable Development Goals’, in Bobel, C., Winkler, I.T., Fahs, B., Hasson, K.A., Kissling, E.A. and Roberts, T.A. (eds) </w:t>
      </w:r>
      <w:r w:rsidR="004634E1" w:rsidRPr="0089427E">
        <w:rPr>
          <w:rFonts w:ascii="Arial" w:hAnsi="Arial" w:cs="Arial"/>
          <w:i/>
          <w:iCs/>
        </w:rPr>
        <w:t>The Palgrave Handbook of Critical Menstruation Studies.</w:t>
      </w:r>
      <w:r w:rsidR="0043520B" w:rsidRPr="0089427E">
        <w:rPr>
          <w:rFonts w:ascii="Arial" w:hAnsi="Arial" w:cs="Arial"/>
          <w:i/>
          <w:iCs/>
        </w:rPr>
        <w:t xml:space="preserve"> </w:t>
      </w:r>
      <w:r w:rsidR="0043520B" w:rsidRPr="0089427E">
        <w:rPr>
          <w:rFonts w:ascii="Arial" w:hAnsi="Arial" w:cs="Arial"/>
        </w:rPr>
        <w:t>Singapore: Palgrave Macmillan</w:t>
      </w:r>
      <w:r w:rsidR="00F42260" w:rsidRPr="0089427E">
        <w:rPr>
          <w:rFonts w:ascii="Arial" w:hAnsi="Arial" w:cs="Arial"/>
        </w:rPr>
        <w:t xml:space="preserve">, pp. </w:t>
      </w:r>
      <w:r w:rsidR="00E136AA" w:rsidRPr="0089427E">
        <w:rPr>
          <w:rFonts w:ascii="Arial" w:hAnsi="Arial" w:cs="Arial"/>
        </w:rPr>
        <w:t>577-592.</w:t>
      </w:r>
      <w:r w:rsidR="00E136AA" w:rsidRPr="0089427E">
        <w:rPr>
          <w:rFonts w:ascii="Arial" w:hAnsi="Arial" w:cs="Arial"/>
          <w:b/>
          <w:bCs/>
        </w:rPr>
        <w:t xml:space="preserve"> </w:t>
      </w:r>
    </w:p>
    <w:p w14:paraId="5044E8FD" w14:textId="122C0509" w:rsidR="007C2AB0" w:rsidRPr="0089427E" w:rsidRDefault="007C2AB0" w:rsidP="00E52629">
      <w:pPr>
        <w:spacing w:line="360" w:lineRule="auto"/>
        <w:ind w:hanging="284"/>
        <w:rPr>
          <w:rFonts w:ascii="Arial" w:hAnsi="Arial" w:cs="Arial"/>
        </w:rPr>
      </w:pPr>
      <w:r w:rsidRPr="0089427E">
        <w:rPr>
          <w:rFonts w:ascii="Arial" w:hAnsi="Arial" w:cs="Arial"/>
        </w:rPr>
        <w:t>Lowik, A.J. (2021) ‘</w:t>
      </w:r>
      <w:r w:rsidR="008649AC" w:rsidRPr="0089427E">
        <w:rPr>
          <w:rFonts w:ascii="Arial" w:hAnsi="Arial" w:cs="Arial"/>
        </w:rPr>
        <w:t>“Just because I don't bleed, doesn't mean I don't go through it”: Expanding knowledge on trans and non-binary menstruators’</w:t>
      </w:r>
      <w:r w:rsidR="008649AC" w:rsidRPr="0089427E">
        <w:rPr>
          <w:rFonts w:ascii="Arial" w:hAnsi="Arial" w:cs="Arial"/>
          <w:i/>
          <w:iCs/>
        </w:rPr>
        <w:t>, International Journal of Transgender Health</w:t>
      </w:r>
      <w:r w:rsidR="008649AC" w:rsidRPr="0089427E">
        <w:rPr>
          <w:rFonts w:ascii="Arial" w:hAnsi="Arial" w:cs="Arial"/>
        </w:rPr>
        <w:t xml:space="preserve">, 22(1-2), pp. 112-125. Available at: </w:t>
      </w:r>
      <w:r w:rsidR="00833128" w:rsidRPr="0089427E">
        <w:rPr>
          <w:rFonts w:ascii="Arial" w:hAnsi="Arial" w:cs="Arial"/>
        </w:rPr>
        <w:t xml:space="preserve">https://doi.org/10.1080/15532739.2020.1819507 </w:t>
      </w:r>
    </w:p>
    <w:p w14:paraId="6218C3A4" w14:textId="58E5859D" w:rsidR="00720BA7" w:rsidRPr="0089427E" w:rsidRDefault="00720BA7" w:rsidP="00E52629">
      <w:pPr>
        <w:spacing w:line="360" w:lineRule="auto"/>
        <w:ind w:hanging="284"/>
        <w:rPr>
          <w:rFonts w:ascii="Arial" w:hAnsi="Arial" w:cs="Arial"/>
        </w:rPr>
      </w:pPr>
      <w:r w:rsidRPr="0089427E">
        <w:rPr>
          <w:rFonts w:ascii="Arial" w:hAnsi="Arial" w:cs="Arial"/>
        </w:rPr>
        <w:t xml:space="preserve">Markle, M. (2017) </w:t>
      </w:r>
      <w:r w:rsidRPr="0089427E">
        <w:rPr>
          <w:rFonts w:ascii="Arial" w:hAnsi="Arial" w:cs="Arial"/>
          <w:i/>
          <w:iCs/>
        </w:rPr>
        <w:t>Meghan Markle: How Periods Affect Potential</w:t>
      </w:r>
      <w:r w:rsidRPr="0089427E">
        <w:rPr>
          <w:rFonts w:ascii="Arial" w:hAnsi="Arial" w:cs="Arial"/>
        </w:rPr>
        <w:t>. Available at: https://time.com/4694568/meghan-markle-period-stigma/ (Accessed: 24 October 2025).</w:t>
      </w:r>
    </w:p>
    <w:p w14:paraId="648933C4" w14:textId="70618030" w:rsidR="00C516FC" w:rsidRPr="0089427E" w:rsidRDefault="00230732" w:rsidP="00E52629">
      <w:pPr>
        <w:spacing w:line="360" w:lineRule="auto"/>
        <w:ind w:hanging="284"/>
        <w:rPr>
          <w:rFonts w:ascii="Arial" w:hAnsi="Arial" w:cs="Arial"/>
        </w:rPr>
      </w:pPr>
      <w:r w:rsidRPr="0089427E">
        <w:rPr>
          <w:rFonts w:ascii="Arial" w:hAnsi="Arial" w:cs="Arial"/>
        </w:rPr>
        <w:t xml:space="preserve">Medina-Perucha, L., </w:t>
      </w:r>
      <w:r w:rsidR="00C516FC" w:rsidRPr="0089427E">
        <w:rPr>
          <w:rFonts w:ascii="Arial" w:hAnsi="Arial" w:cs="Arial"/>
        </w:rPr>
        <w:t>López-Jiménez, T., Jacques-Aviñó, C., Holst, A.S., Valls-Llobet, C., Munrós-Feliu, J., Martínez-Bueno, C., Pinzón-Sanabria, D., Vicente-Hernández, M.M. and Berenguera, A. (2023) ‘</w:t>
      </w:r>
      <w:r w:rsidR="008B5D65" w:rsidRPr="0089427E">
        <w:rPr>
          <w:rFonts w:ascii="Arial" w:hAnsi="Arial" w:cs="Arial"/>
        </w:rPr>
        <w:t xml:space="preserve">Menstruation and social inequities in Spain: a cross-sectional online survey-based study’, </w:t>
      </w:r>
      <w:r w:rsidR="008B5D65" w:rsidRPr="0089427E">
        <w:rPr>
          <w:rFonts w:ascii="Arial" w:hAnsi="Arial" w:cs="Arial"/>
          <w:i/>
          <w:iCs/>
        </w:rPr>
        <w:t>International Journal for Equity in Health</w:t>
      </w:r>
      <w:r w:rsidR="008B5D65" w:rsidRPr="0089427E">
        <w:rPr>
          <w:rFonts w:ascii="Arial" w:hAnsi="Arial" w:cs="Arial"/>
        </w:rPr>
        <w:t xml:space="preserve">, 22 (May) article 92. Available at: https://doi.org/10.1186/s12939-023-01904-8 </w:t>
      </w:r>
    </w:p>
    <w:p w14:paraId="7B9F9966" w14:textId="43F04AD6" w:rsidR="00CA61D7" w:rsidRPr="0089427E" w:rsidRDefault="00CA61D7" w:rsidP="00E52629">
      <w:pPr>
        <w:spacing w:line="360" w:lineRule="auto"/>
        <w:ind w:hanging="284"/>
        <w:rPr>
          <w:rFonts w:ascii="Arial" w:hAnsi="Arial" w:cs="Arial"/>
          <w:b/>
          <w:bCs/>
        </w:rPr>
      </w:pPr>
      <w:r w:rsidRPr="0089427E">
        <w:rPr>
          <w:rFonts w:ascii="Arial" w:hAnsi="Arial" w:cs="Arial"/>
        </w:rPr>
        <w:t xml:space="preserve">Michel, J., Mettler, A., </w:t>
      </w:r>
      <w:r w:rsidR="00B106E3" w:rsidRPr="0089427E">
        <w:rPr>
          <w:rFonts w:ascii="Arial" w:hAnsi="Arial" w:cs="Arial"/>
        </w:rPr>
        <w:t xml:space="preserve">Schönenberger, S. and Gunz, D. (2022) ‘Period poverty: why it should be everybody’s business’, </w:t>
      </w:r>
      <w:r w:rsidR="00B106E3" w:rsidRPr="0089427E">
        <w:rPr>
          <w:rFonts w:ascii="Arial" w:hAnsi="Arial" w:cs="Arial"/>
          <w:i/>
          <w:iCs/>
        </w:rPr>
        <w:t>Journal of Global Health Report</w:t>
      </w:r>
      <w:r w:rsidR="00B106E3" w:rsidRPr="0089427E">
        <w:rPr>
          <w:rFonts w:ascii="Arial" w:hAnsi="Arial" w:cs="Arial"/>
        </w:rPr>
        <w:t>, 6. Available at: https://doi.org/10.29392/001c.32436</w:t>
      </w:r>
      <w:r w:rsidR="00B106E3" w:rsidRPr="0089427E">
        <w:rPr>
          <w:rFonts w:ascii="Arial" w:hAnsi="Arial" w:cs="Arial"/>
          <w:b/>
          <w:bCs/>
        </w:rPr>
        <w:t xml:space="preserve"> </w:t>
      </w:r>
    </w:p>
    <w:p w14:paraId="63AA2FB2" w14:textId="78D940F1" w:rsidR="00B55A63" w:rsidRPr="0089427E" w:rsidRDefault="00B55A63" w:rsidP="00E52629">
      <w:pPr>
        <w:spacing w:line="360" w:lineRule="auto"/>
        <w:ind w:hanging="284"/>
        <w:rPr>
          <w:rFonts w:ascii="Arial" w:hAnsi="Arial" w:cs="Arial"/>
        </w:rPr>
      </w:pPr>
      <w:r w:rsidRPr="0089427E">
        <w:rPr>
          <w:rFonts w:ascii="Arial" w:hAnsi="Arial" w:cs="Arial"/>
        </w:rPr>
        <w:t xml:space="preserve">Minow, M. (2021) ‘EQUALITY VS. EQUITY’, </w:t>
      </w:r>
      <w:r w:rsidRPr="0089427E">
        <w:rPr>
          <w:rFonts w:ascii="Arial" w:hAnsi="Arial" w:cs="Arial"/>
          <w:i/>
          <w:iCs/>
        </w:rPr>
        <w:t>American Journal of Law and Equality,</w:t>
      </w:r>
      <w:r w:rsidRPr="0089427E">
        <w:rPr>
          <w:rFonts w:ascii="Arial" w:hAnsi="Arial" w:cs="Arial"/>
        </w:rPr>
        <w:t xml:space="preserve"> 1, pp. 167-193. Available at: https://doi.org/10.1162/ajle_a_00019 </w:t>
      </w:r>
    </w:p>
    <w:p w14:paraId="27F9D42A" w14:textId="1370E2C9" w:rsidR="007A1321" w:rsidRPr="0089427E" w:rsidRDefault="007A1321" w:rsidP="00E52629">
      <w:pPr>
        <w:spacing w:line="360" w:lineRule="auto"/>
        <w:ind w:hanging="284"/>
        <w:rPr>
          <w:rFonts w:ascii="Arial" w:hAnsi="Arial" w:cs="Arial"/>
        </w:rPr>
      </w:pPr>
      <w:r w:rsidRPr="0089427E">
        <w:rPr>
          <w:rFonts w:ascii="Arial" w:hAnsi="Arial" w:cs="Arial"/>
        </w:rPr>
        <w:lastRenderedPageBreak/>
        <w:t xml:space="preserve">Muthara, G. (2016) </w:t>
      </w:r>
      <w:r w:rsidRPr="0089427E">
        <w:rPr>
          <w:rFonts w:ascii="Arial" w:hAnsi="Arial" w:cs="Arial"/>
          <w:i/>
          <w:iCs/>
        </w:rPr>
        <w:t>Don’t Let Periods Stop Girls From Receiving an Education.</w:t>
      </w:r>
      <w:r w:rsidRPr="0089427E">
        <w:rPr>
          <w:rFonts w:ascii="Arial" w:hAnsi="Arial" w:cs="Arial"/>
        </w:rPr>
        <w:t xml:space="preserve"> Available at: https://time.com/4339388/kenya-menstruation-education/ (Accessed: 24 October 2025).</w:t>
      </w:r>
    </w:p>
    <w:p w14:paraId="6EA8D9E6" w14:textId="30C50BD4" w:rsidR="006E6881" w:rsidRPr="0089427E" w:rsidRDefault="006E6881" w:rsidP="00E52629">
      <w:pPr>
        <w:spacing w:line="360" w:lineRule="auto"/>
        <w:ind w:hanging="284"/>
        <w:rPr>
          <w:rFonts w:ascii="Arial" w:hAnsi="Arial" w:cs="Arial"/>
        </w:rPr>
      </w:pPr>
      <w:r w:rsidRPr="0089427E">
        <w:rPr>
          <w:rFonts w:ascii="Arial" w:hAnsi="Arial" w:cs="Arial"/>
        </w:rPr>
        <w:t xml:space="preserve">Molyneaux, K. (2025) </w:t>
      </w:r>
      <w:r w:rsidR="00C32765" w:rsidRPr="0089427E">
        <w:rPr>
          <w:rFonts w:ascii="Arial" w:hAnsi="Arial" w:cs="Arial"/>
          <w:i/>
          <w:iCs/>
        </w:rPr>
        <w:t>The embodied experience of menstruation : critically examining class and gender inequality through period products</w:t>
      </w:r>
      <w:r w:rsidR="00C32765" w:rsidRPr="0089427E">
        <w:rPr>
          <w:rFonts w:ascii="Arial" w:hAnsi="Arial" w:cs="Arial"/>
        </w:rPr>
        <w:t xml:space="preserve">. PhD thesis. University of Strathclyde. Available at: </w:t>
      </w:r>
      <w:r w:rsidR="000B294B" w:rsidRPr="0089427E">
        <w:rPr>
          <w:rFonts w:ascii="Arial" w:hAnsi="Arial" w:cs="Arial"/>
        </w:rPr>
        <w:t xml:space="preserve">https://stax.strath.ac.uk/concern/theses/wm117p673 (Accessed: 19 October 2025). </w:t>
      </w:r>
    </w:p>
    <w:p w14:paraId="77CF8C71" w14:textId="1079BF4B" w:rsidR="009C1882" w:rsidRPr="0089427E" w:rsidRDefault="009C1882" w:rsidP="00E52629">
      <w:pPr>
        <w:spacing w:line="360" w:lineRule="auto"/>
        <w:ind w:hanging="284"/>
        <w:rPr>
          <w:rFonts w:ascii="Arial" w:hAnsi="Arial" w:cs="Arial"/>
        </w:rPr>
      </w:pPr>
      <w:r w:rsidRPr="0089427E">
        <w:rPr>
          <w:rFonts w:ascii="Arial" w:hAnsi="Arial" w:cs="Arial"/>
        </w:rPr>
        <w:t>Moon, G., Kim, I., Kim, H., Choe, S., Jeon, S., Cho, J., Hong, S. and Lee, J. (2020) ‘How can we improve knowledge and perceptions of menstruation? A mixed-methods research study’</w:t>
      </w:r>
      <w:r w:rsidRPr="0089427E">
        <w:rPr>
          <w:rFonts w:ascii="Arial" w:hAnsi="Arial" w:cs="Arial"/>
          <w:i/>
          <w:iCs/>
        </w:rPr>
        <w:t>, BMC Women’s Health,</w:t>
      </w:r>
      <w:r w:rsidRPr="0089427E">
        <w:rPr>
          <w:rFonts w:ascii="Arial" w:hAnsi="Arial" w:cs="Arial"/>
        </w:rPr>
        <w:t xml:space="preserve"> 20 (September) article 214. Available at: </w:t>
      </w:r>
      <w:hyperlink r:id="rId12" w:history="1">
        <w:r w:rsidRPr="0089427E">
          <w:rPr>
            <w:rStyle w:val="Hyperlink"/>
            <w:rFonts w:ascii="Arial" w:hAnsi="Arial" w:cs="Arial"/>
            <w:color w:val="auto"/>
            <w:u w:val="none"/>
          </w:rPr>
          <w:t>https://doi.org/10.1186/s12905-020-01007-4</w:t>
        </w:r>
      </w:hyperlink>
    </w:p>
    <w:p w14:paraId="31F47DFF" w14:textId="543EF804" w:rsidR="008F3687" w:rsidRPr="0089427E" w:rsidRDefault="008F3687" w:rsidP="00E52629">
      <w:pPr>
        <w:spacing w:line="360" w:lineRule="auto"/>
        <w:ind w:hanging="284"/>
        <w:rPr>
          <w:rFonts w:ascii="Arial" w:hAnsi="Arial" w:cs="Arial"/>
        </w:rPr>
      </w:pPr>
      <w:r w:rsidRPr="0089427E">
        <w:rPr>
          <w:rFonts w:ascii="Arial" w:hAnsi="Arial" w:cs="Arial"/>
        </w:rPr>
        <w:t xml:space="preserve">Nash, M. (2022) ‘Breaking the silence around blood: managing menstruation during remote Antarctic fieldwork’, </w:t>
      </w:r>
      <w:r w:rsidRPr="0089427E">
        <w:rPr>
          <w:rFonts w:ascii="Arial" w:hAnsi="Arial" w:cs="Arial"/>
          <w:i/>
          <w:iCs/>
        </w:rPr>
        <w:t>Gender, Place &amp; Culture</w:t>
      </w:r>
      <w:r w:rsidRPr="0089427E">
        <w:rPr>
          <w:rFonts w:ascii="Arial" w:hAnsi="Arial" w:cs="Arial"/>
        </w:rPr>
        <w:t xml:space="preserve">, 30(8), pp. 1083-1103. Available at: https://doi.org/10.1080/0966369X.2022.2066635 </w:t>
      </w:r>
    </w:p>
    <w:p w14:paraId="5BD587C2" w14:textId="69988166" w:rsidR="00564FF8" w:rsidRPr="0089427E" w:rsidRDefault="00564FF8" w:rsidP="00E52629">
      <w:pPr>
        <w:spacing w:line="360" w:lineRule="auto"/>
        <w:ind w:hanging="284"/>
        <w:rPr>
          <w:rFonts w:ascii="Arial" w:hAnsi="Arial" w:cs="Arial"/>
          <w:b/>
          <w:bCs/>
        </w:rPr>
      </w:pPr>
      <w:r w:rsidRPr="0089427E">
        <w:rPr>
          <w:rFonts w:ascii="Arial" w:hAnsi="Arial" w:cs="Arial"/>
        </w:rPr>
        <w:t>Nehoda, Y., Piast, N., Nosovets, N., Belan, T. and Rozhkova, L. (2024) ‘</w:t>
      </w:r>
      <w:r w:rsidR="00481B5A" w:rsidRPr="0089427E">
        <w:rPr>
          <w:rFonts w:ascii="Arial" w:hAnsi="Arial" w:cs="Arial"/>
        </w:rPr>
        <w:t xml:space="preserve">Achieving gender equity in present-day educational settings’, </w:t>
      </w:r>
      <w:r w:rsidR="00481B5A" w:rsidRPr="0089427E">
        <w:rPr>
          <w:rFonts w:ascii="Arial" w:hAnsi="Arial" w:cs="Arial"/>
          <w:i/>
          <w:iCs/>
        </w:rPr>
        <w:t>Multidisciplinary Reviews</w:t>
      </w:r>
      <w:r w:rsidR="00481B5A" w:rsidRPr="0089427E">
        <w:rPr>
          <w:rFonts w:ascii="Arial" w:hAnsi="Arial" w:cs="Arial"/>
        </w:rPr>
        <w:t xml:space="preserve">, 7. Available at: https://doi.org/10.31893/multirev.2024spe013 </w:t>
      </w:r>
    </w:p>
    <w:p w14:paraId="0562E127" w14:textId="299398D9" w:rsidR="00802FF1" w:rsidRPr="0089427E" w:rsidRDefault="00802FF1" w:rsidP="00E52629">
      <w:pPr>
        <w:spacing w:line="360" w:lineRule="auto"/>
        <w:ind w:hanging="284"/>
        <w:rPr>
          <w:rFonts w:ascii="Arial" w:hAnsi="Arial" w:cs="Arial"/>
        </w:rPr>
      </w:pPr>
      <w:r w:rsidRPr="0089427E">
        <w:rPr>
          <w:rFonts w:ascii="Arial" w:hAnsi="Arial" w:cs="Arial"/>
        </w:rPr>
        <w:t xml:space="preserve">NHS (2023) </w:t>
      </w:r>
      <w:r w:rsidRPr="0089427E">
        <w:rPr>
          <w:rFonts w:ascii="Arial" w:hAnsi="Arial" w:cs="Arial"/>
          <w:i/>
          <w:iCs/>
        </w:rPr>
        <w:t>Period problems</w:t>
      </w:r>
      <w:r w:rsidRPr="0089427E">
        <w:rPr>
          <w:rFonts w:ascii="Arial" w:hAnsi="Arial" w:cs="Arial"/>
        </w:rPr>
        <w:t xml:space="preserve">. Available at: https://www.nhs.uk/conditions/periods/period-problems/ (Accessed: 5 November 2025). </w:t>
      </w:r>
    </w:p>
    <w:p w14:paraId="6736332B" w14:textId="2BD66B2A" w:rsidR="005A64F3" w:rsidRPr="0089427E" w:rsidRDefault="005A64F3" w:rsidP="00E52629">
      <w:pPr>
        <w:spacing w:line="360" w:lineRule="auto"/>
        <w:ind w:hanging="284"/>
        <w:rPr>
          <w:rFonts w:ascii="Arial" w:hAnsi="Arial" w:cs="Arial"/>
        </w:rPr>
      </w:pPr>
      <w:r w:rsidRPr="0089427E">
        <w:rPr>
          <w:rFonts w:ascii="Arial" w:hAnsi="Arial" w:cs="Arial"/>
        </w:rPr>
        <w:t xml:space="preserve">Pao, P.S.V. (2023) ‘Social Stigma Centred around Menstruation: A Reflective Review’, </w:t>
      </w:r>
      <w:r w:rsidRPr="0089427E">
        <w:rPr>
          <w:rFonts w:ascii="Arial" w:hAnsi="Arial" w:cs="Arial"/>
          <w:i/>
          <w:iCs/>
        </w:rPr>
        <w:t>Frontier Anthropology</w:t>
      </w:r>
      <w:r w:rsidRPr="0089427E">
        <w:rPr>
          <w:rFonts w:ascii="Arial" w:hAnsi="Arial" w:cs="Arial"/>
        </w:rPr>
        <w:t xml:space="preserve">, 11, pp. 51-58. Available at: https://doi-ds.org/doilink/01.2023-14175947/Frontier </w:t>
      </w:r>
    </w:p>
    <w:p w14:paraId="5680BFA7" w14:textId="3545D6A8" w:rsidR="00E170BA" w:rsidRPr="0089427E" w:rsidRDefault="00E170BA" w:rsidP="00E52629">
      <w:pPr>
        <w:spacing w:line="360" w:lineRule="auto"/>
        <w:ind w:hanging="284"/>
        <w:rPr>
          <w:rFonts w:ascii="Arial" w:hAnsi="Arial" w:cs="Arial"/>
        </w:rPr>
      </w:pPr>
      <w:r w:rsidRPr="0089427E">
        <w:rPr>
          <w:rFonts w:ascii="Arial" w:hAnsi="Arial" w:cs="Arial"/>
          <w:i/>
          <w:iCs/>
        </w:rPr>
        <w:t>Period Products (Free Provision) Act (Northern Ireland) 2022</w:t>
      </w:r>
      <w:r w:rsidRPr="0089427E">
        <w:rPr>
          <w:rFonts w:ascii="Arial" w:hAnsi="Arial" w:cs="Arial"/>
        </w:rPr>
        <w:t>, c. 25. Available at: https://www.legislation.gov.uk/nia/2022/25/enacted (Accessed: 19 October 2025).</w:t>
      </w:r>
    </w:p>
    <w:p w14:paraId="31AB5A06" w14:textId="038EE3D9" w:rsidR="00375F56" w:rsidRPr="0089427E" w:rsidRDefault="00375F56" w:rsidP="00E52629">
      <w:pPr>
        <w:spacing w:line="360" w:lineRule="auto"/>
        <w:ind w:hanging="284"/>
        <w:rPr>
          <w:rFonts w:ascii="Arial" w:hAnsi="Arial" w:cs="Arial"/>
        </w:rPr>
      </w:pPr>
      <w:r w:rsidRPr="0089427E">
        <w:rPr>
          <w:rFonts w:ascii="Arial" w:hAnsi="Arial" w:cs="Arial"/>
          <w:i/>
          <w:iCs/>
        </w:rPr>
        <w:t>Period Products (Free Provision) (Scotland) Act 2021.</w:t>
      </w:r>
      <w:r w:rsidRPr="0089427E">
        <w:rPr>
          <w:rFonts w:ascii="Arial" w:hAnsi="Arial" w:cs="Arial"/>
        </w:rPr>
        <w:t xml:space="preserve"> Available at: https://www.legislation.gov.uk/asp/2021/1/enacted (Accessed: </w:t>
      </w:r>
      <w:r w:rsidR="00295E22" w:rsidRPr="0089427E">
        <w:rPr>
          <w:rFonts w:ascii="Arial" w:hAnsi="Arial" w:cs="Arial"/>
        </w:rPr>
        <w:t>19 October</w:t>
      </w:r>
      <w:r w:rsidRPr="0089427E">
        <w:rPr>
          <w:rFonts w:ascii="Arial" w:hAnsi="Arial" w:cs="Arial"/>
        </w:rPr>
        <w:t xml:space="preserve"> 2025).  </w:t>
      </w:r>
    </w:p>
    <w:p w14:paraId="1F393EEB" w14:textId="3F25ED2E" w:rsidR="00FC7F4A" w:rsidRPr="0089427E" w:rsidRDefault="00FC7F4A" w:rsidP="00E52629">
      <w:pPr>
        <w:spacing w:line="360" w:lineRule="auto"/>
        <w:ind w:hanging="284"/>
        <w:rPr>
          <w:rFonts w:ascii="Arial" w:hAnsi="Arial" w:cs="Arial"/>
        </w:rPr>
      </w:pPr>
      <w:r w:rsidRPr="0089427E">
        <w:rPr>
          <w:rFonts w:ascii="Arial" w:hAnsi="Arial" w:cs="Arial"/>
        </w:rPr>
        <w:t xml:space="preserve">Plan International UK (2020) </w:t>
      </w:r>
      <w:r w:rsidRPr="0089427E">
        <w:rPr>
          <w:rFonts w:ascii="Arial" w:hAnsi="Arial" w:cs="Arial"/>
          <w:i/>
          <w:iCs/>
        </w:rPr>
        <w:t>Menstrual Health Day: Global period poverty and stigma getting worse under lockdown.</w:t>
      </w:r>
      <w:r w:rsidRPr="0089427E">
        <w:rPr>
          <w:rFonts w:ascii="Arial" w:hAnsi="Arial" w:cs="Arial"/>
        </w:rPr>
        <w:t xml:space="preserve"> Available at: https://plan-uk.org/press/global-period-poverty-and-stigma-getting-worse-under-lockdown (Accessed: 28 October 2025). </w:t>
      </w:r>
    </w:p>
    <w:p w14:paraId="09CF9FCB" w14:textId="1A929B77" w:rsidR="00805AB3" w:rsidRPr="0089427E" w:rsidRDefault="00805AB3" w:rsidP="00E52629">
      <w:pPr>
        <w:spacing w:line="360" w:lineRule="auto"/>
        <w:ind w:hanging="284"/>
        <w:rPr>
          <w:rFonts w:ascii="Arial" w:hAnsi="Arial" w:cs="Arial"/>
        </w:rPr>
      </w:pPr>
      <w:r w:rsidRPr="0089427E">
        <w:rPr>
          <w:rFonts w:ascii="Arial" w:hAnsi="Arial" w:cs="Arial"/>
        </w:rPr>
        <w:lastRenderedPageBreak/>
        <w:t xml:space="preserve">Punyanunt-Carter, N.M. (2025) </w:t>
      </w:r>
      <w:r w:rsidRPr="0089427E">
        <w:rPr>
          <w:rFonts w:ascii="Arial" w:hAnsi="Arial" w:cs="Arial"/>
          <w:i/>
          <w:iCs/>
        </w:rPr>
        <w:t>Standpoint Theory.</w:t>
      </w:r>
      <w:r w:rsidRPr="0089427E">
        <w:rPr>
          <w:rFonts w:ascii="Arial" w:hAnsi="Arial" w:cs="Arial"/>
        </w:rPr>
        <w:t xml:space="preserve"> Available at: https://www.ebsco.com/research-starters/social-sciences-and-humanities/standpoint-theory (Accessed: </w:t>
      </w:r>
      <w:r w:rsidR="009E6CB7" w:rsidRPr="0089427E">
        <w:rPr>
          <w:rFonts w:ascii="Arial" w:hAnsi="Arial" w:cs="Arial"/>
        </w:rPr>
        <w:t xml:space="preserve">5 November 2025). </w:t>
      </w:r>
    </w:p>
    <w:p w14:paraId="0F81D871" w14:textId="562C5A6D" w:rsidR="008333DB" w:rsidRPr="0089427E" w:rsidRDefault="008333DB" w:rsidP="00E52629">
      <w:pPr>
        <w:spacing w:line="360" w:lineRule="auto"/>
        <w:ind w:hanging="284"/>
        <w:rPr>
          <w:rFonts w:ascii="Arial" w:hAnsi="Arial" w:cs="Arial"/>
        </w:rPr>
      </w:pPr>
      <w:r w:rsidRPr="0089427E">
        <w:rPr>
          <w:rFonts w:ascii="Arial" w:hAnsi="Arial" w:cs="Arial"/>
        </w:rPr>
        <w:t xml:space="preserve">Pycroft, H. (2022) </w:t>
      </w:r>
      <w:r w:rsidRPr="0089427E">
        <w:rPr>
          <w:rFonts w:ascii="Arial" w:hAnsi="Arial" w:cs="Arial"/>
          <w:i/>
          <w:iCs/>
        </w:rPr>
        <w:t>Period poverty: the statistics around the world.</w:t>
      </w:r>
      <w:r w:rsidRPr="0089427E">
        <w:rPr>
          <w:rFonts w:ascii="Arial" w:hAnsi="Arial" w:cs="Arial"/>
        </w:rPr>
        <w:t xml:space="preserve"> Available at: https://www.actionaid.org.uk/blog/2022/05/18/period-poverty-statistics-around-world (Accessed: 26 October 2025.</w:t>
      </w:r>
    </w:p>
    <w:p w14:paraId="74C15781" w14:textId="362B8D98" w:rsidR="00434173" w:rsidRPr="0089427E" w:rsidRDefault="00434173" w:rsidP="00E52629">
      <w:pPr>
        <w:spacing w:line="360" w:lineRule="auto"/>
        <w:ind w:hanging="284"/>
        <w:rPr>
          <w:rFonts w:ascii="Arial" w:hAnsi="Arial" w:cs="Arial"/>
        </w:rPr>
      </w:pPr>
      <w:r w:rsidRPr="0089427E">
        <w:rPr>
          <w:rFonts w:ascii="Arial" w:hAnsi="Arial" w:cs="Arial"/>
        </w:rPr>
        <w:t xml:space="preserve">Ramaiyer, M., Lulseged, B., Michel, R., Ali, F., Liang, J. and Borahay, M.A. (2023) ‘Menstruation in the USA’, </w:t>
      </w:r>
      <w:r w:rsidRPr="0089427E">
        <w:rPr>
          <w:rFonts w:ascii="Arial" w:hAnsi="Arial" w:cs="Arial"/>
          <w:i/>
          <w:iCs/>
        </w:rPr>
        <w:t>Current Epidemiology Reports</w:t>
      </w:r>
      <w:r w:rsidRPr="0089427E">
        <w:rPr>
          <w:rFonts w:ascii="Arial" w:hAnsi="Arial" w:cs="Arial"/>
        </w:rPr>
        <w:t>, 10, pp. 186-195. Available at: https://doi.org/10.1007/s40471-023-00333-z</w:t>
      </w:r>
      <w:r w:rsidR="00A330F0" w:rsidRPr="0089427E">
        <w:rPr>
          <w:rFonts w:ascii="Arial" w:hAnsi="Arial" w:cs="Arial"/>
        </w:rPr>
        <w:t xml:space="preserve"> </w:t>
      </w:r>
    </w:p>
    <w:p w14:paraId="385DE049" w14:textId="037506FF" w:rsidR="00F92C3D" w:rsidRPr="0089427E" w:rsidRDefault="00F92C3D" w:rsidP="00E52629">
      <w:pPr>
        <w:spacing w:line="360" w:lineRule="auto"/>
        <w:ind w:hanging="284"/>
        <w:rPr>
          <w:rFonts w:ascii="Arial" w:hAnsi="Arial" w:cs="Arial"/>
        </w:rPr>
      </w:pPr>
      <w:r w:rsidRPr="0089427E">
        <w:rPr>
          <w:rFonts w:ascii="Arial" w:hAnsi="Arial" w:cs="Arial"/>
        </w:rPr>
        <w:t xml:space="preserve">Randhawa, A.E., Tufte-Hewett, A.D., Weckesser, A.M., Jones G.L. and Hewett, F.G. (2021) ‘Secondary School Girls’ Experiences of Menstruation and Awareness of Endometriosis: A Cross-Sectional Study’, </w:t>
      </w:r>
      <w:r w:rsidRPr="0089427E">
        <w:rPr>
          <w:rFonts w:ascii="Arial" w:hAnsi="Arial" w:cs="Arial"/>
          <w:i/>
          <w:iCs/>
        </w:rPr>
        <w:t>Journal of Pediatric and Adolescent Gynecology</w:t>
      </w:r>
      <w:r w:rsidRPr="0089427E">
        <w:rPr>
          <w:rFonts w:ascii="Arial" w:hAnsi="Arial" w:cs="Arial"/>
        </w:rPr>
        <w:t>, 34(5), pp. 643-648. Available at: https://doi.org/10.1016/j.jpag.2021.01.021</w:t>
      </w:r>
    </w:p>
    <w:p w14:paraId="7288B516" w14:textId="2A225DB1" w:rsidR="00FD1FA5" w:rsidRPr="0089427E" w:rsidRDefault="00FD1FA5" w:rsidP="00E52629">
      <w:pPr>
        <w:spacing w:line="360" w:lineRule="auto"/>
        <w:ind w:hanging="284"/>
        <w:rPr>
          <w:rFonts w:ascii="Arial" w:hAnsi="Arial" w:cs="Arial"/>
        </w:rPr>
      </w:pPr>
      <w:r w:rsidRPr="0089427E">
        <w:rPr>
          <w:rFonts w:ascii="Arial" w:hAnsi="Arial" w:cs="Arial"/>
        </w:rPr>
        <w:t xml:space="preserve">Ricci, N. (2020) </w:t>
      </w:r>
      <w:r w:rsidR="00F31744" w:rsidRPr="0089427E">
        <w:rPr>
          <w:rFonts w:ascii="Arial" w:hAnsi="Arial" w:cs="Arial"/>
          <w:i/>
          <w:iCs/>
        </w:rPr>
        <w:t>Menstrual Experience and Structural Injustice: Why Menstruation Should Be a Political Matter.</w:t>
      </w:r>
      <w:r w:rsidR="00F31744" w:rsidRPr="0089427E">
        <w:rPr>
          <w:rFonts w:ascii="Arial" w:hAnsi="Arial" w:cs="Arial"/>
        </w:rPr>
        <w:t xml:space="preserve"> Mater’s thesis. Utreecht University. Available at: https://studenttheses.uu.nl/bitstream/handle/20.500.12932/38724/Menstrual%20Experience%20and%20Structural%20Injustice.NoemiRicci.Thesis.MA.pdf?sequence=1 (Accessed: 1 November 2025). </w:t>
      </w:r>
    </w:p>
    <w:p w14:paraId="7F9B4ADF" w14:textId="42D488D6" w:rsidR="003F48A5" w:rsidRPr="0089427E" w:rsidRDefault="003F48A5" w:rsidP="00E52629">
      <w:pPr>
        <w:spacing w:line="360" w:lineRule="auto"/>
        <w:ind w:hanging="284"/>
        <w:rPr>
          <w:rFonts w:ascii="Arial" w:hAnsi="Arial" w:cs="Arial"/>
        </w:rPr>
      </w:pPr>
      <w:r w:rsidRPr="0089427E">
        <w:rPr>
          <w:rFonts w:ascii="Arial" w:hAnsi="Arial" w:cs="Arial"/>
        </w:rPr>
        <w:t xml:space="preserve">Sanjakdar, F. (2021) ‘MAKING SENSE OF BRITISH MUSLIM PARENTS’ OBJECTIONS TO ‘PROGRESSIVE’ SEXUALITY EDUCATION’, </w:t>
      </w:r>
      <w:r w:rsidRPr="0089427E">
        <w:rPr>
          <w:rFonts w:ascii="Arial" w:hAnsi="Arial" w:cs="Arial"/>
          <w:i/>
          <w:iCs/>
        </w:rPr>
        <w:t>British Journal of Educational Studies</w:t>
      </w:r>
      <w:r w:rsidRPr="0089427E">
        <w:rPr>
          <w:rFonts w:ascii="Arial" w:hAnsi="Arial" w:cs="Arial"/>
        </w:rPr>
        <w:t>, 70(2), pp. 187-216. Available at: https://doi.org/10.1080/00071005.2021.1905770</w:t>
      </w:r>
    </w:p>
    <w:p w14:paraId="38414CD1" w14:textId="79B8D110" w:rsidR="009B0F36" w:rsidRPr="0089427E" w:rsidRDefault="009B0F36" w:rsidP="00E52629">
      <w:pPr>
        <w:spacing w:line="360" w:lineRule="auto"/>
        <w:ind w:hanging="284"/>
        <w:rPr>
          <w:rFonts w:ascii="Arial" w:hAnsi="Arial" w:cs="Arial"/>
          <w:b/>
          <w:bCs/>
        </w:rPr>
      </w:pPr>
      <w:r w:rsidRPr="0089427E">
        <w:rPr>
          <w:rFonts w:ascii="Arial" w:hAnsi="Arial" w:cs="Arial"/>
        </w:rPr>
        <w:t xml:space="preserve">Sawyer, G., Fraser, A., Lawlor, D.A., </w:t>
      </w:r>
      <w:r w:rsidR="00CD44F1" w:rsidRPr="0089427E">
        <w:rPr>
          <w:rFonts w:ascii="Arial" w:hAnsi="Arial" w:cs="Arial"/>
        </w:rPr>
        <w:t xml:space="preserve">Sharp, G.C. and Howe, L.D. (2025) ‘Associations of adolescent menstrual symptoms with school absences and educational attainment: analysis of a prospective cohort study’, </w:t>
      </w:r>
      <w:r w:rsidR="00740708" w:rsidRPr="0089427E">
        <w:rPr>
          <w:rFonts w:ascii="Arial" w:hAnsi="Arial" w:cs="Arial"/>
          <w:i/>
          <w:iCs/>
        </w:rPr>
        <w:t>npj Science and Learning</w:t>
      </w:r>
      <w:r w:rsidR="00740708" w:rsidRPr="0089427E">
        <w:rPr>
          <w:rFonts w:ascii="Arial" w:hAnsi="Arial" w:cs="Arial"/>
        </w:rPr>
        <w:t xml:space="preserve">, </w:t>
      </w:r>
      <w:r w:rsidR="00661968" w:rsidRPr="0089427E">
        <w:rPr>
          <w:rFonts w:ascii="Arial" w:hAnsi="Arial" w:cs="Arial"/>
        </w:rPr>
        <w:t>10 (August) article 54. Available at: https://doi.org/10.1038/s41539-025-00338-x</w:t>
      </w:r>
    </w:p>
    <w:p w14:paraId="2D23B621" w14:textId="6C7D07BA" w:rsidR="00C764B5" w:rsidRPr="0089427E" w:rsidRDefault="00C764B5" w:rsidP="00E52629">
      <w:pPr>
        <w:spacing w:line="360" w:lineRule="auto"/>
        <w:ind w:hanging="284"/>
        <w:rPr>
          <w:rFonts w:ascii="Arial" w:hAnsi="Arial" w:cs="Arial"/>
          <w:b/>
          <w:bCs/>
        </w:rPr>
      </w:pPr>
      <w:r w:rsidRPr="0089427E">
        <w:rPr>
          <w:rFonts w:ascii="Arial" w:hAnsi="Arial" w:cs="Arial"/>
        </w:rPr>
        <w:t xml:space="preserve">Seear, K. (2009) ‘The etiquette of endometriosis: stigmatisation, menstrual concealment and the diagnostic delay’, </w:t>
      </w:r>
      <w:r w:rsidR="00814167" w:rsidRPr="0089427E">
        <w:rPr>
          <w:rFonts w:ascii="Arial" w:hAnsi="Arial" w:cs="Arial"/>
          <w:i/>
          <w:iCs/>
        </w:rPr>
        <w:t>Social Science &amp; Medicine</w:t>
      </w:r>
      <w:r w:rsidR="00814167" w:rsidRPr="0089427E">
        <w:rPr>
          <w:rFonts w:ascii="Arial" w:hAnsi="Arial" w:cs="Arial"/>
        </w:rPr>
        <w:t>, 69(8), pp. 1220-1227. Available at: https://doi.org/10.1016/j.socscimed.2009.07.023</w:t>
      </w:r>
      <w:r w:rsidR="00814167" w:rsidRPr="0089427E">
        <w:rPr>
          <w:rFonts w:ascii="Arial" w:hAnsi="Arial" w:cs="Arial"/>
          <w:b/>
          <w:bCs/>
        </w:rPr>
        <w:t xml:space="preserve"> </w:t>
      </w:r>
    </w:p>
    <w:p w14:paraId="277C9FE8" w14:textId="5304485E" w:rsidR="003836DA" w:rsidRPr="0089427E" w:rsidRDefault="003836DA" w:rsidP="00E52629">
      <w:pPr>
        <w:spacing w:line="360" w:lineRule="auto"/>
        <w:ind w:hanging="284"/>
        <w:rPr>
          <w:rFonts w:ascii="Arial" w:hAnsi="Arial" w:cs="Arial"/>
        </w:rPr>
      </w:pPr>
      <w:r w:rsidRPr="0089427E">
        <w:rPr>
          <w:rFonts w:ascii="Arial" w:hAnsi="Arial" w:cs="Arial"/>
        </w:rPr>
        <w:lastRenderedPageBreak/>
        <w:t xml:space="preserve">SIECUS (2024) </w:t>
      </w:r>
      <w:r w:rsidRPr="0089427E">
        <w:rPr>
          <w:rFonts w:ascii="Arial" w:hAnsi="Arial" w:cs="Arial"/>
          <w:i/>
          <w:iCs/>
        </w:rPr>
        <w:t>2024 State of Sex Education Legislative Look-Ahead</w:t>
      </w:r>
      <w:r w:rsidRPr="0089427E">
        <w:rPr>
          <w:rFonts w:ascii="Arial" w:hAnsi="Arial" w:cs="Arial"/>
        </w:rPr>
        <w:t>. Available at: https://siecus.org/resource/2024-state-of-sex-education-legislative-look-ahead/ (Accessed: 26 October 2025).</w:t>
      </w:r>
    </w:p>
    <w:p w14:paraId="0FA4F797" w14:textId="260BD3B7" w:rsidR="006A75EC" w:rsidRPr="0089427E" w:rsidRDefault="006A75EC" w:rsidP="00E52629">
      <w:pPr>
        <w:spacing w:line="360" w:lineRule="auto"/>
        <w:ind w:hanging="284"/>
        <w:rPr>
          <w:rFonts w:ascii="Arial" w:hAnsi="Arial" w:cs="Arial"/>
        </w:rPr>
      </w:pPr>
      <w:r w:rsidRPr="0089427E">
        <w:rPr>
          <w:rFonts w:ascii="Arial" w:hAnsi="Arial" w:cs="Arial"/>
        </w:rPr>
        <w:t xml:space="preserve">Steele, L. and Goldblatt, B. (2020) ‘Engaging with Law’s Menstrual Moment’, </w:t>
      </w:r>
      <w:r w:rsidRPr="0089427E">
        <w:rPr>
          <w:rFonts w:ascii="Arial" w:hAnsi="Arial" w:cs="Arial"/>
          <w:i/>
          <w:iCs/>
        </w:rPr>
        <w:t>Australian Feminist Law Journal</w:t>
      </w:r>
      <w:r w:rsidRPr="0089427E">
        <w:rPr>
          <w:rFonts w:ascii="Arial" w:hAnsi="Arial" w:cs="Arial"/>
        </w:rPr>
        <w:t xml:space="preserve">, 46(1), pp. 83-113. Available at: </w:t>
      </w:r>
      <w:hyperlink r:id="rId13" w:history="1">
        <w:r w:rsidRPr="0089427E">
          <w:rPr>
            <w:rStyle w:val="Hyperlink"/>
            <w:rFonts w:ascii="Arial" w:hAnsi="Arial" w:cs="Arial"/>
            <w:color w:val="auto"/>
            <w:u w:val="none"/>
          </w:rPr>
          <w:t>https://doi.org/10.1080/13200968.2020.1822609</w:t>
        </w:r>
      </w:hyperlink>
    </w:p>
    <w:p w14:paraId="465E56C3" w14:textId="1014D65B" w:rsidR="000864A0" w:rsidRPr="0089427E" w:rsidRDefault="000864A0" w:rsidP="00E52629">
      <w:pPr>
        <w:spacing w:line="360" w:lineRule="auto"/>
        <w:ind w:hanging="284"/>
        <w:rPr>
          <w:rFonts w:ascii="Arial" w:hAnsi="Arial" w:cs="Arial"/>
          <w:b/>
          <w:bCs/>
        </w:rPr>
      </w:pPr>
      <w:r w:rsidRPr="0089427E">
        <w:rPr>
          <w:rFonts w:ascii="Arial" w:hAnsi="Arial" w:cs="Arial"/>
        </w:rPr>
        <w:t>Tan, D.A., Haththotuwa, R. and Fraser, I.S. (2017) ‘</w:t>
      </w:r>
      <w:r w:rsidR="00A1569C" w:rsidRPr="0089427E">
        <w:rPr>
          <w:rFonts w:ascii="Arial" w:hAnsi="Arial" w:cs="Arial"/>
        </w:rPr>
        <w:t xml:space="preserve">Cultural aspects and mythologies surrounding menstruation and abnormal uterine bleeding’, </w:t>
      </w:r>
      <w:r w:rsidR="00A1569C" w:rsidRPr="0089427E">
        <w:rPr>
          <w:rFonts w:ascii="Arial" w:hAnsi="Arial" w:cs="Arial"/>
          <w:i/>
          <w:iCs/>
        </w:rPr>
        <w:t>Best Practice &amp; Research Clinical Obstetrics &amp; Gynaecology</w:t>
      </w:r>
      <w:r w:rsidR="00A1569C" w:rsidRPr="0089427E">
        <w:rPr>
          <w:rFonts w:ascii="Arial" w:hAnsi="Arial" w:cs="Arial"/>
        </w:rPr>
        <w:t>, 40, pp. 121-133. Available at: https://doi.org/10.1016/j.bpobgyn.2016.09.015</w:t>
      </w:r>
      <w:r w:rsidR="00A1569C" w:rsidRPr="0089427E">
        <w:rPr>
          <w:rFonts w:ascii="Arial" w:hAnsi="Arial" w:cs="Arial"/>
          <w:b/>
          <w:bCs/>
        </w:rPr>
        <w:t xml:space="preserve"> </w:t>
      </w:r>
    </w:p>
    <w:p w14:paraId="028991FD" w14:textId="66119956" w:rsidR="0076330E" w:rsidRPr="0089427E" w:rsidRDefault="0076330E" w:rsidP="00E52629">
      <w:pPr>
        <w:spacing w:line="360" w:lineRule="auto"/>
        <w:ind w:hanging="284"/>
        <w:rPr>
          <w:rFonts w:ascii="Arial" w:hAnsi="Arial" w:cs="Arial"/>
        </w:rPr>
      </w:pPr>
      <w:r w:rsidRPr="0089427E">
        <w:rPr>
          <w:rFonts w:ascii="Arial" w:hAnsi="Arial" w:cs="Arial"/>
        </w:rPr>
        <w:t xml:space="preserve">Tesfu, S. and Williams, M. (2025) </w:t>
      </w:r>
      <w:r w:rsidR="00FD0857" w:rsidRPr="0089427E">
        <w:rPr>
          <w:rFonts w:ascii="Arial" w:hAnsi="Arial" w:cs="Arial"/>
          <w:i/>
          <w:iCs/>
        </w:rPr>
        <w:t>How menstrual health can be a catalyst for gender equality and sustainable development.</w:t>
      </w:r>
      <w:r w:rsidR="00FD0857" w:rsidRPr="0089427E">
        <w:rPr>
          <w:rFonts w:ascii="Arial" w:hAnsi="Arial" w:cs="Arial"/>
        </w:rPr>
        <w:t xml:space="preserve"> Available at: https://www.weforum.org/stories/2025/01/menstrual-health-and-sustainable-development/ (Accessed: 1 November 2025).</w:t>
      </w:r>
    </w:p>
    <w:p w14:paraId="5D35509E" w14:textId="6C22035E" w:rsidR="00720BA7" w:rsidRPr="0089427E" w:rsidRDefault="00720BA7" w:rsidP="00E52629">
      <w:pPr>
        <w:spacing w:line="360" w:lineRule="auto"/>
        <w:ind w:hanging="284"/>
        <w:rPr>
          <w:rFonts w:ascii="Arial" w:hAnsi="Arial" w:cs="Arial"/>
        </w:rPr>
      </w:pPr>
      <w:r w:rsidRPr="0089427E">
        <w:rPr>
          <w:rFonts w:ascii="Arial" w:hAnsi="Arial" w:cs="Arial"/>
        </w:rPr>
        <w:t xml:space="preserve">Tohit, N.F.M. and Haque, M. (2024) ‘Breaking the Cycle: Addressing Period Poverty as a Critical Public Health Challenge and Its Relation to Sustainable Development Goals’, </w:t>
      </w:r>
      <w:r w:rsidRPr="0089427E">
        <w:rPr>
          <w:rFonts w:ascii="Arial" w:hAnsi="Arial" w:cs="Arial"/>
          <w:i/>
          <w:iCs/>
        </w:rPr>
        <w:t>Cureus</w:t>
      </w:r>
      <w:r w:rsidRPr="0089427E">
        <w:rPr>
          <w:rFonts w:ascii="Arial" w:hAnsi="Arial" w:cs="Arial"/>
        </w:rPr>
        <w:t xml:space="preserve">, 16(6). Available at: https://pmc.ncbi.nlm.nih.gov/articles/PMC11180967/ (Accessed: 2 November 2025). </w:t>
      </w:r>
    </w:p>
    <w:p w14:paraId="5B9BBFBB" w14:textId="4B980151" w:rsidR="00DE5EA9" w:rsidRPr="0089427E" w:rsidRDefault="00DE5EA9" w:rsidP="00E52629">
      <w:pPr>
        <w:spacing w:line="360" w:lineRule="auto"/>
        <w:ind w:hanging="284"/>
        <w:rPr>
          <w:rFonts w:ascii="Arial" w:hAnsi="Arial" w:cs="Arial"/>
        </w:rPr>
      </w:pPr>
      <w:r w:rsidRPr="0089427E">
        <w:rPr>
          <w:rFonts w:ascii="Arial" w:hAnsi="Arial" w:cs="Arial"/>
        </w:rPr>
        <w:t xml:space="preserve">Tomlinson, M.K. (2021) ‘Moody and monstrous menstruators: the Semiotics of the menstrual meme on social media’, </w:t>
      </w:r>
      <w:r w:rsidRPr="0089427E">
        <w:rPr>
          <w:rFonts w:ascii="Arial" w:hAnsi="Arial" w:cs="Arial"/>
          <w:i/>
          <w:iCs/>
        </w:rPr>
        <w:t>Social Semiotics</w:t>
      </w:r>
      <w:r w:rsidRPr="0089427E">
        <w:rPr>
          <w:rFonts w:ascii="Arial" w:hAnsi="Arial" w:cs="Arial"/>
        </w:rPr>
        <w:t>, 31(3), pp. 421-439. Available at: https://doi.org/10.1080/10350330.2021.1930858</w:t>
      </w:r>
    </w:p>
    <w:p w14:paraId="645C66B5" w14:textId="7A8DBDB3" w:rsidR="00C878FC" w:rsidRPr="0089427E" w:rsidRDefault="00C878FC" w:rsidP="00E52629">
      <w:pPr>
        <w:spacing w:line="360" w:lineRule="auto"/>
        <w:ind w:hanging="284"/>
        <w:rPr>
          <w:rFonts w:ascii="Arial" w:hAnsi="Arial" w:cs="Arial"/>
        </w:rPr>
      </w:pPr>
      <w:r w:rsidRPr="0089427E">
        <w:rPr>
          <w:rFonts w:ascii="Arial" w:hAnsi="Arial" w:cs="Arial"/>
        </w:rPr>
        <w:t>Trant, A.A., Espinal, M., Kisanga, E.P., Vash-Margita, A., Lundsberg, L., Sheth, S.S. and Fan, L. (2023) ‘</w:t>
      </w:r>
      <w:r w:rsidR="00BC58FB" w:rsidRPr="0089427E">
        <w:rPr>
          <w:rFonts w:ascii="Arial" w:hAnsi="Arial" w:cs="Arial"/>
        </w:rPr>
        <w:t xml:space="preserve">Optimizing menstrual health and hygiene management in the U.S.: A mixed-methods study of the barriers and the role of healthcare professionals’, </w:t>
      </w:r>
      <w:r w:rsidR="00BC58FB" w:rsidRPr="0089427E">
        <w:rPr>
          <w:rFonts w:ascii="Arial" w:hAnsi="Arial" w:cs="Arial"/>
          <w:i/>
          <w:iCs/>
        </w:rPr>
        <w:t>Sexual &amp; Reproductive Healthcare</w:t>
      </w:r>
      <w:r w:rsidR="00BC58FB" w:rsidRPr="0089427E">
        <w:rPr>
          <w:rFonts w:ascii="Arial" w:hAnsi="Arial" w:cs="Arial"/>
        </w:rPr>
        <w:t>, 35 (March) article 100808. Available at: https://doi.org/10.1016/j.srhc.2022.10080</w:t>
      </w:r>
      <w:r w:rsidR="009971CB" w:rsidRPr="0089427E">
        <w:rPr>
          <w:rFonts w:ascii="Arial" w:hAnsi="Arial" w:cs="Arial"/>
        </w:rPr>
        <w:t xml:space="preserve">8 </w:t>
      </w:r>
    </w:p>
    <w:p w14:paraId="6AC15E82" w14:textId="294579B6" w:rsidR="00CC37E6" w:rsidRPr="0089427E" w:rsidRDefault="00CC37E6" w:rsidP="00E52629">
      <w:pPr>
        <w:spacing w:line="360" w:lineRule="auto"/>
        <w:ind w:hanging="284"/>
        <w:rPr>
          <w:rFonts w:ascii="Arial" w:hAnsi="Arial" w:cs="Arial"/>
        </w:rPr>
      </w:pPr>
      <w:r w:rsidRPr="0089427E">
        <w:rPr>
          <w:rFonts w:ascii="Arial" w:hAnsi="Arial" w:cs="Arial"/>
        </w:rPr>
        <w:t xml:space="preserve">Tull, K. (2019) </w:t>
      </w:r>
      <w:r w:rsidRPr="0089427E">
        <w:rPr>
          <w:rFonts w:ascii="Arial" w:hAnsi="Arial" w:cs="Arial"/>
          <w:i/>
          <w:iCs/>
        </w:rPr>
        <w:t>Period poverty impact on the economic empowerment of women</w:t>
      </w:r>
      <w:r w:rsidRPr="0089427E">
        <w:rPr>
          <w:rFonts w:ascii="Arial" w:hAnsi="Arial" w:cs="Arial"/>
        </w:rPr>
        <w:t>. Available at: https://assets.publishing.service.gov.uk/media/5c6e87b8ed915d4a32cf063a/period.pdf (Accessed: 19 October 2025).</w:t>
      </w:r>
    </w:p>
    <w:p w14:paraId="76A1C586" w14:textId="78C7D3FF" w:rsidR="00104484" w:rsidRPr="0089427E" w:rsidRDefault="00104484" w:rsidP="00E52629">
      <w:pPr>
        <w:spacing w:line="360" w:lineRule="auto"/>
        <w:ind w:hanging="284"/>
        <w:rPr>
          <w:rFonts w:ascii="Arial" w:hAnsi="Arial" w:cs="Arial"/>
        </w:rPr>
      </w:pPr>
      <w:r w:rsidRPr="0089427E">
        <w:rPr>
          <w:rFonts w:ascii="Arial" w:hAnsi="Arial" w:cs="Arial"/>
        </w:rPr>
        <w:lastRenderedPageBreak/>
        <w:t xml:space="preserve">Uchibori, M., Eguchi, A., Ghaznavi, C., Tanoue, Y., Ueta, M., Sassa, M., Suzuki, S., Honda, </w:t>
      </w:r>
      <w:r w:rsidR="00A935AE" w:rsidRPr="0089427E">
        <w:rPr>
          <w:rFonts w:ascii="Arial" w:hAnsi="Arial" w:cs="Arial"/>
        </w:rPr>
        <w:t>S., Kawata, Y., Iida, M., Sakamoto, H. and Nomura, S. (2023) ‘</w:t>
      </w:r>
      <w:r w:rsidR="00C61144" w:rsidRPr="0089427E">
        <w:rPr>
          <w:rFonts w:ascii="Arial" w:hAnsi="Arial" w:cs="Arial"/>
        </w:rPr>
        <w:t xml:space="preserve">Understanding factors related to healthcare avoidance for menstrual disorders and menopausal symptoms: A cross-sectional study among women in Japan’, </w:t>
      </w:r>
      <w:r w:rsidR="00C61144" w:rsidRPr="0089427E">
        <w:rPr>
          <w:rFonts w:ascii="Arial" w:hAnsi="Arial" w:cs="Arial"/>
          <w:i/>
          <w:iCs/>
        </w:rPr>
        <w:t>Preventive Medicine Reports</w:t>
      </w:r>
      <w:r w:rsidR="00C61144" w:rsidRPr="0089427E">
        <w:rPr>
          <w:rFonts w:ascii="Arial" w:hAnsi="Arial" w:cs="Arial"/>
        </w:rPr>
        <w:t>, 26 (December) article 102467. Available at:</w:t>
      </w:r>
      <w:r w:rsidR="00CB026B" w:rsidRPr="0089427E">
        <w:rPr>
          <w:rFonts w:ascii="Arial" w:hAnsi="Arial" w:cs="Arial"/>
        </w:rPr>
        <w:t xml:space="preserve"> https://doi.org/10.1016/j.pmedr.2023.102467 </w:t>
      </w:r>
    </w:p>
    <w:p w14:paraId="0AC7A200" w14:textId="1A69A50D" w:rsidR="00526C74" w:rsidRPr="0089427E" w:rsidRDefault="00526C74" w:rsidP="00E52629">
      <w:pPr>
        <w:spacing w:line="360" w:lineRule="auto"/>
        <w:ind w:hanging="284"/>
        <w:rPr>
          <w:rFonts w:ascii="Arial" w:hAnsi="Arial" w:cs="Arial"/>
        </w:rPr>
      </w:pPr>
      <w:r w:rsidRPr="0089427E">
        <w:rPr>
          <w:rFonts w:ascii="Arial" w:hAnsi="Arial" w:cs="Arial"/>
        </w:rPr>
        <w:t>UK Government (</w:t>
      </w:r>
      <w:r w:rsidR="00E8384E" w:rsidRPr="0089427E">
        <w:rPr>
          <w:rFonts w:ascii="Arial" w:hAnsi="Arial" w:cs="Arial"/>
        </w:rPr>
        <w:t xml:space="preserve">2025) </w:t>
      </w:r>
      <w:r w:rsidR="00E8384E" w:rsidRPr="0089427E">
        <w:rPr>
          <w:rFonts w:ascii="Arial" w:hAnsi="Arial" w:cs="Arial"/>
          <w:i/>
          <w:iCs/>
        </w:rPr>
        <w:t>Fit for the Future: The 10 Year Health Plan for England</w:t>
      </w:r>
      <w:r w:rsidR="00E8384E" w:rsidRPr="0089427E">
        <w:rPr>
          <w:rFonts w:ascii="Arial" w:hAnsi="Arial" w:cs="Arial"/>
        </w:rPr>
        <w:t xml:space="preserve">. </w:t>
      </w:r>
      <w:r w:rsidR="0034597B" w:rsidRPr="0089427E">
        <w:rPr>
          <w:rFonts w:ascii="Arial" w:hAnsi="Arial" w:cs="Arial"/>
        </w:rPr>
        <w:t xml:space="preserve">Available at: https://assets.publishing.service.gov.uk/media/6888a0b1a11f859994409147/fit-for-the-future-10-year-health-plan-for-england.pdf (Accessed: 1 November 2025). </w:t>
      </w:r>
    </w:p>
    <w:p w14:paraId="5321E83D" w14:textId="310E1CEC" w:rsidR="005B5C1D" w:rsidRPr="0089427E" w:rsidRDefault="005B5C1D" w:rsidP="00E52629">
      <w:pPr>
        <w:spacing w:line="360" w:lineRule="auto"/>
        <w:ind w:hanging="284"/>
        <w:rPr>
          <w:rFonts w:ascii="Arial" w:hAnsi="Arial" w:cs="Arial"/>
        </w:rPr>
      </w:pPr>
      <w:r w:rsidRPr="0089427E">
        <w:rPr>
          <w:rFonts w:ascii="Arial" w:hAnsi="Arial" w:cs="Arial"/>
        </w:rPr>
        <w:t xml:space="preserve">UN Women (2019) </w:t>
      </w:r>
      <w:r w:rsidRPr="0089427E">
        <w:rPr>
          <w:rFonts w:ascii="Arial" w:hAnsi="Arial" w:cs="Arial"/>
          <w:i/>
          <w:iCs/>
        </w:rPr>
        <w:t>End the stigma. Period.</w:t>
      </w:r>
      <w:r w:rsidRPr="0089427E">
        <w:rPr>
          <w:rFonts w:ascii="Arial" w:hAnsi="Arial" w:cs="Arial"/>
        </w:rPr>
        <w:t xml:space="preserve"> Available at: https://www.unwomen.org/en/digital-library/multimedia/2019/10/infographic-periods (Accessed: 28 October 2025).</w:t>
      </w:r>
    </w:p>
    <w:p w14:paraId="5E619E80" w14:textId="3FDA975E" w:rsidR="00131E01" w:rsidRPr="0089427E" w:rsidRDefault="00131E01" w:rsidP="00E52629">
      <w:pPr>
        <w:spacing w:line="360" w:lineRule="auto"/>
        <w:ind w:hanging="284"/>
        <w:rPr>
          <w:rFonts w:ascii="Arial" w:hAnsi="Arial" w:cs="Arial"/>
        </w:rPr>
      </w:pPr>
      <w:r w:rsidRPr="0089427E">
        <w:rPr>
          <w:rFonts w:ascii="Arial" w:hAnsi="Arial" w:cs="Arial"/>
        </w:rPr>
        <w:t xml:space="preserve">UN Women (2024) </w:t>
      </w:r>
      <w:r w:rsidRPr="0089427E">
        <w:rPr>
          <w:rFonts w:ascii="Arial" w:hAnsi="Arial" w:cs="Arial"/>
          <w:i/>
          <w:iCs/>
        </w:rPr>
        <w:t>Period Poverty – why millions of girls and women cannot afford their periods.</w:t>
      </w:r>
      <w:r w:rsidRPr="0089427E">
        <w:rPr>
          <w:rFonts w:ascii="Arial" w:hAnsi="Arial" w:cs="Arial"/>
        </w:rPr>
        <w:t xml:space="preserve"> Available at: https://www.unwomen.org/en/news-stories/explainer/2024/05/period-poverty-why-millions-of-girls-and-women-cannot-afford-their-periods (Accessed: 28 October 2025).   </w:t>
      </w:r>
    </w:p>
    <w:p w14:paraId="6A88C8A5" w14:textId="1C685514" w:rsidR="00D46702" w:rsidRPr="0089427E" w:rsidRDefault="00D46702" w:rsidP="00E52629">
      <w:pPr>
        <w:spacing w:line="360" w:lineRule="auto"/>
        <w:ind w:hanging="284"/>
        <w:rPr>
          <w:rFonts w:ascii="Arial" w:hAnsi="Arial" w:cs="Arial"/>
        </w:rPr>
      </w:pPr>
      <w:r w:rsidRPr="0089427E">
        <w:rPr>
          <w:rFonts w:ascii="Arial" w:hAnsi="Arial" w:cs="Arial"/>
        </w:rPr>
        <w:t xml:space="preserve">United Nations Department of Economic and Social Affairs (2015) </w:t>
      </w:r>
      <w:r w:rsidR="00233E54" w:rsidRPr="0089427E">
        <w:rPr>
          <w:rFonts w:ascii="Arial" w:hAnsi="Arial" w:cs="Arial"/>
          <w:i/>
          <w:iCs/>
        </w:rPr>
        <w:t>THE 17 GOALS</w:t>
      </w:r>
      <w:r w:rsidR="00233E54" w:rsidRPr="0089427E">
        <w:rPr>
          <w:rFonts w:ascii="Arial" w:hAnsi="Arial" w:cs="Arial"/>
        </w:rPr>
        <w:t xml:space="preserve">. Available at: https://sdgs.un.org/goals (Accessed: 28 October 2025). </w:t>
      </w:r>
    </w:p>
    <w:p w14:paraId="16D0AA06" w14:textId="7FA1BC56" w:rsidR="00271274" w:rsidRPr="0089427E" w:rsidRDefault="00271274" w:rsidP="00E52629">
      <w:pPr>
        <w:spacing w:line="360" w:lineRule="auto"/>
        <w:ind w:hanging="284"/>
        <w:rPr>
          <w:rFonts w:ascii="Arial" w:hAnsi="Arial" w:cs="Arial"/>
        </w:rPr>
      </w:pPr>
      <w:r w:rsidRPr="0089427E">
        <w:rPr>
          <w:rFonts w:ascii="Arial" w:hAnsi="Arial" w:cs="Arial"/>
        </w:rPr>
        <w:t>United Nations</w:t>
      </w:r>
      <w:r w:rsidR="00217876" w:rsidRPr="0089427E">
        <w:rPr>
          <w:rFonts w:ascii="Arial" w:hAnsi="Arial" w:cs="Arial"/>
        </w:rPr>
        <w:t xml:space="preserve"> </w:t>
      </w:r>
      <w:r w:rsidR="00A60C9B" w:rsidRPr="0089427E">
        <w:rPr>
          <w:rFonts w:ascii="Arial" w:hAnsi="Arial" w:cs="Arial"/>
        </w:rPr>
        <w:t>General Asse</w:t>
      </w:r>
      <w:r w:rsidR="00CA1B13" w:rsidRPr="0089427E">
        <w:rPr>
          <w:rFonts w:ascii="Arial" w:hAnsi="Arial" w:cs="Arial"/>
        </w:rPr>
        <w:t>mbly</w:t>
      </w:r>
      <w:r w:rsidR="00126229" w:rsidRPr="0089427E">
        <w:rPr>
          <w:rFonts w:ascii="Arial" w:hAnsi="Arial" w:cs="Arial"/>
        </w:rPr>
        <w:t xml:space="preserve"> </w:t>
      </w:r>
      <w:r w:rsidR="00A653E5" w:rsidRPr="0089427E">
        <w:rPr>
          <w:rFonts w:ascii="Arial" w:hAnsi="Arial" w:cs="Arial"/>
        </w:rPr>
        <w:t xml:space="preserve">(1979) </w:t>
      </w:r>
      <w:r w:rsidR="00A653E5" w:rsidRPr="0089427E">
        <w:rPr>
          <w:rFonts w:ascii="Arial" w:hAnsi="Arial" w:cs="Arial"/>
          <w:i/>
          <w:iCs/>
        </w:rPr>
        <w:t>Convention on the Elimination of All Forms of Discrimination against Women</w:t>
      </w:r>
      <w:r w:rsidR="005D453B" w:rsidRPr="0089427E">
        <w:rPr>
          <w:rFonts w:ascii="Arial" w:hAnsi="Arial" w:cs="Arial"/>
        </w:rPr>
        <w:t>.</w:t>
      </w:r>
      <w:r w:rsidR="00F368AD" w:rsidRPr="0089427E">
        <w:rPr>
          <w:rFonts w:ascii="Arial" w:hAnsi="Arial" w:cs="Arial"/>
        </w:rPr>
        <w:t xml:space="preserve"> </w:t>
      </w:r>
      <w:r w:rsidR="006507BE" w:rsidRPr="0089427E">
        <w:rPr>
          <w:rFonts w:ascii="Arial" w:hAnsi="Arial" w:cs="Arial"/>
        </w:rPr>
        <w:t>Resolution 34/180.</w:t>
      </w:r>
      <w:r w:rsidR="006507BE" w:rsidRPr="0089427E">
        <w:rPr>
          <w:rFonts w:ascii="Arial" w:hAnsi="Arial" w:cs="Arial"/>
          <w:i/>
          <w:iCs/>
        </w:rPr>
        <w:t xml:space="preserve"> </w:t>
      </w:r>
      <w:r w:rsidR="005D453B" w:rsidRPr="0089427E">
        <w:rPr>
          <w:rFonts w:ascii="Arial" w:hAnsi="Arial" w:cs="Arial"/>
        </w:rPr>
        <w:t xml:space="preserve">Available at: </w:t>
      </w:r>
      <w:r w:rsidR="000D555A" w:rsidRPr="0089427E">
        <w:rPr>
          <w:rFonts w:ascii="Arial" w:hAnsi="Arial" w:cs="Arial"/>
        </w:rPr>
        <w:t xml:space="preserve">https://www.ohchr.org/en/instruments-mechanisms/instruments/convention-elimination-all-forms-discrimination-against-women (Accessed: </w:t>
      </w:r>
      <w:r w:rsidR="00562EA1" w:rsidRPr="0089427E">
        <w:rPr>
          <w:rFonts w:ascii="Arial" w:hAnsi="Arial" w:cs="Arial"/>
        </w:rPr>
        <w:t xml:space="preserve">19 October 2025). </w:t>
      </w:r>
    </w:p>
    <w:p w14:paraId="79D782C4" w14:textId="51A07404" w:rsidR="007250AB" w:rsidRPr="0089427E" w:rsidRDefault="007250AB" w:rsidP="00E52629">
      <w:pPr>
        <w:spacing w:line="360" w:lineRule="auto"/>
        <w:ind w:hanging="284"/>
        <w:rPr>
          <w:rFonts w:ascii="Arial" w:hAnsi="Arial" w:cs="Arial"/>
        </w:rPr>
      </w:pPr>
      <w:r w:rsidRPr="0089427E">
        <w:rPr>
          <w:rFonts w:ascii="Arial" w:hAnsi="Arial" w:cs="Arial"/>
        </w:rPr>
        <w:t>Vashisht, A., Pathak, R., Agarwalla, R., Patavegar, B.</w:t>
      </w:r>
      <w:r w:rsidR="00BD4036" w:rsidRPr="0089427E">
        <w:rPr>
          <w:rFonts w:ascii="Arial" w:hAnsi="Arial" w:cs="Arial"/>
        </w:rPr>
        <w:t xml:space="preserve">N. and Panda, M. (2018) ‘School absenteeism during menstruation amongst adolescent girls in Delhi, India’, </w:t>
      </w:r>
      <w:r w:rsidR="00B10AC8" w:rsidRPr="0089427E">
        <w:rPr>
          <w:rFonts w:ascii="Arial" w:hAnsi="Arial" w:cs="Arial"/>
          <w:i/>
          <w:iCs/>
        </w:rPr>
        <w:t>Journal of Family &amp; Community Medicine</w:t>
      </w:r>
      <w:r w:rsidR="00B10AC8" w:rsidRPr="0089427E">
        <w:rPr>
          <w:rFonts w:ascii="Arial" w:hAnsi="Arial" w:cs="Arial"/>
        </w:rPr>
        <w:t xml:space="preserve">, 25(3), pp. 163-168. Available at: </w:t>
      </w:r>
      <w:r w:rsidR="00AD672A" w:rsidRPr="0089427E">
        <w:rPr>
          <w:rFonts w:ascii="Arial" w:hAnsi="Arial" w:cs="Arial"/>
        </w:rPr>
        <w:t xml:space="preserve">https://journals.lww.com/jfcm/fulltext/2018/25030/school_absenteeism_during_menstruation_amongst.4.aspx (Accessed: 1 November 2025). </w:t>
      </w:r>
    </w:p>
    <w:p w14:paraId="41E8813A" w14:textId="29DAA429" w:rsidR="00513E9B" w:rsidRPr="0089427E" w:rsidRDefault="00513E9B" w:rsidP="00E52629">
      <w:pPr>
        <w:spacing w:line="360" w:lineRule="auto"/>
        <w:ind w:hanging="284"/>
        <w:rPr>
          <w:rFonts w:ascii="Arial" w:hAnsi="Arial" w:cs="Arial"/>
        </w:rPr>
      </w:pPr>
      <w:r w:rsidRPr="0089427E">
        <w:rPr>
          <w:rFonts w:ascii="Arial" w:hAnsi="Arial" w:cs="Arial"/>
        </w:rPr>
        <w:t>Vogel, L. (20</w:t>
      </w:r>
      <w:r w:rsidR="00EA768D" w:rsidRPr="0089427E">
        <w:rPr>
          <w:rFonts w:ascii="Arial" w:hAnsi="Arial" w:cs="Arial"/>
        </w:rPr>
        <w:t>00</w:t>
      </w:r>
      <w:r w:rsidRPr="0089427E">
        <w:rPr>
          <w:rFonts w:ascii="Arial" w:hAnsi="Arial" w:cs="Arial"/>
        </w:rPr>
        <w:t xml:space="preserve">) </w:t>
      </w:r>
      <w:r w:rsidR="00274E1B" w:rsidRPr="0089427E">
        <w:rPr>
          <w:rFonts w:ascii="Arial" w:hAnsi="Arial" w:cs="Arial"/>
        </w:rPr>
        <w:t xml:space="preserve">‘Domestic Labour Debate’, </w:t>
      </w:r>
      <w:r w:rsidR="00274E1B" w:rsidRPr="0089427E">
        <w:rPr>
          <w:rFonts w:ascii="Arial" w:hAnsi="Arial" w:cs="Arial"/>
          <w:i/>
          <w:iCs/>
        </w:rPr>
        <w:t>Science &amp; Society: A Journal of Marxist Thought and Analysis</w:t>
      </w:r>
      <w:r w:rsidR="00274E1B" w:rsidRPr="0089427E">
        <w:rPr>
          <w:rFonts w:ascii="Arial" w:hAnsi="Arial" w:cs="Arial"/>
        </w:rPr>
        <w:t xml:space="preserve">, 64(2), pp. 51-170. Available at: https://doi.org/10.1177/003682370006400202 </w:t>
      </w:r>
    </w:p>
    <w:p w14:paraId="7BF04117" w14:textId="57E7606D" w:rsidR="00D15E31" w:rsidRPr="0089427E" w:rsidRDefault="00D15E31" w:rsidP="00E52629">
      <w:pPr>
        <w:spacing w:line="360" w:lineRule="auto"/>
        <w:ind w:hanging="284"/>
        <w:rPr>
          <w:rFonts w:ascii="Arial" w:hAnsi="Arial" w:cs="Arial"/>
        </w:rPr>
      </w:pPr>
      <w:r w:rsidRPr="0089427E">
        <w:rPr>
          <w:rFonts w:ascii="Arial" w:hAnsi="Arial" w:cs="Arial"/>
        </w:rPr>
        <w:lastRenderedPageBreak/>
        <w:t xml:space="preserve">Welsh Government (2023) </w:t>
      </w:r>
      <w:r w:rsidRPr="0089427E">
        <w:rPr>
          <w:rFonts w:ascii="Arial" w:hAnsi="Arial" w:cs="Arial"/>
          <w:i/>
          <w:iCs/>
        </w:rPr>
        <w:t>Period Proud Wales Action Plan</w:t>
      </w:r>
      <w:r w:rsidRPr="0089427E">
        <w:rPr>
          <w:rFonts w:ascii="Arial" w:hAnsi="Arial" w:cs="Arial"/>
        </w:rPr>
        <w:t xml:space="preserve">. Available at: </w:t>
      </w:r>
      <w:hyperlink r:id="rId14" w:history="1">
        <w:r w:rsidRPr="0089427E">
          <w:rPr>
            <w:rStyle w:val="Hyperlink"/>
            <w:rFonts w:ascii="Arial" w:hAnsi="Arial" w:cs="Arial"/>
            <w:color w:val="auto"/>
            <w:u w:val="none"/>
          </w:rPr>
          <w:t>https://www.gov.wales/period-proud-wales-action-plan-html</w:t>
        </w:r>
      </w:hyperlink>
      <w:r w:rsidRPr="0089427E">
        <w:rPr>
          <w:rFonts w:ascii="Arial" w:hAnsi="Arial" w:cs="Arial"/>
        </w:rPr>
        <w:t xml:space="preserve"> (Accessed: 19 October 2025).  </w:t>
      </w:r>
    </w:p>
    <w:p w14:paraId="5DFC1B98" w14:textId="625303BD" w:rsidR="00CD7AE4" w:rsidRPr="0089427E" w:rsidRDefault="00CD7AE4" w:rsidP="00E52629">
      <w:pPr>
        <w:spacing w:line="360" w:lineRule="auto"/>
        <w:ind w:hanging="284"/>
        <w:rPr>
          <w:rFonts w:ascii="Arial" w:hAnsi="Arial" w:cs="Arial"/>
          <w:b/>
          <w:bCs/>
        </w:rPr>
      </w:pPr>
      <w:r w:rsidRPr="0089427E">
        <w:rPr>
          <w:rFonts w:ascii="Arial" w:hAnsi="Arial" w:cs="Arial"/>
        </w:rPr>
        <w:t xml:space="preserve">Welsh Government (2024a) </w:t>
      </w:r>
      <w:r w:rsidR="001816DA" w:rsidRPr="0089427E">
        <w:rPr>
          <w:rFonts w:ascii="Arial" w:hAnsi="Arial" w:cs="Arial"/>
          <w:i/>
          <w:iCs/>
        </w:rPr>
        <w:t>‘We must improve education around menstrual cycles in schools’ vows Deputy Minister for Social Partnership.</w:t>
      </w:r>
      <w:r w:rsidR="001816DA" w:rsidRPr="0089427E">
        <w:rPr>
          <w:rFonts w:ascii="Arial" w:hAnsi="Arial" w:cs="Arial"/>
        </w:rPr>
        <w:t xml:space="preserve"> Available at: </w:t>
      </w:r>
      <w:r w:rsidR="00BD4FA4" w:rsidRPr="0089427E">
        <w:rPr>
          <w:rFonts w:ascii="Arial" w:hAnsi="Arial" w:cs="Arial"/>
        </w:rPr>
        <w:t xml:space="preserve"> </w:t>
      </w:r>
      <w:hyperlink r:id="rId15" w:anchor=":~:text=Menstrual%20well-being%20and%20learning%20about%20the%20menstrual%20cycle,should%20be%20taught%20over%20time%20as%20children%20grow" w:history="1">
        <w:r w:rsidR="00BD4FA4" w:rsidRPr="0089427E">
          <w:rPr>
            <w:rStyle w:val="Hyperlink"/>
            <w:rFonts w:ascii="Arial" w:hAnsi="Arial" w:cs="Arial"/>
            <w:color w:val="auto"/>
            <w:u w:val="none"/>
          </w:rPr>
          <w:t>https://www.gov.wales/we-must-improve-education-around-menstrual-cycles-schools-vows-deputy-minister-social-partnership#:~:text=Menstrual%20well-being%20and%20learning%20about%20the%20menstrual%20cycle,should%20be%20taught%20over%20time%20as%20children%20grow</w:t>
        </w:r>
      </w:hyperlink>
      <w:r w:rsidR="00BD4FA4" w:rsidRPr="0089427E">
        <w:rPr>
          <w:rFonts w:ascii="Arial" w:hAnsi="Arial" w:cs="Arial"/>
        </w:rPr>
        <w:t xml:space="preserve"> (Accessed: 1 November 2025).</w:t>
      </w:r>
      <w:r w:rsidR="00BD4FA4" w:rsidRPr="0089427E">
        <w:rPr>
          <w:rFonts w:ascii="Arial" w:hAnsi="Arial" w:cs="Arial"/>
          <w:b/>
          <w:bCs/>
        </w:rPr>
        <w:t xml:space="preserve"> </w:t>
      </w:r>
    </w:p>
    <w:p w14:paraId="572655EF" w14:textId="049EA3E7" w:rsidR="006F5F77" w:rsidRPr="0089427E" w:rsidRDefault="006F5F77" w:rsidP="00E52629">
      <w:pPr>
        <w:spacing w:line="360" w:lineRule="auto"/>
        <w:ind w:hanging="284"/>
        <w:rPr>
          <w:rFonts w:ascii="Arial" w:hAnsi="Arial" w:cs="Arial"/>
        </w:rPr>
      </w:pPr>
      <w:r w:rsidRPr="0089427E">
        <w:rPr>
          <w:rFonts w:ascii="Arial" w:hAnsi="Arial" w:cs="Arial"/>
        </w:rPr>
        <w:t xml:space="preserve">Welsh Government (2024b) </w:t>
      </w:r>
      <w:r w:rsidRPr="0089427E">
        <w:rPr>
          <w:rFonts w:ascii="Arial" w:hAnsi="Arial" w:cs="Arial"/>
          <w:i/>
          <w:iCs/>
        </w:rPr>
        <w:t>Introduction to Curriculum for Wales guidance</w:t>
      </w:r>
      <w:r w:rsidRPr="0089427E">
        <w:rPr>
          <w:rFonts w:ascii="Arial" w:hAnsi="Arial" w:cs="Arial"/>
        </w:rPr>
        <w:t xml:space="preserve">. Available at: </w:t>
      </w:r>
      <w:r w:rsidR="007F62C1" w:rsidRPr="0089427E">
        <w:rPr>
          <w:rFonts w:ascii="Arial" w:hAnsi="Arial" w:cs="Arial"/>
        </w:rPr>
        <w:t xml:space="preserve">https://hwb.gov.wales/curriculum-for-wales/introduction-to-curriculum-for-wales-guidance/ (Accessed: 1 November 2025). </w:t>
      </w:r>
    </w:p>
    <w:p w14:paraId="0C42EE7C" w14:textId="47F03C51" w:rsidR="006F59F1" w:rsidRPr="0089427E" w:rsidRDefault="006F59F1" w:rsidP="00E52629">
      <w:pPr>
        <w:spacing w:line="360" w:lineRule="auto"/>
        <w:ind w:hanging="284"/>
        <w:rPr>
          <w:rFonts w:ascii="Arial" w:hAnsi="Arial" w:cs="Arial"/>
        </w:rPr>
      </w:pPr>
      <w:r w:rsidRPr="0089427E">
        <w:rPr>
          <w:rFonts w:ascii="Arial" w:hAnsi="Arial" w:cs="Arial"/>
        </w:rPr>
        <w:t xml:space="preserve">Welsh Government (2025) </w:t>
      </w:r>
      <w:r w:rsidRPr="0089427E">
        <w:rPr>
          <w:rFonts w:ascii="Arial" w:hAnsi="Arial" w:cs="Arial"/>
          <w:i/>
          <w:iCs/>
        </w:rPr>
        <w:t>Period Proud Wales Action Plan: progress update.</w:t>
      </w:r>
      <w:r w:rsidRPr="0089427E">
        <w:rPr>
          <w:rFonts w:ascii="Arial" w:hAnsi="Arial" w:cs="Arial"/>
        </w:rPr>
        <w:t xml:space="preserve"> Available at: https://www.gov.wales/period-proud-wales-action-plan-progress-update#:~:text=The%20Period%20Proud%20Wales%20Action%20Plan%20was%20launched,stakeholders%20in%20the%20private%20sector%20and%20trade%20unions. (Accessed: 19 October 2025).</w:t>
      </w:r>
    </w:p>
    <w:p w14:paraId="382A6003" w14:textId="2A5BD3B3" w:rsidR="007234A5" w:rsidRPr="0089427E" w:rsidRDefault="007234A5" w:rsidP="00E52629">
      <w:pPr>
        <w:spacing w:line="360" w:lineRule="auto"/>
        <w:ind w:hanging="284"/>
        <w:rPr>
          <w:rFonts w:ascii="Arial" w:hAnsi="Arial" w:cs="Arial"/>
        </w:rPr>
      </w:pPr>
      <w:r w:rsidRPr="0089427E">
        <w:rPr>
          <w:rFonts w:ascii="Arial" w:hAnsi="Arial" w:cs="Arial"/>
        </w:rPr>
        <w:t xml:space="preserve">Werner, M.D., Punzi, M.C. and Turkenburg, A.J.K. (2023) ‘Period Power: Organizational Stigma, Multimodality, and Social Entrepreneurship in the Menstrual Products Industry’, </w:t>
      </w:r>
      <w:r w:rsidRPr="0089427E">
        <w:rPr>
          <w:rFonts w:ascii="Arial" w:hAnsi="Arial" w:cs="Arial"/>
          <w:i/>
          <w:iCs/>
        </w:rPr>
        <w:t>Journal of Management Studies</w:t>
      </w:r>
      <w:r w:rsidRPr="0089427E">
        <w:rPr>
          <w:rFonts w:ascii="Arial" w:hAnsi="Arial" w:cs="Arial"/>
        </w:rPr>
        <w:t xml:space="preserve">, 61(5), pp. 2137-2180. Available at: </w:t>
      </w:r>
      <w:hyperlink r:id="rId16" w:history="1">
        <w:r w:rsidRPr="0089427E">
          <w:rPr>
            <w:rStyle w:val="Hyperlink"/>
            <w:rFonts w:ascii="Arial" w:hAnsi="Arial" w:cs="Arial"/>
            <w:color w:val="auto"/>
            <w:u w:val="none"/>
          </w:rPr>
          <w:t>https://doi.org/10.1111/joms.12974</w:t>
        </w:r>
      </w:hyperlink>
      <w:r w:rsidRPr="0089427E">
        <w:rPr>
          <w:rFonts w:ascii="Arial" w:hAnsi="Arial" w:cs="Arial"/>
        </w:rPr>
        <w:t> </w:t>
      </w:r>
    </w:p>
    <w:p w14:paraId="2F7AE341" w14:textId="45A7ED00" w:rsidR="005608EF" w:rsidRPr="0089427E" w:rsidRDefault="005608EF" w:rsidP="00E52629">
      <w:pPr>
        <w:spacing w:line="360" w:lineRule="auto"/>
        <w:ind w:hanging="284"/>
        <w:rPr>
          <w:rFonts w:ascii="Arial" w:hAnsi="Arial" w:cs="Arial"/>
        </w:rPr>
      </w:pPr>
      <w:r w:rsidRPr="0089427E">
        <w:rPr>
          <w:rFonts w:ascii="Arial" w:hAnsi="Arial" w:cs="Arial"/>
        </w:rPr>
        <w:t>Woods, D.R., Benschop, Y. and van den Brink, M. (2021) ‘</w:t>
      </w:r>
      <w:r w:rsidR="00F66DFA" w:rsidRPr="0089427E">
        <w:rPr>
          <w:rFonts w:ascii="Arial" w:hAnsi="Arial" w:cs="Arial"/>
        </w:rPr>
        <w:t xml:space="preserve">What is intersectional equality? A definition and goal of equality for organizations’, </w:t>
      </w:r>
      <w:r w:rsidR="00F66DFA" w:rsidRPr="0089427E">
        <w:rPr>
          <w:rFonts w:ascii="Arial" w:hAnsi="Arial" w:cs="Arial"/>
          <w:i/>
          <w:iCs/>
        </w:rPr>
        <w:t>Gender, Work &amp; Organisation</w:t>
      </w:r>
      <w:r w:rsidR="00F66DFA" w:rsidRPr="0089427E">
        <w:rPr>
          <w:rFonts w:ascii="Arial" w:hAnsi="Arial" w:cs="Arial"/>
        </w:rPr>
        <w:t xml:space="preserve">, 29(1), pp. 92-109. Available at: https://doi.org/10.1111/gwao.12760 </w:t>
      </w:r>
    </w:p>
    <w:p w14:paraId="76E184BF" w14:textId="2765F7EC" w:rsidR="004B3CE2" w:rsidRPr="0089427E" w:rsidRDefault="004B3CE2" w:rsidP="00E52629">
      <w:pPr>
        <w:spacing w:line="360" w:lineRule="auto"/>
        <w:ind w:hanging="284"/>
        <w:rPr>
          <w:rFonts w:ascii="Arial" w:hAnsi="Arial" w:cs="Arial"/>
        </w:rPr>
      </w:pPr>
      <w:r w:rsidRPr="0089427E">
        <w:rPr>
          <w:rFonts w:ascii="Arial" w:hAnsi="Arial" w:cs="Arial"/>
        </w:rPr>
        <w:t xml:space="preserve">World Health Organisation (2022) </w:t>
      </w:r>
      <w:r w:rsidRPr="0089427E">
        <w:rPr>
          <w:rFonts w:ascii="Arial" w:hAnsi="Arial" w:cs="Arial"/>
          <w:i/>
          <w:iCs/>
        </w:rPr>
        <w:t>WHO statement on menstrual health and rights</w:t>
      </w:r>
      <w:r w:rsidRPr="0089427E">
        <w:rPr>
          <w:rFonts w:ascii="Arial" w:hAnsi="Arial" w:cs="Arial"/>
        </w:rPr>
        <w:t xml:space="preserve">. Available at: </w:t>
      </w:r>
      <w:r w:rsidR="009C0D80" w:rsidRPr="0089427E">
        <w:rPr>
          <w:rFonts w:ascii="Arial" w:hAnsi="Arial" w:cs="Arial"/>
        </w:rPr>
        <w:t xml:space="preserve">https://www.who.int/news/item/22-06-2022-who-statement-on-menstrual-health-and-rights (Accessed: 19 October 2025). </w:t>
      </w:r>
    </w:p>
    <w:sectPr w:rsidR="004B3CE2" w:rsidRPr="0089427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4A035" w14:textId="77777777" w:rsidR="0043433B" w:rsidRDefault="0043433B" w:rsidP="00B46391">
      <w:pPr>
        <w:spacing w:after="0" w:line="240" w:lineRule="auto"/>
      </w:pPr>
      <w:r>
        <w:separator/>
      </w:r>
    </w:p>
  </w:endnote>
  <w:endnote w:type="continuationSeparator" w:id="0">
    <w:p w14:paraId="2E2327F9" w14:textId="77777777" w:rsidR="0043433B" w:rsidRDefault="0043433B" w:rsidP="00B46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237664"/>
      <w:docPartObj>
        <w:docPartGallery w:val="Page Numbers (Bottom of Page)"/>
        <w:docPartUnique/>
      </w:docPartObj>
    </w:sdtPr>
    <w:sdtEndPr>
      <w:rPr>
        <w:rFonts w:ascii="Arial" w:hAnsi="Arial" w:cs="Arial"/>
        <w:noProof/>
      </w:rPr>
    </w:sdtEndPr>
    <w:sdtContent>
      <w:p w14:paraId="30F2DDE4" w14:textId="3BA03851" w:rsidR="00B46391" w:rsidRPr="00E31719" w:rsidRDefault="00B46391">
        <w:pPr>
          <w:pStyle w:val="Footer"/>
          <w:jc w:val="right"/>
          <w:rPr>
            <w:rFonts w:ascii="Arial" w:hAnsi="Arial" w:cs="Arial"/>
          </w:rPr>
        </w:pPr>
        <w:r w:rsidRPr="00E31719">
          <w:rPr>
            <w:rFonts w:ascii="Arial" w:hAnsi="Arial" w:cs="Arial"/>
          </w:rPr>
          <w:fldChar w:fldCharType="begin"/>
        </w:r>
        <w:r w:rsidRPr="00E31719">
          <w:rPr>
            <w:rFonts w:ascii="Arial" w:hAnsi="Arial" w:cs="Arial"/>
          </w:rPr>
          <w:instrText xml:space="preserve"> PAGE   \* MERGEFORMAT </w:instrText>
        </w:r>
        <w:r w:rsidRPr="00E31719">
          <w:rPr>
            <w:rFonts w:ascii="Arial" w:hAnsi="Arial" w:cs="Arial"/>
          </w:rPr>
          <w:fldChar w:fldCharType="separate"/>
        </w:r>
        <w:r w:rsidRPr="00E31719">
          <w:rPr>
            <w:rFonts w:ascii="Arial" w:hAnsi="Arial" w:cs="Arial"/>
            <w:noProof/>
          </w:rPr>
          <w:t>2</w:t>
        </w:r>
        <w:r w:rsidRPr="00E31719">
          <w:rPr>
            <w:rFonts w:ascii="Arial" w:hAnsi="Arial" w:cs="Arial"/>
            <w:noProof/>
          </w:rPr>
          <w:fldChar w:fldCharType="end"/>
        </w:r>
      </w:p>
    </w:sdtContent>
  </w:sdt>
  <w:p w14:paraId="4D44B1BA" w14:textId="77777777" w:rsidR="00B46391" w:rsidRPr="00E31719" w:rsidRDefault="00B46391">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E379E" w14:textId="77777777" w:rsidR="0043433B" w:rsidRDefault="0043433B" w:rsidP="00B46391">
      <w:pPr>
        <w:spacing w:after="0" w:line="240" w:lineRule="auto"/>
      </w:pPr>
      <w:r>
        <w:separator/>
      </w:r>
    </w:p>
  </w:footnote>
  <w:footnote w:type="continuationSeparator" w:id="0">
    <w:p w14:paraId="2D8D4EEE" w14:textId="77777777" w:rsidR="0043433B" w:rsidRDefault="0043433B" w:rsidP="00B46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10123" w14:textId="351E321D" w:rsidR="00AA597C" w:rsidRPr="00EE35AA" w:rsidRDefault="00AA597C">
    <w:pPr>
      <w:pStyle w:val="Header"/>
      <w:rPr>
        <w:rFonts w:ascii="Arial" w:hAnsi="Arial" w:cs="Arial"/>
        <w:b/>
        <w:bCs/>
      </w:rPr>
    </w:pPr>
    <w:r>
      <w:rPr>
        <w:rFonts w:ascii="Arial" w:hAnsi="Arial" w:cs="Arial"/>
      </w:rPr>
      <w:t>2200299</w:t>
    </w:r>
    <w:r w:rsidRPr="00AA597C">
      <w:rPr>
        <w:rFonts w:ascii="Arial" w:hAnsi="Arial" w:cs="Arial"/>
      </w:rPr>
      <w:ptab w:relativeTo="margin" w:alignment="center" w:leader="none"/>
    </w:r>
    <w:r w:rsidR="00EE35AA" w:rsidRPr="00EE35AA">
      <w:rPr>
        <w:rFonts w:ascii="Segoe UI" w:eastAsia="Times New Roman" w:hAnsi="Segoe UI" w:cs="Segoe UI"/>
        <w:color w:val="FFFFFF"/>
        <w:kern w:val="36"/>
        <w:sz w:val="48"/>
        <w:szCs w:val="48"/>
        <w:lang w:eastAsia="en-GB"/>
        <w14:ligatures w14:val="none"/>
      </w:rPr>
      <w:t xml:space="preserve"> </w:t>
    </w:r>
    <w:r w:rsidR="00EE35AA" w:rsidRPr="00EE35AA">
      <w:rPr>
        <w:rFonts w:ascii="Arial" w:hAnsi="Arial" w:cs="Arial"/>
      </w:rPr>
      <w:t>ECED7009</w:t>
    </w:r>
    <w:r w:rsidRPr="00EE35AA">
      <w:rPr>
        <w:rFonts w:ascii="Arial" w:hAnsi="Arial" w:cs="Arial"/>
      </w:rPr>
      <w:ptab w:relativeTo="margin" w:alignment="right" w:leader="none"/>
    </w:r>
    <w:r w:rsidR="00784D22">
      <w:rPr>
        <w:rFonts w:ascii="Arial" w:hAnsi="Arial" w:cs="Arial"/>
      </w:rPr>
      <w:t>3,812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35D9"/>
    <w:multiLevelType w:val="hybridMultilevel"/>
    <w:tmpl w:val="4B8A578E"/>
    <w:lvl w:ilvl="0" w:tplc="1368DCFC">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066333E4"/>
    <w:multiLevelType w:val="hybridMultilevel"/>
    <w:tmpl w:val="0A108CF0"/>
    <w:lvl w:ilvl="0" w:tplc="EF0EA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C780C"/>
    <w:multiLevelType w:val="hybridMultilevel"/>
    <w:tmpl w:val="1AEC3B96"/>
    <w:lvl w:ilvl="0" w:tplc="034AAA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45F29"/>
    <w:multiLevelType w:val="multilevel"/>
    <w:tmpl w:val="E65A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F5E5A"/>
    <w:multiLevelType w:val="hybridMultilevel"/>
    <w:tmpl w:val="B7E084E8"/>
    <w:lvl w:ilvl="0" w:tplc="73D29A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7068DE"/>
    <w:multiLevelType w:val="hybridMultilevel"/>
    <w:tmpl w:val="2FA08F7E"/>
    <w:lvl w:ilvl="0" w:tplc="3C8C3F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E75288"/>
    <w:multiLevelType w:val="hybridMultilevel"/>
    <w:tmpl w:val="0F187270"/>
    <w:lvl w:ilvl="0" w:tplc="A0B02C40">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B4DB0"/>
    <w:multiLevelType w:val="hybridMultilevel"/>
    <w:tmpl w:val="59EABDEC"/>
    <w:lvl w:ilvl="0" w:tplc="B2DC52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3D5728"/>
    <w:multiLevelType w:val="hybridMultilevel"/>
    <w:tmpl w:val="1E8EA4C8"/>
    <w:lvl w:ilvl="0" w:tplc="932ED3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414E2F"/>
    <w:multiLevelType w:val="hybridMultilevel"/>
    <w:tmpl w:val="29D8C6C0"/>
    <w:lvl w:ilvl="0" w:tplc="E10654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C40410"/>
    <w:multiLevelType w:val="hybridMultilevel"/>
    <w:tmpl w:val="6882B828"/>
    <w:lvl w:ilvl="0" w:tplc="036A62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0A40DD"/>
    <w:multiLevelType w:val="hybridMultilevel"/>
    <w:tmpl w:val="0B704B8C"/>
    <w:lvl w:ilvl="0" w:tplc="97460722">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98150D"/>
    <w:multiLevelType w:val="hybridMultilevel"/>
    <w:tmpl w:val="A40CC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338740">
    <w:abstractNumId w:val="9"/>
  </w:num>
  <w:num w:numId="2" w16cid:durableId="1653868181">
    <w:abstractNumId w:val="4"/>
  </w:num>
  <w:num w:numId="3" w16cid:durableId="417097428">
    <w:abstractNumId w:val="5"/>
  </w:num>
  <w:num w:numId="4" w16cid:durableId="210532873">
    <w:abstractNumId w:val="12"/>
  </w:num>
  <w:num w:numId="5" w16cid:durableId="1194466305">
    <w:abstractNumId w:val="10"/>
  </w:num>
  <w:num w:numId="6" w16cid:durableId="1342855502">
    <w:abstractNumId w:val="6"/>
  </w:num>
  <w:num w:numId="7" w16cid:durableId="831531328">
    <w:abstractNumId w:val="8"/>
  </w:num>
  <w:num w:numId="8" w16cid:durableId="1775706336">
    <w:abstractNumId w:val="7"/>
  </w:num>
  <w:num w:numId="9" w16cid:durableId="529297365">
    <w:abstractNumId w:val="2"/>
  </w:num>
  <w:num w:numId="10" w16cid:durableId="45765673">
    <w:abstractNumId w:val="1"/>
  </w:num>
  <w:num w:numId="11" w16cid:durableId="310059066">
    <w:abstractNumId w:val="0"/>
  </w:num>
  <w:num w:numId="12" w16cid:durableId="1929314975">
    <w:abstractNumId w:val="11"/>
  </w:num>
  <w:num w:numId="13" w16cid:durableId="11445470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C55"/>
    <w:rsid w:val="000003A5"/>
    <w:rsid w:val="0000165B"/>
    <w:rsid w:val="000023D2"/>
    <w:rsid w:val="000108C1"/>
    <w:rsid w:val="0001131F"/>
    <w:rsid w:val="00013896"/>
    <w:rsid w:val="000155EA"/>
    <w:rsid w:val="00016874"/>
    <w:rsid w:val="00016ECA"/>
    <w:rsid w:val="000174D5"/>
    <w:rsid w:val="000203CC"/>
    <w:rsid w:val="00020479"/>
    <w:rsid w:val="00020839"/>
    <w:rsid w:val="0002129E"/>
    <w:rsid w:val="0002360D"/>
    <w:rsid w:val="00024749"/>
    <w:rsid w:val="00030485"/>
    <w:rsid w:val="00030EF2"/>
    <w:rsid w:val="00032A24"/>
    <w:rsid w:val="00033D28"/>
    <w:rsid w:val="000369B0"/>
    <w:rsid w:val="00037DCE"/>
    <w:rsid w:val="00040074"/>
    <w:rsid w:val="0004044E"/>
    <w:rsid w:val="000409A8"/>
    <w:rsid w:val="00040A62"/>
    <w:rsid w:val="000427DC"/>
    <w:rsid w:val="00044316"/>
    <w:rsid w:val="00045E5F"/>
    <w:rsid w:val="00045F74"/>
    <w:rsid w:val="00046F46"/>
    <w:rsid w:val="00046F99"/>
    <w:rsid w:val="00047910"/>
    <w:rsid w:val="00051064"/>
    <w:rsid w:val="000514C4"/>
    <w:rsid w:val="00052233"/>
    <w:rsid w:val="0005341C"/>
    <w:rsid w:val="00054D01"/>
    <w:rsid w:val="00054F41"/>
    <w:rsid w:val="00056357"/>
    <w:rsid w:val="00057250"/>
    <w:rsid w:val="000605E2"/>
    <w:rsid w:val="00064C51"/>
    <w:rsid w:val="00066F76"/>
    <w:rsid w:val="00067816"/>
    <w:rsid w:val="00070AD2"/>
    <w:rsid w:val="00071AB5"/>
    <w:rsid w:val="00071EC5"/>
    <w:rsid w:val="0007318B"/>
    <w:rsid w:val="00076DD8"/>
    <w:rsid w:val="00080175"/>
    <w:rsid w:val="000801B8"/>
    <w:rsid w:val="00081B2D"/>
    <w:rsid w:val="00081C73"/>
    <w:rsid w:val="00083969"/>
    <w:rsid w:val="00084471"/>
    <w:rsid w:val="000864A0"/>
    <w:rsid w:val="000873BD"/>
    <w:rsid w:val="000900F8"/>
    <w:rsid w:val="00092E98"/>
    <w:rsid w:val="00095794"/>
    <w:rsid w:val="00095C0D"/>
    <w:rsid w:val="000A2785"/>
    <w:rsid w:val="000A3B49"/>
    <w:rsid w:val="000A3E61"/>
    <w:rsid w:val="000A5373"/>
    <w:rsid w:val="000B0573"/>
    <w:rsid w:val="000B1383"/>
    <w:rsid w:val="000B1D19"/>
    <w:rsid w:val="000B294B"/>
    <w:rsid w:val="000B2BE5"/>
    <w:rsid w:val="000B4FB6"/>
    <w:rsid w:val="000C1156"/>
    <w:rsid w:val="000C2AC1"/>
    <w:rsid w:val="000C2BE8"/>
    <w:rsid w:val="000C31FC"/>
    <w:rsid w:val="000C4387"/>
    <w:rsid w:val="000C62FB"/>
    <w:rsid w:val="000C6624"/>
    <w:rsid w:val="000C6993"/>
    <w:rsid w:val="000C6B60"/>
    <w:rsid w:val="000C779E"/>
    <w:rsid w:val="000C7F2C"/>
    <w:rsid w:val="000D0DD2"/>
    <w:rsid w:val="000D125D"/>
    <w:rsid w:val="000D165A"/>
    <w:rsid w:val="000D18E5"/>
    <w:rsid w:val="000D291C"/>
    <w:rsid w:val="000D42BF"/>
    <w:rsid w:val="000D4A0E"/>
    <w:rsid w:val="000D555A"/>
    <w:rsid w:val="000D6A2B"/>
    <w:rsid w:val="000E1331"/>
    <w:rsid w:val="000E2E17"/>
    <w:rsid w:val="000E575B"/>
    <w:rsid w:val="000E5AC8"/>
    <w:rsid w:val="000E748A"/>
    <w:rsid w:val="000E7607"/>
    <w:rsid w:val="000F2C09"/>
    <w:rsid w:val="000F2E97"/>
    <w:rsid w:val="000F4443"/>
    <w:rsid w:val="000F60B2"/>
    <w:rsid w:val="000F6141"/>
    <w:rsid w:val="00101533"/>
    <w:rsid w:val="00103A07"/>
    <w:rsid w:val="001040B4"/>
    <w:rsid w:val="00104484"/>
    <w:rsid w:val="00107ECD"/>
    <w:rsid w:val="00110B7E"/>
    <w:rsid w:val="001166CF"/>
    <w:rsid w:val="00121AB7"/>
    <w:rsid w:val="00122985"/>
    <w:rsid w:val="00122C88"/>
    <w:rsid w:val="00123A7B"/>
    <w:rsid w:val="00126229"/>
    <w:rsid w:val="001267F7"/>
    <w:rsid w:val="00130B64"/>
    <w:rsid w:val="00131E01"/>
    <w:rsid w:val="00134BAD"/>
    <w:rsid w:val="00136E24"/>
    <w:rsid w:val="00137F17"/>
    <w:rsid w:val="00140AEA"/>
    <w:rsid w:val="00142D52"/>
    <w:rsid w:val="00143982"/>
    <w:rsid w:val="00143A26"/>
    <w:rsid w:val="0014621B"/>
    <w:rsid w:val="00147752"/>
    <w:rsid w:val="001477BF"/>
    <w:rsid w:val="001521F6"/>
    <w:rsid w:val="0015462D"/>
    <w:rsid w:val="00154D81"/>
    <w:rsid w:val="00154E62"/>
    <w:rsid w:val="00155D03"/>
    <w:rsid w:val="00156C65"/>
    <w:rsid w:val="00161B0C"/>
    <w:rsid w:val="001635F3"/>
    <w:rsid w:val="00164929"/>
    <w:rsid w:val="00165F5A"/>
    <w:rsid w:val="00167006"/>
    <w:rsid w:val="00167965"/>
    <w:rsid w:val="001716AC"/>
    <w:rsid w:val="001730E6"/>
    <w:rsid w:val="00175284"/>
    <w:rsid w:val="001754C2"/>
    <w:rsid w:val="00177E97"/>
    <w:rsid w:val="00180D3A"/>
    <w:rsid w:val="001816DA"/>
    <w:rsid w:val="001819CD"/>
    <w:rsid w:val="00181BAB"/>
    <w:rsid w:val="00183223"/>
    <w:rsid w:val="001846AE"/>
    <w:rsid w:val="001846E7"/>
    <w:rsid w:val="00186187"/>
    <w:rsid w:val="001862D8"/>
    <w:rsid w:val="00191F3F"/>
    <w:rsid w:val="00197FBE"/>
    <w:rsid w:val="001A030B"/>
    <w:rsid w:val="001A082B"/>
    <w:rsid w:val="001A0B00"/>
    <w:rsid w:val="001A3883"/>
    <w:rsid w:val="001A3C84"/>
    <w:rsid w:val="001A42DB"/>
    <w:rsid w:val="001A6D9B"/>
    <w:rsid w:val="001B2243"/>
    <w:rsid w:val="001B6F50"/>
    <w:rsid w:val="001C009B"/>
    <w:rsid w:val="001C0CEB"/>
    <w:rsid w:val="001C4CF1"/>
    <w:rsid w:val="001C741A"/>
    <w:rsid w:val="001D0D1A"/>
    <w:rsid w:val="001D62CC"/>
    <w:rsid w:val="001D6592"/>
    <w:rsid w:val="001D797B"/>
    <w:rsid w:val="001D7F50"/>
    <w:rsid w:val="001E1807"/>
    <w:rsid w:val="001E3EAE"/>
    <w:rsid w:val="001E415D"/>
    <w:rsid w:val="001F4F6F"/>
    <w:rsid w:val="001F55BB"/>
    <w:rsid w:val="001F6868"/>
    <w:rsid w:val="001F767A"/>
    <w:rsid w:val="002004B3"/>
    <w:rsid w:val="00201123"/>
    <w:rsid w:val="002026A5"/>
    <w:rsid w:val="00207170"/>
    <w:rsid w:val="002117E5"/>
    <w:rsid w:val="00212515"/>
    <w:rsid w:val="00212DBB"/>
    <w:rsid w:val="002158A4"/>
    <w:rsid w:val="002167C5"/>
    <w:rsid w:val="00217876"/>
    <w:rsid w:val="00221BC4"/>
    <w:rsid w:val="002228D0"/>
    <w:rsid w:val="00222B3C"/>
    <w:rsid w:val="00222F8C"/>
    <w:rsid w:val="00224D5A"/>
    <w:rsid w:val="002261EF"/>
    <w:rsid w:val="00230732"/>
    <w:rsid w:val="00231357"/>
    <w:rsid w:val="0023181B"/>
    <w:rsid w:val="00233086"/>
    <w:rsid w:val="00233E54"/>
    <w:rsid w:val="002343F4"/>
    <w:rsid w:val="00236A25"/>
    <w:rsid w:val="00237869"/>
    <w:rsid w:val="0024060C"/>
    <w:rsid w:val="002413E8"/>
    <w:rsid w:val="00241D1F"/>
    <w:rsid w:val="002445AA"/>
    <w:rsid w:val="00244653"/>
    <w:rsid w:val="0024719F"/>
    <w:rsid w:val="002505FE"/>
    <w:rsid w:val="00250C64"/>
    <w:rsid w:val="0025524A"/>
    <w:rsid w:val="002553A6"/>
    <w:rsid w:val="0025716E"/>
    <w:rsid w:val="002601B0"/>
    <w:rsid w:val="00260A01"/>
    <w:rsid w:val="00261372"/>
    <w:rsid w:val="00261D7C"/>
    <w:rsid w:val="00263232"/>
    <w:rsid w:val="00264059"/>
    <w:rsid w:val="002642FE"/>
    <w:rsid w:val="00271274"/>
    <w:rsid w:val="002712C2"/>
    <w:rsid w:val="00274E1B"/>
    <w:rsid w:val="00274FF5"/>
    <w:rsid w:val="00275FEA"/>
    <w:rsid w:val="002775D4"/>
    <w:rsid w:val="0027785D"/>
    <w:rsid w:val="00280B3D"/>
    <w:rsid w:val="002814AD"/>
    <w:rsid w:val="00285AEE"/>
    <w:rsid w:val="00290E7D"/>
    <w:rsid w:val="0029218D"/>
    <w:rsid w:val="00294445"/>
    <w:rsid w:val="00294639"/>
    <w:rsid w:val="002950B6"/>
    <w:rsid w:val="00295E22"/>
    <w:rsid w:val="002A6A15"/>
    <w:rsid w:val="002A7DF3"/>
    <w:rsid w:val="002A7EAD"/>
    <w:rsid w:val="002B22CD"/>
    <w:rsid w:val="002B5557"/>
    <w:rsid w:val="002B587A"/>
    <w:rsid w:val="002B5D3A"/>
    <w:rsid w:val="002B62FC"/>
    <w:rsid w:val="002C25ED"/>
    <w:rsid w:val="002C2C61"/>
    <w:rsid w:val="002C3E61"/>
    <w:rsid w:val="002C5D94"/>
    <w:rsid w:val="002C6A79"/>
    <w:rsid w:val="002D199E"/>
    <w:rsid w:val="002D29B7"/>
    <w:rsid w:val="002D3F09"/>
    <w:rsid w:val="002D4896"/>
    <w:rsid w:val="002D53C2"/>
    <w:rsid w:val="002D53E9"/>
    <w:rsid w:val="002D6436"/>
    <w:rsid w:val="002D73E8"/>
    <w:rsid w:val="002D7E9E"/>
    <w:rsid w:val="002E2297"/>
    <w:rsid w:val="002E34B8"/>
    <w:rsid w:val="002E37BA"/>
    <w:rsid w:val="002E4124"/>
    <w:rsid w:val="002E4413"/>
    <w:rsid w:val="002E5D4C"/>
    <w:rsid w:val="002E664D"/>
    <w:rsid w:val="002E765A"/>
    <w:rsid w:val="002F02B5"/>
    <w:rsid w:val="002F0508"/>
    <w:rsid w:val="002F055B"/>
    <w:rsid w:val="002F0D5E"/>
    <w:rsid w:val="002F2AF3"/>
    <w:rsid w:val="002F321B"/>
    <w:rsid w:val="002F4F81"/>
    <w:rsid w:val="002F56DF"/>
    <w:rsid w:val="002F62D0"/>
    <w:rsid w:val="002F7460"/>
    <w:rsid w:val="002F7BF3"/>
    <w:rsid w:val="00303C6B"/>
    <w:rsid w:val="0031348E"/>
    <w:rsid w:val="00313727"/>
    <w:rsid w:val="00313912"/>
    <w:rsid w:val="00314331"/>
    <w:rsid w:val="00317FA6"/>
    <w:rsid w:val="00320446"/>
    <w:rsid w:val="003249E8"/>
    <w:rsid w:val="00326838"/>
    <w:rsid w:val="00326876"/>
    <w:rsid w:val="003273C0"/>
    <w:rsid w:val="00332756"/>
    <w:rsid w:val="0033655F"/>
    <w:rsid w:val="003371F4"/>
    <w:rsid w:val="00341473"/>
    <w:rsid w:val="00341522"/>
    <w:rsid w:val="003440D5"/>
    <w:rsid w:val="0034479E"/>
    <w:rsid w:val="0034597B"/>
    <w:rsid w:val="0034651A"/>
    <w:rsid w:val="00347A48"/>
    <w:rsid w:val="003516F4"/>
    <w:rsid w:val="00352021"/>
    <w:rsid w:val="00352B14"/>
    <w:rsid w:val="00353D60"/>
    <w:rsid w:val="00355051"/>
    <w:rsid w:val="00356E57"/>
    <w:rsid w:val="0035707E"/>
    <w:rsid w:val="003577F6"/>
    <w:rsid w:val="0036036F"/>
    <w:rsid w:val="00361869"/>
    <w:rsid w:val="00363C5D"/>
    <w:rsid w:val="00366226"/>
    <w:rsid w:val="00366F27"/>
    <w:rsid w:val="00367D06"/>
    <w:rsid w:val="0037336B"/>
    <w:rsid w:val="003755E8"/>
    <w:rsid w:val="00375F56"/>
    <w:rsid w:val="00376572"/>
    <w:rsid w:val="003774A9"/>
    <w:rsid w:val="0038102A"/>
    <w:rsid w:val="00382264"/>
    <w:rsid w:val="003836DA"/>
    <w:rsid w:val="00385AC7"/>
    <w:rsid w:val="00387184"/>
    <w:rsid w:val="00391837"/>
    <w:rsid w:val="00391847"/>
    <w:rsid w:val="00393181"/>
    <w:rsid w:val="003971FE"/>
    <w:rsid w:val="00397DF1"/>
    <w:rsid w:val="003A130B"/>
    <w:rsid w:val="003A20B4"/>
    <w:rsid w:val="003A2135"/>
    <w:rsid w:val="003B3D9A"/>
    <w:rsid w:val="003C0FA8"/>
    <w:rsid w:val="003C172D"/>
    <w:rsid w:val="003C29C6"/>
    <w:rsid w:val="003C2FC9"/>
    <w:rsid w:val="003C4BBF"/>
    <w:rsid w:val="003C5B96"/>
    <w:rsid w:val="003C5D31"/>
    <w:rsid w:val="003C719D"/>
    <w:rsid w:val="003C7676"/>
    <w:rsid w:val="003C785C"/>
    <w:rsid w:val="003C7C61"/>
    <w:rsid w:val="003D1573"/>
    <w:rsid w:val="003D1E0C"/>
    <w:rsid w:val="003D39B6"/>
    <w:rsid w:val="003D40E4"/>
    <w:rsid w:val="003D42D9"/>
    <w:rsid w:val="003D5E11"/>
    <w:rsid w:val="003E0CA0"/>
    <w:rsid w:val="003E4423"/>
    <w:rsid w:val="003E5415"/>
    <w:rsid w:val="003E5814"/>
    <w:rsid w:val="003E7E9D"/>
    <w:rsid w:val="003F2737"/>
    <w:rsid w:val="003F48A5"/>
    <w:rsid w:val="003F5EFB"/>
    <w:rsid w:val="0040712D"/>
    <w:rsid w:val="004076BB"/>
    <w:rsid w:val="0040781A"/>
    <w:rsid w:val="00413C93"/>
    <w:rsid w:val="00416765"/>
    <w:rsid w:val="00417AEE"/>
    <w:rsid w:val="004200ED"/>
    <w:rsid w:val="00426ED4"/>
    <w:rsid w:val="00431A75"/>
    <w:rsid w:val="00432F6B"/>
    <w:rsid w:val="00434173"/>
    <w:rsid w:val="0043433B"/>
    <w:rsid w:val="0043520B"/>
    <w:rsid w:val="00435C19"/>
    <w:rsid w:val="00436A27"/>
    <w:rsid w:val="00436D0E"/>
    <w:rsid w:val="00437992"/>
    <w:rsid w:val="00440B62"/>
    <w:rsid w:val="00441FB4"/>
    <w:rsid w:val="00444939"/>
    <w:rsid w:val="00445238"/>
    <w:rsid w:val="0044779E"/>
    <w:rsid w:val="00451FDD"/>
    <w:rsid w:val="0045303B"/>
    <w:rsid w:val="004548C0"/>
    <w:rsid w:val="00456C94"/>
    <w:rsid w:val="004634E1"/>
    <w:rsid w:val="00463E5C"/>
    <w:rsid w:val="0046508E"/>
    <w:rsid w:val="004666B6"/>
    <w:rsid w:val="00472AF6"/>
    <w:rsid w:val="00473AF7"/>
    <w:rsid w:val="004748E5"/>
    <w:rsid w:val="00475AB1"/>
    <w:rsid w:val="00477CBB"/>
    <w:rsid w:val="004816D5"/>
    <w:rsid w:val="00481B5A"/>
    <w:rsid w:val="00483B49"/>
    <w:rsid w:val="00484AE7"/>
    <w:rsid w:val="00486387"/>
    <w:rsid w:val="00487AA6"/>
    <w:rsid w:val="00487CB7"/>
    <w:rsid w:val="004921B3"/>
    <w:rsid w:val="004954EF"/>
    <w:rsid w:val="00495B91"/>
    <w:rsid w:val="004964BB"/>
    <w:rsid w:val="00497333"/>
    <w:rsid w:val="0049736A"/>
    <w:rsid w:val="004A2695"/>
    <w:rsid w:val="004A60FA"/>
    <w:rsid w:val="004B169A"/>
    <w:rsid w:val="004B3CE2"/>
    <w:rsid w:val="004B44EE"/>
    <w:rsid w:val="004B5235"/>
    <w:rsid w:val="004B749B"/>
    <w:rsid w:val="004C0DCF"/>
    <w:rsid w:val="004C0DDA"/>
    <w:rsid w:val="004C1EA5"/>
    <w:rsid w:val="004C2467"/>
    <w:rsid w:val="004C2D4F"/>
    <w:rsid w:val="004C58B5"/>
    <w:rsid w:val="004C655A"/>
    <w:rsid w:val="004C6CC2"/>
    <w:rsid w:val="004D0C5E"/>
    <w:rsid w:val="004D0CA4"/>
    <w:rsid w:val="004D16BC"/>
    <w:rsid w:val="004D1B5E"/>
    <w:rsid w:val="004D1F2C"/>
    <w:rsid w:val="004D3FB9"/>
    <w:rsid w:val="004D415F"/>
    <w:rsid w:val="004D518C"/>
    <w:rsid w:val="004D5E19"/>
    <w:rsid w:val="004D6DE2"/>
    <w:rsid w:val="004E33D5"/>
    <w:rsid w:val="004E497E"/>
    <w:rsid w:val="004E5605"/>
    <w:rsid w:val="004E5B01"/>
    <w:rsid w:val="004F0002"/>
    <w:rsid w:val="004F1541"/>
    <w:rsid w:val="004F1CAA"/>
    <w:rsid w:val="004F2C18"/>
    <w:rsid w:val="004F7DF2"/>
    <w:rsid w:val="00503A86"/>
    <w:rsid w:val="0050558E"/>
    <w:rsid w:val="00507369"/>
    <w:rsid w:val="0051352A"/>
    <w:rsid w:val="005135A7"/>
    <w:rsid w:val="00513E9B"/>
    <w:rsid w:val="00523D6A"/>
    <w:rsid w:val="00524B61"/>
    <w:rsid w:val="00526C74"/>
    <w:rsid w:val="00527E1E"/>
    <w:rsid w:val="005303BB"/>
    <w:rsid w:val="0053773F"/>
    <w:rsid w:val="005469CC"/>
    <w:rsid w:val="0055287D"/>
    <w:rsid w:val="0055593E"/>
    <w:rsid w:val="00556B76"/>
    <w:rsid w:val="005608EF"/>
    <w:rsid w:val="00561485"/>
    <w:rsid w:val="0056190C"/>
    <w:rsid w:val="00561ECE"/>
    <w:rsid w:val="00562536"/>
    <w:rsid w:val="00562EA1"/>
    <w:rsid w:val="00563838"/>
    <w:rsid w:val="00564825"/>
    <w:rsid w:val="00564FF8"/>
    <w:rsid w:val="005668BB"/>
    <w:rsid w:val="005673C4"/>
    <w:rsid w:val="0056748E"/>
    <w:rsid w:val="00570631"/>
    <w:rsid w:val="00572EC6"/>
    <w:rsid w:val="00573D6E"/>
    <w:rsid w:val="00574618"/>
    <w:rsid w:val="00577B04"/>
    <w:rsid w:val="00581EEB"/>
    <w:rsid w:val="00586922"/>
    <w:rsid w:val="00586C47"/>
    <w:rsid w:val="005904B3"/>
    <w:rsid w:val="0059172C"/>
    <w:rsid w:val="00593A43"/>
    <w:rsid w:val="00594428"/>
    <w:rsid w:val="005955FE"/>
    <w:rsid w:val="0059660C"/>
    <w:rsid w:val="00596A20"/>
    <w:rsid w:val="005A64F3"/>
    <w:rsid w:val="005A7751"/>
    <w:rsid w:val="005B15C3"/>
    <w:rsid w:val="005B2000"/>
    <w:rsid w:val="005B239C"/>
    <w:rsid w:val="005B3935"/>
    <w:rsid w:val="005B5C1D"/>
    <w:rsid w:val="005B5E96"/>
    <w:rsid w:val="005C21A8"/>
    <w:rsid w:val="005C328A"/>
    <w:rsid w:val="005C4119"/>
    <w:rsid w:val="005D0A53"/>
    <w:rsid w:val="005D136C"/>
    <w:rsid w:val="005D2758"/>
    <w:rsid w:val="005D453B"/>
    <w:rsid w:val="005D6D94"/>
    <w:rsid w:val="005D771B"/>
    <w:rsid w:val="005D7EF5"/>
    <w:rsid w:val="005E284C"/>
    <w:rsid w:val="005E5747"/>
    <w:rsid w:val="005F0D43"/>
    <w:rsid w:val="005F23EC"/>
    <w:rsid w:val="005F4ACA"/>
    <w:rsid w:val="005F7929"/>
    <w:rsid w:val="00603570"/>
    <w:rsid w:val="00605285"/>
    <w:rsid w:val="006056EE"/>
    <w:rsid w:val="00607DBD"/>
    <w:rsid w:val="00610968"/>
    <w:rsid w:val="00610E47"/>
    <w:rsid w:val="00610FF2"/>
    <w:rsid w:val="006155C4"/>
    <w:rsid w:val="00615BEB"/>
    <w:rsid w:val="00616E44"/>
    <w:rsid w:val="00622005"/>
    <w:rsid w:val="0062394C"/>
    <w:rsid w:val="0062749C"/>
    <w:rsid w:val="006309E0"/>
    <w:rsid w:val="00633474"/>
    <w:rsid w:val="00635247"/>
    <w:rsid w:val="00635C60"/>
    <w:rsid w:val="00636F1F"/>
    <w:rsid w:val="006377D0"/>
    <w:rsid w:val="006378DD"/>
    <w:rsid w:val="00637C6E"/>
    <w:rsid w:val="0064244C"/>
    <w:rsid w:val="006479F2"/>
    <w:rsid w:val="00647E38"/>
    <w:rsid w:val="006507BE"/>
    <w:rsid w:val="006536DF"/>
    <w:rsid w:val="00661164"/>
    <w:rsid w:val="00661968"/>
    <w:rsid w:val="0066260B"/>
    <w:rsid w:val="00662C3C"/>
    <w:rsid w:val="00664B61"/>
    <w:rsid w:val="006655CB"/>
    <w:rsid w:val="0066675C"/>
    <w:rsid w:val="0066755B"/>
    <w:rsid w:val="00667617"/>
    <w:rsid w:val="00667754"/>
    <w:rsid w:val="0067069B"/>
    <w:rsid w:val="006735B3"/>
    <w:rsid w:val="0067418F"/>
    <w:rsid w:val="00674232"/>
    <w:rsid w:val="00674AA0"/>
    <w:rsid w:val="0067518E"/>
    <w:rsid w:val="006768BD"/>
    <w:rsid w:val="00676D77"/>
    <w:rsid w:val="00677383"/>
    <w:rsid w:val="00680C9E"/>
    <w:rsid w:val="0068106B"/>
    <w:rsid w:val="00683CD9"/>
    <w:rsid w:val="006859E1"/>
    <w:rsid w:val="006934EE"/>
    <w:rsid w:val="00694BBA"/>
    <w:rsid w:val="006A0AAF"/>
    <w:rsid w:val="006A1074"/>
    <w:rsid w:val="006A1F73"/>
    <w:rsid w:val="006A4CBD"/>
    <w:rsid w:val="006A75EC"/>
    <w:rsid w:val="006B0421"/>
    <w:rsid w:val="006B1FA3"/>
    <w:rsid w:val="006B2A29"/>
    <w:rsid w:val="006B49DE"/>
    <w:rsid w:val="006B4BFB"/>
    <w:rsid w:val="006B5C49"/>
    <w:rsid w:val="006B63FC"/>
    <w:rsid w:val="006C29CA"/>
    <w:rsid w:val="006C44CE"/>
    <w:rsid w:val="006D2949"/>
    <w:rsid w:val="006D34B7"/>
    <w:rsid w:val="006D380F"/>
    <w:rsid w:val="006D4C9E"/>
    <w:rsid w:val="006D4ED3"/>
    <w:rsid w:val="006D59A4"/>
    <w:rsid w:val="006D7E72"/>
    <w:rsid w:val="006E0DA0"/>
    <w:rsid w:val="006E260F"/>
    <w:rsid w:val="006E333C"/>
    <w:rsid w:val="006E345E"/>
    <w:rsid w:val="006E6881"/>
    <w:rsid w:val="006F0AE1"/>
    <w:rsid w:val="006F1284"/>
    <w:rsid w:val="006F183A"/>
    <w:rsid w:val="006F1DB5"/>
    <w:rsid w:val="006F2702"/>
    <w:rsid w:val="006F3229"/>
    <w:rsid w:val="006F4A76"/>
    <w:rsid w:val="006F565A"/>
    <w:rsid w:val="006F56E8"/>
    <w:rsid w:val="006F59F1"/>
    <w:rsid w:val="006F5F77"/>
    <w:rsid w:val="0070132A"/>
    <w:rsid w:val="007021BD"/>
    <w:rsid w:val="00702238"/>
    <w:rsid w:val="007029A3"/>
    <w:rsid w:val="00702BA1"/>
    <w:rsid w:val="007043FD"/>
    <w:rsid w:val="00704848"/>
    <w:rsid w:val="00705B75"/>
    <w:rsid w:val="00706EA3"/>
    <w:rsid w:val="0071345E"/>
    <w:rsid w:val="00714F81"/>
    <w:rsid w:val="00716175"/>
    <w:rsid w:val="00717B66"/>
    <w:rsid w:val="00720BA7"/>
    <w:rsid w:val="007234A5"/>
    <w:rsid w:val="007250AB"/>
    <w:rsid w:val="007259F0"/>
    <w:rsid w:val="007265AB"/>
    <w:rsid w:val="0072707C"/>
    <w:rsid w:val="00727A3E"/>
    <w:rsid w:val="00734228"/>
    <w:rsid w:val="00734BC7"/>
    <w:rsid w:val="00735EEC"/>
    <w:rsid w:val="00737637"/>
    <w:rsid w:val="0073786D"/>
    <w:rsid w:val="00737AF6"/>
    <w:rsid w:val="00740708"/>
    <w:rsid w:val="0074142F"/>
    <w:rsid w:val="007429EF"/>
    <w:rsid w:val="00743BA8"/>
    <w:rsid w:val="007461BE"/>
    <w:rsid w:val="00746C9F"/>
    <w:rsid w:val="00746DBB"/>
    <w:rsid w:val="00747660"/>
    <w:rsid w:val="00750A0B"/>
    <w:rsid w:val="00752C68"/>
    <w:rsid w:val="007555B8"/>
    <w:rsid w:val="00756A89"/>
    <w:rsid w:val="00757631"/>
    <w:rsid w:val="00760212"/>
    <w:rsid w:val="00760E21"/>
    <w:rsid w:val="0076330E"/>
    <w:rsid w:val="0076485C"/>
    <w:rsid w:val="00765085"/>
    <w:rsid w:val="00767183"/>
    <w:rsid w:val="0077438C"/>
    <w:rsid w:val="00774825"/>
    <w:rsid w:val="00774B19"/>
    <w:rsid w:val="007760F2"/>
    <w:rsid w:val="00784D22"/>
    <w:rsid w:val="00786374"/>
    <w:rsid w:val="007877DE"/>
    <w:rsid w:val="00787CCF"/>
    <w:rsid w:val="00790914"/>
    <w:rsid w:val="00792CFE"/>
    <w:rsid w:val="007933A9"/>
    <w:rsid w:val="00793660"/>
    <w:rsid w:val="007A1321"/>
    <w:rsid w:val="007A2D57"/>
    <w:rsid w:val="007A354A"/>
    <w:rsid w:val="007A3734"/>
    <w:rsid w:val="007A4447"/>
    <w:rsid w:val="007B3CDF"/>
    <w:rsid w:val="007B429F"/>
    <w:rsid w:val="007B759A"/>
    <w:rsid w:val="007C1A30"/>
    <w:rsid w:val="007C1AD1"/>
    <w:rsid w:val="007C2AB0"/>
    <w:rsid w:val="007C4670"/>
    <w:rsid w:val="007C6437"/>
    <w:rsid w:val="007C6FC0"/>
    <w:rsid w:val="007C7296"/>
    <w:rsid w:val="007C7793"/>
    <w:rsid w:val="007C7F5B"/>
    <w:rsid w:val="007D3523"/>
    <w:rsid w:val="007D4571"/>
    <w:rsid w:val="007E0C1F"/>
    <w:rsid w:val="007E2C6E"/>
    <w:rsid w:val="007E3A1D"/>
    <w:rsid w:val="007E3B1C"/>
    <w:rsid w:val="007E4010"/>
    <w:rsid w:val="007E4A9D"/>
    <w:rsid w:val="007E5F96"/>
    <w:rsid w:val="007F28C2"/>
    <w:rsid w:val="007F5814"/>
    <w:rsid w:val="007F5B21"/>
    <w:rsid w:val="007F623D"/>
    <w:rsid w:val="007F62C1"/>
    <w:rsid w:val="007F6700"/>
    <w:rsid w:val="007F74E6"/>
    <w:rsid w:val="007F7856"/>
    <w:rsid w:val="00801D45"/>
    <w:rsid w:val="00802C31"/>
    <w:rsid w:val="00802FF1"/>
    <w:rsid w:val="008037B4"/>
    <w:rsid w:val="00805AB3"/>
    <w:rsid w:val="00805CB2"/>
    <w:rsid w:val="00805CE8"/>
    <w:rsid w:val="00806642"/>
    <w:rsid w:val="0080720D"/>
    <w:rsid w:val="00807B4B"/>
    <w:rsid w:val="00814167"/>
    <w:rsid w:val="008159D3"/>
    <w:rsid w:val="008174B0"/>
    <w:rsid w:val="00821265"/>
    <w:rsid w:val="0082571C"/>
    <w:rsid w:val="00827EDF"/>
    <w:rsid w:val="00833128"/>
    <w:rsid w:val="008333DB"/>
    <w:rsid w:val="00835CFE"/>
    <w:rsid w:val="00837829"/>
    <w:rsid w:val="00843B87"/>
    <w:rsid w:val="00845C39"/>
    <w:rsid w:val="00845E4C"/>
    <w:rsid w:val="00846DDA"/>
    <w:rsid w:val="008475FE"/>
    <w:rsid w:val="00847A6A"/>
    <w:rsid w:val="00850069"/>
    <w:rsid w:val="00850F9C"/>
    <w:rsid w:val="0085118B"/>
    <w:rsid w:val="0085261E"/>
    <w:rsid w:val="00854ED8"/>
    <w:rsid w:val="00861040"/>
    <w:rsid w:val="008613C7"/>
    <w:rsid w:val="00861632"/>
    <w:rsid w:val="0086167C"/>
    <w:rsid w:val="00862480"/>
    <w:rsid w:val="008649AC"/>
    <w:rsid w:val="008658EE"/>
    <w:rsid w:val="00867C4E"/>
    <w:rsid w:val="008711AD"/>
    <w:rsid w:val="00872DA4"/>
    <w:rsid w:val="008766E5"/>
    <w:rsid w:val="0088331C"/>
    <w:rsid w:val="00885307"/>
    <w:rsid w:val="00886965"/>
    <w:rsid w:val="00886F5D"/>
    <w:rsid w:val="008907C8"/>
    <w:rsid w:val="0089427E"/>
    <w:rsid w:val="00895C90"/>
    <w:rsid w:val="00897CB2"/>
    <w:rsid w:val="008A0C86"/>
    <w:rsid w:val="008A1381"/>
    <w:rsid w:val="008A1F96"/>
    <w:rsid w:val="008A23C0"/>
    <w:rsid w:val="008B00E8"/>
    <w:rsid w:val="008B10C6"/>
    <w:rsid w:val="008B110E"/>
    <w:rsid w:val="008B1763"/>
    <w:rsid w:val="008B1D18"/>
    <w:rsid w:val="008B2912"/>
    <w:rsid w:val="008B2DB2"/>
    <w:rsid w:val="008B435D"/>
    <w:rsid w:val="008B4936"/>
    <w:rsid w:val="008B5357"/>
    <w:rsid w:val="008B557D"/>
    <w:rsid w:val="008B5D65"/>
    <w:rsid w:val="008B6259"/>
    <w:rsid w:val="008B63A7"/>
    <w:rsid w:val="008B7A00"/>
    <w:rsid w:val="008C017B"/>
    <w:rsid w:val="008C261F"/>
    <w:rsid w:val="008C307A"/>
    <w:rsid w:val="008C6FF8"/>
    <w:rsid w:val="008C7145"/>
    <w:rsid w:val="008D0AC7"/>
    <w:rsid w:val="008D1417"/>
    <w:rsid w:val="008D3E67"/>
    <w:rsid w:val="008D3F65"/>
    <w:rsid w:val="008D3F8E"/>
    <w:rsid w:val="008D6DED"/>
    <w:rsid w:val="008D7153"/>
    <w:rsid w:val="008E022D"/>
    <w:rsid w:val="008E0DBF"/>
    <w:rsid w:val="008E22E6"/>
    <w:rsid w:val="008E5236"/>
    <w:rsid w:val="008E5402"/>
    <w:rsid w:val="008F0A40"/>
    <w:rsid w:val="008F257A"/>
    <w:rsid w:val="008F2BB9"/>
    <w:rsid w:val="008F3687"/>
    <w:rsid w:val="008F3793"/>
    <w:rsid w:val="008F4EB3"/>
    <w:rsid w:val="008F5B67"/>
    <w:rsid w:val="008F5DAE"/>
    <w:rsid w:val="008F69CC"/>
    <w:rsid w:val="00900279"/>
    <w:rsid w:val="00901EEB"/>
    <w:rsid w:val="00902E3E"/>
    <w:rsid w:val="00904265"/>
    <w:rsid w:val="00907E52"/>
    <w:rsid w:val="00911BE3"/>
    <w:rsid w:val="009153CC"/>
    <w:rsid w:val="00915C3E"/>
    <w:rsid w:val="0092089D"/>
    <w:rsid w:val="009325CB"/>
    <w:rsid w:val="009359B4"/>
    <w:rsid w:val="00936A5A"/>
    <w:rsid w:val="00937411"/>
    <w:rsid w:val="00937502"/>
    <w:rsid w:val="00941198"/>
    <w:rsid w:val="0094196F"/>
    <w:rsid w:val="0094229D"/>
    <w:rsid w:val="00942B5A"/>
    <w:rsid w:val="00944BC0"/>
    <w:rsid w:val="00950BE8"/>
    <w:rsid w:val="009559A5"/>
    <w:rsid w:val="00955C0E"/>
    <w:rsid w:val="009608A0"/>
    <w:rsid w:val="00960AC3"/>
    <w:rsid w:val="009620E5"/>
    <w:rsid w:val="009630DA"/>
    <w:rsid w:val="00964F21"/>
    <w:rsid w:val="0097233F"/>
    <w:rsid w:val="0097256A"/>
    <w:rsid w:val="009749D7"/>
    <w:rsid w:val="0097748F"/>
    <w:rsid w:val="00980033"/>
    <w:rsid w:val="009810A3"/>
    <w:rsid w:val="0098211F"/>
    <w:rsid w:val="00982DBE"/>
    <w:rsid w:val="00984A38"/>
    <w:rsid w:val="0098563E"/>
    <w:rsid w:val="00990061"/>
    <w:rsid w:val="00993B4D"/>
    <w:rsid w:val="00993E4E"/>
    <w:rsid w:val="00995BEA"/>
    <w:rsid w:val="00996AF7"/>
    <w:rsid w:val="009971CB"/>
    <w:rsid w:val="0099794D"/>
    <w:rsid w:val="009A0C7D"/>
    <w:rsid w:val="009A0DC5"/>
    <w:rsid w:val="009A0F49"/>
    <w:rsid w:val="009A2442"/>
    <w:rsid w:val="009A54D8"/>
    <w:rsid w:val="009B069E"/>
    <w:rsid w:val="009B0F36"/>
    <w:rsid w:val="009B4F86"/>
    <w:rsid w:val="009C0D80"/>
    <w:rsid w:val="009C146C"/>
    <w:rsid w:val="009C1882"/>
    <w:rsid w:val="009C2EDC"/>
    <w:rsid w:val="009C54DA"/>
    <w:rsid w:val="009C5741"/>
    <w:rsid w:val="009C5CAE"/>
    <w:rsid w:val="009C61CB"/>
    <w:rsid w:val="009D07B2"/>
    <w:rsid w:val="009D08A6"/>
    <w:rsid w:val="009D24A9"/>
    <w:rsid w:val="009D57D2"/>
    <w:rsid w:val="009D6CB0"/>
    <w:rsid w:val="009E355D"/>
    <w:rsid w:val="009E362C"/>
    <w:rsid w:val="009E55F5"/>
    <w:rsid w:val="009E6CB7"/>
    <w:rsid w:val="009F3C8F"/>
    <w:rsid w:val="009F436F"/>
    <w:rsid w:val="00A00026"/>
    <w:rsid w:val="00A004E5"/>
    <w:rsid w:val="00A0157B"/>
    <w:rsid w:val="00A01D1C"/>
    <w:rsid w:val="00A02EB8"/>
    <w:rsid w:val="00A0376D"/>
    <w:rsid w:val="00A038D1"/>
    <w:rsid w:val="00A03B8A"/>
    <w:rsid w:val="00A0411B"/>
    <w:rsid w:val="00A048B4"/>
    <w:rsid w:val="00A0690D"/>
    <w:rsid w:val="00A07F81"/>
    <w:rsid w:val="00A10827"/>
    <w:rsid w:val="00A1569C"/>
    <w:rsid w:val="00A17C7F"/>
    <w:rsid w:val="00A215BC"/>
    <w:rsid w:val="00A2176E"/>
    <w:rsid w:val="00A23E49"/>
    <w:rsid w:val="00A2480E"/>
    <w:rsid w:val="00A25C27"/>
    <w:rsid w:val="00A27BE1"/>
    <w:rsid w:val="00A30C45"/>
    <w:rsid w:val="00A31DAE"/>
    <w:rsid w:val="00A32188"/>
    <w:rsid w:val="00A330F0"/>
    <w:rsid w:val="00A339A7"/>
    <w:rsid w:val="00A34F1F"/>
    <w:rsid w:val="00A35A85"/>
    <w:rsid w:val="00A36D4B"/>
    <w:rsid w:val="00A37AF9"/>
    <w:rsid w:val="00A41AEE"/>
    <w:rsid w:val="00A42C38"/>
    <w:rsid w:val="00A46B6C"/>
    <w:rsid w:val="00A501A9"/>
    <w:rsid w:val="00A55D33"/>
    <w:rsid w:val="00A56483"/>
    <w:rsid w:val="00A60C9B"/>
    <w:rsid w:val="00A6151D"/>
    <w:rsid w:val="00A62EE1"/>
    <w:rsid w:val="00A63015"/>
    <w:rsid w:val="00A642E6"/>
    <w:rsid w:val="00A6457B"/>
    <w:rsid w:val="00A6539B"/>
    <w:rsid w:val="00A653E5"/>
    <w:rsid w:val="00A66C95"/>
    <w:rsid w:val="00A66F6F"/>
    <w:rsid w:val="00A74633"/>
    <w:rsid w:val="00A771EC"/>
    <w:rsid w:val="00A81806"/>
    <w:rsid w:val="00A8316B"/>
    <w:rsid w:val="00A8341B"/>
    <w:rsid w:val="00A842C1"/>
    <w:rsid w:val="00A85043"/>
    <w:rsid w:val="00A870DA"/>
    <w:rsid w:val="00A87637"/>
    <w:rsid w:val="00A935AE"/>
    <w:rsid w:val="00A94060"/>
    <w:rsid w:val="00A951A7"/>
    <w:rsid w:val="00A95AA1"/>
    <w:rsid w:val="00A97172"/>
    <w:rsid w:val="00A97796"/>
    <w:rsid w:val="00AA00F3"/>
    <w:rsid w:val="00AA0B06"/>
    <w:rsid w:val="00AA172D"/>
    <w:rsid w:val="00AA2E9F"/>
    <w:rsid w:val="00AA4F38"/>
    <w:rsid w:val="00AA597C"/>
    <w:rsid w:val="00AA7EDD"/>
    <w:rsid w:val="00AB20C6"/>
    <w:rsid w:val="00AB2152"/>
    <w:rsid w:val="00AB36F1"/>
    <w:rsid w:val="00AB4005"/>
    <w:rsid w:val="00AB42E1"/>
    <w:rsid w:val="00AB4CDD"/>
    <w:rsid w:val="00AB60D0"/>
    <w:rsid w:val="00AC04C2"/>
    <w:rsid w:val="00AC168E"/>
    <w:rsid w:val="00AC4A55"/>
    <w:rsid w:val="00AC71FD"/>
    <w:rsid w:val="00AD1DFE"/>
    <w:rsid w:val="00AD2899"/>
    <w:rsid w:val="00AD3576"/>
    <w:rsid w:val="00AD672A"/>
    <w:rsid w:val="00AE6302"/>
    <w:rsid w:val="00AE6A9C"/>
    <w:rsid w:val="00AF64F4"/>
    <w:rsid w:val="00B0199E"/>
    <w:rsid w:val="00B041AF"/>
    <w:rsid w:val="00B073DE"/>
    <w:rsid w:val="00B1002A"/>
    <w:rsid w:val="00B106E3"/>
    <w:rsid w:val="00B10AC8"/>
    <w:rsid w:val="00B13B84"/>
    <w:rsid w:val="00B14885"/>
    <w:rsid w:val="00B17F88"/>
    <w:rsid w:val="00B22B9F"/>
    <w:rsid w:val="00B23808"/>
    <w:rsid w:val="00B2464B"/>
    <w:rsid w:val="00B26BE8"/>
    <w:rsid w:val="00B32EBB"/>
    <w:rsid w:val="00B33EE5"/>
    <w:rsid w:val="00B37134"/>
    <w:rsid w:val="00B379F0"/>
    <w:rsid w:val="00B414E2"/>
    <w:rsid w:val="00B437D2"/>
    <w:rsid w:val="00B43A52"/>
    <w:rsid w:val="00B44B11"/>
    <w:rsid w:val="00B46391"/>
    <w:rsid w:val="00B50136"/>
    <w:rsid w:val="00B53D23"/>
    <w:rsid w:val="00B55A63"/>
    <w:rsid w:val="00B60328"/>
    <w:rsid w:val="00B612B8"/>
    <w:rsid w:val="00B658AD"/>
    <w:rsid w:val="00B70F9E"/>
    <w:rsid w:val="00B73019"/>
    <w:rsid w:val="00B76473"/>
    <w:rsid w:val="00B76874"/>
    <w:rsid w:val="00B82EE0"/>
    <w:rsid w:val="00B8418B"/>
    <w:rsid w:val="00B84999"/>
    <w:rsid w:val="00B85388"/>
    <w:rsid w:val="00B930A1"/>
    <w:rsid w:val="00B930F8"/>
    <w:rsid w:val="00B93586"/>
    <w:rsid w:val="00B95052"/>
    <w:rsid w:val="00B97448"/>
    <w:rsid w:val="00BA0DD7"/>
    <w:rsid w:val="00BB0DC7"/>
    <w:rsid w:val="00BB1B39"/>
    <w:rsid w:val="00BB34DF"/>
    <w:rsid w:val="00BB3B56"/>
    <w:rsid w:val="00BB3E7E"/>
    <w:rsid w:val="00BB5ED5"/>
    <w:rsid w:val="00BC12F0"/>
    <w:rsid w:val="00BC58FB"/>
    <w:rsid w:val="00BD03FB"/>
    <w:rsid w:val="00BD14DD"/>
    <w:rsid w:val="00BD21B4"/>
    <w:rsid w:val="00BD2E4D"/>
    <w:rsid w:val="00BD30FC"/>
    <w:rsid w:val="00BD33E8"/>
    <w:rsid w:val="00BD4036"/>
    <w:rsid w:val="00BD4FA4"/>
    <w:rsid w:val="00BD5896"/>
    <w:rsid w:val="00BD5D8A"/>
    <w:rsid w:val="00BD789A"/>
    <w:rsid w:val="00BD7A68"/>
    <w:rsid w:val="00BE15DF"/>
    <w:rsid w:val="00BE4E21"/>
    <w:rsid w:val="00BE5E1A"/>
    <w:rsid w:val="00BE7BA4"/>
    <w:rsid w:val="00BF0E13"/>
    <w:rsid w:val="00BF135D"/>
    <w:rsid w:val="00BF4E96"/>
    <w:rsid w:val="00BF61D1"/>
    <w:rsid w:val="00BF7AA7"/>
    <w:rsid w:val="00C01B01"/>
    <w:rsid w:val="00C0213E"/>
    <w:rsid w:val="00C02172"/>
    <w:rsid w:val="00C029BF"/>
    <w:rsid w:val="00C0459E"/>
    <w:rsid w:val="00C0696A"/>
    <w:rsid w:val="00C10E3C"/>
    <w:rsid w:val="00C10F14"/>
    <w:rsid w:val="00C11876"/>
    <w:rsid w:val="00C119C8"/>
    <w:rsid w:val="00C129D3"/>
    <w:rsid w:val="00C1494C"/>
    <w:rsid w:val="00C153E6"/>
    <w:rsid w:val="00C15BE2"/>
    <w:rsid w:val="00C16F2F"/>
    <w:rsid w:val="00C17CC1"/>
    <w:rsid w:val="00C17D65"/>
    <w:rsid w:val="00C24A79"/>
    <w:rsid w:val="00C25840"/>
    <w:rsid w:val="00C26772"/>
    <w:rsid w:val="00C26AE5"/>
    <w:rsid w:val="00C303F0"/>
    <w:rsid w:val="00C3168E"/>
    <w:rsid w:val="00C32765"/>
    <w:rsid w:val="00C3385A"/>
    <w:rsid w:val="00C33B45"/>
    <w:rsid w:val="00C34290"/>
    <w:rsid w:val="00C36264"/>
    <w:rsid w:val="00C3673E"/>
    <w:rsid w:val="00C37B59"/>
    <w:rsid w:val="00C40EC1"/>
    <w:rsid w:val="00C418A1"/>
    <w:rsid w:val="00C452AB"/>
    <w:rsid w:val="00C50F22"/>
    <w:rsid w:val="00C516FC"/>
    <w:rsid w:val="00C51EE4"/>
    <w:rsid w:val="00C55C3A"/>
    <w:rsid w:val="00C571B3"/>
    <w:rsid w:val="00C57366"/>
    <w:rsid w:val="00C57670"/>
    <w:rsid w:val="00C61144"/>
    <w:rsid w:val="00C65F51"/>
    <w:rsid w:val="00C66DCE"/>
    <w:rsid w:val="00C72C2D"/>
    <w:rsid w:val="00C733CD"/>
    <w:rsid w:val="00C764B5"/>
    <w:rsid w:val="00C806A0"/>
    <w:rsid w:val="00C80BB6"/>
    <w:rsid w:val="00C82E48"/>
    <w:rsid w:val="00C842A6"/>
    <w:rsid w:val="00C85A13"/>
    <w:rsid w:val="00C878FC"/>
    <w:rsid w:val="00C91D3D"/>
    <w:rsid w:val="00C9333B"/>
    <w:rsid w:val="00CA1B13"/>
    <w:rsid w:val="00CA57AB"/>
    <w:rsid w:val="00CA61D7"/>
    <w:rsid w:val="00CB026B"/>
    <w:rsid w:val="00CB0381"/>
    <w:rsid w:val="00CB4442"/>
    <w:rsid w:val="00CB5D53"/>
    <w:rsid w:val="00CB65A6"/>
    <w:rsid w:val="00CB7E07"/>
    <w:rsid w:val="00CC01A3"/>
    <w:rsid w:val="00CC2ED0"/>
    <w:rsid w:val="00CC33EF"/>
    <w:rsid w:val="00CC37E6"/>
    <w:rsid w:val="00CC485A"/>
    <w:rsid w:val="00CC49B5"/>
    <w:rsid w:val="00CC4AC8"/>
    <w:rsid w:val="00CC6BBC"/>
    <w:rsid w:val="00CD1D1F"/>
    <w:rsid w:val="00CD3FAB"/>
    <w:rsid w:val="00CD44F1"/>
    <w:rsid w:val="00CD7AE4"/>
    <w:rsid w:val="00CE0687"/>
    <w:rsid w:val="00CE0E6C"/>
    <w:rsid w:val="00CE1C1F"/>
    <w:rsid w:val="00CE26B1"/>
    <w:rsid w:val="00CE543F"/>
    <w:rsid w:val="00CE5AC4"/>
    <w:rsid w:val="00CE637E"/>
    <w:rsid w:val="00CE7C4E"/>
    <w:rsid w:val="00CF020A"/>
    <w:rsid w:val="00CF1542"/>
    <w:rsid w:val="00CF15B8"/>
    <w:rsid w:val="00CF1DE6"/>
    <w:rsid w:val="00CF5970"/>
    <w:rsid w:val="00CF6405"/>
    <w:rsid w:val="00CF6EA3"/>
    <w:rsid w:val="00D04936"/>
    <w:rsid w:val="00D0535E"/>
    <w:rsid w:val="00D06D48"/>
    <w:rsid w:val="00D10DA5"/>
    <w:rsid w:val="00D15E31"/>
    <w:rsid w:val="00D16EAA"/>
    <w:rsid w:val="00D17C04"/>
    <w:rsid w:val="00D17C47"/>
    <w:rsid w:val="00D20DBF"/>
    <w:rsid w:val="00D24C26"/>
    <w:rsid w:val="00D25EC4"/>
    <w:rsid w:val="00D4005A"/>
    <w:rsid w:val="00D42703"/>
    <w:rsid w:val="00D4326D"/>
    <w:rsid w:val="00D45A44"/>
    <w:rsid w:val="00D45DEC"/>
    <w:rsid w:val="00D46702"/>
    <w:rsid w:val="00D46725"/>
    <w:rsid w:val="00D46961"/>
    <w:rsid w:val="00D506CF"/>
    <w:rsid w:val="00D543BD"/>
    <w:rsid w:val="00D578FA"/>
    <w:rsid w:val="00D63861"/>
    <w:rsid w:val="00D65CBD"/>
    <w:rsid w:val="00D70AA5"/>
    <w:rsid w:val="00D73FA5"/>
    <w:rsid w:val="00D74BAB"/>
    <w:rsid w:val="00D764B2"/>
    <w:rsid w:val="00D77D13"/>
    <w:rsid w:val="00D80420"/>
    <w:rsid w:val="00D81AA1"/>
    <w:rsid w:val="00D81B9D"/>
    <w:rsid w:val="00D830EC"/>
    <w:rsid w:val="00D830F1"/>
    <w:rsid w:val="00D8569B"/>
    <w:rsid w:val="00D877E6"/>
    <w:rsid w:val="00D87E9B"/>
    <w:rsid w:val="00D93427"/>
    <w:rsid w:val="00D939AF"/>
    <w:rsid w:val="00D94694"/>
    <w:rsid w:val="00D95506"/>
    <w:rsid w:val="00D95747"/>
    <w:rsid w:val="00D9654B"/>
    <w:rsid w:val="00D966AE"/>
    <w:rsid w:val="00DA16BA"/>
    <w:rsid w:val="00DA535F"/>
    <w:rsid w:val="00DB0445"/>
    <w:rsid w:val="00DB2E07"/>
    <w:rsid w:val="00DB613C"/>
    <w:rsid w:val="00DC0921"/>
    <w:rsid w:val="00DC215C"/>
    <w:rsid w:val="00DC5A54"/>
    <w:rsid w:val="00DD0B93"/>
    <w:rsid w:val="00DD1034"/>
    <w:rsid w:val="00DD1F77"/>
    <w:rsid w:val="00DD35EA"/>
    <w:rsid w:val="00DD569F"/>
    <w:rsid w:val="00DD686C"/>
    <w:rsid w:val="00DD6E52"/>
    <w:rsid w:val="00DE1669"/>
    <w:rsid w:val="00DE18E5"/>
    <w:rsid w:val="00DE2E83"/>
    <w:rsid w:val="00DE5EA9"/>
    <w:rsid w:val="00DE6327"/>
    <w:rsid w:val="00DF43D5"/>
    <w:rsid w:val="00DF526B"/>
    <w:rsid w:val="00DF55AA"/>
    <w:rsid w:val="00DF5BFE"/>
    <w:rsid w:val="00DF5C3E"/>
    <w:rsid w:val="00E03BC9"/>
    <w:rsid w:val="00E03D34"/>
    <w:rsid w:val="00E044D4"/>
    <w:rsid w:val="00E1036D"/>
    <w:rsid w:val="00E10663"/>
    <w:rsid w:val="00E11033"/>
    <w:rsid w:val="00E136AA"/>
    <w:rsid w:val="00E158E4"/>
    <w:rsid w:val="00E16814"/>
    <w:rsid w:val="00E16CE4"/>
    <w:rsid w:val="00E170BA"/>
    <w:rsid w:val="00E220A0"/>
    <w:rsid w:val="00E22E55"/>
    <w:rsid w:val="00E26413"/>
    <w:rsid w:val="00E27648"/>
    <w:rsid w:val="00E27B70"/>
    <w:rsid w:val="00E31719"/>
    <w:rsid w:val="00E34E6C"/>
    <w:rsid w:val="00E367E6"/>
    <w:rsid w:val="00E40B37"/>
    <w:rsid w:val="00E41C87"/>
    <w:rsid w:val="00E42808"/>
    <w:rsid w:val="00E462D4"/>
    <w:rsid w:val="00E46A9C"/>
    <w:rsid w:val="00E46BCE"/>
    <w:rsid w:val="00E50B61"/>
    <w:rsid w:val="00E50B9E"/>
    <w:rsid w:val="00E51174"/>
    <w:rsid w:val="00E52629"/>
    <w:rsid w:val="00E54917"/>
    <w:rsid w:val="00E54A90"/>
    <w:rsid w:val="00E55CC1"/>
    <w:rsid w:val="00E55EEB"/>
    <w:rsid w:val="00E56F33"/>
    <w:rsid w:val="00E57BA3"/>
    <w:rsid w:val="00E60629"/>
    <w:rsid w:val="00E62724"/>
    <w:rsid w:val="00E645A9"/>
    <w:rsid w:val="00E651C2"/>
    <w:rsid w:val="00E70406"/>
    <w:rsid w:val="00E70833"/>
    <w:rsid w:val="00E71C2C"/>
    <w:rsid w:val="00E72129"/>
    <w:rsid w:val="00E73C55"/>
    <w:rsid w:val="00E744FE"/>
    <w:rsid w:val="00E75FCE"/>
    <w:rsid w:val="00E77B23"/>
    <w:rsid w:val="00E81CD2"/>
    <w:rsid w:val="00E81EDA"/>
    <w:rsid w:val="00E82BD5"/>
    <w:rsid w:val="00E8384E"/>
    <w:rsid w:val="00E858E9"/>
    <w:rsid w:val="00E957AE"/>
    <w:rsid w:val="00E97529"/>
    <w:rsid w:val="00E976E8"/>
    <w:rsid w:val="00EA114D"/>
    <w:rsid w:val="00EA1730"/>
    <w:rsid w:val="00EA3189"/>
    <w:rsid w:val="00EA43E6"/>
    <w:rsid w:val="00EA44D8"/>
    <w:rsid w:val="00EA56B8"/>
    <w:rsid w:val="00EA768D"/>
    <w:rsid w:val="00EB0C4C"/>
    <w:rsid w:val="00EB1959"/>
    <w:rsid w:val="00EB25C8"/>
    <w:rsid w:val="00EB3D6C"/>
    <w:rsid w:val="00EB505B"/>
    <w:rsid w:val="00EB6B23"/>
    <w:rsid w:val="00EC4767"/>
    <w:rsid w:val="00EC4BF6"/>
    <w:rsid w:val="00EC55BF"/>
    <w:rsid w:val="00EC7C75"/>
    <w:rsid w:val="00ED019E"/>
    <w:rsid w:val="00ED206F"/>
    <w:rsid w:val="00ED39CC"/>
    <w:rsid w:val="00ED48FA"/>
    <w:rsid w:val="00ED5454"/>
    <w:rsid w:val="00ED6E67"/>
    <w:rsid w:val="00EE0E9E"/>
    <w:rsid w:val="00EE16EA"/>
    <w:rsid w:val="00EE2478"/>
    <w:rsid w:val="00EE35AA"/>
    <w:rsid w:val="00EE595A"/>
    <w:rsid w:val="00EF0543"/>
    <w:rsid w:val="00EF0580"/>
    <w:rsid w:val="00EF1F73"/>
    <w:rsid w:val="00EF381A"/>
    <w:rsid w:val="00EF4E08"/>
    <w:rsid w:val="00EF5AD4"/>
    <w:rsid w:val="00F01419"/>
    <w:rsid w:val="00F03FC8"/>
    <w:rsid w:val="00F11643"/>
    <w:rsid w:val="00F120DB"/>
    <w:rsid w:val="00F159E6"/>
    <w:rsid w:val="00F207B3"/>
    <w:rsid w:val="00F306B1"/>
    <w:rsid w:val="00F31535"/>
    <w:rsid w:val="00F31744"/>
    <w:rsid w:val="00F32305"/>
    <w:rsid w:val="00F36717"/>
    <w:rsid w:val="00F368AD"/>
    <w:rsid w:val="00F37673"/>
    <w:rsid w:val="00F410DE"/>
    <w:rsid w:val="00F42260"/>
    <w:rsid w:val="00F436AF"/>
    <w:rsid w:val="00F4631F"/>
    <w:rsid w:val="00F51CDD"/>
    <w:rsid w:val="00F54F19"/>
    <w:rsid w:val="00F62427"/>
    <w:rsid w:val="00F63AC1"/>
    <w:rsid w:val="00F66DFA"/>
    <w:rsid w:val="00F71AE6"/>
    <w:rsid w:val="00F71D3C"/>
    <w:rsid w:val="00F73982"/>
    <w:rsid w:val="00F74C96"/>
    <w:rsid w:val="00F7778D"/>
    <w:rsid w:val="00F8062C"/>
    <w:rsid w:val="00F82065"/>
    <w:rsid w:val="00F84B4C"/>
    <w:rsid w:val="00F86282"/>
    <w:rsid w:val="00F87082"/>
    <w:rsid w:val="00F87872"/>
    <w:rsid w:val="00F91A08"/>
    <w:rsid w:val="00F92C3D"/>
    <w:rsid w:val="00F94960"/>
    <w:rsid w:val="00F97A76"/>
    <w:rsid w:val="00FA003A"/>
    <w:rsid w:val="00FA3A27"/>
    <w:rsid w:val="00FA5BCC"/>
    <w:rsid w:val="00FB2B9C"/>
    <w:rsid w:val="00FB4A2F"/>
    <w:rsid w:val="00FB6769"/>
    <w:rsid w:val="00FC22A8"/>
    <w:rsid w:val="00FC4608"/>
    <w:rsid w:val="00FC7F4A"/>
    <w:rsid w:val="00FD0857"/>
    <w:rsid w:val="00FD1FA5"/>
    <w:rsid w:val="00FD2DD8"/>
    <w:rsid w:val="00FD5CD9"/>
    <w:rsid w:val="00FD73B1"/>
    <w:rsid w:val="00FD7B2F"/>
    <w:rsid w:val="00FE0E3C"/>
    <w:rsid w:val="00FE4860"/>
    <w:rsid w:val="00FE5FCB"/>
    <w:rsid w:val="00FF1F5F"/>
    <w:rsid w:val="00FF2206"/>
    <w:rsid w:val="00FF2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A6990"/>
  <w15:chartTrackingRefBased/>
  <w15:docId w15:val="{1D463389-3422-4B06-AE72-C81E2C908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C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C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C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C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C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C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C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C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C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C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C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C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C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C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C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C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C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C55"/>
    <w:rPr>
      <w:rFonts w:eastAsiaTheme="majorEastAsia" w:cstheme="majorBidi"/>
      <w:color w:val="272727" w:themeColor="text1" w:themeTint="D8"/>
    </w:rPr>
  </w:style>
  <w:style w:type="paragraph" w:styleId="Title">
    <w:name w:val="Title"/>
    <w:basedOn w:val="Normal"/>
    <w:next w:val="Normal"/>
    <w:link w:val="TitleChar"/>
    <w:uiPriority w:val="10"/>
    <w:qFormat/>
    <w:rsid w:val="00E73C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C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C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C55"/>
    <w:pPr>
      <w:spacing w:before="160"/>
      <w:jc w:val="center"/>
    </w:pPr>
    <w:rPr>
      <w:i/>
      <w:iCs/>
      <w:color w:val="404040" w:themeColor="text1" w:themeTint="BF"/>
    </w:rPr>
  </w:style>
  <w:style w:type="character" w:customStyle="1" w:styleId="QuoteChar">
    <w:name w:val="Quote Char"/>
    <w:basedOn w:val="DefaultParagraphFont"/>
    <w:link w:val="Quote"/>
    <w:uiPriority w:val="29"/>
    <w:rsid w:val="00E73C55"/>
    <w:rPr>
      <w:i/>
      <w:iCs/>
      <w:color w:val="404040" w:themeColor="text1" w:themeTint="BF"/>
    </w:rPr>
  </w:style>
  <w:style w:type="paragraph" w:styleId="ListParagraph">
    <w:name w:val="List Paragraph"/>
    <w:basedOn w:val="Normal"/>
    <w:uiPriority w:val="34"/>
    <w:qFormat/>
    <w:rsid w:val="00E73C55"/>
    <w:pPr>
      <w:ind w:left="720"/>
      <w:contextualSpacing/>
    </w:pPr>
  </w:style>
  <w:style w:type="character" w:styleId="IntenseEmphasis">
    <w:name w:val="Intense Emphasis"/>
    <w:basedOn w:val="DefaultParagraphFont"/>
    <w:uiPriority w:val="21"/>
    <w:qFormat/>
    <w:rsid w:val="00E73C55"/>
    <w:rPr>
      <w:i/>
      <w:iCs/>
      <w:color w:val="0F4761" w:themeColor="accent1" w:themeShade="BF"/>
    </w:rPr>
  </w:style>
  <w:style w:type="paragraph" w:styleId="IntenseQuote">
    <w:name w:val="Intense Quote"/>
    <w:basedOn w:val="Normal"/>
    <w:next w:val="Normal"/>
    <w:link w:val="IntenseQuoteChar"/>
    <w:uiPriority w:val="30"/>
    <w:qFormat/>
    <w:rsid w:val="00E73C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C55"/>
    <w:rPr>
      <w:i/>
      <w:iCs/>
      <w:color w:val="0F4761" w:themeColor="accent1" w:themeShade="BF"/>
    </w:rPr>
  </w:style>
  <w:style w:type="character" w:styleId="IntenseReference">
    <w:name w:val="Intense Reference"/>
    <w:basedOn w:val="DefaultParagraphFont"/>
    <w:uiPriority w:val="32"/>
    <w:qFormat/>
    <w:rsid w:val="00E73C55"/>
    <w:rPr>
      <w:b/>
      <w:bCs/>
      <w:smallCaps/>
      <w:color w:val="0F4761" w:themeColor="accent1" w:themeShade="BF"/>
      <w:spacing w:val="5"/>
    </w:rPr>
  </w:style>
  <w:style w:type="character" w:styleId="Hyperlink">
    <w:name w:val="Hyperlink"/>
    <w:basedOn w:val="DefaultParagraphFont"/>
    <w:uiPriority w:val="99"/>
    <w:unhideWhenUsed/>
    <w:rsid w:val="00A25C27"/>
    <w:rPr>
      <w:color w:val="467886" w:themeColor="hyperlink"/>
      <w:u w:val="single"/>
    </w:rPr>
  </w:style>
  <w:style w:type="character" w:styleId="UnresolvedMention">
    <w:name w:val="Unresolved Mention"/>
    <w:basedOn w:val="DefaultParagraphFont"/>
    <w:uiPriority w:val="99"/>
    <w:semiHidden/>
    <w:unhideWhenUsed/>
    <w:rsid w:val="00A25C27"/>
    <w:rPr>
      <w:color w:val="605E5C"/>
      <w:shd w:val="clear" w:color="auto" w:fill="E1DFDD"/>
    </w:rPr>
  </w:style>
  <w:style w:type="paragraph" w:styleId="NormalWeb">
    <w:name w:val="Normal (Web)"/>
    <w:basedOn w:val="Normal"/>
    <w:uiPriority w:val="99"/>
    <w:semiHidden/>
    <w:unhideWhenUsed/>
    <w:rsid w:val="003A20B4"/>
    <w:rPr>
      <w:rFonts w:ascii="Times New Roman" w:hAnsi="Times New Roman" w:cs="Times New Roman"/>
    </w:rPr>
  </w:style>
  <w:style w:type="paragraph" w:styleId="Header">
    <w:name w:val="header"/>
    <w:basedOn w:val="Normal"/>
    <w:link w:val="HeaderChar"/>
    <w:uiPriority w:val="99"/>
    <w:unhideWhenUsed/>
    <w:rsid w:val="00B46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391"/>
  </w:style>
  <w:style w:type="paragraph" w:styleId="Footer">
    <w:name w:val="footer"/>
    <w:basedOn w:val="Normal"/>
    <w:link w:val="FooterChar"/>
    <w:uiPriority w:val="99"/>
    <w:unhideWhenUsed/>
    <w:rsid w:val="00B46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13200968.2020.1822609"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86/s12905-020-01007-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111/joms.1297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68/a46244" TargetMode="External"/><Relationship Id="rId5" Type="http://schemas.openxmlformats.org/officeDocument/2006/relationships/numbering" Target="numbering.xml"/><Relationship Id="rId15" Type="http://schemas.openxmlformats.org/officeDocument/2006/relationships/hyperlink" Target="https://www.gov.wales/we-must-improve-education-around-menstrual-cycles-schools-vows-deputy-minister-social-partnership"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wales/period-proud-wales-action-pl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00ca45506cccf54d6e18661a01dc9b9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6402a7383293b84c7da501b6d422a7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2D647F-F9F3-40B9-8FD3-EDD174556CBC}">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8FF515AA-0FC8-4C1A-A261-DC9B4CFED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A9C0A8-84EF-4CCE-BC5F-394C9FAF734C}">
  <ds:schemaRefs>
    <ds:schemaRef ds:uri="http://schemas.openxmlformats.org/officeDocument/2006/bibliography"/>
  </ds:schemaRefs>
</ds:datastoreItem>
</file>

<file path=customXml/itemProps4.xml><?xml version="1.0" encoding="utf-8"?>
<ds:datastoreItem xmlns:ds="http://schemas.openxmlformats.org/officeDocument/2006/customXml" ds:itemID="{200E68D0-9385-4998-87F8-4106A63448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2372</TotalTime>
  <Pages>23</Pages>
  <Words>7537</Words>
  <Characters>42963</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Casey</dc:creator>
  <cp:keywords/>
  <dc:description/>
  <cp:lastModifiedBy>Libby Eve Casey (2200299)</cp:lastModifiedBy>
  <cp:revision>1294</cp:revision>
  <dcterms:created xsi:type="dcterms:W3CDTF">2025-10-28T13:40:00Z</dcterms:created>
  <dcterms:modified xsi:type="dcterms:W3CDTF">2025-11-09T12:05:00Z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