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028D0" w14:textId="27F2FD41" w:rsidR="00CD2918" w:rsidRDefault="00937CC2" w:rsidP="00CD2918">
      <w:pPr>
        <w:rPr>
          <w:sz w:val="24"/>
        </w:rPr>
      </w:pPr>
      <w:r>
        <w:rPr>
          <w:sz w:val="24"/>
        </w:rPr>
        <w:t>T</w:t>
      </w:r>
      <w:r>
        <w:rPr>
          <w:sz w:val="24"/>
        </w:rPr>
        <w:t xml:space="preserve">here are many factors that impact on a learner’s ability to access education </w:t>
      </w:r>
      <w:r w:rsidR="00F6660C">
        <w:rPr>
          <w:sz w:val="24"/>
        </w:rPr>
        <w:t>including social exclusion, inequality, poverty, marginal/minority groups, discrimination and culture etc.</w:t>
      </w:r>
      <w:r>
        <w:rPr>
          <w:sz w:val="24"/>
        </w:rPr>
        <w:t xml:space="preserve"> </w:t>
      </w:r>
      <w:r w:rsidR="00AC2E29">
        <w:rPr>
          <w:sz w:val="24"/>
        </w:rPr>
        <w:t>Social exclusion includes people whose opportunities are restricted because of cultural and structural factors and also includes people who do not receive enough support from</w:t>
      </w:r>
      <w:r w:rsidR="00F6660C">
        <w:rPr>
          <w:sz w:val="24"/>
        </w:rPr>
        <w:t xml:space="preserve"> a</w:t>
      </w:r>
      <w:r w:rsidR="00AC2E29">
        <w:rPr>
          <w:sz w:val="24"/>
        </w:rPr>
        <w:t xml:space="preserve"> public place. There are multiple factors that can cause social </w:t>
      </w:r>
      <w:r>
        <w:rPr>
          <w:sz w:val="24"/>
        </w:rPr>
        <w:t>exclusion,</w:t>
      </w:r>
      <w:r w:rsidR="00AC2E29">
        <w:rPr>
          <w:sz w:val="24"/>
        </w:rPr>
        <w:t xml:space="preserve"> and these are: poverty, gender, race and ethnicity. </w:t>
      </w:r>
      <w:r w:rsidR="00F6660C">
        <w:rPr>
          <w:sz w:val="24"/>
        </w:rPr>
        <w:t xml:space="preserve">I have chosen to focus on poverty, gender and children with disabilities. </w:t>
      </w:r>
    </w:p>
    <w:p w14:paraId="7A04F35D" w14:textId="2FE41A22" w:rsidR="00CD2918" w:rsidRDefault="00B40B96" w:rsidP="00CC2EAF">
      <w:pPr>
        <w:rPr>
          <w:sz w:val="24"/>
        </w:rPr>
      </w:pPr>
      <w:r>
        <w:rPr>
          <w:sz w:val="24"/>
        </w:rPr>
        <w:t xml:space="preserve">Poverty is a major factor in affecting the learner’s ability to access education.  Child poverty is defined as “children living in households with 60 per cent less than the median income.” (Ward, 2013, p.32) </w:t>
      </w:r>
      <w:r w:rsidR="00864EED">
        <w:rPr>
          <w:sz w:val="24"/>
        </w:rPr>
        <w:t xml:space="preserve">During the Conservative governments 1979 to 1997, the amount of children living in poverty had almost doubled. </w:t>
      </w:r>
      <w:r w:rsidR="00366B0B">
        <w:rPr>
          <w:sz w:val="24"/>
        </w:rPr>
        <w:t>The Conservative government</w:t>
      </w:r>
      <w:r w:rsidR="000B7467">
        <w:rPr>
          <w:sz w:val="24"/>
        </w:rPr>
        <w:t xml:space="preserve"> spent a large amount of money to increase the incomes for low-income families through a range of means such as: “tax credits; support to parents through the New Deal programme to help lone parents into work; early</w:t>
      </w:r>
      <w:r w:rsidR="00CC2EAF">
        <w:rPr>
          <w:sz w:val="24"/>
        </w:rPr>
        <w:t>-services in the Sure Start Programme, and the Every Child Matters (ECM) agenda (Hm Treasury, 2008)” (Ward , 2013, p.32) The numbers of child poverty went f</w:t>
      </w:r>
      <w:r w:rsidR="00E05783">
        <w:rPr>
          <w:sz w:val="24"/>
        </w:rPr>
        <w:t>ro</w:t>
      </w:r>
      <w:r w:rsidR="00CC2EAF">
        <w:rPr>
          <w:sz w:val="24"/>
        </w:rPr>
        <w:t xml:space="preserve">m 3.4 million to 2.8 million and the government claimed that the most academic progress came from the most deprived schools. The government statistics for measuring poverty uses children eligible for free schools’ meals (FSMs) and analyses this compared to children who aren’t eligible for free school meals, known as the ‘FSM gap’. The parents of children who receive income-based </w:t>
      </w:r>
      <w:r w:rsidR="00782BE0">
        <w:rPr>
          <w:sz w:val="24"/>
        </w:rPr>
        <w:t xml:space="preserve">jobseekers </w:t>
      </w:r>
      <w:r w:rsidR="00CC2EAF">
        <w:rPr>
          <w:sz w:val="24"/>
        </w:rPr>
        <w:t xml:space="preserve">allowance, child tax credit or income support are eligible for FSMs. There are other systems used to measure poverty by the government such as Income Deprivation Affecting Children Indices which is measured by where the child lives using a number of measures to rank deprivation. However, the most </w:t>
      </w:r>
      <w:r w:rsidR="00C0171B">
        <w:rPr>
          <w:sz w:val="24"/>
        </w:rPr>
        <w:t xml:space="preserve">commonly used one by the government is the free school meals characteristic and this version allows comparisons and analysis over time. </w:t>
      </w:r>
      <w:r w:rsidR="00B66A94">
        <w:rPr>
          <w:sz w:val="24"/>
        </w:rPr>
        <w:t xml:space="preserve">Free </w:t>
      </w:r>
      <w:r w:rsidR="00782BE0">
        <w:rPr>
          <w:sz w:val="24"/>
        </w:rPr>
        <w:t>schools’</w:t>
      </w:r>
      <w:r w:rsidR="00B66A94">
        <w:rPr>
          <w:sz w:val="24"/>
        </w:rPr>
        <w:t xml:space="preserve"> meals as a proxy for child deprivation and poverty has a few criticisms, although across the years it has become valuable as a consistent measure </w:t>
      </w:r>
      <w:r w:rsidR="00782BE0">
        <w:rPr>
          <w:sz w:val="24"/>
        </w:rPr>
        <w:t xml:space="preserve">and it starkly demonstrates the differences in educational achievement. There is a number of studies that trace the experiences of children growing up in the United Kingdom and these include a number of large-scale longitudinal studies. These include: </w:t>
      </w:r>
      <w:r w:rsidR="002554B6">
        <w:rPr>
          <w:sz w:val="24"/>
        </w:rPr>
        <w:t>The</w:t>
      </w:r>
      <w:r w:rsidR="00A903A4">
        <w:rPr>
          <w:sz w:val="24"/>
        </w:rPr>
        <w:t xml:space="preserve"> Millennium Cohort Study (MCS), Effective Pre-school, Primary and Secondary Education Project (EPPSE),</w:t>
      </w:r>
      <w:r w:rsidR="002554B6">
        <w:rPr>
          <w:sz w:val="24"/>
        </w:rPr>
        <w:t xml:space="preserve"> </w:t>
      </w:r>
      <w:r w:rsidR="00A903A4">
        <w:rPr>
          <w:sz w:val="24"/>
        </w:rPr>
        <w:t>the Avon Longitudinal Study of Parents and Children (ALSPAC), the British Cohort Study (BCS)</w:t>
      </w:r>
      <w:r w:rsidR="002554B6">
        <w:rPr>
          <w:sz w:val="24"/>
        </w:rPr>
        <w:t xml:space="preserve">. There is a strong socio-economic status and lower educational attainment between these. Poorer children between the ages of three and five do worse on cognitive and behavioural outcomes. </w:t>
      </w:r>
      <w:r w:rsidR="00006926">
        <w:rPr>
          <w:sz w:val="24"/>
        </w:rPr>
        <w:t xml:space="preserve">Children at the age of 11 years older who are not eligible for free school meals are twice as likely to </w:t>
      </w:r>
      <w:r w:rsidR="00E23755">
        <w:rPr>
          <w:sz w:val="24"/>
        </w:rPr>
        <w:t xml:space="preserve">achieve the basic standard in literacy and numeracy compared to children who do receive free school meals. (Joseph Rowntree Foundation, 2012a, 2012b). Poverty can affect children in a number of different ways such as: poor housing, domestic violence, an unhealthy diet, the stresses associated with low income or unemployment, possible mental health issues within the family, a lack of access to computers, the absence of learning habits and experiences at home and a lack of a sense of self-esteem through appropriate interactions with parents. Parents with a low income are less likely to be able to provide the same opportunities for their children as opposed to children with affluent parents. Also, parents who work more than one job or </w:t>
      </w:r>
      <w:r w:rsidR="00E23755">
        <w:rPr>
          <w:sz w:val="24"/>
        </w:rPr>
        <w:lastRenderedPageBreak/>
        <w:t xml:space="preserve">work unsocial hours etc are less likely to be able to spend time with their children to provide an environment which can provide good educational outcomes. There have been many things that have been done to help parents with children who live in poverty. The New Labour wanted to encourage effective parenting, they moved to an increasingly orientated deficit model from an initially supportive framework. There was a programme introduced called Every Child Matters (ECM). This programme has shown that when a parent is actively involved in their child’s learning it then has a positive effect on the child. To increase the child’s chances of moving out of poverty when they become an adult it has been proven that positive and warm relationships between the child and parents, interaction between the child and parents and parents being actively involved and interested in their child’s learning all helps. </w:t>
      </w:r>
      <w:r w:rsidR="00105E87">
        <w:rPr>
          <w:sz w:val="24"/>
        </w:rPr>
        <w:t xml:space="preserve"> </w:t>
      </w:r>
    </w:p>
    <w:p w14:paraId="623C7BC3" w14:textId="63F00CC9" w:rsidR="00105E87" w:rsidRDefault="00105E87" w:rsidP="00CC2EAF">
      <w:pPr>
        <w:rPr>
          <w:sz w:val="24"/>
        </w:rPr>
      </w:pPr>
      <w:r>
        <w:rPr>
          <w:sz w:val="24"/>
        </w:rPr>
        <w:t xml:space="preserve">In the early years education setting it has been shown that attendance has a considerable effect on the cognitive outcomes during childhood. If children have attended pre-school it does not matter the quality of provision they have received, at age fourteen they perform better. </w:t>
      </w:r>
      <w:r w:rsidR="0039293F">
        <w:rPr>
          <w:sz w:val="24"/>
        </w:rPr>
        <w:t xml:space="preserve">  </w:t>
      </w:r>
    </w:p>
    <w:p w14:paraId="7A68094C" w14:textId="2B9FAC8E" w:rsidR="00AC2E29" w:rsidRDefault="00AC2E29" w:rsidP="00CC2EAF">
      <w:pPr>
        <w:rPr>
          <w:sz w:val="24"/>
        </w:rPr>
      </w:pPr>
      <w:r>
        <w:rPr>
          <w:sz w:val="24"/>
        </w:rPr>
        <w:t xml:space="preserve">Gender is also another major factor in a learner’s ability to access education as typically girls around the world receive less education than boys. By educating girls it ensures that there is a better future for societies and children. Although, the issue of girls failing to attend schools is a big one. Girls’ schooling illustrates many social benefits and because of this there has been particular attention paid to getting girls into schools. Even though, there have been large steps made to get girls into schooling there is still 40% of girls around the world who are not in education. Compared to the ten million boys at primary school age, fifteen million girls will never be given the opportunity to learn to read or write. As a result, illiterate women add up to a third or women in the world. However, in improving children’s health and wellness, literacy for women is imperative. Although there are organisations trying to promote gender equality in education their progress is slow. Two of these organisations are called The Dakar Framework for Action and the Millennium Development Goals. </w:t>
      </w:r>
      <w:r w:rsidR="00F26282">
        <w:rPr>
          <w:sz w:val="24"/>
        </w:rPr>
        <w:t xml:space="preserve">When women are also members of other excluded groups, for example, if they have a disability, from a low-caste or a minority ethnic group then exclusion and marginalisation increases. There needs to be more effort put into helping girls to learn and achieve, giving them access to education and ensuring that they are participating often. For this to happen, people need to question the habitual discrimination and stereotypes both out and within the classroom. Some of these challenges for girls are sanitation facilities that are hygienic and private, facing abuse on the way to school, the teachers paying more attention to boys and textbooks that illustrate girls in a passive, stereotyped role. </w:t>
      </w:r>
    </w:p>
    <w:p w14:paraId="0F750A71" w14:textId="588B6C33" w:rsidR="00F26282" w:rsidRDefault="00F26282" w:rsidP="00CC2EAF">
      <w:pPr>
        <w:rPr>
          <w:sz w:val="24"/>
        </w:rPr>
      </w:pPr>
      <w:r>
        <w:rPr>
          <w:sz w:val="24"/>
        </w:rPr>
        <w:t xml:space="preserve">The last main factor that affects a child’s ability to learn that I am going to talk about in this essay is disabilities. Disabled people consist of only ten percent of the world’s population. </w:t>
      </w:r>
      <w:r w:rsidR="00E66879">
        <w:rPr>
          <w:sz w:val="24"/>
        </w:rPr>
        <w:t>Disabled</w:t>
      </w:r>
      <w:r>
        <w:rPr>
          <w:sz w:val="24"/>
        </w:rPr>
        <w:t xml:space="preserve"> people </w:t>
      </w:r>
      <w:r w:rsidR="00E66879">
        <w:rPr>
          <w:sz w:val="24"/>
        </w:rPr>
        <w:t xml:space="preserve">are excluded from some of the most essential services such as basic education and health care, food, employment opportunities and clothing and other elements of essential services which in turn their participation in mainstream societies is greatly affected. Disabled people are also more at risk of abuse, violence and exploitation compared to able people. Their educational opportunities are limited if early detection is </w:t>
      </w:r>
      <w:r w:rsidR="00E66879">
        <w:rPr>
          <w:sz w:val="24"/>
        </w:rPr>
        <w:lastRenderedPageBreak/>
        <w:t xml:space="preserve">not available for young children and infants and this affects their caretakers and their parents which can result in secondary disabling conditions. The exclusion from education for youth and children with disabilities means that there is limited opportunity for further progression, in particular denying their access to business development, employment, in come generation and vocational training. </w:t>
      </w:r>
      <w:r w:rsidR="0008340F">
        <w:rPr>
          <w:sz w:val="24"/>
        </w:rPr>
        <w:t xml:space="preserve">Without the access to education, the social and economic independence is prevented. The governments in the United Kingdom, Australia and New Zealand are not providing the necessary support for children with disabilities. Schools are offering little to no support for disabled children and are disregarding disability standards by rejecting places in schools. There is research in the United Kingdom that has proven that teaching assistants (TAs) are having to be used as substitute teachers for children with the greatest pedagogical needs and as a result of this the children are receiving diminished outcomes. There has been further reinforcement from the New South Wales </w:t>
      </w:r>
      <w:r w:rsidR="003E7E68">
        <w:rPr>
          <w:sz w:val="24"/>
        </w:rPr>
        <w:t>auditor’s</w:t>
      </w:r>
      <w:r w:rsidR="0008340F">
        <w:rPr>
          <w:sz w:val="24"/>
        </w:rPr>
        <w:t xml:space="preserve"> general’s report of how schools are failing children with disabilities but more importantly how the education system is failing children with disabilities</w:t>
      </w:r>
      <w:r w:rsidR="003E7E68">
        <w:rPr>
          <w:sz w:val="24"/>
        </w:rPr>
        <w:t xml:space="preserve">. Out of the respondents one in four of the three hundred had been told by schools that there was no place for their child. </w:t>
      </w:r>
      <w:r w:rsidR="00937CC2">
        <w:rPr>
          <w:sz w:val="24"/>
        </w:rPr>
        <w:t xml:space="preserve">If children were given a place at school, it was found in the report that teachers often were reluctant or refused to make adjustments for the children, this was due to negative attitudes towards children with disabilities. It was also displayed that support teachers did not acquire the necessary qualifications or training to provide a disabled child with. There were also reports of bullying from staff. </w:t>
      </w:r>
      <w:r w:rsidR="00F6660C">
        <w:rPr>
          <w:sz w:val="24"/>
        </w:rPr>
        <w:t xml:space="preserve">It was recommended by the report that the Department of Education ensures that teachers have completed both modules of the disability’s standards training and for school learners and teaching assistants to be used more effectively in the classroom. It was suggested by the report that schools are reviewed on how they support children with disabilities and ensuring that teachers have an understanding on how children with disabilities need to be supported. The cultural attitudes towards children with disabilities is affecting how children are excluded. The New South Wales Education Minister Adrian </w:t>
      </w:r>
      <w:proofErr w:type="spellStart"/>
      <w:r w:rsidR="00F6660C">
        <w:rPr>
          <w:sz w:val="24"/>
        </w:rPr>
        <w:t>Picolli</w:t>
      </w:r>
      <w:proofErr w:type="spellEnd"/>
      <w:r w:rsidR="00F6660C">
        <w:rPr>
          <w:sz w:val="24"/>
        </w:rPr>
        <w:t xml:space="preserve"> talks about how more money needs to be spent on disadvantaged children such as children with disabilities in order to keep them out of jail. The way in which he labels children with autism as criminals shows the complete ignorance and negative </w:t>
      </w:r>
      <w:r w:rsidR="00F175C1">
        <w:rPr>
          <w:sz w:val="24"/>
        </w:rPr>
        <w:t>attitudes</w:t>
      </w:r>
      <w:r w:rsidR="00F6660C">
        <w:rPr>
          <w:sz w:val="24"/>
        </w:rPr>
        <w:t xml:space="preserve"> towards disabilities. </w:t>
      </w:r>
      <w:r w:rsidR="00F175C1">
        <w:rPr>
          <w:sz w:val="24"/>
        </w:rPr>
        <w:t xml:space="preserve">However, it also shows that there is a wider issue within the education system and this needs to be looked at in order to provide equity for all children whether they have a disability or not. The Labour and Liberal party want to use more funding to go on education but particularly for education for children with disabilities. The result of increased funding for children with disabilities would be a huge achievement as there would be more staffing who are equipped with the correct training to help the disabled children and it would also mean more supplies for the children enabling them to access schools and the curriculum. </w:t>
      </w:r>
    </w:p>
    <w:p w14:paraId="58C9BC5B" w14:textId="632DF71D" w:rsidR="00F6660C" w:rsidRDefault="00F6660C" w:rsidP="00CC2EAF">
      <w:pPr>
        <w:rPr>
          <w:sz w:val="24"/>
        </w:rPr>
      </w:pPr>
      <w:r>
        <w:rPr>
          <w:sz w:val="24"/>
        </w:rPr>
        <w:t xml:space="preserve">In conclusion, poverty, gender and children with disabilities all play a major part in the learner’s ability to access education. Each of these play a part for their own reasons. </w:t>
      </w:r>
      <w:r w:rsidR="00F175C1">
        <w:rPr>
          <w:sz w:val="24"/>
        </w:rPr>
        <w:t xml:space="preserve">Children who live in poverty are less likely to achieve what children who do not live in poverty do. </w:t>
      </w:r>
      <w:r w:rsidR="00E05783">
        <w:rPr>
          <w:sz w:val="24"/>
        </w:rPr>
        <w:t>Also, children are affected because</w:t>
      </w:r>
      <w:r w:rsidR="00B81B94">
        <w:rPr>
          <w:sz w:val="24"/>
        </w:rPr>
        <w:t xml:space="preserve"> the parents will have to work another job or extra hours to help keep them fed and with shelter and this results in the parents not being able to spend quality time with their children or be able to help with the homework etc. </w:t>
      </w:r>
      <w:r w:rsidR="00B81B94">
        <w:rPr>
          <w:sz w:val="24"/>
        </w:rPr>
        <w:lastRenderedPageBreak/>
        <w:t>Secondly, girls around the world typically receive less education than boys and women who are literate help the cultural and economical state of the country. It is also better for future children if the woman is literate as well as the man. Lastly, there is very little or no support for children who are disabled, and this results in children not being able to receive the support that they need which then impacts on their future prospects with employers. Also, if children do not get the support that they need then they get have secondary disabilities which could have been prevented if they were detected early.</w:t>
      </w:r>
    </w:p>
    <w:p w14:paraId="4F6D323E" w14:textId="20F443E6" w:rsidR="00105E87" w:rsidRDefault="00105E87" w:rsidP="00CC2EAF">
      <w:pPr>
        <w:rPr>
          <w:sz w:val="24"/>
        </w:rPr>
      </w:pPr>
    </w:p>
    <w:p w14:paraId="26E7DBBC" w14:textId="2B240D73" w:rsidR="00E05783" w:rsidRDefault="00E05783" w:rsidP="00CC2EAF">
      <w:pPr>
        <w:rPr>
          <w:sz w:val="24"/>
        </w:rPr>
      </w:pPr>
      <w:r>
        <w:rPr>
          <w:sz w:val="24"/>
        </w:rPr>
        <w:t>References:</w:t>
      </w:r>
    </w:p>
    <w:p w14:paraId="2124C3E7" w14:textId="0FFE0E33" w:rsidR="0089324B" w:rsidRDefault="0089324B" w:rsidP="00CC2EAF">
      <w:pPr>
        <w:rPr>
          <w:sz w:val="24"/>
        </w:rPr>
      </w:pPr>
      <w:r>
        <w:rPr>
          <w:sz w:val="24"/>
        </w:rPr>
        <w:t xml:space="preserve">Myers, K (2000) </w:t>
      </w:r>
      <w:r>
        <w:rPr>
          <w:i/>
          <w:sz w:val="24"/>
        </w:rPr>
        <w:t xml:space="preserve">Whatever happened to equal opportunities in schools? Gender equality initiatives in education. </w:t>
      </w:r>
      <w:r>
        <w:rPr>
          <w:sz w:val="24"/>
        </w:rPr>
        <w:t xml:space="preserve">Philadelphia: Open University Press </w:t>
      </w:r>
    </w:p>
    <w:p w14:paraId="20736996" w14:textId="77777777" w:rsidR="005634F5" w:rsidRDefault="005634F5" w:rsidP="00CC2EAF">
      <w:pPr>
        <w:rPr>
          <w:sz w:val="24"/>
        </w:rPr>
      </w:pPr>
    </w:p>
    <w:p w14:paraId="59B5FD25" w14:textId="06A655AB" w:rsidR="0089324B" w:rsidRDefault="0089324B" w:rsidP="00CC2EAF">
      <w:pPr>
        <w:rPr>
          <w:sz w:val="24"/>
        </w:rPr>
      </w:pPr>
      <w:r>
        <w:rPr>
          <w:sz w:val="24"/>
        </w:rPr>
        <w:t xml:space="preserve">Lewis, M. A and Lockheed, M. E (2007) </w:t>
      </w:r>
      <w:r>
        <w:rPr>
          <w:i/>
          <w:sz w:val="24"/>
        </w:rPr>
        <w:t xml:space="preserve">Exclusion, Gender and Education. Case studies from the developing world. </w:t>
      </w:r>
      <w:r>
        <w:rPr>
          <w:sz w:val="24"/>
        </w:rPr>
        <w:t xml:space="preserve">Washington: </w:t>
      </w:r>
      <w:proofErr w:type="spellStart"/>
      <w:r>
        <w:rPr>
          <w:sz w:val="24"/>
        </w:rPr>
        <w:t>Center</w:t>
      </w:r>
      <w:proofErr w:type="spellEnd"/>
      <w:r>
        <w:rPr>
          <w:sz w:val="24"/>
        </w:rPr>
        <w:t xml:space="preserve"> for Global Development </w:t>
      </w:r>
    </w:p>
    <w:p w14:paraId="3631411C" w14:textId="77777777" w:rsidR="005634F5" w:rsidRPr="0089324B" w:rsidRDefault="005634F5" w:rsidP="00CC2EAF">
      <w:pPr>
        <w:rPr>
          <w:sz w:val="24"/>
        </w:rPr>
      </w:pPr>
    </w:p>
    <w:p w14:paraId="1AAB0DCA" w14:textId="47B4C1FC" w:rsidR="0089324B" w:rsidRPr="0089324B" w:rsidRDefault="0089324B" w:rsidP="00CC2EAF">
      <w:pPr>
        <w:rPr>
          <w:i/>
          <w:sz w:val="24"/>
        </w:rPr>
      </w:pPr>
      <w:r>
        <w:rPr>
          <w:sz w:val="24"/>
        </w:rPr>
        <w:t xml:space="preserve">The Atlas Alliance (2008) </w:t>
      </w:r>
      <w:r>
        <w:rPr>
          <w:i/>
          <w:sz w:val="24"/>
        </w:rPr>
        <w:t xml:space="preserve">Inclusive Education </w:t>
      </w:r>
    </w:p>
    <w:p w14:paraId="0C968939" w14:textId="0717FFCF" w:rsidR="00E05783" w:rsidRDefault="0089324B" w:rsidP="00CC2EAF">
      <w:pPr>
        <w:rPr>
          <w:sz w:val="24"/>
        </w:rPr>
      </w:pPr>
      <w:r>
        <w:rPr>
          <w:sz w:val="24"/>
        </w:rPr>
        <w:t xml:space="preserve">Available at: </w:t>
      </w:r>
      <w:hyperlink r:id="rId5" w:history="1">
        <w:r w:rsidRPr="005324A3">
          <w:rPr>
            <w:rStyle w:val="Hyperlink"/>
            <w:sz w:val="24"/>
          </w:rPr>
          <w:t>http://atlas-alliansen.no/wp-content/uploads/2015/02/Inclusive-Education-Where-there-are-few-resources-20081.</w:t>
        </w:r>
        <w:r w:rsidRPr="005324A3">
          <w:rPr>
            <w:rStyle w:val="Hyperlink"/>
            <w:sz w:val="24"/>
          </w:rPr>
          <w:t>p</w:t>
        </w:r>
        <w:r w:rsidRPr="005324A3">
          <w:rPr>
            <w:rStyle w:val="Hyperlink"/>
            <w:sz w:val="24"/>
          </w:rPr>
          <w:t>df</w:t>
        </w:r>
      </w:hyperlink>
    </w:p>
    <w:p w14:paraId="3EBD53BC" w14:textId="1A9BADA9" w:rsidR="0089324B" w:rsidRDefault="0089324B" w:rsidP="00CC2EAF">
      <w:pPr>
        <w:rPr>
          <w:sz w:val="24"/>
        </w:rPr>
      </w:pPr>
      <w:r>
        <w:rPr>
          <w:sz w:val="24"/>
        </w:rPr>
        <w:t>(Accessed: 4</w:t>
      </w:r>
      <w:r w:rsidRPr="0089324B">
        <w:rPr>
          <w:sz w:val="24"/>
          <w:vertAlign w:val="superscript"/>
        </w:rPr>
        <w:t>th</w:t>
      </w:r>
      <w:r>
        <w:rPr>
          <w:sz w:val="24"/>
        </w:rPr>
        <w:t xml:space="preserve"> March 2019)</w:t>
      </w:r>
    </w:p>
    <w:p w14:paraId="6161E1BE" w14:textId="77777777" w:rsidR="005634F5" w:rsidRDefault="005634F5" w:rsidP="00CC2EAF">
      <w:pPr>
        <w:rPr>
          <w:sz w:val="24"/>
        </w:rPr>
      </w:pPr>
    </w:p>
    <w:p w14:paraId="007AFE04" w14:textId="6B8F2209" w:rsidR="0089324B" w:rsidRDefault="0089324B" w:rsidP="00CC2EAF">
      <w:pPr>
        <w:rPr>
          <w:i/>
          <w:sz w:val="24"/>
        </w:rPr>
      </w:pPr>
      <w:proofErr w:type="spellStart"/>
      <w:r>
        <w:rPr>
          <w:sz w:val="24"/>
        </w:rPr>
        <w:t>Shodhana</w:t>
      </w:r>
      <w:proofErr w:type="spellEnd"/>
      <w:r>
        <w:rPr>
          <w:sz w:val="24"/>
        </w:rPr>
        <w:t xml:space="preserve"> Consultancy PVT. </w:t>
      </w:r>
      <w:proofErr w:type="gramStart"/>
      <w:r>
        <w:rPr>
          <w:sz w:val="24"/>
        </w:rPr>
        <w:t xml:space="preserve">LTD  </w:t>
      </w:r>
      <w:r>
        <w:rPr>
          <w:i/>
          <w:sz w:val="24"/>
        </w:rPr>
        <w:t>Disability</w:t>
      </w:r>
      <w:proofErr w:type="gramEnd"/>
      <w:r>
        <w:rPr>
          <w:i/>
          <w:sz w:val="24"/>
        </w:rPr>
        <w:t xml:space="preserve"> &amp; Social Exclusion – A UNICEF Report </w:t>
      </w:r>
    </w:p>
    <w:p w14:paraId="03DA8574" w14:textId="1BA22D84" w:rsidR="0089324B" w:rsidRDefault="005634F5" w:rsidP="0089324B">
      <w:pPr>
        <w:rPr>
          <w:sz w:val="24"/>
        </w:rPr>
      </w:pPr>
      <w:r>
        <w:rPr>
          <w:sz w:val="24"/>
        </w:rPr>
        <w:t xml:space="preserve">Available at: </w:t>
      </w:r>
      <w:hyperlink r:id="rId6" w:history="1">
        <w:r w:rsidRPr="005324A3">
          <w:rPr>
            <w:rStyle w:val="Hyperlink"/>
            <w:sz w:val="24"/>
          </w:rPr>
          <w:t>www.shodhana</w:t>
        </w:r>
        <w:r w:rsidRPr="005324A3">
          <w:rPr>
            <w:rStyle w:val="Hyperlink"/>
            <w:sz w:val="24"/>
          </w:rPr>
          <w:t>.</w:t>
        </w:r>
        <w:r w:rsidRPr="005324A3">
          <w:rPr>
            <w:rStyle w:val="Hyperlink"/>
            <w:sz w:val="24"/>
          </w:rPr>
          <w:t>org/shodhana/reports/Disability%20And%20Social%Exclusion%20-A%20UNICEF%REPORT.pdf</w:t>
        </w:r>
      </w:hyperlink>
    </w:p>
    <w:p w14:paraId="37B8EB48" w14:textId="031E1C74" w:rsidR="005634F5" w:rsidRDefault="005634F5" w:rsidP="0089324B">
      <w:pPr>
        <w:rPr>
          <w:sz w:val="24"/>
        </w:rPr>
      </w:pPr>
      <w:r>
        <w:rPr>
          <w:sz w:val="24"/>
        </w:rPr>
        <w:t>(Accessed: 4</w:t>
      </w:r>
      <w:r w:rsidRPr="005634F5">
        <w:rPr>
          <w:sz w:val="24"/>
          <w:vertAlign w:val="superscript"/>
        </w:rPr>
        <w:t>th</w:t>
      </w:r>
      <w:r>
        <w:rPr>
          <w:sz w:val="24"/>
        </w:rPr>
        <w:t xml:space="preserve"> March 2019)</w:t>
      </w:r>
    </w:p>
    <w:p w14:paraId="35364D3B" w14:textId="77777777" w:rsidR="005634F5" w:rsidRDefault="005634F5" w:rsidP="0089324B">
      <w:pPr>
        <w:rPr>
          <w:sz w:val="24"/>
        </w:rPr>
      </w:pPr>
    </w:p>
    <w:p w14:paraId="3C7C33C3" w14:textId="3D933D7C" w:rsidR="0089324B" w:rsidRDefault="005634F5" w:rsidP="00CC2EAF">
      <w:pPr>
        <w:rPr>
          <w:i/>
          <w:sz w:val="24"/>
        </w:rPr>
      </w:pPr>
      <w:r>
        <w:rPr>
          <w:sz w:val="24"/>
        </w:rPr>
        <w:t xml:space="preserve">The conversation (2016) </w:t>
      </w:r>
      <w:r>
        <w:rPr>
          <w:i/>
          <w:sz w:val="24"/>
        </w:rPr>
        <w:t xml:space="preserve">Children with disability are being excluded from education </w:t>
      </w:r>
    </w:p>
    <w:p w14:paraId="6552D4BD" w14:textId="37B30996" w:rsidR="00E05783" w:rsidRDefault="005634F5" w:rsidP="00CC2EAF">
      <w:pPr>
        <w:rPr>
          <w:sz w:val="24"/>
        </w:rPr>
      </w:pPr>
      <w:r>
        <w:rPr>
          <w:sz w:val="24"/>
        </w:rPr>
        <w:t xml:space="preserve">Available at: </w:t>
      </w:r>
      <w:r w:rsidR="00E05783">
        <w:rPr>
          <w:sz w:val="24"/>
        </w:rPr>
        <w:t>theconversation.com/children-with-disability-are-being-excluded-from-education-59825</w:t>
      </w:r>
    </w:p>
    <w:p w14:paraId="6A83894B" w14:textId="4A051C3D" w:rsidR="005634F5" w:rsidRDefault="005634F5" w:rsidP="00CC2EAF">
      <w:pPr>
        <w:rPr>
          <w:sz w:val="24"/>
        </w:rPr>
      </w:pPr>
      <w:r>
        <w:rPr>
          <w:sz w:val="24"/>
        </w:rPr>
        <w:t>(Accessed: 4</w:t>
      </w:r>
      <w:r w:rsidRPr="005634F5">
        <w:rPr>
          <w:sz w:val="24"/>
          <w:vertAlign w:val="superscript"/>
        </w:rPr>
        <w:t>th</w:t>
      </w:r>
      <w:r>
        <w:rPr>
          <w:sz w:val="24"/>
        </w:rPr>
        <w:t xml:space="preserve"> March 2019)</w:t>
      </w:r>
    </w:p>
    <w:p w14:paraId="41193C22" w14:textId="77777777" w:rsidR="005634F5" w:rsidRDefault="005634F5" w:rsidP="00CC2EAF">
      <w:pPr>
        <w:rPr>
          <w:sz w:val="24"/>
        </w:rPr>
      </w:pPr>
    </w:p>
    <w:p w14:paraId="1B28A06B" w14:textId="1627D92C" w:rsidR="005634F5" w:rsidRPr="005634F5" w:rsidRDefault="005634F5" w:rsidP="00CC2EAF">
      <w:pPr>
        <w:rPr>
          <w:i/>
          <w:sz w:val="24"/>
        </w:rPr>
      </w:pPr>
      <w:r>
        <w:rPr>
          <w:sz w:val="24"/>
        </w:rPr>
        <w:t xml:space="preserve">UNGEI (2018) </w:t>
      </w:r>
      <w:r>
        <w:rPr>
          <w:i/>
          <w:sz w:val="24"/>
        </w:rPr>
        <w:t xml:space="preserve">Gender and inclusive education: the weak link in girls’ education programming </w:t>
      </w:r>
    </w:p>
    <w:p w14:paraId="135A8537" w14:textId="287C515B" w:rsidR="00E05783" w:rsidRDefault="005634F5" w:rsidP="00CC2EAF">
      <w:pPr>
        <w:rPr>
          <w:sz w:val="24"/>
        </w:rPr>
      </w:pPr>
      <w:r>
        <w:rPr>
          <w:sz w:val="24"/>
        </w:rPr>
        <w:t xml:space="preserve">Available at: </w:t>
      </w:r>
      <w:hyperlink r:id="rId7" w:history="1">
        <w:r w:rsidRPr="005324A3">
          <w:rPr>
            <w:rStyle w:val="Hyperlink"/>
            <w:sz w:val="24"/>
          </w:rPr>
          <w:t>https</w:t>
        </w:r>
        <w:r w:rsidRPr="005324A3">
          <w:rPr>
            <w:rStyle w:val="Hyperlink"/>
            <w:sz w:val="24"/>
          </w:rPr>
          <w:t>:</w:t>
        </w:r>
        <w:r w:rsidRPr="005324A3">
          <w:rPr>
            <w:rStyle w:val="Hyperlink"/>
            <w:sz w:val="24"/>
          </w:rPr>
          <w:t>//medium.com/ungei-blog/gender-and-inclusive-education-the-weak-link-in-girls-education-programming-2f5b0a2faf0f</w:t>
        </w:r>
      </w:hyperlink>
    </w:p>
    <w:p w14:paraId="4449CE06" w14:textId="7323A02B" w:rsidR="005634F5" w:rsidRDefault="005634F5" w:rsidP="00CC2EAF">
      <w:pPr>
        <w:rPr>
          <w:sz w:val="24"/>
        </w:rPr>
      </w:pPr>
      <w:r>
        <w:rPr>
          <w:sz w:val="24"/>
        </w:rPr>
        <w:lastRenderedPageBreak/>
        <w:t>(Accessed: 4</w:t>
      </w:r>
      <w:r w:rsidRPr="005634F5">
        <w:rPr>
          <w:sz w:val="24"/>
          <w:vertAlign w:val="superscript"/>
        </w:rPr>
        <w:t>th</w:t>
      </w:r>
      <w:r>
        <w:rPr>
          <w:sz w:val="24"/>
        </w:rPr>
        <w:t xml:space="preserve"> March 2019)</w:t>
      </w:r>
      <w:bookmarkStart w:id="0" w:name="_GoBack"/>
      <w:bookmarkEnd w:id="0"/>
    </w:p>
    <w:p w14:paraId="7F6A7D75" w14:textId="40801678" w:rsidR="00B81B94" w:rsidRDefault="00B81B94" w:rsidP="00CC2EAF">
      <w:pPr>
        <w:rPr>
          <w:sz w:val="24"/>
        </w:rPr>
      </w:pPr>
    </w:p>
    <w:p w14:paraId="22899D50" w14:textId="77777777" w:rsidR="00E05783" w:rsidRPr="00CD2918" w:rsidRDefault="00E05783" w:rsidP="00CC2EAF">
      <w:pPr>
        <w:rPr>
          <w:sz w:val="24"/>
        </w:rPr>
      </w:pPr>
    </w:p>
    <w:sectPr w:rsidR="00E05783" w:rsidRPr="00CD29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23E87"/>
    <w:multiLevelType w:val="hybridMultilevel"/>
    <w:tmpl w:val="06786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C2FCD"/>
    <w:multiLevelType w:val="hybridMultilevel"/>
    <w:tmpl w:val="2862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18"/>
    <w:rsid w:val="00006926"/>
    <w:rsid w:val="0008340F"/>
    <w:rsid w:val="000B7467"/>
    <w:rsid w:val="00105E87"/>
    <w:rsid w:val="002554B6"/>
    <w:rsid w:val="00366B0B"/>
    <w:rsid w:val="0039293F"/>
    <w:rsid w:val="003E7E68"/>
    <w:rsid w:val="00491615"/>
    <w:rsid w:val="005634F5"/>
    <w:rsid w:val="00782BE0"/>
    <w:rsid w:val="00864EED"/>
    <w:rsid w:val="0089324B"/>
    <w:rsid w:val="00925B29"/>
    <w:rsid w:val="00937CC2"/>
    <w:rsid w:val="00A903A4"/>
    <w:rsid w:val="00AC2E29"/>
    <w:rsid w:val="00B40B96"/>
    <w:rsid w:val="00B66A94"/>
    <w:rsid w:val="00B81B94"/>
    <w:rsid w:val="00C0171B"/>
    <w:rsid w:val="00CC2EAF"/>
    <w:rsid w:val="00CD2918"/>
    <w:rsid w:val="00DA38D7"/>
    <w:rsid w:val="00E05783"/>
    <w:rsid w:val="00E23755"/>
    <w:rsid w:val="00E66879"/>
    <w:rsid w:val="00F175C1"/>
    <w:rsid w:val="00F26282"/>
    <w:rsid w:val="00F66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AC293"/>
  <w15:chartTrackingRefBased/>
  <w15:docId w15:val="{CAEF1198-0017-4BC7-8314-F93C85E5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918"/>
    <w:pPr>
      <w:ind w:left="720"/>
      <w:contextualSpacing/>
    </w:pPr>
  </w:style>
  <w:style w:type="character" w:styleId="Hyperlink">
    <w:name w:val="Hyperlink"/>
    <w:basedOn w:val="DefaultParagraphFont"/>
    <w:uiPriority w:val="99"/>
    <w:unhideWhenUsed/>
    <w:rsid w:val="00E05783"/>
    <w:rPr>
      <w:color w:val="0563C1" w:themeColor="hyperlink"/>
      <w:u w:val="single"/>
    </w:rPr>
  </w:style>
  <w:style w:type="character" w:styleId="UnresolvedMention">
    <w:name w:val="Unresolved Mention"/>
    <w:basedOn w:val="DefaultParagraphFont"/>
    <w:uiPriority w:val="99"/>
    <w:semiHidden/>
    <w:unhideWhenUsed/>
    <w:rsid w:val="00E05783"/>
    <w:rPr>
      <w:color w:val="605E5C"/>
      <w:shd w:val="clear" w:color="auto" w:fill="E1DFDD"/>
    </w:rPr>
  </w:style>
  <w:style w:type="character" w:styleId="FollowedHyperlink">
    <w:name w:val="FollowedHyperlink"/>
    <w:basedOn w:val="DefaultParagraphFont"/>
    <w:uiPriority w:val="99"/>
    <w:semiHidden/>
    <w:unhideWhenUsed/>
    <w:rsid w:val="008932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um.com/ungei-blog/gender-and-inclusive-education-the-weak-link-in-girls-education-programming-2f5b0a2faf0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odhana.org/shodhana/reports/Disability%20And%20Social%25Exclusion%20-A%20UNICEF%25REPORT.pdf" TargetMode="External"/><Relationship Id="rId5" Type="http://schemas.openxmlformats.org/officeDocument/2006/relationships/hyperlink" Target="http://atlas-alliansen.no/wp-content/uploads/2015/02/Inclusive-Education-Where-there-are-few-resources-2008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2001</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morgan</dc:creator>
  <cp:keywords/>
  <dc:description/>
  <cp:lastModifiedBy>emma morgan</cp:lastModifiedBy>
  <cp:revision>2</cp:revision>
  <dcterms:created xsi:type="dcterms:W3CDTF">2019-03-04T23:33:00Z</dcterms:created>
  <dcterms:modified xsi:type="dcterms:W3CDTF">2019-03-04T23:33:00Z</dcterms:modified>
</cp:coreProperties>
</file>