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E3F49" w14:textId="77777777" w:rsidR="00831716" w:rsidRPr="0001479A" w:rsidRDefault="00282759" w:rsidP="00831716">
      <w:pPr>
        <w:jc w:val="center"/>
        <w:rPr>
          <w:rFonts w:cs="Arial"/>
          <w:b/>
          <w:bCs/>
          <w:lang w:val="en-GB"/>
        </w:rPr>
      </w:pPr>
      <w:r w:rsidRPr="0001479A">
        <w:rPr>
          <w:rFonts w:cs="Arial"/>
          <w:noProof/>
          <w:lang w:val="en-GB"/>
        </w:rPr>
        <w:drawing>
          <wp:anchor distT="0" distB="0" distL="114300" distR="114300" simplePos="0" relativeHeight="251658240" behindDoc="0" locked="0" layoutInCell="1" allowOverlap="1" wp14:anchorId="049CD97E" wp14:editId="1050586B">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D8EC6D5" w14:textId="77777777" w:rsidR="00831716" w:rsidRPr="0001479A" w:rsidRDefault="00831716" w:rsidP="00831716">
      <w:pPr>
        <w:jc w:val="center"/>
        <w:rPr>
          <w:rFonts w:cs="Arial"/>
          <w:b/>
          <w:bCs/>
          <w:lang w:val="en-GB"/>
        </w:rPr>
      </w:pPr>
    </w:p>
    <w:p w14:paraId="696EC81F" w14:textId="77777777" w:rsidR="00831716" w:rsidRPr="0001479A" w:rsidRDefault="00831716" w:rsidP="00831716">
      <w:pPr>
        <w:jc w:val="center"/>
        <w:rPr>
          <w:rFonts w:cs="Arial"/>
          <w:b/>
          <w:bCs/>
          <w:lang w:val="en-GB"/>
        </w:rPr>
      </w:pPr>
    </w:p>
    <w:p w14:paraId="5A0038EF" w14:textId="77777777" w:rsidR="00831716" w:rsidRPr="0001479A" w:rsidRDefault="00831716" w:rsidP="00831716">
      <w:pPr>
        <w:jc w:val="center"/>
        <w:rPr>
          <w:rFonts w:cs="Arial"/>
          <w:b/>
          <w:bCs/>
          <w:lang w:val="en-GB"/>
        </w:rPr>
      </w:pPr>
    </w:p>
    <w:p w14:paraId="55950356" w14:textId="77777777" w:rsidR="00831716" w:rsidRPr="0001479A" w:rsidRDefault="00831716" w:rsidP="00831716">
      <w:pPr>
        <w:jc w:val="center"/>
        <w:rPr>
          <w:rFonts w:cs="Arial"/>
          <w:b/>
          <w:bCs/>
          <w:lang w:val="en-GB"/>
        </w:rPr>
      </w:pPr>
    </w:p>
    <w:p w14:paraId="50ADE444" w14:textId="77777777" w:rsidR="00831716" w:rsidRPr="0001479A" w:rsidRDefault="00831716" w:rsidP="00831716">
      <w:pPr>
        <w:jc w:val="center"/>
        <w:rPr>
          <w:rFonts w:cs="Arial"/>
          <w:b/>
          <w:bCs/>
          <w:lang w:val="en-GB"/>
        </w:rPr>
      </w:pPr>
    </w:p>
    <w:p w14:paraId="3A1ADF5E" w14:textId="77777777" w:rsidR="00831716" w:rsidRPr="0001479A" w:rsidRDefault="00282759" w:rsidP="00687F36">
      <w:pPr>
        <w:spacing w:after="0"/>
        <w:jc w:val="center"/>
        <w:rPr>
          <w:rFonts w:cs="Arial"/>
          <w:b/>
          <w:bCs/>
          <w:sz w:val="36"/>
          <w:szCs w:val="36"/>
          <w:lang w:val="en-GB"/>
        </w:rPr>
      </w:pPr>
      <w:r w:rsidRPr="0001479A">
        <w:rPr>
          <w:rFonts w:cs="Arial"/>
          <w:b/>
          <w:bCs/>
          <w:sz w:val="36"/>
          <w:szCs w:val="36"/>
          <w:lang w:val="en-GB"/>
        </w:rPr>
        <w:t>Assessment Component 2</w:t>
      </w:r>
    </w:p>
    <w:p w14:paraId="33F7EABF" w14:textId="77777777" w:rsidR="00831716" w:rsidRPr="0001479A" w:rsidRDefault="00282759" w:rsidP="00687F36">
      <w:pPr>
        <w:spacing w:after="0"/>
        <w:jc w:val="center"/>
        <w:rPr>
          <w:rFonts w:cs="Arial"/>
          <w:b/>
          <w:bCs/>
          <w:sz w:val="36"/>
          <w:szCs w:val="36"/>
          <w:lang w:val="en-GB"/>
        </w:rPr>
      </w:pPr>
      <w:r w:rsidRPr="0001479A">
        <w:rPr>
          <w:rFonts w:cs="Arial"/>
          <w:b/>
          <w:bCs/>
          <w:sz w:val="36"/>
          <w:szCs w:val="36"/>
          <w:lang w:val="en-GB"/>
        </w:rPr>
        <w:t xml:space="preserve">Written Essay </w:t>
      </w:r>
    </w:p>
    <w:p w14:paraId="48F573CF" w14:textId="77777777" w:rsidR="00831716" w:rsidRPr="0001479A" w:rsidRDefault="00282759" w:rsidP="00831716">
      <w:pPr>
        <w:rPr>
          <w:rFonts w:cs="Arial"/>
          <w:b/>
          <w:bCs/>
          <w:lang w:val="en-GB"/>
        </w:rPr>
      </w:pPr>
      <w:r w:rsidRPr="0001479A">
        <w:rPr>
          <w:rFonts w:cs="Arial"/>
          <w:b/>
          <w:bCs/>
          <w:lang w:val="en-GB"/>
        </w:rPr>
        <w:t xml:space="preserve">                                               </w:t>
      </w:r>
    </w:p>
    <w:p w14:paraId="0B689E8D" w14:textId="77777777" w:rsidR="00831716" w:rsidRPr="0001479A" w:rsidRDefault="00831716" w:rsidP="00831716">
      <w:pPr>
        <w:rPr>
          <w:rFonts w:cs="Arial"/>
          <w:b/>
          <w:bCs/>
          <w:lang w:val="en-GB"/>
        </w:rPr>
      </w:pPr>
    </w:p>
    <w:p w14:paraId="47972C3D" w14:textId="378D5CAF" w:rsidR="00831716" w:rsidRPr="0001479A" w:rsidRDefault="00CA78D3" w:rsidP="00831716">
      <w:pPr>
        <w:rPr>
          <w:rFonts w:cs="Arial"/>
          <w:b/>
          <w:bCs/>
          <w:lang w:val="en-GB"/>
        </w:rPr>
      </w:pPr>
      <w:r>
        <w:rPr>
          <w:rFonts w:cs="Arial"/>
          <w:b/>
          <w:bCs/>
          <w:lang w:val="en-GB"/>
        </w:rPr>
        <w:t>N</w:t>
      </w:r>
      <w:r w:rsidR="00282759" w:rsidRPr="0001479A">
        <w:rPr>
          <w:rFonts w:cs="Arial"/>
          <w:b/>
          <w:bCs/>
          <w:lang w:val="en-GB"/>
        </w:rPr>
        <w:t>ame:</w:t>
      </w:r>
      <w:r>
        <w:rPr>
          <w:rFonts w:cs="Arial"/>
          <w:b/>
          <w:bCs/>
          <w:lang w:val="en-GB"/>
        </w:rPr>
        <w:t xml:space="preserve"> </w:t>
      </w:r>
      <w:r w:rsidRPr="00B91569">
        <w:rPr>
          <w:rFonts w:cs="Arial"/>
          <w:lang w:val="en-GB"/>
        </w:rPr>
        <w:t>Kary</w:t>
      </w:r>
      <w:r w:rsidR="00B91569" w:rsidRPr="00B91569">
        <w:rPr>
          <w:rFonts w:cs="Arial"/>
          <w:lang w:val="en-GB"/>
        </w:rPr>
        <w:t xml:space="preserve"> Montano</w:t>
      </w:r>
    </w:p>
    <w:p w14:paraId="0D88EFAA" w14:textId="4B868CD1" w:rsidR="00831716" w:rsidRPr="0001479A" w:rsidRDefault="00282759" w:rsidP="00831716">
      <w:pPr>
        <w:rPr>
          <w:rFonts w:cs="Arial"/>
          <w:b/>
          <w:bCs/>
          <w:lang w:val="en-GB"/>
        </w:rPr>
      </w:pPr>
      <w:r w:rsidRPr="0001479A">
        <w:rPr>
          <w:rFonts w:cs="Arial"/>
          <w:b/>
          <w:bCs/>
          <w:lang w:val="en-GB"/>
        </w:rPr>
        <w:t>ID:</w:t>
      </w:r>
      <w:r w:rsidR="00CA78D3">
        <w:rPr>
          <w:rFonts w:cs="Arial"/>
          <w:b/>
          <w:bCs/>
          <w:lang w:val="en-GB"/>
        </w:rPr>
        <w:t xml:space="preserve"> </w:t>
      </w:r>
      <w:r w:rsidR="00CA78D3" w:rsidRPr="00B91569">
        <w:rPr>
          <w:rFonts w:cs="Arial"/>
          <w:lang w:val="en-GB"/>
        </w:rPr>
        <w:t>2121660</w:t>
      </w:r>
    </w:p>
    <w:p w14:paraId="595EF585" w14:textId="77777777" w:rsidR="00831716" w:rsidRPr="0001479A" w:rsidRDefault="00831716" w:rsidP="00831716">
      <w:pPr>
        <w:rPr>
          <w:rFonts w:cs="Arial"/>
          <w:b/>
          <w:bCs/>
          <w:lang w:val="en-GB"/>
        </w:rPr>
      </w:pPr>
    </w:p>
    <w:p w14:paraId="2AFDC1F7" w14:textId="77777777" w:rsidR="00831716" w:rsidRPr="0001479A" w:rsidRDefault="00282759" w:rsidP="00831716">
      <w:pPr>
        <w:rPr>
          <w:rFonts w:cs="Arial"/>
          <w:b/>
          <w:bCs/>
          <w:lang w:val="en-GB"/>
        </w:rPr>
      </w:pPr>
      <w:r w:rsidRPr="0001479A">
        <w:rPr>
          <w:rFonts w:cs="Arial"/>
          <w:b/>
          <w:bCs/>
          <w:lang w:val="en-GB"/>
        </w:rPr>
        <w:t xml:space="preserve">Module name: </w:t>
      </w:r>
      <w:r w:rsidRPr="0001479A">
        <w:rPr>
          <w:rFonts w:cs="Arial"/>
          <w:lang w:val="en-GB"/>
        </w:rPr>
        <w:t>Children, Young People and Families</w:t>
      </w:r>
    </w:p>
    <w:p w14:paraId="6406E19E" w14:textId="77777777" w:rsidR="00831716" w:rsidRPr="0001479A" w:rsidRDefault="00282759" w:rsidP="00831716">
      <w:pPr>
        <w:rPr>
          <w:rFonts w:cs="Arial"/>
          <w:b/>
          <w:bCs/>
          <w:lang w:val="en-GB"/>
        </w:rPr>
      </w:pPr>
      <w:r w:rsidRPr="0001479A">
        <w:rPr>
          <w:rFonts w:cs="Arial"/>
          <w:b/>
          <w:bCs/>
          <w:lang w:val="en-GB"/>
        </w:rPr>
        <w:t xml:space="preserve">Module code: </w:t>
      </w:r>
      <w:r w:rsidRPr="0001479A">
        <w:rPr>
          <w:rFonts w:cs="Arial"/>
          <w:lang w:val="en-GB"/>
        </w:rPr>
        <w:t>(BMHP5004_LON)</w:t>
      </w:r>
    </w:p>
    <w:p w14:paraId="770A4FC6" w14:textId="77777777" w:rsidR="00831716" w:rsidRPr="0001479A" w:rsidRDefault="00282759" w:rsidP="00831716">
      <w:pPr>
        <w:rPr>
          <w:rFonts w:cs="Arial"/>
          <w:b/>
          <w:bCs/>
          <w:lang w:val="en-GB"/>
        </w:rPr>
      </w:pPr>
      <w:r w:rsidRPr="0001479A">
        <w:rPr>
          <w:rFonts w:cs="Arial"/>
          <w:b/>
          <w:bCs/>
          <w:lang w:val="en-GB"/>
        </w:rPr>
        <w:t xml:space="preserve">Lecturer name: </w:t>
      </w:r>
      <w:r w:rsidR="003D3A3B" w:rsidRPr="00B91569">
        <w:rPr>
          <w:rFonts w:cs="Arial"/>
          <w:lang w:val="en-GB"/>
        </w:rPr>
        <w:t>Jolly Nwankwo</w:t>
      </w:r>
    </w:p>
    <w:p w14:paraId="61A355EA" w14:textId="0C44D7AF" w:rsidR="00831716" w:rsidRPr="0001479A" w:rsidRDefault="00831716" w:rsidP="00831716">
      <w:pPr>
        <w:rPr>
          <w:rFonts w:cs="Arial"/>
          <w:b/>
          <w:bCs/>
          <w:lang w:val="en-GB"/>
        </w:rPr>
      </w:pPr>
    </w:p>
    <w:p w14:paraId="5223DCEE" w14:textId="3BE15EA5" w:rsidR="00CD06E5" w:rsidRPr="0001479A" w:rsidRDefault="00282759" w:rsidP="00CD06E5">
      <w:pPr>
        <w:jc w:val="center"/>
        <w:rPr>
          <w:rFonts w:cs="Arial"/>
          <w:lang w:val="en-GB"/>
        </w:rPr>
      </w:pPr>
      <w:r w:rsidRPr="0001479A">
        <w:rPr>
          <w:rFonts w:cs="Arial"/>
          <w:lang w:val="en-GB"/>
        </w:rPr>
        <w:br w:type="page"/>
      </w:r>
      <w:r>
        <w:rPr>
          <w:rFonts w:cs="Arial"/>
          <w:lang w:val="en-GB"/>
        </w:rPr>
        <w:lastRenderedPageBreak/>
        <w:t>s</w:t>
      </w:r>
    </w:p>
    <w:p w14:paraId="44DF7805" w14:textId="77777777" w:rsidR="00094968" w:rsidRPr="0001479A" w:rsidRDefault="00282759" w:rsidP="00831716">
      <w:pPr>
        <w:spacing w:after="0"/>
        <w:jc w:val="center"/>
        <w:rPr>
          <w:rFonts w:cs="Arial"/>
          <w:b/>
          <w:bCs/>
          <w:sz w:val="28"/>
          <w:szCs w:val="28"/>
          <w:lang w:val="en-GB"/>
        </w:rPr>
      </w:pPr>
      <w:r w:rsidRPr="0001479A">
        <w:rPr>
          <w:rFonts w:cs="Arial"/>
          <w:b/>
          <w:bCs/>
          <w:sz w:val="28"/>
          <w:szCs w:val="28"/>
          <w:lang w:val="en-GB"/>
        </w:rPr>
        <w:t xml:space="preserve">An essay on </w:t>
      </w:r>
      <w:r w:rsidR="00831716" w:rsidRPr="0001479A">
        <w:rPr>
          <w:rFonts w:cs="Arial"/>
          <w:b/>
          <w:bCs/>
          <w:sz w:val="28"/>
          <w:szCs w:val="28"/>
          <w:lang w:val="en-GB"/>
        </w:rPr>
        <w:t>the analysis</w:t>
      </w:r>
      <w:r w:rsidRPr="0001479A">
        <w:rPr>
          <w:rFonts w:cs="Arial"/>
          <w:b/>
          <w:bCs/>
          <w:sz w:val="28"/>
          <w:szCs w:val="28"/>
          <w:lang w:val="en-GB"/>
        </w:rPr>
        <w:t xml:space="preserve"> of the emergence of childhood, including the social and historical construction of the family.</w:t>
      </w:r>
    </w:p>
    <w:p w14:paraId="4C0C1E53" w14:textId="77777777" w:rsidR="00CD06E5" w:rsidRPr="0001479A" w:rsidRDefault="00282759" w:rsidP="00A34EE8">
      <w:pPr>
        <w:pStyle w:val="Heading1"/>
        <w:rPr>
          <w:rFonts w:cs="Arial"/>
          <w:lang w:val="en-GB"/>
        </w:rPr>
      </w:pPr>
      <w:r w:rsidRPr="0001479A">
        <w:rPr>
          <w:rFonts w:cs="Arial"/>
          <w:lang w:val="en-GB"/>
        </w:rPr>
        <w:t>Introduction</w:t>
      </w:r>
    </w:p>
    <w:p w14:paraId="07F42D13" w14:textId="77777777" w:rsidR="00E806F6" w:rsidRPr="0001479A" w:rsidRDefault="00282759" w:rsidP="0001479A">
      <w:pPr>
        <w:spacing w:after="0"/>
        <w:rPr>
          <w:rFonts w:cs="Arial"/>
          <w:lang w:val="en-GB"/>
        </w:rPr>
      </w:pPr>
      <w:r w:rsidRPr="0001479A">
        <w:rPr>
          <w:rFonts w:cs="Arial"/>
          <w:lang w:val="en-GB"/>
        </w:rPr>
        <w:t xml:space="preserve">According to Clarke (2017), the sustainability of all civilisations depends on the need to provide care for vulnerable children, adolescents, and families in the present complex and dynamic global environment. This is essential for the continued existence of any society. According to Rasheed (2017), several programs and interventions have been put into place to help these communities tackle the unique problems they face and minimise the gaps that have traditionally afflicted them in providing healthcare, education, and social welfare. A variety of issues has historically plagued these communities. This </w:t>
      </w:r>
      <w:r w:rsidR="00687F36" w:rsidRPr="0001479A">
        <w:rPr>
          <w:rFonts w:cs="Arial"/>
          <w:lang w:val="en-GB"/>
        </w:rPr>
        <w:t>essay</w:t>
      </w:r>
      <w:r w:rsidRPr="0001479A">
        <w:rPr>
          <w:rFonts w:cs="Arial"/>
          <w:lang w:val="en-GB"/>
        </w:rPr>
        <w:t xml:space="preserve"> suggests how current programs might be improved after analysing their flaws and providing criticism of such programs. This </w:t>
      </w:r>
      <w:r w:rsidR="00687F36" w:rsidRPr="0001479A">
        <w:rPr>
          <w:rFonts w:cs="Arial"/>
          <w:lang w:val="en-GB"/>
        </w:rPr>
        <w:t>essay</w:t>
      </w:r>
      <w:r w:rsidRPr="0001479A">
        <w:rPr>
          <w:rFonts w:cs="Arial"/>
          <w:lang w:val="en-GB"/>
        </w:rPr>
        <w:t xml:space="preserve"> underlines the necessity of researching and </w:t>
      </w:r>
      <w:r w:rsidR="00687F36" w:rsidRPr="0001479A">
        <w:rPr>
          <w:rFonts w:cs="Arial"/>
          <w:lang w:val="en-GB"/>
        </w:rPr>
        <w:t>analysing</w:t>
      </w:r>
      <w:r w:rsidRPr="0001479A">
        <w:rPr>
          <w:rFonts w:cs="Arial"/>
          <w:lang w:val="en-GB"/>
        </w:rPr>
        <w:t xml:space="preserve"> various therapy techniques to establish an affectionate environment that encourages the development and independence of all children, adolescents, and families, regardless of their background or social level. This atmosphere should be created to create an affectionate environment that fosters the growth and independence of all children, adolescents, and families.</w:t>
      </w:r>
    </w:p>
    <w:p w14:paraId="3D71D9FD" w14:textId="77777777" w:rsidR="00D508DE" w:rsidRPr="0001479A" w:rsidRDefault="00282759" w:rsidP="00CF1E1B">
      <w:pPr>
        <w:pStyle w:val="Heading2"/>
        <w:rPr>
          <w:lang w:val="en-GB"/>
        </w:rPr>
      </w:pPr>
      <w:r w:rsidRPr="0001479A">
        <w:rPr>
          <w:lang w:val="en-GB"/>
        </w:rPr>
        <w:t>Definition of Childhood and Discussion on Key Elements of Family Life and Childhood</w:t>
      </w:r>
    </w:p>
    <w:p w14:paraId="53C49F91" w14:textId="77777777" w:rsidR="00884CC6" w:rsidRPr="0001479A" w:rsidRDefault="00282759" w:rsidP="00FA03A7">
      <w:pPr>
        <w:spacing w:after="0"/>
        <w:rPr>
          <w:rFonts w:cs="Arial"/>
          <w:lang w:val="en-GB"/>
        </w:rPr>
      </w:pPr>
      <w:r w:rsidRPr="0001479A">
        <w:rPr>
          <w:rFonts w:cs="Arial"/>
          <w:lang w:val="en-GB"/>
        </w:rPr>
        <w:t>Childhood is a separate time defined by tremendous chances for cognitive and physical growth from birth until puberty</w:t>
      </w:r>
      <w:r w:rsidR="0077516B" w:rsidRPr="0001479A">
        <w:rPr>
          <w:rFonts w:cs="Arial"/>
          <w:lang w:val="en-GB"/>
        </w:rPr>
        <w:t xml:space="preserve"> (Rutter, 2021)</w:t>
      </w:r>
      <w:r w:rsidRPr="0001479A">
        <w:rPr>
          <w:rFonts w:cs="Arial"/>
          <w:lang w:val="en-GB"/>
        </w:rPr>
        <w:t>. During this time, an individual's physical characteristics, cognitive aptitude, emotional well-being, and interpersonal connections lay the groundwork for their future path</w:t>
      </w:r>
      <w:r w:rsidR="0077516B" w:rsidRPr="0001479A">
        <w:rPr>
          <w:rFonts w:cs="Arial"/>
          <w:lang w:val="en-GB"/>
        </w:rPr>
        <w:t xml:space="preserve"> (Van Wonderen et al., 2010)</w:t>
      </w:r>
      <w:r w:rsidRPr="0001479A">
        <w:rPr>
          <w:rFonts w:cs="Arial"/>
          <w:lang w:val="en-GB"/>
        </w:rPr>
        <w:t>. Childhood has cultural and national differences, spanning the time before maturity when people rely on parental or caregiver assistance.</w:t>
      </w:r>
    </w:p>
    <w:p w14:paraId="392A63A7" w14:textId="77777777" w:rsidR="00884CC6" w:rsidRPr="0001479A" w:rsidRDefault="00282759" w:rsidP="00FA03A7">
      <w:pPr>
        <w:spacing w:after="0"/>
        <w:rPr>
          <w:rFonts w:cs="Arial"/>
          <w:lang w:val="en-GB"/>
        </w:rPr>
      </w:pPr>
      <w:r w:rsidRPr="0001479A">
        <w:rPr>
          <w:rFonts w:cs="Arial"/>
          <w:lang w:val="en-GB"/>
        </w:rPr>
        <w:t>The complexities of a child's home life significantly impact their development throughout their early years. Family dynamics, parental participation, socioeconomic condition, and educational possibilities all substantially impact children's development</w:t>
      </w:r>
      <w:r w:rsidR="0077516B" w:rsidRPr="0001479A">
        <w:rPr>
          <w:rFonts w:cs="Arial"/>
          <w:lang w:val="en-GB"/>
        </w:rPr>
        <w:t xml:space="preserve"> (ROSENBAUM, 2011)</w:t>
      </w:r>
      <w:r w:rsidRPr="0001479A">
        <w:rPr>
          <w:rFonts w:cs="Arial"/>
          <w:lang w:val="en-GB"/>
        </w:rPr>
        <w:t xml:space="preserve">. This </w:t>
      </w:r>
      <w:r w:rsidR="00687F36" w:rsidRPr="0001479A">
        <w:rPr>
          <w:rFonts w:cs="Arial"/>
          <w:lang w:val="en-GB"/>
        </w:rPr>
        <w:t>essay</w:t>
      </w:r>
      <w:r w:rsidRPr="0001479A">
        <w:rPr>
          <w:rFonts w:cs="Arial"/>
          <w:lang w:val="en-GB"/>
        </w:rPr>
        <w:t xml:space="preserve"> will examine a handful of these components, assess their importance, and present empirical and quantitative evidence to support these statements.</w:t>
      </w:r>
    </w:p>
    <w:p w14:paraId="2A3DDFAD" w14:textId="77777777" w:rsidR="005678B1" w:rsidRPr="0001479A" w:rsidRDefault="00282759" w:rsidP="00B421D3">
      <w:pPr>
        <w:spacing w:after="0"/>
        <w:rPr>
          <w:rFonts w:cs="Arial"/>
          <w:lang w:val="en-GB"/>
        </w:rPr>
      </w:pPr>
      <w:r w:rsidRPr="0001479A">
        <w:rPr>
          <w:rFonts w:cs="Arial"/>
          <w:b/>
          <w:bCs/>
          <w:lang w:val="en-GB"/>
        </w:rPr>
        <w:t xml:space="preserve">Family Structure: </w:t>
      </w:r>
      <w:r w:rsidRPr="0001479A">
        <w:rPr>
          <w:rFonts w:cs="Arial"/>
          <w:lang w:val="en-GB"/>
        </w:rPr>
        <w:t xml:space="preserve">The makeup of a family has a substantial impact on a child's developmental trajectory. According to United Nations findings, by 2020, a majority of 64 per cent of children worldwide will live in households with both of their biological parents, while a single parent will </w:t>
      </w:r>
      <w:r w:rsidRPr="0001479A">
        <w:rPr>
          <w:rFonts w:cs="Arial"/>
          <w:lang w:val="en-GB"/>
        </w:rPr>
        <w:lastRenderedPageBreak/>
        <w:t>raise 25 per cent and an additional 5 per cent will be cared for by other relatives</w:t>
      </w:r>
      <w:r w:rsidR="0077516B" w:rsidRPr="0001479A">
        <w:rPr>
          <w:rFonts w:cs="Arial"/>
          <w:lang w:val="en-GB"/>
        </w:rPr>
        <w:t xml:space="preserve"> (Kerr and Darling, 2021)</w:t>
      </w:r>
      <w:r w:rsidRPr="0001479A">
        <w:rPr>
          <w:rFonts w:cs="Arial"/>
          <w:lang w:val="en-GB"/>
        </w:rPr>
        <w:t>. Secure family settings typically aid a child's emotional and intellectual growth.</w:t>
      </w:r>
      <w:r w:rsidR="00B421D3" w:rsidRPr="0001479A">
        <w:rPr>
          <w:rFonts w:cs="Arial"/>
          <w:lang w:val="en-GB"/>
        </w:rPr>
        <w:t xml:space="preserve"> </w:t>
      </w:r>
      <w:r w:rsidRPr="0001479A">
        <w:rPr>
          <w:rFonts w:cs="Arial"/>
          <w:b/>
          <w:bCs/>
          <w:lang w:val="en-GB"/>
        </w:rPr>
        <w:t xml:space="preserve">Parental Involvement: </w:t>
      </w:r>
      <w:r w:rsidRPr="0001479A">
        <w:rPr>
          <w:rFonts w:cs="Arial"/>
          <w:lang w:val="en-GB"/>
        </w:rPr>
        <w:t xml:space="preserve">Parental participation tremendously influences children's intellectual and social outcomes. According to statistics from the National </w:t>
      </w:r>
      <w:r w:rsidR="008C3C29" w:rsidRPr="0001479A">
        <w:rPr>
          <w:rFonts w:cs="Arial"/>
          <w:lang w:val="en-GB"/>
        </w:rPr>
        <w:t>Centre</w:t>
      </w:r>
      <w:r w:rsidRPr="0001479A">
        <w:rPr>
          <w:rFonts w:cs="Arial"/>
          <w:lang w:val="en-GB"/>
        </w:rPr>
        <w:t xml:space="preserve"> for School Statistics, pupils who had parental participation in their educational endeavours had better test scores and a higher possibility of successfully finishing secondary school</w:t>
      </w:r>
      <w:r w:rsidR="00207EB8" w:rsidRPr="0001479A">
        <w:rPr>
          <w:rFonts w:cs="Arial"/>
          <w:lang w:val="en-GB"/>
        </w:rPr>
        <w:t xml:space="preserve"> (Hornby, 2020)</w:t>
      </w:r>
      <w:r w:rsidRPr="0001479A">
        <w:rPr>
          <w:rFonts w:cs="Arial"/>
          <w:lang w:val="en-GB"/>
        </w:rPr>
        <w:t>.</w:t>
      </w:r>
      <w:r w:rsidR="00B421D3" w:rsidRPr="0001479A">
        <w:rPr>
          <w:rFonts w:cs="Arial"/>
          <w:lang w:val="en-GB"/>
        </w:rPr>
        <w:t xml:space="preserve"> </w:t>
      </w:r>
      <w:r w:rsidRPr="0001479A">
        <w:rPr>
          <w:rFonts w:cs="Arial"/>
          <w:b/>
          <w:bCs/>
          <w:lang w:val="en-GB"/>
        </w:rPr>
        <w:t xml:space="preserve">Socioeconomic Status: </w:t>
      </w:r>
      <w:r w:rsidRPr="0001479A">
        <w:rPr>
          <w:rFonts w:cs="Arial"/>
          <w:lang w:val="en-GB"/>
        </w:rPr>
        <w:t>A family's socioeconomic status (SES) significantly influences the possibilities and resources accessible to a kid. Children from economically deprived families suffer many educational and medical challenges. According to World Bank data, a sizable fraction of the world population, around 9.2% in 2020, will be living in extreme poverty</w:t>
      </w:r>
      <w:r w:rsidR="0077516B" w:rsidRPr="0001479A">
        <w:rPr>
          <w:rFonts w:cs="Arial"/>
          <w:lang w:val="en-GB"/>
        </w:rPr>
        <w:t xml:space="preserve"> (Kerr and Darling, 2021)</w:t>
      </w:r>
      <w:r w:rsidRPr="0001479A">
        <w:rPr>
          <w:rFonts w:cs="Arial"/>
          <w:lang w:val="en-GB"/>
        </w:rPr>
        <w:t>. This sad condition is expected to impact many youngsters' future chances and general well-being significantly.</w:t>
      </w:r>
      <w:r w:rsidR="00B421D3" w:rsidRPr="0001479A">
        <w:rPr>
          <w:rFonts w:cs="Arial"/>
          <w:lang w:val="en-GB"/>
        </w:rPr>
        <w:t xml:space="preserve"> </w:t>
      </w:r>
      <w:r w:rsidRPr="0001479A">
        <w:rPr>
          <w:rFonts w:cs="Arial"/>
          <w:b/>
          <w:bCs/>
          <w:lang w:val="en-GB"/>
        </w:rPr>
        <w:t xml:space="preserve">Education: </w:t>
      </w:r>
      <w:r w:rsidRPr="0001479A">
        <w:rPr>
          <w:rFonts w:cs="Arial"/>
          <w:lang w:val="en-GB"/>
        </w:rPr>
        <w:t>A high-quality educational experience is required for a child's cognitive and intellectual development. According to the conclusions of the United Nations Educational, Scientific, and Cultural Organization (UNESCO), by 2021, a total of 258 million children and adolescents worldwide will have been denied the chance to get a formal education</w:t>
      </w:r>
      <w:r w:rsidR="0077516B" w:rsidRPr="0001479A">
        <w:rPr>
          <w:rFonts w:cs="Arial"/>
          <w:lang w:val="en-GB"/>
        </w:rPr>
        <w:t xml:space="preserve"> (Kerr and Darling, 2021)</w:t>
      </w:r>
      <w:r w:rsidRPr="0001479A">
        <w:rPr>
          <w:rFonts w:cs="Arial"/>
          <w:lang w:val="en-GB"/>
        </w:rPr>
        <w:t>.</w:t>
      </w:r>
    </w:p>
    <w:p w14:paraId="22BAB9CE" w14:textId="77777777" w:rsidR="00884CC6" w:rsidRPr="0001479A" w:rsidRDefault="00282759" w:rsidP="00CF1E1B">
      <w:pPr>
        <w:pStyle w:val="Heading2"/>
        <w:rPr>
          <w:lang w:val="en-GB"/>
        </w:rPr>
      </w:pPr>
      <w:r w:rsidRPr="0001479A">
        <w:rPr>
          <w:lang w:val="en-GB"/>
        </w:rPr>
        <w:t>Historical Construction of Childhoo</w:t>
      </w:r>
      <w:r w:rsidR="00E806F6" w:rsidRPr="0001479A">
        <w:rPr>
          <w:lang w:val="en-GB"/>
        </w:rPr>
        <w:t>d</w:t>
      </w:r>
    </w:p>
    <w:p w14:paraId="7076D206" w14:textId="77777777" w:rsidR="0009076D" w:rsidRPr="0001479A" w:rsidRDefault="00282759" w:rsidP="00A34EE8">
      <w:pPr>
        <w:spacing w:after="0"/>
        <w:rPr>
          <w:rFonts w:cs="Arial"/>
          <w:lang w:val="en-GB"/>
        </w:rPr>
      </w:pPr>
      <w:r w:rsidRPr="0001479A">
        <w:rPr>
          <w:rFonts w:cs="Arial"/>
          <w:lang w:val="en-GB"/>
        </w:rPr>
        <w:t>Childhood has evolved significantly due to cultural, social, and political changes. Children were frequently viewed as miniature individuals in ancient civilisations, with the expectation that they would contribute to the family's way of life by beginning to labour at a young age. In contrast, contemporary conceptions of children and families result from converging factors.</w:t>
      </w:r>
    </w:p>
    <w:p w14:paraId="1964273E" w14:textId="77777777" w:rsidR="0009076D" w:rsidRPr="0001479A" w:rsidRDefault="00282759" w:rsidP="00A34EE8">
      <w:pPr>
        <w:spacing w:after="0"/>
        <w:rPr>
          <w:rFonts w:cs="Arial"/>
          <w:lang w:val="en-GB"/>
        </w:rPr>
      </w:pPr>
      <w:r w:rsidRPr="0001479A">
        <w:rPr>
          <w:rFonts w:cs="Arial"/>
          <w:b/>
          <w:bCs/>
          <w:lang w:val="en-GB"/>
        </w:rPr>
        <w:t xml:space="preserve">Industrial Revolution: </w:t>
      </w:r>
      <w:r w:rsidRPr="0001479A">
        <w:rPr>
          <w:rFonts w:cs="Arial"/>
          <w:lang w:val="en-GB"/>
        </w:rPr>
        <w:t>Beginning in the late 18th century, the Industrial Revolution profoundly affected family life and small children. With the transition from pastoral to industrial economies, children were no longer considered potential household breadwinners</w:t>
      </w:r>
      <w:r w:rsidR="0077516B" w:rsidRPr="0001479A">
        <w:rPr>
          <w:rFonts w:cs="Arial"/>
          <w:lang w:val="en-GB"/>
        </w:rPr>
        <w:t xml:space="preserve"> (Piper, 2021)</w:t>
      </w:r>
      <w:r w:rsidRPr="0001479A">
        <w:rPr>
          <w:rFonts w:cs="Arial"/>
          <w:lang w:val="en-GB"/>
        </w:rPr>
        <w:t>. Throughout history, there have been laws prohibiting the employment of minors in industries such as mining and manufacturing. The goal was to ensure that all students had access to education and safeguard their rights.</w:t>
      </w:r>
      <w:r w:rsidR="00A34EE8" w:rsidRPr="0001479A">
        <w:rPr>
          <w:rFonts w:cs="Arial"/>
          <w:lang w:val="en-GB"/>
        </w:rPr>
        <w:t xml:space="preserve"> </w:t>
      </w:r>
      <w:r w:rsidRPr="0001479A">
        <w:rPr>
          <w:rFonts w:cs="Arial"/>
          <w:b/>
          <w:bCs/>
          <w:lang w:val="en-GB"/>
        </w:rPr>
        <w:t>Education reforms:</w:t>
      </w:r>
      <w:r w:rsidRPr="0001479A">
        <w:rPr>
          <w:rFonts w:cs="Arial"/>
          <w:lang w:val="en-GB"/>
        </w:rPr>
        <w:t xml:space="preserve"> The nineteenth and twentieth centuries witnessed a rise in the value of education to enhance society. This was assured by recognising childhood as a distinct period of learning and development and establishing laws requiring children to attend school.</w:t>
      </w:r>
      <w:r w:rsidR="00A34EE8" w:rsidRPr="0001479A">
        <w:rPr>
          <w:rFonts w:cs="Arial"/>
          <w:lang w:val="en-GB"/>
        </w:rPr>
        <w:t xml:space="preserve"> </w:t>
      </w:r>
      <w:r w:rsidRPr="0001479A">
        <w:rPr>
          <w:rFonts w:cs="Arial"/>
          <w:b/>
          <w:bCs/>
          <w:lang w:val="en-GB"/>
        </w:rPr>
        <w:t xml:space="preserve">Child Welfare Movements: </w:t>
      </w:r>
      <w:r w:rsidRPr="0001479A">
        <w:rPr>
          <w:rFonts w:cs="Arial"/>
          <w:lang w:val="en-GB"/>
        </w:rPr>
        <w:t>In the late 19th and early 20th centuries, movements advocating for children's rights and better living conditions emerged. These movements substantially affected the laws and regulations governing child labour, child protection, and the establishment of child welfare organisations</w:t>
      </w:r>
      <w:r w:rsidR="0077516B" w:rsidRPr="0001479A">
        <w:rPr>
          <w:rFonts w:cs="Arial"/>
          <w:lang w:val="en-GB"/>
        </w:rPr>
        <w:t xml:space="preserve"> (Piper, 2021)</w:t>
      </w:r>
      <w:r w:rsidRPr="0001479A">
        <w:rPr>
          <w:rFonts w:cs="Arial"/>
          <w:lang w:val="en-GB"/>
        </w:rPr>
        <w:t>.</w:t>
      </w:r>
      <w:r w:rsidR="00A34EE8" w:rsidRPr="0001479A">
        <w:rPr>
          <w:rFonts w:cs="Arial"/>
          <w:lang w:val="en-GB"/>
        </w:rPr>
        <w:t xml:space="preserve"> </w:t>
      </w:r>
      <w:r w:rsidRPr="0001479A">
        <w:rPr>
          <w:rFonts w:cs="Arial"/>
          <w:b/>
          <w:bCs/>
          <w:lang w:val="en-GB"/>
        </w:rPr>
        <w:t xml:space="preserve">Psychological Perspectives: </w:t>
      </w:r>
      <w:r w:rsidRPr="0001479A">
        <w:rPr>
          <w:rFonts w:cs="Arial"/>
          <w:lang w:val="en-GB"/>
        </w:rPr>
        <w:t xml:space="preserve">The development of psychological theories and research, especially in the twenty-first century, has </w:t>
      </w:r>
      <w:r w:rsidRPr="0001479A">
        <w:rPr>
          <w:rFonts w:cs="Arial"/>
          <w:lang w:val="en-GB"/>
        </w:rPr>
        <w:lastRenderedPageBreak/>
        <w:t>contributed to a better understanding of infant development. Sigmund Freud, Jean Piaget, and Erik Erikson are pioneers whose writings have influenced how we view children and infancy.</w:t>
      </w:r>
      <w:r w:rsidR="00A34EE8" w:rsidRPr="0001479A">
        <w:rPr>
          <w:rFonts w:cs="Arial"/>
          <w:lang w:val="en-GB"/>
        </w:rPr>
        <w:t xml:space="preserve"> </w:t>
      </w:r>
      <w:r w:rsidRPr="0001479A">
        <w:rPr>
          <w:rFonts w:cs="Arial"/>
          <w:b/>
          <w:bCs/>
          <w:lang w:val="en-GB"/>
        </w:rPr>
        <w:t>The United Nations Convention on the Rights of the Child (UNCRC):</w:t>
      </w:r>
      <w:r w:rsidRPr="0001479A">
        <w:rPr>
          <w:rFonts w:cs="Arial"/>
          <w:lang w:val="en-GB"/>
        </w:rPr>
        <w:t xml:space="preserve"> This was adopted in 1989 and has played a significant role in protecting and advancing children's rights worldwide</w:t>
      </w:r>
      <w:r w:rsidR="00207EB8" w:rsidRPr="0001479A">
        <w:rPr>
          <w:rFonts w:cs="Arial"/>
          <w:lang w:val="en-GB"/>
        </w:rPr>
        <w:t xml:space="preserve"> (Cohen, 1989)</w:t>
      </w:r>
      <w:r w:rsidRPr="0001479A">
        <w:rPr>
          <w:rFonts w:cs="Arial"/>
          <w:lang w:val="en-GB"/>
        </w:rPr>
        <w:t>. It highlights children's rights to safety, education, health care, and participation to support the notion that childhood deserves special consideration.</w:t>
      </w:r>
    </w:p>
    <w:p w14:paraId="32424121" w14:textId="77777777" w:rsidR="00884CC6" w:rsidRPr="0001479A" w:rsidRDefault="00282759" w:rsidP="00A34EE8">
      <w:pPr>
        <w:spacing w:after="0"/>
        <w:rPr>
          <w:rFonts w:cs="Arial"/>
          <w:b/>
          <w:bCs/>
          <w:lang w:val="en-GB"/>
        </w:rPr>
      </w:pPr>
      <w:r w:rsidRPr="0001479A">
        <w:rPr>
          <w:rFonts w:cs="Arial"/>
          <w:b/>
          <w:bCs/>
          <w:lang w:val="en-GB"/>
        </w:rPr>
        <w:t>Family Structures:</w:t>
      </w:r>
      <w:r w:rsidRPr="0001479A">
        <w:rPr>
          <w:rFonts w:cs="Arial"/>
          <w:lang w:val="en-GB"/>
        </w:rPr>
        <w:t xml:space="preserve"> Over the past few decades, family structures have changed dramatically. Urbanisation, women's increased participation in the labour force, and fluctuating marriage and divorce rates have all impacted children from all backgrounds and types of households</w:t>
      </w:r>
      <w:r w:rsidR="00207EB8" w:rsidRPr="0001479A">
        <w:rPr>
          <w:rFonts w:cs="Arial"/>
          <w:lang w:val="en-GB"/>
        </w:rPr>
        <w:t xml:space="preserve"> (Stallworth, 2019)</w:t>
      </w:r>
      <w:r w:rsidRPr="0001479A">
        <w:rPr>
          <w:rFonts w:cs="Arial"/>
          <w:lang w:val="en-GB"/>
        </w:rPr>
        <w:t>.</w:t>
      </w:r>
      <w:r w:rsidR="00E806F6" w:rsidRPr="0001479A">
        <w:rPr>
          <w:rFonts w:cs="Arial"/>
          <w:lang w:val="en-GB"/>
        </w:rPr>
        <w:t xml:space="preserve"> </w:t>
      </w:r>
      <w:r w:rsidR="00E806F6" w:rsidRPr="0001479A">
        <w:rPr>
          <w:rFonts w:cs="Arial"/>
          <w:b/>
          <w:bCs/>
          <w:lang w:val="en-GB"/>
        </w:rPr>
        <w:t>Factory Acts of the 19</w:t>
      </w:r>
      <w:r w:rsidR="00E806F6" w:rsidRPr="0001479A">
        <w:rPr>
          <w:rFonts w:cs="Arial"/>
          <w:b/>
          <w:bCs/>
          <w:vertAlign w:val="superscript"/>
          <w:lang w:val="en-GB"/>
        </w:rPr>
        <w:t>th</w:t>
      </w:r>
      <w:r w:rsidR="00E806F6" w:rsidRPr="0001479A">
        <w:rPr>
          <w:rFonts w:cs="Arial"/>
          <w:b/>
          <w:bCs/>
          <w:lang w:val="en-GB"/>
        </w:rPr>
        <w:t xml:space="preserve"> Century: </w:t>
      </w:r>
      <w:r w:rsidR="00E806F6" w:rsidRPr="0001479A">
        <w:rPr>
          <w:rFonts w:cs="Arial"/>
          <w:lang w:val="en-GB"/>
        </w:rPr>
        <w:t>During the 18th and 19th centuries, when the Industrial Revolution was in full motion, many children were forced to work in dangerous industrial environments. In response to public outrage and mounting concerns about child maltreatment, the British Parliament passed multiple Factory Acts to restrict child labour and better the lives of children from working-class homes.</w:t>
      </w:r>
    </w:p>
    <w:p w14:paraId="32C94D08" w14:textId="77777777" w:rsidR="0009076D" w:rsidRPr="0001479A" w:rsidRDefault="00282759" w:rsidP="00CF1E1B">
      <w:pPr>
        <w:pStyle w:val="Heading2"/>
        <w:rPr>
          <w:lang w:val="en-GB"/>
        </w:rPr>
      </w:pPr>
      <w:r w:rsidRPr="0001479A">
        <w:rPr>
          <w:lang w:val="en-GB"/>
        </w:rPr>
        <w:t>Impact of the Factors on Children, Young People, and Families</w:t>
      </w:r>
    </w:p>
    <w:p w14:paraId="6F9CEEAA" w14:textId="77777777" w:rsidR="0009076D" w:rsidRPr="0001479A" w:rsidRDefault="00282759" w:rsidP="00B47973">
      <w:pPr>
        <w:spacing w:after="0"/>
        <w:rPr>
          <w:rFonts w:cs="Arial"/>
          <w:lang w:val="en-GB"/>
        </w:rPr>
      </w:pPr>
      <w:r w:rsidRPr="0001479A">
        <w:rPr>
          <w:rFonts w:cs="Arial"/>
          <w:lang w:val="en-GB"/>
        </w:rPr>
        <w:t xml:space="preserve">Different factors impact children, young people, and families. The impacts of the factors are provided just below: </w:t>
      </w:r>
    </w:p>
    <w:p w14:paraId="727CE9E3" w14:textId="77777777" w:rsidR="00C128AB" w:rsidRPr="0001479A" w:rsidRDefault="00282759" w:rsidP="00A34EE8">
      <w:pPr>
        <w:spacing w:after="0"/>
        <w:rPr>
          <w:rFonts w:cs="Arial"/>
          <w:lang w:val="en-GB"/>
        </w:rPr>
      </w:pPr>
      <w:r w:rsidRPr="0001479A">
        <w:rPr>
          <w:rFonts w:cs="Arial"/>
          <w:b/>
          <w:bCs/>
          <w:lang w:val="en-GB"/>
        </w:rPr>
        <w:t xml:space="preserve">Elimination of Child Labour: </w:t>
      </w:r>
      <w:r w:rsidRPr="0001479A">
        <w:rPr>
          <w:rFonts w:cs="Arial"/>
          <w:lang w:val="en-GB"/>
        </w:rPr>
        <w:t xml:space="preserve">Since the beginning of the Industrial Revolution, children's lives have improved significantly, primarily due to the implementation of child labour regulations and the emergence of the child welfare movement. The decline in juvenile labour has improved children's educational and health prospects </w:t>
      </w:r>
      <w:r w:rsidR="0077516B" w:rsidRPr="0001479A">
        <w:rPr>
          <w:rFonts w:cs="Arial"/>
          <w:lang w:val="en-GB"/>
        </w:rPr>
        <w:t>(Holt, Buckley and Whelan, 2010)</w:t>
      </w:r>
      <w:r w:rsidRPr="0001479A">
        <w:rPr>
          <w:rFonts w:cs="Arial"/>
          <w:lang w:val="en-GB"/>
        </w:rPr>
        <w:t>. Consequently, the current cohort of young people has improved prospects for future accomplishments and personal development.</w:t>
      </w:r>
      <w:r w:rsidR="00B47973" w:rsidRPr="0001479A">
        <w:rPr>
          <w:rFonts w:cs="Arial"/>
          <w:lang w:val="en-GB"/>
        </w:rPr>
        <w:t xml:space="preserve"> </w:t>
      </w:r>
      <w:r w:rsidRPr="0001479A">
        <w:rPr>
          <w:rFonts w:cs="Arial"/>
          <w:b/>
          <w:bCs/>
          <w:lang w:val="en-GB"/>
        </w:rPr>
        <w:t xml:space="preserve">Access to Education: </w:t>
      </w:r>
      <w:r w:rsidRPr="0001479A">
        <w:rPr>
          <w:rFonts w:cs="Arial"/>
          <w:lang w:val="en-GB"/>
        </w:rPr>
        <w:t>Child and adolescent education has become substantially more accessible due to the implementation of compulsory school attendance laws and numerous educational initiatives</w:t>
      </w:r>
      <w:r w:rsidR="0077516B" w:rsidRPr="0001479A">
        <w:rPr>
          <w:rFonts w:cs="Arial"/>
          <w:lang w:val="en-GB"/>
        </w:rPr>
        <w:t xml:space="preserve"> (Holt, Buckley and Whelan, 2010)</w:t>
      </w:r>
      <w:r w:rsidRPr="0001479A">
        <w:rPr>
          <w:rFonts w:cs="Arial"/>
          <w:lang w:val="en-GB"/>
        </w:rPr>
        <w:t>. The attainment of a college degree has the potential to facilitate socioeconomic mobility and reduce societal disparities. Providing all children with access to a high-quality education is widely regarded as the most effective way for a society to guarantee equal achievement opportunities for all individuals.</w:t>
      </w:r>
      <w:r w:rsidR="00B47973" w:rsidRPr="0001479A">
        <w:rPr>
          <w:rFonts w:cs="Arial"/>
          <w:lang w:val="en-GB"/>
        </w:rPr>
        <w:t xml:space="preserve"> </w:t>
      </w:r>
      <w:r w:rsidRPr="0001479A">
        <w:rPr>
          <w:rFonts w:cs="Arial"/>
          <w:b/>
          <w:bCs/>
          <w:lang w:val="en-GB"/>
        </w:rPr>
        <w:t>Child Protection:</w:t>
      </w:r>
      <w:r w:rsidRPr="0001479A">
        <w:rPr>
          <w:rFonts w:cs="Arial"/>
          <w:lang w:val="en-GB"/>
        </w:rPr>
        <w:t xml:space="preserve"> The participation of child welfare organisations and the recognition of children's rights have contributed significantly to efforts to protect children. As a result of participating in these activities, at-risk children can enjoy a nurturing, maltreatment-free childhood</w:t>
      </w:r>
      <w:r w:rsidR="0077516B" w:rsidRPr="0001479A">
        <w:rPr>
          <w:rFonts w:cs="Arial"/>
          <w:lang w:val="en-GB"/>
        </w:rPr>
        <w:t xml:space="preserve"> (Humphreys and Absler, 2018)</w:t>
      </w:r>
      <w:r w:rsidRPr="0001479A">
        <w:rPr>
          <w:rFonts w:cs="Arial"/>
          <w:lang w:val="en-GB"/>
        </w:rPr>
        <w:t>.</w:t>
      </w:r>
    </w:p>
    <w:p w14:paraId="3D25AC84" w14:textId="77777777" w:rsidR="00C128AB" w:rsidRPr="0001479A" w:rsidRDefault="00282759" w:rsidP="00A34EE8">
      <w:pPr>
        <w:spacing w:after="0"/>
        <w:rPr>
          <w:rFonts w:cs="Arial"/>
          <w:lang w:val="en-GB"/>
        </w:rPr>
      </w:pPr>
      <w:r w:rsidRPr="0001479A">
        <w:rPr>
          <w:rFonts w:cs="Arial"/>
          <w:b/>
          <w:bCs/>
          <w:lang w:val="en-GB"/>
        </w:rPr>
        <w:t xml:space="preserve">Healthcare and Nutrition: </w:t>
      </w:r>
      <w:r w:rsidRPr="0001479A">
        <w:rPr>
          <w:rFonts w:cs="Arial"/>
          <w:lang w:val="en-GB"/>
        </w:rPr>
        <w:t xml:space="preserve">Modifying laws and policies have improved health and nutrition initiatives for children and their families. The decline in infant mortality rates and improvement in overall health is attributable to the increased availability of medical services, immunisations, and </w:t>
      </w:r>
      <w:r w:rsidRPr="0001479A">
        <w:rPr>
          <w:rFonts w:cs="Arial"/>
          <w:lang w:val="en-GB"/>
        </w:rPr>
        <w:lastRenderedPageBreak/>
        <w:t>nutritious food, especially in economically disadvantaged regions</w:t>
      </w:r>
      <w:r w:rsidR="003D1020">
        <w:rPr>
          <w:rFonts w:cs="Arial"/>
          <w:lang w:val="en-GB"/>
        </w:rPr>
        <w:t xml:space="preserve"> </w:t>
      </w:r>
      <w:r w:rsidR="003D1020" w:rsidRPr="003D1020">
        <w:rPr>
          <w:rFonts w:cs="Arial"/>
          <w:lang w:val="en-GB"/>
        </w:rPr>
        <w:t>(Siegel, 2014)</w:t>
      </w:r>
      <w:r w:rsidRPr="0001479A">
        <w:rPr>
          <w:rFonts w:cs="Arial"/>
          <w:lang w:val="en-GB"/>
        </w:rPr>
        <w:t>.</w:t>
      </w:r>
      <w:r w:rsidR="00B47973" w:rsidRPr="0001479A">
        <w:rPr>
          <w:rFonts w:cs="Arial"/>
          <w:lang w:val="en-GB"/>
        </w:rPr>
        <w:t xml:space="preserve"> </w:t>
      </w:r>
      <w:r w:rsidRPr="0001479A">
        <w:rPr>
          <w:rFonts w:cs="Arial"/>
          <w:b/>
          <w:bCs/>
          <w:lang w:val="en-GB"/>
        </w:rPr>
        <w:t xml:space="preserve">Focus on Mental Health: </w:t>
      </w:r>
      <w:r w:rsidRPr="0001479A">
        <w:rPr>
          <w:rFonts w:cs="Arial"/>
          <w:lang w:val="en-GB"/>
        </w:rPr>
        <w:t>In modern society, the importance of prioritising the emotional well-being of children and adolescents has grown, predominantly due to a greater awareness of mental health issues and the significant contributions of psychology. Increased accessibility to mental health services and resources has facilitated the early detection and effective management of mental health issues, mitigating their impact on individuals and families</w:t>
      </w:r>
      <w:r w:rsidR="0077516B" w:rsidRPr="0001479A">
        <w:rPr>
          <w:rFonts w:cs="Arial"/>
          <w:lang w:val="en-GB"/>
        </w:rPr>
        <w:t xml:space="preserve"> (Humphreys and Absler, 2018)</w:t>
      </w:r>
      <w:r w:rsidRPr="0001479A">
        <w:rPr>
          <w:rFonts w:cs="Arial"/>
          <w:lang w:val="en-GB"/>
        </w:rPr>
        <w:t>.</w:t>
      </w:r>
      <w:r w:rsidR="00B47973" w:rsidRPr="0001479A">
        <w:rPr>
          <w:rFonts w:cs="Arial"/>
          <w:lang w:val="en-GB"/>
        </w:rPr>
        <w:t xml:space="preserve"> </w:t>
      </w:r>
      <w:r w:rsidRPr="0001479A">
        <w:rPr>
          <w:rFonts w:cs="Arial"/>
          <w:b/>
          <w:bCs/>
          <w:lang w:val="en-GB"/>
        </w:rPr>
        <w:t>The United Nations Convention on the Rights of the Child (UNCRC)</w:t>
      </w:r>
      <w:r w:rsidRPr="0001479A">
        <w:rPr>
          <w:rFonts w:cs="Arial"/>
          <w:lang w:val="en-GB"/>
        </w:rPr>
        <w:t xml:space="preserve"> is a treaty outlining minors' fundamental rights and liberties. The United Nations Convention on the Rights of the Child (UNCRC) has dramatically altered the global landscape of children's rights</w:t>
      </w:r>
      <w:r w:rsidR="00207EB8" w:rsidRPr="0001479A">
        <w:rPr>
          <w:rFonts w:cs="Arial"/>
          <w:lang w:val="en-GB"/>
        </w:rPr>
        <w:t xml:space="preserve"> (Johnson, 2019)</w:t>
      </w:r>
      <w:r w:rsidRPr="0001479A">
        <w:rPr>
          <w:rFonts w:cs="Arial"/>
          <w:lang w:val="en-GB"/>
        </w:rPr>
        <w:t>. This phenomenon has prompted the implementation of policies, programs, and initiatives that prioritise the well-being and interests of children by the government.</w:t>
      </w:r>
    </w:p>
    <w:p w14:paraId="695811F4" w14:textId="77777777" w:rsidR="00C128AB" w:rsidRPr="0001479A" w:rsidRDefault="00282759" w:rsidP="00B47973">
      <w:pPr>
        <w:spacing w:after="0"/>
        <w:rPr>
          <w:rFonts w:cs="Arial"/>
          <w:lang w:val="en-GB"/>
        </w:rPr>
      </w:pPr>
      <w:r w:rsidRPr="0001479A">
        <w:rPr>
          <w:rFonts w:cs="Arial"/>
          <w:b/>
          <w:bCs/>
          <w:lang w:val="en-GB"/>
        </w:rPr>
        <w:t xml:space="preserve">Diverse Family Structures: </w:t>
      </w:r>
      <w:r w:rsidRPr="0001479A">
        <w:rPr>
          <w:rFonts w:cs="Arial"/>
          <w:lang w:val="en-GB"/>
        </w:rPr>
        <w:t>The normalisation of diverse family structures can be attributed to the evolution of more accepting and inclusive cultures</w:t>
      </w:r>
      <w:r w:rsidR="0077516B" w:rsidRPr="0001479A">
        <w:rPr>
          <w:rFonts w:cs="Arial"/>
          <w:lang w:val="en-GB"/>
        </w:rPr>
        <w:t xml:space="preserve"> (Bronstein et al.,</w:t>
      </w:r>
      <w:r w:rsidR="0029111A">
        <w:rPr>
          <w:rFonts w:cs="Arial"/>
          <w:lang w:val="en-GB"/>
        </w:rPr>
        <w:t>2014</w:t>
      </w:r>
      <w:r w:rsidR="0077516B" w:rsidRPr="0001479A">
        <w:rPr>
          <w:rFonts w:cs="Arial"/>
          <w:lang w:val="en-GB"/>
        </w:rPr>
        <w:t>)</w:t>
      </w:r>
      <w:r w:rsidRPr="0001479A">
        <w:rPr>
          <w:rFonts w:cs="Arial"/>
          <w:lang w:val="en-GB"/>
        </w:rPr>
        <w:t>. Integration plays a crucial role in nurturing an environment conducive to the optimal growth and development of children and adolescents, thereby enhancing the resilience and well-being of diverse families.</w:t>
      </w:r>
    </w:p>
    <w:p w14:paraId="72B59AD9" w14:textId="77777777" w:rsidR="00C128AB" w:rsidRPr="0001479A" w:rsidRDefault="00282759" w:rsidP="00CF1E1B">
      <w:pPr>
        <w:pStyle w:val="Heading2"/>
        <w:rPr>
          <w:lang w:val="en-GB"/>
        </w:rPr>
      </w:pPr>
      <w:r w:rsidRPr="0001479A">
        <w:rPr>
          <w:lang w:val="en-GB"/>
        </w:rPr>
        <w:t>Approaches and Interventions for Supporting Vulnerable Children, Young People, and Familie</w:t>
      </w:r>
      <w:r w:rsidR="00E806F6" w:rsidRPr="0001479A">
        <w:rPr>
          <w:lang w:val="en-GB"/>
        </w:rPr>
        <w:t>s</w:t>
      </w:r>
    </w:p>
    <w:p w14:paraId="3C027589" w14:textId="77777777" w:rsidR="00E31E57" w:rsidRPr="0001479A" w:rsidRDefault="00282759" w:rsidP="00B47973">
      <w:pPr>
        <w:spacing w:after="0"/>
        <w:rPr>
          <w:rFonts w:cs="Arial"/>
          <w:lang w:val="en-GB"/>
        </w:rPr>
      </w:pPr>
      <w:r w:rsidRPr="0001479A">
        <w:rPr>
          <w:rFonts w:cs="Arial"/>
          <w:lang w:val="en-GB"/>
        </w:rPr>
        <w:t xml:space="preserve">Many treatments and methods have been created in recent years to help vulnerable children, adolescents, and families meet their specific issues. Comprehensive treatments, such as those mentioned above, seek to enhance the quality of life for patients and their families by providing them with the coping skills they need to tackle challenges successfully. </w:t>
      </w:r>
    </w:p>
    <w:p w14:paraId="4563E89A" w14:textId="77777777" w:rsidR="00E31E57" w:rsidRPr="0001479A" w:rsidRDefault="00282759" w:rsidP="00B47973">
      <w:pPr>
        <w:spacing w:after="0"/>
        <w:rPr>
          <w:rFonts w:cs="Arial"/>
          <w:lang w:val="en-GB"/>
        </w:rPr>
      </w:pPr>
      <w:r w:rsidRPr="0001479A">
        <w:rPr>
          <w:rFonts w:cs="Arial"/>
          <w:lang w:val="en-GB"/>
        </w:rPr>
        <w:t>Early childhood intervention services are specialised programs specifically developed to fulfil the needs of at-risk children aged birth to five</w:t>
      </w:r>
      <w:r w:rsidR="00207EB8" w:rsidRPr="0001479A">
        <w:rPr>
          <w:rFonts w:cs="Arial"/>
          <w:lang w:val="en-GB"/>
        </w:rPr>
        <w:t xml:space="preserve"> Early childhood intervention</w:t>
      </w:r>
      <w:r w:rsidRPr="0001479A">
        <w:rPr>
          <w:rFonts w:cs="Arial"/>
          <w:lang w:val="en-GB"/>
        </w:rPr>
        <w:t>. These initiatives stress supporting children's growth in essential areas such as education, socialising, and healthcare during their vital developmental time</w:t>
      </w:r>
      <w:r w:rsidR="0077516B" w:rsidRPr="0001479A">
        <w:rPr>
          <w:rFonts w:cs="Arial"/>
          <w:lang w:val="en-GB"/>
        </w:rPr>
        <w:t xml:space="preserve"> (Winkelstern and Jongsma, 2013)</w:t>
      </w:r>
      <w:r w:rsidRPr="0001479A">
        <w:rPr>
          <w:rFonts w:cs="Arial"/>
          <w:lang w:val="en-GB"/>
        </w:rPr>
        <w:t>. These interventions aim to provide children with a competitive edge in their future efforts through home-visiting programs, early-learning opportunities, and parental education.</w:t>
      </w:r>
    </w:p>
    <w:p w14:paraId="24DF4200" w14:textId="77777777" w:rsidR="00E31E57" w:rsidRPr="0001479A" w:rsidRDefault="00282759" w:rsidP="00B47973">
      <w:pPr>
        <w:spacing w:after="0"/>
        <w:rPr>
          <w:rFonts w:cs="Arial"/>
          <w:lang w:val="en-GB"/>
        </w:rPr>
      </w:pPr>
      <w:r w:rsidRPr="0001479A">
        <w:rPr>
          <w:rFonts w:cs="Arial"/>
          <w:b/>
          <w:bCs/>
          <w:lang w:val="en-GB"/>
        </w:rPr>
        <w:t xml:space="preserve">Family Support Services: </w:t>
      </w:r>
      <w:r w:rsidRPr="0001479A">
        <w:rPr>
          <w:rFonts w:cs="Arial"/>
          <w:lang w:val="en-GB"/>
        </w:rPr>
        <w:t>Family support services aid families suffering a range of challenges, including but not limited to mental illness, drug abuse, domestic violence, and financial difficulties. Financial help, parental education programs, counselling services, and other types of aid are essential components of these endeavours in the face of hardship.</w:t>
      </w:r>
      <w:r w:rsidR="00B47973" w:rsidRPr="0001479A">
        <w:rPr>
          <w:rFonts w:cs="Arial"/>
          <w:lang w:val="en-GB"/>
        </w:rPr>
        <w:t xml:space="preserve"> </w:t>
      </w:r>
      <w:r w:rsidRPr="0001479A">
        <w:rPr>
          <w:rFonts w:cs="Arial"/>
          <w:b/>
          <w:bCs/>
          <w:lang w:val="en-GB"/>
        </w:rPr>
        <w:t xml:space="preserve">Child and Adolescent Mental Health Services: </w:t>
      </w:r>
      <w:r w:rsidRPr="0001479A">
        <w:rPr>
          <w:rFonts w:cs="Arial"/>
          <w:lang w:val="en-GB"/>
        </w:rPr>
        <w:t>The primary goal of mental health treatments for children and adolescents is to assist in resolving emotional and behavioural issues specific to these age groups</w:t>
      </w:r>
      <w:r w:rsidR="0077516B" w:rsidRPr="0001479A">
        <w:rPr>
          <w:rFonts w:cs="Arial"/>
          <w:lang w:val="en-GB"/>
        </w:rPr>
        <w:t xml:space="preserve"> (Great Britain. Parliament House </w:t>
      </w:r>
      <w:r w:rsidR="005E0FC8" w:rsidRPr="0001479A">
        <w:rPr>
          <w:rFonts w:cs="Arial"/>
          <w:lang w:val="en-GB"/>
        </w:rPr>
        <w:t>of</w:t>
      </w:r>
      <w:r w:rsidR="0077516B" w:rsidRPr="0001479A">
        <w:rPr>
          <w:rFonts w:cs="Arial"/>
          <w:lang w:val="en-GB"/>
        </w:rPr>
        <w:t xml:space="preserve"> Commons. Health Committee, 2017)</w:t>
      </w:r>
      <w:r w:rsidRPr="0001479A">
        <w:rPr>
          <w:rFonts w:cs="Arial"/>
          <w:lang w:val="en-GB"/>
        </w:rPr>
        <w:t xml:space="preserve">. Adolescents with mental health </w:t>
      </w:r>
      <w:r w:rsidRPr="0001479A">
        <w:rPr>
          <w:rFonts w:cs="Arial"/>
          <w:lang w:val="en-GB"/>
        </w:rPr>
        <w:lastRenderedPageBreak/>
        <w:t>concerns such as anxiety, depression, trauma, and others get counselling, psychotherapy, and psychiatric therapies. These treatments are meant to give teenagers in need support and help.</w:t>
      </w:r>
      <w:r w:rsidR="00B47973" w:rsidRPr="0001479A">
        <w:rPr>
          <w:rFonts w:cs="Arial"/>
          <w:lang w:val="en-GB"/>
        </w:rPr>
        <w:t xml:space="preserve"> </w:t>
      </w:r>
      <w:r w:rsidRPr="0001479A">
        <w:rPr>
          <w:rFonts w:cs="Arial"/>
          <w:b/>
          <w:bCs/>
          <w:lang w:val="en-GB"/>
        </w:rPr>
        <w:t xml:space="preserve">Foster Care and Adoption Services: </w:t>
      </w:r>
      <w:r w:rsidRPr="0001479A">
        <w:rPr>
          <w:rFonts w:cs="Arial"/>
          <w:lang w:val="en-GB"/>
        </w:rPr>
        <w:t>Foster care and adoption organisations offer secure and caring living situations for youngsters removed from their birth families due to safety or well-being issues</w:t>
      </w:r>
      <w:r w:rsidR="00207EB8" w:rsidRPr="0001479A">
        <w:rPr>
          <w:rFonts w:cs="Arial"/>
          <w:lang w:val="en-GB"/>
        </w:rPr>
        <w:t xml:space="preserve"> (on et al., 2013)</w:t>
      </w:r>
      <w:r w:rsidRPr="0001479A">
        <w:rPr>
          <w:rFonts w:cs="Arial"/>
          <w:lang w:val="en-GB"/>
        </w:rPr>
        <w:t>. The primary goal of these interventions is to find appropriate caregivers for at-risk children to guarantee they get the necessary care and support.</w:t>
      </w:r>
    </w:p>
    <w:p w14:paraId="23F3BC9D" w14:textId="77777777" w:rsidR="00E31E57" w:rsidRPr="0001479A" w:rsidRDefault="00282759" w:rsidP="00B47973">
      <w:pPr>
        <w:spacing w:after="0"/>
        <w:rPr>
          <w:rFonts w:cs="Arial"/>
          <w:lang w:val="en-GB"/>
        </w:rPr>
      </w:pPr>
      <w:r w:rsidRPr="0001479A">
        <w:rPr>
          <w:rFonts w:cs="Arial"/>
          <w:b/>
          <w:bCs/>
          <w:lang w:val="en-GB"/>
        </w:rPr>
        <w:t xml:space="preserve">Educational Support and Scholarships: </w:t>
      </w:r>
      <w:r w:rsidRPr="0001479A">
        <w:rPr>
          <w:rFonts w:cs="Arial"/>
          <w:lang w:val="en-GB"/>
        </w:rPr>
        <w:t>Educational assistance groups mainly target economically disadvantaged children and adolescents, including scholarships, mentoring programs, and tutoring services. These efforts aim to increase student access and quality of education, aiming to boost enrolment in postsecondary institutions.</w:t>
      </w:r>
      <w:r w:rsidR="00B47973" w:rsidRPr="0001479A">
        <w:rPr>
          <w:rFonts w:cs="Arial"/>
          <w:lang w:val="en-GB"/>
        </w:rPr>
        <w:t xml:space="preserve"> </w:t>
      </w:r>
      <w:r w:rsidRPr="0001479A">
        <w:rPr>
          <w:rFonts w:cs="Arial"/>
          <w:b/>
          <w:bCs/>
          <w:lang w:val="en-GB"/>
        </w:rPr>
        <w:t>Youth Employment Programs:</w:t>
      </w:r>
      <w:r w:rsidRPr="0001479A">
        <w:rPr>
          <w:rFonts w:cs="Arial"/>
          <w:lang w:val="en-GB"/>
        </w:rPr>
        <w:t xml:space="preserve"> Youth employment programs allow economically underprivileged and vulnerable teenagers to get real job experience and marketable skills and enhance their professional careers</w:t>
      </w:r>
      <w:r w:rsidR="0077516B" w:rsidRPr="0001479A">
        <w:rPr>
          <w:rFonts w:cs="Arial"/>
          <w:lang w:val="en-GB"/>
        </w:rPr>
        <w:t xml:space="preserve"> (Great Britain. Parliament House </w:t>
      </w:r>
      <w:r w:rsidR="0029111A" w:rsidRPr="0001479A">
        <w:rPr>
          <w:rFonts w:cs="Arial"/>
          <w:lang w:val="en-GB"/>
        </w:rPr>
        <w:t>of</w:t>
      </w:r>
      <w:r w:rsidR="0077516B" w:rsidRPr="0001479A">
        <w:rPr>
          <w:rFonts w:cs="Arial"/>
          <w:lang w:val="en-GB"/>
        </w:rPr>
        <w:t xml:space="preserve"> Commons. Health Committee, 2017)</w:t>
      </w:r>
      <w:r w:rsidRPr="0001479A">
        <w:rPr>
          <w:rFonts w:cs="Arial"/>
          <w:lang w:val="en-GB"/>
        </w:rPr>
        <w:t>. These efforts aim to lessen young people's vulnerability to social difficulties by providing them with the vocational skills they need to attain economic independence as adults.</w:t>
      </w:r>
      <w:r w:rsidR="00B47973" w:rsidRPr="0001479A">
        <w:rPr>
          <w:rFonts w:cs="Arial"/>
          <w:lang w:val="en-GB"/>
        </w:rPr>
        <w:t xml:space="preserve"> </w:t>
      </w:r>
      <w:r w:rsidRPr="0001479A">
        <w:rPr>
          <w:rFonts w:cs="Arial"/>
          <w:b/>
          <w:bCs/>
          <w:lang w:val="en-GB"/>
        </w:rPr>
        <w:t xml:space="preserve">Trauma-Informed Care: </w:t>
      </w:r>
      <w:r w:rsidRPr="0001479A">
        <w:rPr>
          <w:rFonts w:cs="Arial"/>
          <w:lang w:val="en-GB"/>
        </w:rPr>
        <w:t>Trauma-informed care is a collection of behaviours that recognises trauma's tremendous influence on the health and well-being of children, adolescents, and their families. These therapies prioritise creating a supportive environment that helps the healing process and the development of resilience.</w:t>
      </w:r>
      <w:r w:rsidR="00B47973" w:rsidRPr="0001479A">
        <w:rPr>
          <w:rFonts w:cs="Arial"/>
          <w:lang w:val="en-GB"/>
        </w:rPr>
        <w:t xml:space="preserve"> </w:t>
      </w:r>
      <w:r w:rsidRPr="0001479A">
        <w:rPr>
          <w:rFonts w:cs="Arial"/>
          <w:b/>
          <w:bCs/>
          <w:lang w:val="en-GB"/>
        </w:rPr>
        <w:t xml:space="preserve">Homelessness Prevention: </w:t>
      </w:r>
      <w:r w:rsidRPr="0001479A">
        <w:rPr>
          <w:rFonts w:cs="Arial"/>
          <w:lang w:val="en-GB"/>
        </w:rPr>
        <w:t>Homelessness prevention initiatives provide significant advantages to families and young people at risk of homelessness. Therapeutic therapies, such as short-term housing help, financial support, and counselling, address the root reasons for homelessness</w:t>
      </w:r>
      <w:r w:rsidR="0077516B" w:rsidRPr="0001479A">
        <w:rPr>
          <w:rFonts w:cs="Arial"/>
          <w:lang w:val="en-GB"/>
        </w:rPr>
        <w:t xml:space="preserve"> (Larkin, Aykanian and Streeter, 2019)</w:t>
      </w:r>
      <w:r w:rsidRPr="0001479A">
        <w:rPr>
          <w:rFonts w:cs="Arial"/>
          <w:lang w:val="en-GB"/>
        </w:rPr>
        <w:t>.</w:t>
      </w:r>
    </w:p>
    <w:p w14:paraId="589798DE" w14:textId="77777777" w:rsidR="00E806F6" w:rsidRPr="0001479A" w:rsidRDefault="00282759" w:rsidP="0001479A">
      <w:pPr>
        <w:spacing w:after="0"/>
        <w:rPr>
          <w:rFonts w:cs="Arial"/>
          <w:lang w:val="en-GB"/>
        </w:rPr>
      </w:pPr>
      <w:r w:rsidRPr="0001479A">
        <w:rPr>
          <w:rFonts w:cs="Arial"/>
          <w:b/>
          <w:bCs/>
          <w:lang w:val="en-GB"/>
        </w:rPr>
        <w:t xml:space="preserve">Family Therapy and Counselling: </w:t>
      </w:r>
      <w:r w:rsidRPr="0001479A">
        <w:rPr>
          <w:rFonts w:cs="Arial"/>
          <w:lang w:val="en-GB"/>
        </w:rPr>
        <w:t>Therapy and counselling may help to resolve family disputes, communication breakdowns, and other relationship issues. These approaches boost the effectiveness of the family unit and foster stronger interpersonal relationships among its members</w:t>
      </w:r>
      <w:r w:rsidR="0077516B" w:rsidRPr="0001479A">
        <w:rPr>
          <w:rFonts w:cs="Arial"/>
          <w:lang w:val="en-GB"/>
        </w:rPr>
        <w:t xml:space="preserve"> (Esposito and Hattem, 2015)</w:t>
      </w:r>
      <w:r w:rsidRPr="0001479A">
        <w:rPr>
          <w:rFonts w:cs="Arial"/>
          <w:lang w:val="en-GB"/>
        </w:rPr>
        <w:t xml:space="preserve">. </w:t>
      </w:r>
      <w:r w:rsidRPr="0001479A">
        <w:rPr>
          <w:rFonts w:cs="Arial"/>
          <w:b/>
          <w:bCs/>
          <w:lang w:val="en-GB"/>
        </w:rPr>
        <w:t xml:space="preserve">Different Inequality Variables: </w:t>
      </w:r>
      <w:r w:rsidRPr="0001479A">
        <w:rPr>
          <w:rFonts w:cs="Arial"/>
          <w:lang w:val="en-GB"/>
        </w:rPr>
        <w:t xml:space="preserve">Inequity in a child's life may begin early due to family origin, financial status, and access to resources. To address these imbalances, early intervention programs provide personalised assistance to poor children and their families throughout their formative years. </w:t>
      </w:r>
      <w:r w:rsidRPr="0001479A">
        <w:rPr>
          <w:rFonts w:cs="Arial"/>
          <w:b/>
          <w:bCs/>
          <w:lang w:val="en-GB"/>
        </w:rPr>
        <w:t xml:space="preserve">Poverty Alleviation: </w:t>
      </w:r>
      <w:r w:rsidRPr="0001479A">
        <w:rPr>
          <w:rFonts w:cs="Arial"/>
          <w:lang w:val="en-GB"/>
        </w:rPr>
        <w:t>Because of the status of the economy, many low-income children and families have fewer resources and possibilities. Socioeconomic support, such as financial assistance, housing subsidies, and access to cheap healthcare, may help mitigate inequality's harmful consequences on children and young adults</w:t>
      </w:r>
      <w:r w:rsidR="008E47AC" w:rsidRPr="0001479A">
        <w:rPr>
          <w:rFonts w:cs="Arial"/>
          <w:lang w:val="en-GB"/>
        </w:rPr>
        <w:t xml:space="preserve"> (Larkin, Aykanian and Streeter, 2019)</w:t>
      </w:r>
      <w:r w:rsidRPr="0001479A">
        <w:rPr>
          <w:rFonts w:cs="Arial"/>
          <w:lang w:val="en-GB"/>
        </w:rPr>
        <w:t>.</w:t>
      </w:r>
    </w:p>
    <w:p w14:paraId="4AD06194" w14:textId="77777777" w:rsidR="00CD06E5" w:rsidRPr="0001479A" w:rsidRDefault="00282759" w:rsidP="00CF1E1B">
      <w:pPr>
        <w:pStyle w:val="Heading2"/>
        <w:rPr>
          <w:lang w:val="en-GB"/>
        </w:rPr>
      </w:pPr>
      <w:r w:rsidRPr="0001479A">
        <w:rPr>
          <w:lang w:val="en-GB"/>
        </w:rPr>
        <w:lastRenderedPageBreak/>
        <w:t xml:space="preserve">Evaluation and Recommendations </w:t>
      </w:r>
    </w:p>
    <w:p w14:paraId="373C37F1" w14:textId="77777777" w:rsidR="00CD06E5" w:rsidRPr="0001479A" w:rsidRDefault="00282759" w:rsidP="00B47973">
      <w:pPr>
        <w:spacing w:after="0"/>
        <w:rPr>
          <w:rFonts w:cs="Arial"/>
          <w:lang w:val="en-GB"/>
        </w:rPr>
      </w:pPr>
      <w:r w:rsidRPr="0001479A">
        <w:rPr>
          <w:rFonts w:cs="Arial"/>
          <w:lang w:val="en-GB"/>
        </w:rPr>
        <w:t>Initiatives and interventions for at-risk children, adolescents, and families rely on program design, execution, financing, and community engagement. Although numerous initiatives have generated favourable results, there is always space for development to have the most significant potential effect.</w:t>
      </w:r>
    </w:p>
    <w:p w14:paraId="1C3AF5D7" w14:textId="77777777" w:rsidR="00CD06E5" w:rsidRPr="0001479A" w:rsidRDefault="00282759" w:rsidP="00CF1E1B">
      <w:pPr>
        <w:pStyle w:val="Heading3"/>
        <w:rPr>
          <w:lang w:val="en-GB"/>
        </w:rPr>
      </w:pPr>
      <w:r w:rsidRPr="0001479A">
        <w:rPr>
          <w:lang w:val="en-GB"/>
        </w:rPr>
        <w:t>Evaluation</w:t>
      </w:r>
    </w:p>
    <w:p w14:paraId="1CF5F20E" w14:textId="77777777" w:rsidR="00CD06E5" w:rsidRPr="0001479A" w:rsidRDefault="00282759" w:rsidP="0001479A">
      <w:pPr>
        <w:spacing w:after="0"/>
        <w:rPr>
          <w:rFonts w:cs="Arial"/>
          <w:lang w:val="en-GB"/>
        </w:rPr>
      </w:pPr>
      <w:r w:rsidRPr="0001479A">
        <w:rPr>
          <w:rFonts w:cs="Arial"/>
          <w:lang w:val="en-GB"/>
        </w:rPr>
        <w:t>Early intervention treatment has dramatically improved children's emotional, social, and cognitive development. Quality programming has been connected to improved school preparedness and long-term academic achievement. Even with this, certain areas may be barred from participating in these initiatives, resulting in uneven prospects for underprivileged youngsters.</w:t>
      </w:r>
    </w:p>
    <w:p w14:paraId="2253B85D" w14:textId="77777777" w:rsidR="00CD06E5" w:rsidRPr="0001479A" w:rsidRDefault="00282759" w:rsidP="0001479A">
      <w:pPr>
        <w:spacing w:after="0"/>
        <w:rPr>
          <w:rFonts w:cs="Arial"/>
          <w:lang w:val="en-GB"/>
        </w:rPr>
      </w:pPr>
      <w:r w:rsidRPr="0001479A">
        <w:rPr>
          <w:rFonts w:cs="Arial"/>
          <w:lang w:val="en-GB"/>
        </w:rPr>
        <w:t>Foster care and adoption offer permanent, caring environments for children in need. Due to the varying quality of care, it is impossible to ensure that children in the system will be allocated permanently</w:t>
      </w:r>
      <w:r w:rsidR="008E47AC" w:rsidRPr="0001479A">
        <w:rPr>
          <w:rFonts w:cs="Arial"/>
          <w:lang w:val="en-GB"/>
        </w:rPr>
        <w:t>.</w:t>
      </w:r>
      <w:r w:rsidR="008E47AC" w:rsidRPr="0001479A">
        <w:rPr>
          <w:rFonts w:cs="Arial"/>
        </w:rPr>
        <w:t xml:space="preserve"> </w:t>
      </w:r>
      <w:r w:rsidR="008E47AC" w:rsidRPr="0001479A">
        <w:rPr>
          <w:rFonts w:cs="Arial"/>
          <w:lang w:val="en-GB"/>
        </w:rPr>
        <w:t>Addressing the underlying factors contributing to inequality is imperative to mitigate poverty. Evaluating anti-poverty initiatives to ascertain their effectiveness in reaching the most socioeconomically disadvantaged segments of the population is imperative. The potential causal relationship between the increasing disparity between socioeconomic classes and the limited efficacy of poverty alleviation efforts in reducing inequality warrants consideration. A comprehensive evaluation should demonstrate a decrease in income inequality and a fairer distribution of resources.</w:t>
      </w:r>
    </w:p>
    <w:p w14:paraId="00D480E2" w14:textId="77777777" w:rsidR="00CD06E5" w:rsidRPr="0001479A" w:rsidRDefault="00282759" w:rsidP="00CF1E1B">
      <w:pPr>
        <w:pStyle w:val="Heading3"/>
        <w:rPr>
          <w:lang w:val="en-GB"/>
        </w:rPr>
      </w:pPr>
      <w:r w:rsidRPr="0001479A">
        <w:rPr>
          <w:lang w:val="en-GB"/>
        </w:rPr>
        <w:t>Recommendations</w:t>
      </w:r>
    </w:p>
    <w:p w14:paraId="7361214F" w14:textId="77777777" w:rsidR="00CD06E5" w:rsidRPr="0001479A" w:rsidRDefault="00282759" w:rsidP="00B47973">
      <w:pPr>
        <w:pStyle w:val="ListParagraph"/>
        <w:numPr>
          <w:ilvl w:val="0"/>
          <w:numId w:val="5"/>
        </w:numPr>
        <w:spacing w:after="0"/>
        <w:rPr>
          <w:rFonts w:cs="Arial"/>
          <w:lang w:val="en-GB"/>
        </w:rPr>
      </w:pPr>
      <w:r w:rsidRPr="0001479A">
        <w:rPr>
          <w:rFonts w:cs="Arial"/>
          <w:lang w:val="en-GB"/>
        </w:rPr>
        <w:t>Governments and lawmakers should provide appropriate funds to ensure these treatments are available to all children, adolescents, and families needing them.</w:t>
      </w:r>
    </w:p>
    <w:p w14:paraId="7047D147" w14:textId="77777777" w:rsidR="00CD06E5" w:rsidRPr="0001479A" w:rsidRDefault="00282759" w:rsidP="00B47973">
      <w:pPr>
        <w:pStyle w:val="ListParagraph"/>
        <w:numPr>
          <w:ilvl w:val="0"/>
          <w:numId w:val="5"/>
        </w:numPr>
        <w:spacing w:after="0"/>
        <w:rPr>
          <w:rFonts w:cs="Arial"/>
          <w:lang w:val="en-GB"/>
        </w:rPr>
      </w:pPr>
      <w:r w:rsidRPr="0001479A">
        <w:rPr>
          <w:rFonts w:cs="Arial"/>
          <w:lang w:val="en-GB"/>
        </w:rPr>
        <w:t>Coordination and coordination across diverse service providers, community groups, and government agencies may improve initiative effectiveness and avoid duplication of effort.</w:t>
      </w:r>
    </w:p>
    <w:p w14:paraId="0E3486A9" w14:textId="77777777" w:rsidR="00CD06E5" w:rsidRPr="0001479A" w:rsidRDefault="00282759" w:rsidP="00B47973">
      <w:pPr>
        <w:pStyle w:val="ListParagraph"/>
        <w:numPr>
          <w:ilvl w:val="0"/>
          <w:numId w:val="5"/>
        </w:numPr>
        <w:spacing w:after="0"/>
        <w:rPr>
          <w:rFonts w:cs="Arial"/>
          <w:lang w:val="en-GB"/>
        </w:rPr>
      </w:pPr>
      <w:r w:rsidRPr="0001479A">
        <w:rPr>
          <w:rFonts w:cs="Arial"/>
          <w:lang w:val="en-GB"/>
        </w:rPr>
        <w:t>Investing in early detection and prevention efforts may minimise disparities for at-risk groups while saving money in the long run.</w:t>
      </w:r>
    </w:p>
    <w:p w14:paraId="101EAA3C" w14:textId="77777777" w:rsidR="00CD06E5" w:rsidRPr="0001479A" w:rsidRDefault="00282759" w:rsidP="00B47973">
      <w:pPr>
        <w:pStyle w:val="ListParagraph"/>
        <w:numPr>
          <w:ilvl w:val="0"/>
          <w:numId w:val="5"/>
        </w:numPr>
        <w:spacing w:after="0"/>
        <w:rPr>
          <w:rFonts w:cs="Arial"/>
          <w:lang w:val="en-GB"/>
        </w:rPr>
      </w:pPr>
      <w:r w:rsidRPr="0001479A">
        <w:rPr>
          <w:rFonts w:cs="Arial"/>
          <w:lang w:val="en-GB"/>
        </w:rPr>
        <w:t>Attempts should be made to reduce participation obstacles such as cost, distance, language, and cultural differences.</w:t>
      </w:r>
    </w:p>
    <w:p w14:paraId="0375730D" w14:textId="77777777" w:rsidR="00CD06E5" w:rsidRDefault="00282759" w:rsidP="00B47973">
      <w:pPr>
        <w:pStyle w:val="ListParagraph"/>
        <w:numPr>
          <w:ilvl w:val="0"/>
          <w:numId w:val="5"/>
        </w:numPr>
        <w:spacing w:after="0"/>
        <w:rPr>
          <w:rFonts w:cs="Arial"/>
          <w:lang w:val="en-GB"/>
        </w:rPr>
      </w:pPr>
      <w:r w:rsidRPr="0001479A">
        <w:rPr>
          <w:rFonts w:cs="Arial"/>
          <w:lang w:val="en-GB"/>
        </w:rPr>
        <w:t>Therapy effectiveness must be evaluated regularly to identify weak points and appropriately alter techniques. Children, adolescents, and their families have unique needs that should be addressed in adopted treatments.</w:t>
      </w:r>
    </w:p>
    <w:p w14:paraId="4BCB767D" w14:textId="77777777" w:rsidR="00CD06E5" w:rsidRPr="0001479A" w:rsidRDefault="00282759" w:rsidP="00A34EE8">
      <w:pPr>
        <w:pStyle w:val="Heading1"/>
        <w:rPr>
          <w:rFonts w:cs="Arial"/>
          <w:lang w:val="en-GB"/>
        </w:rPr>
      </w:pPr>
      <w:r w:rsidRPr="0001479A">
        <w:rPr>
          <w:rFonts w:cs="Arial"/>
          <w:lang w:val="en-GB"/>
        </w:rPr>
        <w:lastRenderedPageBreak/>
        <w:t xml:space="preserve">Conclusion </w:t>
      </w:r>
    </w:p>
    <w:p w14:paraId="578D7F29" w14:textId="77777777" w:rsidR="00CD06E5" w:rsidRPr="0001479A" w:rsidRDefault="00282759" w:rsidP="006D3E2B">
      <w:pPr>
        <w:spacing w:after="0"/>
        <w:rPr>
          <w:rFonts w:cs="Arial"/>
          <w:lang w:val="en-GB"/>
        </w:rPr>
      </w:pPr>
      <w:r w:rsidRPr="0001479A">
        <w:rPr>
          <w:rFonts w:cs="Arial"/>
          <w:lang w:val="en-GB"/>
        </w:rPr>
        <w:t>Disparities in health and social care services might be considerably reduced by several techniques and interventions aimed at low-income children, adolescents, and their families. These approaches may improve mental health, happiness, educational chances, and family stability. However, ongoing work is necessary to optimise the effect of these initiatives. Societies may make the world more equitable by boosting financing, fostering cooperation, emphasising prevention, eliminating access obstacles, and constantly analysing and improving their actions. These programs' all-encompassing assistance strengthens our communities, offers the most marginalised elements of our society a voice, and equips them with the means to speak for themselves. Finally, our dedication to improving the lives of children, adolescents, and families may pave the path for a brighter, more equitable future.</w:t>
      </w:r>
    </w:p>
    <w:p w14:paraId="6A543B5B" w14:textId="77777777" w:rsidR="0001479A" w:rsidRDefault="00282759">
      <w:pPr>
        <w:spacing w:line="276" w:lineRule="auto"/>
        <w:jc w:val="left"/>
        <w:rPr>
          <w:rFonts w:eastAsiaTheme="majorEastAsia" w:cs="Arial"/>
          <w:b/>
          <w:bCs/>
          <w:sz w:val="28"/>
          <w:szCs w:val="28"/>
          <w:lang w:val="en-GB"/>
        </w:rPr>
      </w:pPr>
      <w:r>
        <w:rPr>
          <w:rFonts w:cs="Arial"/>
          <w:lang w:val="en-GB"/>
        </w:rPr>
        <w:br w:type="page"/>
      </w:r>
    </w:p>
    <w:p w14:paraId="3C760EBD" w14:textId="77777777" w:rsidR="00CD06E5" w:rsidRPr="0001479A" w:rsidRDefault="00282759" w:rsidP="00A34EE8">
      <w:pPr>
        <w:pStyle w:val="Heading1"/>
        <w:rPr>
          <w:rFonts w:cs="Arial"/>
          <w:lang w:val="en-GB"/>
        </w:rPr>
      </w:pPr>
      <w:r w:rsidRPr="0001479A">
        <w:rPr>
          <w:rFonts w:cs="Arial"/>
          <w:lang w:val="en-GB"/>
        </w:rPr>
        <w:lastRenderedPageBreak/>
        <w:t xml:space="preserve">References </w:t>
      </w:r>
    </w:p>
    <w:p w14:paraId="18204C18"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29111A">
        <w:rPr>
          <w:rFonts w:ascii="Arial" w:hAnsi="Arial" w:cs="Arial"/>
          <w:sz w:val="22"/>
          <w:szCs w:val="22"/>
          <w:lang w:val="en-GB"/>
        </w:rPr>
        <w:t xml:space="preserve">Bronstein, P., Clauson, J., Stoll, M.F. and Abrams, C.L. (2014). Parenting Behaviour and Children’s Social, Psychological, and Academic Adjustment in Diverse Family Structures. </w:t>
      </w:r>
      <w:r w:rsidRPr="0029111A">
        <w:rPr>
          <w:rFonts w:ascii="Arial" w:hAnsi="Arial" w:cs="Arial"/>
          <w:i/>
          <w:iCs/>
          <w:sz w:val="22"/>
          <w:szCs w:val="22"/>
          <w:lang w:val="en-GB"/>
        </w:rPr>
        <w:t>Family Relations</w:t>
      </w:r>
      <w:r w:rsidRPr="0029111A">
        <w:rPr>
          <w:rFonts w:ascii="Arial" w:hAnsi="Arial" w:cs="Arial"/>
          <w:sz w:val="22"/>
          <w:szCs w:val="22"/>
          <w:lang w:val="en-GB"/>
        </w:rPr>
        <w:t>, 55(3), p.268.</w:t>
      </w:r>
      <w:r w:rsidRPr="0001479A">
        <w:rPr>
          <w:rFonts w:ascii="Arial" w:hAnsi="Arial" w:cs="Arial"/>
          <w:sz w:val="22"/>
          <w:szCs w:val="22"/>
          <w:lang w:val="en-GB"/>
        </w:rPr>
        <w:t xml:space="preserve"> </w:t>
      </w:r>
    </w:p>
    <w:p w14:paraId="2A13E99F"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Clarke, L. (2017). </w:t>
      </w:r>
      <w:r w:rsidRPr="0001479A">
        <w:rPr>
          <w:rFonts w:ascii="Arial" w:hAnsi="Arial" w:cs="Arial"/>
          <w:i/>
          <w:iCs/>
          <w:sz w:val="22"/>
          <w:szCs w:val="22"/>
          <w:lang w:val="en-GB"/>
        </w:rPr>
        <w:t>Health and social care</w:t>
      </w:r>
      <w:r w:rsidRPr="0001479A">
        <w:rPr>
          <w:rFonts w:ascii="Arial" w:hAnsi="Arial" w:cs="Arial"/>
          <w:sz w:val="22"/>
          <w:szCs w:val="22"/>
          <w:lang w:val="en-GB"/>
        </w:rPr>
        <w:t>. Cheltenham: Nelson Thornes.</w:t>
      </w:r>
    </w:p>
    <w:p w14:paraId="58F63561"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Cohen, C.P. (1989). United Nations: Convention on the Rights of the Child. </w:t>
      </w:r>
      <w:r w:rsidRPr="0001479A">
        <w:rPr>
          <w:rFonts w:ascii="Arial" w:hAnsi="Arial" w:cs="Arial"/>
          <w:i/>
          <w:iCs/>
          <w:sz w:val="22"/>
          <w:szCs w:val="22"/>
          <w:lang w:val="en-GB"/>
        </w:rPr>
        <w:t>International Legal Materials</w:t>
      </w:r>
      <w:r w:rsidRPr="0001479A">
        <w:rPr>
          <w:rFonts w:ascii="Arial" w:hAnsi="Arial" w:cs="Arial"/>
          <w:sz w:val="22"/>
          <w:szCs w:val="22"/>
          <w:lang w:val="en-GB"/>
        </w:rPr>
        <w:t xml:space="preserve">, 28(6), 1448–1476. </w:t>
      </w:r>
    </w:p>
    <w:p w14:paraId="786AA20D"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Esposito, J. and Hattem, A. (2015). </w:t>
      </w:r>
      <w:r w:rsidRPr="0001479A">
        <w:rPr>
          <w:rFonts w:ascii="Arial" w:hAnsi="Arial" w:cs="Arial"/>
          <w:i/>
          <w:iCs/>
          <w:sz w:val="22"/>
          <w:szCs w:val="22"/>
          <w:lang w:val="en-GB"/>
        </w:rPr>
        <w:t>Introduction to Family Counselling</w:t>
      </w:r>
      <w:r w:rsidRPr="0001479A">
        <w:rPr>
          <w:rFonts w:ascii="Arial" w:hAnsi="Arial" w:cs="Arial"/>
          <w:sz w:val="22"/>
          <w:szCs w:val="22"/>
          <w:lang w:val="en-GB"/>
        </w:rPr>
        <w:t>. SAGE Publications.</w:t>
      </w:r>
    </w:p>
    <w:p w14:paraId="2DD7C86E"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Great Britain. Parliament House of Commons. Health Committee (2017). </w:t>
      </w:r>
      <w:r w:rsidRPr="0001479A">
        <w:rPr>
          <w:rFonts w:ascii="Arial" w:hAnsi="Arial" w:cs="Arial"/>
          <w:i/>
          <w:iCs/>
          <w:sz w:val="22"/>
          <w:szCs w:val="22"/>
          <w:lang w:val="en-GB"/>
        </w:rPr>
        <w:t>Child and adolescent mental health services</w:t>
      </w:r>
      <w:r w:rsidRPr="0001479A">
        <w:rPr>
          <w:rFonts w:ascii="Arial" w:hAnsi="Arial" w:cs="Arial"/>
          <w:sz w:val="22"/>
          <w:szCs w:val="22"/>
          <w:lang w:val="en-GB"/>
        </w:rPr>
        <w:t>. London: Stationery Office.</w:t>
      </w:r>
    </w:p>
    <w:p w14:paraId="4A30F99B"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Holt, S., Buckley, H. and Whelan, S. (2010). The Impact of Exposure to Domestic Violence on Children and Young People: A Review of the Literature. </w:t>
      </w:r>
      <w:r w:rsidRPr="0001479A">
        <w:rPr>
          <w:rFonts w:ascii="Arial" w:hAnsi="Arial" w:cs="Arial"/>
          <w:i/>
          <w:iCs/>
          <w:sz w:val="22"/>
          <w:szCs w:val="22"/>
          <w:lang w:val="en-GB"/>
        </w:rPr>
        <w:t>Child Abuse &amp; Neglect</w:t>
      </w:r>
      <w:r w:rsidRPr="0001479A">
        <w:rPr>
          <w:rFonts w:ascii="Arial" w:hAnsi="Arial" w:cs="Arial"/>
          <w:sz w:val="22"/>
          <w:szCs w:val="22"/>
          <w:lang w:val="en-GB"/>
        </w:rPr>
        <w:t xml:space="preserve">, [online] 32(8), pp.797–810. </w:t>
      </w:r>
    </w:p>
    <w:p w14:paraId="53E47A63"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Hornby, G. (2020). </w:t>
      </w:r>
      <w:r w:rsidRPr="0001479A">
        <w:rPr>
          <w:rFonts w:ascii="Arial" w:hAnsi="Arial" w:cs="Arial"/>
          <w:i/>
          <w:iCs/>
          <w:sz w:val="22"/>
          <w:szCs w:val="22"/>
          <w:lang w:val="en-GB"/>
        </w:rPr>
        <w:t>Parental involvement in childhood education: building effective school-family partnerships</w:t>
      </w:r>
      <w:r w:rsidRPr="0001479A">
        <w:rPr>
          <w:rFonts w:ascii="Arial" w:hAnsi="Arial" w:cs="Arial"/>
          <w:sz w:val="22"/>
          <w:szCs w:val="22"/>
          <w:lang w:val="en-GB"/>
        </w:rPr>
        <w:t>. 3rd ed. New York: Springer.</w:t>
      </w:r>
    </w:p>
    <w:p w14:paraId="7F3801F3"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Humphreys, C. and Absler, D. (2018). History repeating: child protection responses to domestic violence. </w:t>
      </w:r>
      <w:r w:rsidRPr="0001479A">
        <w:rPr>
          <w:rFonts w:ascii="Arial" w:hAnsi="Arial" w:cs="Arial"/>
          <w:i/>
          <w:iCs/>
          <w:sz w:val="22"/>
          <w:szCs w:val="22"/>
          <w:lang w:val="en-GB"/>
        </w:rPr>
        <w:t>Child &amp; Family Social Work</w:t>
      </w:r>
      <w:r w:rsidRPr="0001479A">
        <w:rPr>
          <w:rFonts w:ascii="Arial" w:hAnsi="Arial" w:cs="Arial"/>
          <w:sz w:val="22"/>
          <w:szCs w:val="22"/>
          <w:lang w:val="en-GB"/>
        </w:rPr>
        <w:t xml:space="preserve">, 16(4), 464–473. </w:t>
      </w:r>
    </w:p>
    <w:p w14:paraId="22AFCD40"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Johnson, W. (2019). Social Workers and the United Nations Convention on the Rights of the Child. </w:t>
      </w:r>
      <w:r w:rsidRPr="0001479A">
        <w:rPr>
          <w:rFonts w:ascii="Arial" w:hAnsi="Arial" w:cs="Arial"/>
          <w:i/>
          <w:iCs/>
          <w:sz w:val="22"/>
          <w:szCs w:val="22"/>
          <w:lang w:val="en-GB"/>
        </w:rPr>
        <w:t>Social Work</w:t>
      </w:r>
      <w:r w:rsidRPr="0001479A">
        <w:rPr>
          <w:rFonts w:ascii="Arial" w:hAnsi="Arial" w:cs="Arial"/>
          <w:sz w:val="22"/>
          <w:szCs w:val="22"/>
          <w:lang w:val="en-GB"/>
        </w:rPr>
        <w:t xml:space="preserve">, 3(5). </w:t>
      </w:r>
    </w:p>
    <w:p w14:paraId="4D61E166"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Kerr, J.H. and Darling, C.A. (2021). A ‘Family Fair’ Approach to Family Life Education. </w:t>
      </w:r>
      <w:r w:rsidRPr="0001479A">
        <w:rPr>
          <w:rFonts w:ascii="Arial" w:hAnsi="Arial" w:cs="Arial"/>
          <w:i/>
          <w:iCs/>
          <w:sz w:val="22"/>
          <w:szCs w:val="22"/>
          <w:lang w:val="en-GB"/>
        </w:rPr>
        <w:t>Childhood Education</w:t>
      </w:r>
      <w:r w:rsidRPr="0001479A">
        <w:rPr>
          <w:rFonts w:ascii="Arial" w:hAnsi="Arial" w:cs="Arial"/>
          <w:sz w:val="22"/>
          <w:szCs w:val="22"/>
          <w:lang w:val="en-GB"/>
        </w:rPr>
        <w:t xml:space="preserve">, 60(1), 12–16. </w:t>
      </w:r>
    </w:p>
    <w:p w14:paraId="3F10D508"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Larkin, H., Aykanian, A. and Streeter, C.L. (2019). </w:t>
      </w:r>
      <w:r w:rsidRPr="0001479A">
        <w:rPr>
          <w:rFonts w:ascii="Arial" w:hAnsi="Arial" w:cs="Arial"/>
          <w:i/>
          <w:iCs/>
          <w:sz w:val="22"/>
          <w:szCs w:val="22"/>
          <w:lang w:val="en-GB"/>
        </w:rPr>
        <w:t>Homelessness prevention and intervention in social work: policies, programs, and practices</w:t>
      </w:r>
      <w:r w:rsidRPr="0001479A">
        <w:rPr>
          <w:rFonts w:ascii="Arial" w:hAnsi="Arial" w:cs="Arial"/>
          <w:sz w:val="22"/>
          <w:szCs w:val="22"/>
          <w:lang w:val="en-GB"/>
        </w:rPr>
        <w:t>. Cham, Switzerland: Springer.</w:t>
      </w:r>
    </w:p>
    <w:p w14:paraId="03C9589F"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Piper, C. (2021). Historical Constructions of Childhood Innocence. </w:t>
      </w:r>
      <w:r w:rsidRPr="0001479A">
        <w:rPr>
          <w:rFonts w:ascii="Arial" w:hAnsi="Arial" w:cs="Arial"/>
          <w:i/>
          <w:iCs/>
          <w:sz w:val="22"/>
          <w:szCs w:val="22"/>
          <w:lang w:val="en-GB"/>
        </w:rPr>
        <w:t>3</w:t>
      </w:r>
      <w:r w:rsidRPr="0001479A">
        <w:rPr>
          <w:rFonts w:ascii="Arial" w:hAnsi="Arial" w:cs="Arial"/>
          <w:sz w:val="22"/>
          <w:szCs w:val="22"/>
          <w:lang w:val="en-GB"/>
        </w:rPr>
        <w:t xml:space="preserve">, 4(2). </w:t>
      </w:r>
    </w:p>
    <w:p w14:paraId="5E596E87"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Pollitt, Eskenasy, P., Halpern, R. and Ford Foundation (2016). </w:t>
      </w:r>
      <w:r w:rsidRPr="0001479A">
        <w:rPr>
          <w:rFonts w:ascii="Arial" w:hAnsi="Arial" w:cs="Arial"/>
          <w:i/>
          <w:iCs/>
          <w:sz w:val="22"/>
          <w:szCs w:val="22"/>
          <w:lang w:val="en-GB"/>
        </w:rPr>
        <w:t>Poverty and malnutrition in Latin America: early childhood intervention programs</w:t>
      </w:r>
      <w:r w:rsidRPr="0001479A">
        <w:rPr>
          <w:rFonts w:ascii="Arial" w:hAnsi="Arial" w:cs="Arial"/>
          <w:sz w:val="22"/>
          <w:szCs w:val="22"/>
          <w:lang w:val="en-GB"/>
        </w:rPr>
        <w:t>. New York: Praeger Publishers.</w:t>
      </w:r>
    </w:p>
    <w:p w14:paraId="27F215AC"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Rasheed, E. (2017). </w:t>
      </w:r>
      <w:r w:rsidRPr="0001479A">
        <w:rPr>
          <w:rFonts w:ascii="Arial" w:hAnsi="Arial" w:cs="Arial"/>
          <w:i/>
          <w:iCs/>
          <w:sz w:val="22"/>
          <w:szCs w:val="22"/>
          <w:lang w:val="en-GB"/>
        </w:rPr>
        <w:t>Health and social care</w:t>
      </w:r>
      <w:r w:rsidRPr="0001479A">
        <w:rPr>
          <w:rFonts w:ascii="Arial" w:hAnsi="Arial" w:cs="Arial"/>
          <w:sz w:val="22"/>
          <w:szCs w:val="22"/>
          <w:lang w:val="en-GB"/>
        </w:rPr>
        <w:t>. London: Hodder Education.</w:t>
      </w:r>
    </w:p>
    <w:p w14:paraId="0D363F27"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ROSENBAUM, P. (2011). Critical Elements of Family Life and Childhood. </w:t>
      </w:r>
      <w:r w:rsidRPr="0001479A">
        <w:rPr>
          <w:rFonts w:ascii="Arial" w:hAnsi="Arial" w:cs="Arial"/>
          <w:i/>
          <w:iCs/>
          <w:sz w:val="22"/>
          <w:szCs w:val="22"/>
          <w:lang w:val="en-GB"/>
        </w:rPr>
        <w:t>Developmental Medicine &amp; Child Neurology</w:t>
      </w:r>
      <w:r w:rsidRPr="0001479A">
        <w:rPr>
          <w:rFonts w:ascii="Arial" w:hAnsi="Arial" w:cs="Arial"/>
          <w:sz w:val="22"/>
          <w:szCs w:val="22"/>
          <w:lang w:val="en-GB"/>
        </w:rPr>
        <w:t xml:space="preserve">, 53(3), pp.68–70. </w:t>
      </w:r>
    </w:p>
    <w:p w14:paraId="75218292" w14:textId="77777777" w:rsidR="00CF1E1B" w:rsidRPr="0001479A" w:rsidRDefault="00282759" w:rsidP="00CF1E1B">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Rutter, M. (2021). Diagnosis and definition of childhood autism. </w:t>
      </w:r>
      <w:r w:rsidRPr="0001479A">
        <w:rPr>
          <w:rFonts w:ascii="Arial" w:hAnsi="Arial" w:cs="Arial"/>
          <w:i/>
          <w:iCs/>
          <w:sz w:val="22"/>
          <w:szCs w:val="22"/>
          <w:lang w:val="en-GB"/>
        </w:rPr>
        <w:t>Journal of Autism and Childhood Schizophrenia</w:t>
      </w:r>
      <w:r w:rsidRPr="0001479A">
        <w:rPr>
          <w:rFonts w:ascii="Arial" w:hAnsi="Arial" w:cs="Arial"/>
          <w:sz w:val="22"/>
          <w:szCs w:val="22"/>
          <w:lang w:val="en-GB"/>
        </w:rPr>
        <w:t xml:space="preserve">, 8(2), 139–161. </w:t>
      </w:r>
    </w:p>
    <w:p w14:paraId="219B1F37" w14:textId="77777777" w:rsidR="00CF1E1B" w:rsidRPr="003D1020" w:rsidRDefault="00282759" w:rsidP="00CF1E1B">
      <w:pPr>
        <w:pStyle w:val="NormalWeb"/>
        <w:spacing w:before="0" w:beforeAutospacing="0" w:after="0" w:afterAutospacing="0" w:line="360" w:lineRule="auto"/>
        <w:jc w:val="both"/>
        <w:rPr>
          <w:rFonts w:ascii="Arial" w:hAnsi="Arial" w:cs="Arial"/>
          <w:sz w:val="22"/>
          <w:szCs w:val="22"/>
          <w:lang w:val="en-GB"/>
        </w:rPr>
      </w:pPr>
      <w:r w:rsidRPr="003D1020">
        <w:rPr>
          <w:rFonts w:ascii="Arial" w:hAnsi="Arial" w:cs="Arial"/>
          <w:sz w:val="22"/>
          <w:szCs w:val="22"/>
          <w:lang w:val="en-GB"/>
        </w:rPr>
        <w:t>Siegel, D.J., 2014. Parenting from the Inside Out. S.L.: Brilliance Audio.</w:t>
      </w:r>
    </w:p>
    <w:p w14:paraId="57094457" w14:textId="77777777" w:rsidR="00CF1E1B" w:rsidRPr="00B91569" w:rsidRDefault="00282759" w:rsidP="00CF1E1B">
      <w:pPr>
        <w:pStyle w:val="NormalWeb"/>
        <w:spacing w:before="0" w:beforeAutospacing="0" w:after="0" w:afterAutospacing="0" w:line="360" w:lineRule="auto"/>
        <w:jc w:val="both"/>
        <w:rPr>
          <w:rFonts w:ascii="Arial" w:hAnsi="Arial" w:cs="Arial"/>
          <w:sz w:val="22"/>
          <w:szCs w:val="22"/>
          <w:lang w:val="nl-NL"/>
        </w:rPr>
      </w:pPr>
      <w:r w:rsidRPr="0001479A">
        <w:rPr>
          <w:rFonts w:ascii="Arial" w:hAnsi="Arial" w:cs="Arial"/>
          <w:sz w:val="22"/>
          <w:szCs w:val="22"/>
          <w:lang w:val="en-GB"/>
        </w:rPr>
        <w:t xml:space="preserve">Stallworth, M. (2019). </w:t>
      </w:r>
      <w:r w:rsidRPr="0001479A">
        <w:rPr>
          <w:rFonts w:ascii="Arial" w:hAnsi="Arial" w:cs="Arial"/>
          <w:i/>
          <w:iCs/>
          <w:sz w:val="22"/>
          <w:szCs w:val="22"/>
          <w:lang w:val="en-GB"/>
        </w:rPr>
        <w:t>Different Family Structures</w:t>
      </w:r>
      <w:r w:rsidRPr="0001479A">
        <w:rPr>
          <w:rFonts w:ascii="Arial" w:hAnsi="Arial" w:cs="Arial"/>
          <w:sz w:val="22"/>
          <w:szCs w:val="22"/>
          <w:lang w:val="en-GB"/>
        </w:rPr>
        <w:t xml:space="preserve">. </w:t>
      </w:r>
      <w:r w:rsidRPr="00B91569">
        <w:rPr>
          <w:rFonts w:ascii="Arial" w:hAnsi="Arial" w:cs="Arial"/>
          <w:sz w:val="22"/>
          <w:szCs w:val="22"/>
          <w:lang w:val="nl-NL"/>
        </w:rPr>
        <w:t>Social Science Academy.</w:t>
      </w:r>
    </w:p>
    <w:p w14:paraId="198FA2C3" w14:textId="77777777" w:rsidR="00CF1E1B" w:rsidRPr="0001479A" w:rsidRDefault="00282759" w:rsidP="00B47973">
      <w:pPr>
        <w:pStyle w:val="NormalWeb"/>
        <w:spacing w:before="0" w:beforeAutospacing="0" w:after="0" w:afterAutospacing="0" w:line="360" w:lineRule="auto"/>
        <w:jc w:val="both"/>
        <w:rPr>
          <w:rFonts w:ascii="Arial" w:hAnsi="Arial" w:cs="Arial"/>
          <w:sz w:val="22"/>
          <w:szCs w:val="22"/>
          <w:lang w:val="en-GB"/>
        </w:rPr>
      </w:pPr>
      <w:r w:rsidRPr="00B91569">
        <w:rPr>
          <w:rFonts w:ascii="Arial" w:hAnsi="Arial" w:cs="Arial"/>
          <w:sz w:val="22"/>
          <w:szCs w:val="22"/>
          <w:lang w:val="nl-NL"/>
        </w:rPr>
        <w:lastRenderedPageBreak/>
        <w:t xml:space="preserve">Van Wonderen, K.E., Van Der Mark, L.B., Mohrs, J., Bindels, P.J.E., Van Aalderen, W.M.C. and Ter Riet, G. (2010). </w:t>
      </w:r>
      <w:r w:rsidRPr="0001479A">
        <w:rPr>
          <w:rFonts w:ascii="Arial" w:hAnsi="Arial" w:cs="Arial"/>
          <w:sz w:val="22"/>
          <w:szCs w:val="22"/>
          <w:lang w:val="en-GB"/>
        </w:rPr>
        <w:t xml:space="preserve">Different definitions of Childhood: How dependable is the dependent variable? </w:t>
      </w:r>
      <w:r w:rsidRPr="0001479A">
        <w:rPr>
          <w:rFonts w:ascii="Arial" w:hAnsi="Arial" w:cs="Arial"/>
          <w:i/>
          <w:iCs/>
          <w:sz w:val="22"/>
          <w:szCs w:val="22"/>
          <w:lang w:val="en-GB"/>
        </w:rPr>
        <w:t>The European Respiratory Journal</w:t>
      </w:r>
      <w:r w:rsidRPr="0001479A">
        <w:rPr>
          <w:rFonts w:ascii="Arial" w:hAnsi="Arial" w:cs="Arial"/>
          <w:sz w:val="22"/>
          <w:szCs w:val="22"/>
          <w:lang w:val="en-GB"/>
        </w:rPr>
        <w:t xml:space="preserve">, [online] 36(1), pp.48–56. </w:t>
      </w:r>
    </w:p>
    <w:p w14:paraId="3663CE8F" w14:textId="77777777" w:rsidR="00CF1E1B" w:rsidRDefault="00282759" w:rsidP="00B47973">
      <w:pPr>
        <w:pStyle w:val="NormalWeb"/>
        <w:spacing w:before="0" w:beforeAutospacing="0" w:after="0" w:afterAutospacing="0" w:line="360" w:lineRule="auto"/>
        <w:jc w:val="both"/>
        <w:rPr>
          <w:rFonts w:ascii="Arial" w:hAnsi="Arial" w:cs="Arial"/>
          <w:sz w:val="22"/>
          <w:szCs w:val="22"/>
          <w:lang w:val="en-GB"/>
        </w:rPr>
      </w:pPr>
      <w:r w:rsidRPr="0001479A">
        <w:rPr>
          <w:rFonts w:ascii="Arial" w:hAnsi="Arial" w:cs="Arial"/>
          <w:sz w:val="22"/>
          <w:szCs w:val="22"/>
          <w:lang w:val="en-GB"/>
        </w:rPr>
        <w:t xml:space="preserve">Winkelstern, J.A. and Jongsma, A.E. (2013). </w:t>
      </w:r>
      <w:r w:rsidRPr="0001479A">
        <w:rPr>
          <w:rFonts w:ascii="Arial" w:hAnsi="Arial" w:cs="Arial"/>
          <w:i/>
          <w:iCs/>
          <w:sz w:val="22"/>
          <w:szCs w:val="22"/>
          <w:lang w:val="en-GB"/>
        </w:rPr>
        <w:t>The early childhood intervention treatment planner</w:t>
      </w:r>
      <w:r w:rsidRPr="0001479A">
        <w:rPr>
          <w:rFonts w:ascii="Arial" w:hAnsi="Arial" w:cs="Arial"/>
          <w:sz w:val="22"/>
          <w:szCs w:val="22"/>
          <w:lang w:val="en-GB"/>
        </w:rPr>
        <w:t>. Hoboken, N.J.; Chichester: Wiley.</w:t>
      </w:r>
    </w:p>
    <w:p w14:paraId="2DF814E0" w14:textId="77777777" w:rsidR="003D1020" w:rsidRPr="0001479A" w:rsidRDefault="003D1020" w:rsidP="00B47973">
      <w:pPr>
        <w:pStyle w:val="NormalWeb"/>
        <w:spacing w:before="0" w:beforeAutospacing="0" w:after="0" w:afterAutospacing="0" w:line="360" w:lineRule="auto"/>
        <w:jc w:val="both"/>
        <w:rPr>
          <w:rFonts w:ascii="Arial" w:hAnsi="Arial" w:cs="Arial"/>
          <w:sz w:val="22"/>
          <w:szCs w:val="22"/>
          <w:lang w:val="en-GB"/>
        </w:rPr>
      </w:pPr>
    </w:p>
    <w:p w14:paraId="21458F72" w14:textId="77777777" w:rsidR="00CD06E5" w:rsidRPr="0001479A" w:rsidRDefault="00CD06E5" w:rsidP="00B47973">
      <w:pPr>
        <w:pStyle w:val="NormalWeb"/>
        <w:spacing w:before="0" w:beforeAutospacing="0" w:after="240" w:afterAutospacing="0" w:line="360" w:lineRule="auto"/>
        <w:jc w:val="both"/>
        <w:rPr>
          <w:rFonts w:ascii="Arial" w:hAnsi="Arial" w:cs="Arial"/>
          <w:sz w:val="22"/>
          <w:szCs w:val="22"/>
          <w:lang w:val="en-GB"/>
        </w:rPr>
      </w:pPr>
    </w:p>
    <w:sectPr w:rsidR="00CD06E5" w:rsidRPr="0001479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F66D3" w14:textId="77777777" w:rsidR="00565356" w:rsidRDefault="00565356">
      <w:pPr>
        <w:spacing w:after="0" w:line="240" w:lineRule="auto"/>
      </w:pPr>
      <w:r>
        <w:separator/>
      </w:r>
    </w:p>
  </w:endnote>
  <w:endnote w:type="continuationSeparator" w:id="0">
    <w:p w14:paraId="31DA69C8" w14:textId="77777777" w:rsidR="00565356" w:rsidRDefault="00565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76798"/>
      <w:docPartObj>
        <w:docPartGallery w:val="Page Numbers (Bottom of Page)"/>
        <w:docPartUnique/>
      </w:docPartObj>
    </w:sdtPr>
    <w:sdtContent>
      <w:p w14:paraId="09F4DCF0" w14:textId="77777777" w:rsidR="0077516B" w:rsidRDefault="0028275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1CC8C8D" w14:textId="77777777" w:rsidR="0077516B" w:rsidRDefault="00775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C207B" w14:textId="77777777" w:rsidR="00565356" w:rsidRDefault="00565356">
      <w:pPr>
        <w:spacing w:after="0" w:line="240" w:lineRule="auto"/>
      </w:pPr>
      <w:r>
        <w:separator/>
      </w:r>
    </w:p>
  </w:footnote>
  <w:footnote w:type="continuationSeparator" w:id="0">
    <w:p w14:paraId="382BCDF7" w14:textId="77777777" w:rsidR="00565356" w:rsidRDefault="005653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61516"/>
    <w:multiLevelType w:val="hybridMultilevel"/>
    <w:tmpl w:val="378A3B42"/>
    <w:lvl w:ilvl="0" w:tplc="EA54285E">
      <w:start w:val="1"/>
      <w:numFmt w:val="bullet"/>
      <w:lvlText w:val=""/>
      <w:lvlJc w:val="left"/>
      <w:pPr>
        <w:ind w:left="360" w:hanging="360"/>
      </w:pPr>
      <w:rPr>
        <w:rFonts w:ascii="Wingdings" w:hAnsi="Wingdings" w:hint="default"/>
      </w:rPr>
    </w:lvl>
    <w:lvl w:ilvl="1" w:tplc="E69C6EDE" w:tentative="1">
      <w:start w:val="1"/>
      <w:numFmt w:val="bullet"/>
      <w:lvlText w:val="o"/>
      <w:lvlJc w:val="left"/>
      <w:pPr>
        <w:ind w:left="1080" w:hanging="360"/>
      </w:pPr>
      <w:rPr>
        <w:rFonts w:ascii="Courier New" w:hAnsi="Courier New" w:cs="Courier New" w:hint="default"/>
      </w:rPr>
    </w:lvl>
    <w:lvl w:ilvl="2" w:tplc="D8DAAA56" w:tentative="1">
      <w:start w:val="1"/>
      <w:numFmt w:val="bullet"/>
      <w:lvlText w:val=""/>
      <w:lvlJc w:val="left"/>
      <w:pPr>
        <w:ind w:left="1800" w:hanging="360"/>
      </w:pPr>
      <w:rPr>
        <w:rFonts w:ascii="Wingdings" w:hAnsi="Wingdings" w:hint="default"/>
      </w:rPr>
    </w:lvl>
    <w:lvl w:ilvl="3" w:tplc="33BC22F0" w:tentative="1">
      <w:start w:val="1"/>
      <w:numFmt w:val="bullet"/>
      <w:lvlText w:val=""/>
      <w:lvlJc w:val="left"/>
      <w:pPr>
        <w:ind w:left="2520" w:hanging="360"/>
      </w:pPr>
      <w:rPr>
        <w:rFonts w:ascii="Symbol" w:hAnsi="Symbol" w:hint="default"/>
      </w:rPr>
    </w:lvl>
    <w:lvl w:ilvl="4" w:tplc="A68AAB62" w:tentative="1">
      <w:start w:val="1"/>
      <w:numFmt w:val="bullet"/>
      <w:lvlText w:val="o"/>
      <w:lvlJc w:val="left"/>
      <w:pPr>
        <w:ind w:left="3240" w:hanging="360"/>
      </w:pPr>
      <w:rPr>
        <w:rFonts w:ascii="Courier New" w:hAnsi="Courier New" w:cs="Courier New" w:hint="default"/>
      </w:rPr>
    </w:lvl>
    <w:lvl w:ilvl="5" w:tplc="83C23586" w:tentative="1">
      <w:start w:val="1"/>
      <w:numFmt w:val="bullet"/>
      <w:lvlText w:val=""/>
      <w:lvlJc w:val="left"/>
      <w:pPr>
        <w:ind w:left="3960" w:hanging="360"/>
      </w:pPr>
      <w:rPr>
        <w:rFonts w:ascii="Wingdings" w:hAnsi="Wingdings" w:hint="default"/>
      </w:rPr>
    </w:lvl>
    <w:lvl w:ilvl="6" w:tplc="A424A36C" w:tentative="1">
      <w:start w:val="1"/>
      <w:numFmt w:val="bullet"/>
      <w:lvlText w:val=""/>
      <w:lvlJc w:val="left"/>
      <w:pPr>
        <w:ind w:left="4680" w:hanging="360"/>
      </w:pPr>
      <w:rPr>
        <w:rFonts w:ascii="Symbol" w:hAnsi="Symbol" w:hint="default"/>
      </w:rPr>
    </w:lvl>
    <w:lvl w:ilvl="7" w:tplc="16A89324" w:tentative="1">
      <w:start w:val="1"/>
      <w:numFmt w:val="bullet"/>
      <w:lvlText w:val="o"/>
      <w:lvlJc w:val="left"/>
      <w:pPr>
        <w:ind w:left="5400" w:hanging="360"/>
      </w:pPr>
      <w:rPr>
        <w:rFonts w:ascii="Courier New" w:hAnsi="Courier New" w:cs="Courier New" w:hint="default"/>
      </w:rPr>
    </w:lvl>
    <w:lvl w:ilvl="8" w:tplc="2E9CA468" w:tentative="1">
      <w:start w:val="1"/>
      <w:numFmt w:val="bullet"/>
      <w:lvlText w:val=""/>
      <w:lvlJc w:val="left"/>
      <w:pPr>
        <w:ind w:left="6120" w:hanging="360"/>
      </w:pPr>
      <w:rPr>
        <w:rFonts w:ascii="Wingdings" w:hAnsi="Wingdings" w:hint="default"/>
      </w:rPr>
    </w:lvl>
  </w:abstractNum>
  <w:abstractNum w:abstractNumId="1" w15:restartNumberingAfterBreak="0">
    <w:nsid w:val="1D9A5C8A"/>
    <w:multiLevelType w:val="hybridMultilevel"/>
    <w:tmpl w:val="B4CA3F90"/>
    <w:lvl w:ilvl="0" w:tplc="0EE2439E">
      <w:start w:val="1"/>
      <w:numFmt w:val="bullet"/>
      <w:lvlText w:val=""/>
      <w:lvlJc w:val="left"/>
      <w:pPr>
        <w:ind w:left="360" w:hanging="360"/>
      </w:pPr>
      <w:rPr>
        <w:rFonts w:ascii="Wingdings" w:hAnsi="Wingdings" w:hint="default"/>
      </w:rPr>
    </w:lvl>
    <w:lvl w:ilvl="1" w:tplc="901E36CA" w:tentative="1">
      <w:start w:val="1"/>
      <w:numFmt w:val="bullet"/>
      <w:lvlText w:val="o"/>
      <w:lvlJc w:val="left"/>
      <w:pPr>
        <w:ind w:left="1080" w:hanging="360"/>
      </w:pPr>
      <w:rPr>
        <w:rFonts w:ascii="Courier New" w:hAnsi="Courier New" w:cs="Courier New" w:hint="default"/>
      </w:rPr>
    </w:lvl>
    <w:lvl w:ilvl="2" w:tplc="6ACE0198" w:tentative="1">
      <w:start w:val="1"/>
      <w:numFmt w:val="bullet"/>
      <w:lvlText w:val=""/>
      <w:lvlJc w:val="left"/>
      <w:pPr>
        <w:ind w:left="1800" w:hanging="360"/>
      </w:pPr>
      <w:rPr>
        <w:rFonts w:ascii="Wingdings" w:hAnsi="Wingdings" w:hint="default"/>
      </w:rPr>
    </w:lvl>
    <w:lvl w:ilvl="3" w:tplc="99DC114E" w:tentative="1">
      <w:start w:val="1"/>
      <w:numFmt w:val="bullet"/>
      <w:lvlText w:val=""/>
      <w:lvlJc w:val="left"/>
      <w:pPr>
        <w:ind w:left="2520" w:hanging="360"/>
      </w:pPr>
      <w:rPr>
        <w:rFonts w:ascii="Symbol" w:hAnsi="Symbol" w:hint="default"/>
      </w:rPr>
    </w:lvl>
    <w:lvl w:ilvl="4" w:tplc="4014C652" w:tentative="1">
      <w:start w:val="1"/>
      <w:numFmt w:val="bullet"/>
      <w:lvlText w:val="o"/>
      <w:lvlJc w:val="left"/>
      <w:pPr>
        <w:ind w:left="3240" w:hanging="360"/>
      </w:pPr>
      <w:rPr>
        <w:rFonts w:ascii="Courier New" w:hAnsi="Courier New" w:cs="Courier New" w:hint="default"/>
      </w:rPr>
    </w:lvl>
    <w:lvl w:ilvl="5" w:tplc="D3E0E5C6" w:tentative="1">
      <w:start w:val="1"/>
      <w:numFmt w:val="bullet"/>
      <w:lvlText w:val=""/>
      <w:lvlJc w:val="left"/>
      <w:pPr>
        <w:ind w:left="3960" w:hanging="360"/>
      </w:pPr>
      <w:rPr>
        <w:rFonts w:ascii="Wingdings" w:hAnsi="Wingdings" w:hint="default"/>
      </w:rPr>
    </w:lvl>
    <w:lvl w:ilvl="6" w:tplc="7F4C07CE" w:tentative="1">
      <w:start w:val="1"/>
      <w:numFmt w:val="bullet"/>
      <w:lvlText w:val=""/>
      <w:lvlJc w:val="left"/>
      <w:pPr>
        <w:ind w:left="4680" w:hanging="360"/>
      </w:pPr>
      <w:rPr>
        <w:rFonts w:ascii="Symbol" w:hAnsi="Symbol" w:hint="default"/>
      </w:rPr>
    </w:lvl>
    <w:lvl w:ilvl="7" w:tplc="C2E092C8" w:tentative="1">
      <w:start w:val="1"/>
      <w:numFmt w:val="bullet"/>
      <w:lvlText w:val="o"/>
      <w:lvlJc w:val="left"/>
      <w:pPr>
        <w:ind w:left="5400" w:hanging="360"/>
      </w:pPr>
      <w:rPr>
        <w:rFonts w:ascii="Courier New" w:hAnsi="Courier New" w:cs="Courier New" w:hint="default"/>
      </w:rPr>
    </w:lvl>
    <w:lvl w:ilvl="8" w:tplc="993E7636" w:tentative="1">
      <w:start w:val="1"/>
      <w:numFmt w:val="bullet"/>
      <w:lvlText w:val=""/>
      <w:lvlJc w:val="left"/>
      <w:pPr>
        <w:ind w:left="6120" w:hanging="360"/>
      </w:pPr>
      <w:rPr>
        <w:rFonts w:ascii="Wingdings" w:hAnsi="Wingdings" w:hint="default"/>
      </w:rPr>
    </w:lvl>
  </w:abstractNum>
  <w:abstractNum w:abstractNumId="2" w15:restartNumberingAfterBreak="0">
    <w:nsid w:val="4EED2DB1"/>
    <w:multiLevelType w:val="hybridMultilevel"/>
    <w:tmpl w:val="18D8910C"/>
    <w:lvl w:ilvl="0" w:tplc="FE1C41E0">
      <w:start w:val="1"/>
      <w:numFmt w:val="bullet"/>
      <w:lvlText w:val=""/>
      <w:lvlJc w:val="left"/>
      <w:pPr>
        <w:ind w:left="360" w:hanging="360"/>
      </w:pPr>
      <w:rPr>
        <w:rFonts w:ascii="Wingdings" w:hAnsi="Wingdings" w:hint="default"/>
      </w:rPr>
    </w:lvl>
    <w:lvl w:ilvl="1" w:tplc="B13CC678" w:tentative="1">
      <w:start w:val="1"/>
      <w:numFmt w:val="bullet"/>
      <w:lvlText w:val="o"/>
      <w:lvlJc w:val="left"/>
      <w:pPr>
        <w:ind w:left="1080" w:hanging="360"/>
      </w:pPr>
      <w:rPr>
        <w:rFonts w:ascii="Courier New" w:hAnsi="Courier New" w:cs="Courier New" w:hint="default"/>
      </w:rPr>
    </w:lvl>
    <w:lvl w:ilvl="2" w:tplc="6444DDDC" w:tentative="1">
      <w:start w:val="1"/>
      <w:numFmt w:val="bullet"/>
      <w:lvlText w:val=""/>
      <w:lvlJc w:val="left"/>
      <w:pPr>
        <w:ind w:left="1800" w:hanging="360"/>
      </w:pPr>
      <w:rPr>
        <w:rFonts w:ascii="Wingdings" w:hAnsi="Wingdings" w:hint="default"/>
      </w:rPr>
    </w:lvl>
    <w:lvl w:ilvl="3" w:tplc="D7F09648" w:tentative="1">
      <w:start w:val="1"/>
      <w:numFmt w:val="bullet"/>
      <w:lvlText w:val=""/>
      <w:lvlJc w:val="left"/>
      <w:pPr>
        <w:ind w:left="2520" w:hanging="360"/>
      </w:pPr>
      <w:rPr>
        <w:rFonts w:ascii="Symbol" w:hAnsi="Symbol" w:hint="default"/>
      </w:rPr>
    </w:lvl>
    <w:lvl w:ilvl="4" w:tplc="D5748296" w:tentative="1">
      <w:start w:val="1"/>
      <w:numFmt w:val="bullet"/>
      <w:lvlText w:val="o"/>
      <w:lvlJc w:val="left"/>
      <w:pPr>
        <w:ind w:left="3240" w:hanging="360"/>
      </w:pPr>
      <w:rPr>
        <w:rFonts w:ascii="Courier New" w:hAnsi="Courier New" w:cs="Courier New" w:hint="default"/>
      </w:rPr>
    </w:lvl>
    <w:lvl w:ilvl="5" w:tplc="32AA1C84" w:tentative="1">
      <w:start w:val="1"/>
      <w:numFmt w:val="bullet"/>
      <w:lvlText w:val=""/>
      <w:lvlJc w:val="left"/>
      <w:pPr>
        <w:ind w:left="3960" w:hanging="360"/>
      </w:pPr>
      <w:rPr>
        <w:rFonts w:ascii="Wingdings" w:hAnsi="Wingdings" w:hint="default"/>
      </w:rPr>
    </w:lvl>
    <w:lvl w:ilvl="6" w:tplc="67EE7DB8" w:tentative="1">
      <w:start w:val="1"/>
      <w:numFmt w:val="bullet"/>
      <w:lvlText w:val=""/>
      <w:lvlJc w:val="left"/>
      <w:pPr>
        <w:ind w:left="4680" w:hanging="360"/>
      </w:pPr>
      <w:rPr>
        <w:rFonts w:ascii="Symbol" w:hAnsi="Symbol" w:hint="default"/>
      </w:rPr>
    </w:lvl>
    <w:lvl w:ilvl="7" w:tplc="99A24CAC" w:tentative="1">
      <w:start w:val="1"/>
      <w:numFmt w:val="bullet"/>
      <w:lvlText w:val="o"/>
      <w:lvlJc w:val="left"/>
      <w:pPr>
        <w:ind w:left="5400" w:hanging="360"/>
      </w:pPr>
      <w:rPr>
        <w:rFonts w:ascii="Courier New" w:hAnsi="Courier New" w:cs="Courier New" w:hint="default"/>
      </w:rPr>
    </w:lvl>
    <w:lvl w:ilvl="8" w:tplc="B5E494D4" w:tentative="1">
      <w:start w:val="1"/>
      <w:numFmt w:val="bullet"/>
      <w:lvlText w:val=""/>
      <w:lvlJc w:val="left"/>
      <w:pPr>
        <w:ind w:left="6120" w:hanging="360"/>
      </w:pPr>
      <w:rPr>
        <w:rFonts w:ascii="Wingdings" w:hAnsi="Wingdings" w:hint="default"/>
      </w:rPr>
    </w:lvl>
  </w:abstractNum>
  <w:abstractNum w:abstractNumId="3" w15:restartNumberingAfterBreak="0">
    <w:nsid w:val="5F946A9D"/>
    <w:multiLevelType w:val="hybridMultilevel"/>
    <w:tmpl w:val="BC36E6D8"/>
    <w:lvl w:ilvl="0" w:tplc="460A7F72">
      <w:start w:val="1"/>
      <w:numFmt w:val="bullet"/>
      <w:lvlText w:val=""/>
      <w:lvlJc w:val="left"/>
      <w:pPr>
        <w:ind w:left="360" w:hanging="360"/>
      </w:pPr>
      <w:rPr>
        <w:rFonts w:ascii="Wingdings" w:hAnsi="Wingdings" w:hint="default"/>
      </w:rPr>
    </w:lvl>
    <w:lvl w:ilvl="1" w:tplc="CE7E43C6" w:tentative="1">
      <w:start w:val="1"/>
      <w:numFmt w:val="bullet"/>
      <w:lvlText w:val="o"/>
      <w:lvlJc w:val="left"/>
      <w:pPr>
        <w:ind w:left="1080" w:hanging="360"/>
      </w:pPr>
      <w:rPr>
        <w:rFonts w:ascii="Courier New" w:hAnsi="Courier New" w:cs="Courier New" w:hint="default"/>
      </w:rPr>
    </w:lvl>
    <w:lvl w:ilvl="2" w:tplc="8BBAF916" w:tentative="1">
      <w:start w:val="1"/>
      <w:numFmt w:val="bullet"/>
      <w:lvlText w:val=""/>
      <w:lvlJc w:val="left"/>
      <w:pPr>
        <w:ind w:left="1800" w:hanging="360"/>
      </w:pPr>
      <w:rPr>
        <w:rFonts w:ascii="Wingdings" w:hAnsi="Wingdings" w:hint="default"/>
      </w:rPr>
    </w:lvl>
    <w:lvl w:ilvl="3" w:tplc="7902CC06" w:tentative="1">
      <w:start w:val="1"/>
      <w:numFmt w:val="bullet"/>
      <w:lvlText w:val=""/>
      <w:lvlJc w:val="left"/>
      <w:pPr>
        <w:ind w:left="2520" w:hanging="360"/>
      </w:pPr>
      <w:rPr>
        <w:rFonts w:ascii="Symbol" w:hAnsi="Symbol" w:hint="default"/>
      </w:rPr>
    </w:lvl>
    <w:lvl w:ilvl="4" w:tplc="7CC89C36" w:tentative="1">
      <w:start w:val="1"/>
      <w:numFmt w:val="bullet"/>
      <w:lvlText w:val="o"/>
      <w:lvlJc w:val="left"/>
      <w:pPr>
        <w:ind w:left="3240" w:hanging="360"/>
      </w:pPr>
      <w:rPr>
        <w:rFonts w:ascii="Courier New" w:hAnsi="Courier New" w:cs="Courier New" w:hint="default"/>
      </w:rPr>
    </w:lvl>
    <w:lvl w:ilvl="5" w:tplc="34B08AF8" w:tentative="1">
      <w:start w:val="1"/>
      <w:numFmt w:val="bullet"/>
      <w:lvlText w:val=""/>
      <w:lvlJc w:val="left"/>
      <w:pPr>
        <w:ind w:left="3960" w:hanging="360"/>
      </w:pPr>
      <w:rPr>
        <w:rFonts w:ascii="Wingdings" w:hAnsi="Wingdings" w:hint="default"/>
      </w:rPr>
    </w:lvl>
    <w:lvl w:ilvl="6" w:tplc="D24E9660" w:tentative="1">
      <w:start w:val="1"/>
      <w:numFmt w:val="bullet"/>
      <w:lvlText w:val=""/>
      <w:lvlJc w:val="left"/>
      <w:pPr>
        <w:ind w:left="4680" w:hanging="360"/>
      </w:pPr>
      <w:rPr>
        <w:rFonts w:ascii="Symbol" w:hAnsi="Symbol" w:hint="default"/>
      </w:rPr>
    </w:lvl>
    <w:lvl w:ilvl="7" w:tplc="7DACB382" w:tentative="1">
      <w:start w:val="1"/>
      <w:numFmt w:val="bullet"/>
      <w:lvlText w:val="o"/>
      <w:lvlJc w:val="left"/>
      <w:pPr>
        <w:ind w:left="5400" w:hanging="360"/>
      </w:pPr>
      <w:rPr>
        <w:rFonts w:ascii="Courier New" w:hAnsi="Courier New" w:cs="Courier New" w:hint="default"/>
      </w:rPr>
    </w:lvl>
    <w:lvl w:ilvl="8" w:tplc="F3E416D4" w:tentative="1">
      <w:start w:val="1"/>
      <w:numFmt w:val="bullet"/>
      <w:lvlText w:val=""/>
      <w:lvlJc w:val="left"/>
      <w:pPr>
        <w:ind w:left="6120" w:hanging="360"/>
      </w:pPr>
      <w:rPr>
        <w:rFonts w:ascii="Wingdings" w:hAnsi="Wingdings" w:hint="default"/>
      </w:rPr>
    </w:lvl>
  </w:abstractNum>
  <w:abstractNum w:abstractNumId="4" w15:restartNumberingAfterBreak="0">
    <w:nsid w:val="725C09A6"/>
    <w:multiLevelType w:val="hybridMultilevel"/>
    <w:tmpl w:val="A24CD3F2"/>
    <w:lvl w:ilvl="0" w:tplc="F78AEA3E">
      <w:start w:val="1"/>
      <w:numFmt w:val="bullet"/>
      <w:lvlText w:val=""/>
      <w:lvlJc w:val="left"/>
      <w:pPr>
        <w:ind w:left="360" w:hanging="360"/>
      </w:pPr>
      <w:rPr>
        <w:rFonts w:ascii="Wingdings" w:hAnsi="Wingdings" w:hint="default"/>
      </w:rPr>
    </w:lvl>
    <w:lvl w:ilvl="1" w:tplc="DE1A0684" w:tentative="1">
      <w:start w:val="1"/>
      <w:numFmt w:val="bullet"/>
      <w:lvlText w:val="o"/>
      <w:lvlJc w:val="left"/>
      <w:pPr>
        <w:ind w:left="1080" w:hanging="360"/>
      </w:pPr>
      <w:rPr>
        <w:rFonts w:ascii="Courier New" w:hAnsi="Courier New" w:cs="Courier New" w:hint="default"/>
      </w:rPr>
    </w:lvl>
    <w:lvl w:ilvl="2" w:tplc="36386278" w:tentative="1">
      <w:start w:val="1"/>
      <w:numFmt w:val="bullet"/>
      <w:lvlText w:val=""/>
      <w:lvlJc w:val="left"/>
      <w:pPr>
        <w:ind w:left="1800" w:hanging="360"/>
      </w:pPr>
      <w:rPr>
        <w:rFonts w:ascii="Wingdings" w:hAnsi="Wingdings" w:hint="default"/>
      </w:rPr>
    </w:lvl>
    <w:lvl w:ilvl="3" w:tplc="108E6C5C" w:tentative="1">
      <w:start w:val="1"/>
      <w:numFmt w:val="bullet"/>
      <w:lvlText w:val=""/>
      <w:lvlJc w:val="left"/>
      <w:pPr>
        <w:ind w:left="2520" w:hanging="360"/>
      </w:pPr>
      <w:rPr>
        <w:rFonts w:ascii="Symbol" w:hAnsi="Symbol" w:hint="default"/>
      </w:rPr>
    </w:lvl>
    <w:lvl w:ilvl="4" w:tplc="91D627C0" w:tentative="1">
      <w:start w:val="1"/>
      <w:numFmt w:val="bullet"/>
      <w:lvlText w:val="o"/>
      <w:lvlJc w:val="left"/>
      <w:pPr>
        <w:ind w:left="3240" w:hanging="360"/>
      </w:pPr>
      <w:rPr>
        <w:rFonts w:ascii="Courier New" w:hAnsi="Courier New" w:cs="Courier New" w:hint="default"/>
      </w:rPr>
    </w:lvl>
    <w:lvl w:ilvl="5" w:tplc="50C4F87E" w:tentative="1">
      <w:start w:val="1"/>
      <w:numFmt w:val="bullet"/>
      <w:lvlText w:val=""/>
      <w:lvlJc w:val="left"/>
      <w:pPr>
        <w:ind w:left="3960" w:hanging="360"/>
      </w:pPr>
      <w:rPr>
        <w:rFonts w:ascii="Wingdings" w:hAnsi="Wingdings" w:hint="default"/>
      </w:rPr>
    </w:lvl>
    <w:lvl w:ilvl="6" w:tplc="9B64F808" w:tentative="1">
      <w:start w:val="1"/>
      <w:numFmt w:val="bullet"/>
      <w:lvlText w:val=""/>
      <w:lvlJc w:val="left"/>
      <w:pPr>
        <w:ind w:left="4680" w:hanging="360"/>
      </w:pPr>
      <w:rPr>
        <w:rFonts w:ascii="Symbol" w:hAnsi="Symbol" w:hint="default"/>
      </w:rPr>
    </w:lvl>
    <w:lvl w:ilvl="7" w:tplc="DAEE9932" w:tentative="1">
      <w:start w:val="1"/>
      <w:numFmt w:val="bullet"/>
      <w:lvlText w:val="o"/>
      <w:lvlJc w:val="left"/>
      <w:pPr>
        <w:ind w:left="5400" w:hanging="360"/>
      </w:pPr>
      <w:rPr>
        <w:rFonts w:ascii="Courier New" w:hAnsi="Courier New" w:cs="Courier New" w:hint="default"/>
      </w:rPr>
    </w:lvl>
    <w:lvl w:ilvl="8" w:tplc="BC92BE94" w:tentative="1">
      <w:start w:val="1"/>
      <w:numFmt w:val="bullet"/>
      <w:lvlText w:val=""/>
      <w:lvlJc w:val="left"/>
      <w:pPr>
        <w:ind w:left="6120" w:hanging="360"/>
      </w:pPr>
      <w:rPr>
        <w:rFonts w:ascii="Wingdings" w:hAnsi="Wingdings" w:hint="default"/>
      </w:rPr>
    </w:lvl>
  </w:abstractNum>
  <w:num w:numId="1" w16cid:durableId="1687903035">
    <w:abstractNumId w:val="3"/>
  </w:num>
  <w:num w:numId="2" w16cid:durableId="1402755613">
    <w:abstractNumId w:val="0"/>
  </w:num>
  <w:num w:numId="3" w16cid:durableId="923808049">
    <w:abstractNumId w:val="2"/>
  </w:num>
  <w:num w:numId="4" w16cid:durableId="601882728">
    <w:abstractNumId w:val="1"/>
  </w:num>
  <w:num w:numId="5" w16cid:durableId="2434140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95C"/>
    <w:rsid w:val="0001479A"/>
    <w:rsid w:val="0009076D"/>
    <w:rsid w:val="00094968"/>
    <w:rsid w:val="000B52FC"/>
    <w:rsid w:val="001066D2"/>
    <w:rsid w:val="0016239A"/>
    <w:rsid w:val="00195E1C"/>
    <w:rsid w:val="00207EB8"/>
    <w:rsid w:val="00282759"/>
    <w:rsid w:val="0029111A"/>
    <w:rsid w:val="0031595C"/>
    <w:rsid w:val="003D1020"/>
    <w:rsid w:val="003D3A3B"/>
    <w:rsid w:val="003F10FD"/>
    <w:rsid w:val="004320FD"/>
    <w:rsid w:val="00510122"/>
    <w:rsid w:val="005652D2"/>
    <w:rsid w:val="00565356"/>
    <w:rsid w:val="005678B1"/>
    <w:rsid w:val="00582E41"/>
    <w:rsid w:val="005C609B"/>
    <w:rsid w:val="005E0FC8"/>
    <w:rsid w:val="00657BC1"/>
    <w:rsid w:val="00662069"/>
    <w:rsid w:val="0068676B"/>
    <w:rsid w:val="00687F36"/>
    <w:rsid w:val="006B6D9B"/>
    <w:rsid w:val="006D3E2B"/>
    <w:rsid w:val="006E0934"/>
    <w:rsid w:val="00770701"/>
    <w:rsid w:val="0077516B"/>
    <w:rsid w:val="007E15AE"/>
    <w:rsid w:val="007F55CA"/>
    <w:rsid w:val="00831716"/>
    <w:rsid w:val="008503F6"/>
    <w:rsid w:val="00884CC6"/>
    <w:rsid w:val="008C3C29"/>
    <w:rsid w:val="008E47AC"/>
    <w:rsid w:val="0096449D"/>
    <w:rsid w:val="009D5C64"/>
    <w:rsid w:val="00A34EE8"/>
    <w:rsid w:val="00B421D3"/>
    <w:rsid w:val="00B47973"/>
    <w:rsid w:val="00B91569"/>
    <w:rsid w:val="00BE5943"/>
    <w:rsid w:val="00C128AB"/>
    <w:rsid w:val="00C23C28"/>
    <w:rsid w:val="00CA78D3"/>
    <w:rsid w:val="00CD06E5"/>
    <w:rsid w:val="00CF1E1B"/>
    <w:rsid w:val="00D30B64"/>
    <w:rsid w:val="00D508DE"/>
    <w:rsid w:val="00E31AC4"/>
    <w:rsid w:val="00E31E57"/>
    <w:rsid w:val="00E806F6"/>
    <w:rsid w:val="00EF112F"/>
    <w:rsid w:val="00F215B1"/>
    <w:rsid w:val="00FA03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822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6E5"/>
    <w:pPr>
      <w:spacing w:line="360" w:lineRule="auto"/>
      <w:jc w:val="both"/>
    </w:pPr>
    <w:rPr>
      <w:rFonts w:ascii="Arial" w:hAnsi="Arial"/>
    </w:rPr>
  </w:style>
  <w:style w:type="paragraph" w:styleId="Heading1">
    <w:name w:val="heading 1"/>
    <w:basedOn w:val="Normal"/>
    <w:next w:val="Normal"/>
    <w:link w:val="Heading1Char"/>
    <w:autoRedefine/>
    <w:uiPriority w:val="9"/>
    <w:qFormat/>
    <w:rsid w:val="00A34EE8"/>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B47973"/>
    <w:pPr>
      <w:keepNext/>
      <w:keepLines/>
      <w:spacing w:after="0"/>
      <w:outlineLvl w:val="1"/>
    </w:pPr>
    <w:rPr>
      <w:rFonts w:eastAsiaTheme="majorEastAsia" w:cs="Arial"/>
      <w:b/>
      <w:sz w:val="26"/>
      <w:szCs w:val="26"/>
    </w:rPr>
  </w:style>
  <w:style w:type="paragraph" w:styleId="Heading3">
    <w:name w:val="heading 3"/>
    <w:basedOn w:val="Normal"/>
    <w:next w:val="Normal"/>
    <w:link w:val="Heading3Char"/>
    <w:autoRedefine/>
    <w:uiPriority w:val="9"/>
    <w:unhideWhenUsed/>
    <w:qFormat/>
    <w:rsid w:val="00CF1E1B"/>
    <w:pPr>
      <w:keepNext/>
      <w:keepLines/>
      <w:spacing w:before="40" w:after="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EE8"/>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B47973"/>
    <w:rPr>
      <w:rFonts w:ascii="Arial" w:eastAsiaTheme="majorEastAsia" w:hAnsi="Arial" w:cs="Arial"/>
      <w:b/>
      <w:sz w:val="26"/>
      <w:szCs w:val="26"/>
    </w:rPr>
  </w:style>
  <w:style w:type="paragraph" w:styleId="ListParagraph">
    <w:name w:val="List Paragraph"/>
    <w:basedOn w:val="Normal"/>
    <w:uiPriority w:val="34"/>
    <w:qFormat/>
    <w:rsid w:val="00884CC6"/>
    <w:pPr>
      <w:ind w:left="720"/>
      <w:contextualSpacing/>
    </w:pPr>
  </w:style>
  <w:style w:type="paragraph" w:styleId="TOCHeading">
    <w:name w:val="TOC Heading"/>
    <w:basedOn w:val="Heading1"/>
    <w:next w:val="Normal"/>
    <w:uiPriority w:val="39"/>
    <w:unhideWhenUsed/>
    <w:qFormat/>
    <w:rsid w:val="00CD06E5"/>
    <w:pPr>
      <w:spacing w:before="240" w:line="259" w:lineRule="auto"/>
      <w:jc w:val="left"/>
      <w:outlineLvl w:val="9"/>
    </w:pPr>
    <w:rPr>
      <w:rFonts w:asciiTheme="majorHAnsi" w:hAnsiTheme="majorHAnsi"/>
      <w:b w:val="0"/>
      <w:bCs w:val="0"/>
      <w:kern w:val="0"/>
      <w:sz w:val="32"/>
      <w:szCs w:val="32"/>
      <w14:ligatures w14:val="none"/>
    </w:rPr>
  </w:style>
  <w:style w:type="paragraph" w:styleId="TOC1">
    <w:name w:val="toc 1"/>
    <w:basedOn w:val="Normal"/>
    <w:next w:val="Normal"/>
    <w:autoRedefine/>
    <w:uiPriority w:val="39"/>
    <w:unhideWhenUsed/>
    <w:rsid w:val="00CD06E5"/>
    <w:pPr>
      <w:spacing w:after="100"/>
    </w:pPr>
  </w:style>
  <w:style w:type="paragraph" w:styleId="TOC2">
    <w:name w:val="toc 2"/>
    <w:basedOn w:val="Normal"/>
    <w:next w:val="Normal"/>
    <w:autoRedefine/>
    <w:uiPriority w:val="39"/>
    <w:unhideWhenUsed/>
    <w:rsid w:val="00CD06E5"/>
    <w:pPr>
      <w:spacing w:after="100"/>
      <w:ind w:left="220"/>
    </w:pPr>
  </w:style>
  <w:style w:type="character" w:styleId="Hyperlink">
    <w:name w:val="Hyperlink"/>
    <w:basedOn w:val="DefaultParagraphFont"/>
    <w:uiPriority w:val="99"/>
    <w:unhideWhenUsed/>
    <w:rsid w:val="00CD06E5"/>
    <w:rPr>
      <w:color w:val="0000FF" w:themeColor="hyperlink"/>
      <w:u w:val="single"/>
    </w:rPr>
  </w:style>
  <w:style w:type="paragraph" w:styleId="Header">
    <w:name w:val="header"/>
    <w:basedOn w:val="Normal"/>
    <w:link w:val="HeaderChar"/>
    <w:uiPriority w:val="99"/>
    <w:unhideWhenUsed/>
    <w:rsid w:val="007751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16B"/>
    <w:rPr>
      <w:rFonts w:ascii="Arial" w:hAnsi="Arial"/>
    </w:rPr>
  </w:style>
  <w:style w:type="paragraph" w:styleId="Footer">
    <w:name w:val="footer"/>
    <w:basedOn w:val="Normal"/>
    <w:link w:val="FooterChar"/>
    <w:uiPriority w:val="99"/>
    <w:unhideWhenUsed/>
    <w:rsid w:val="007751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16B"/>
    <w:rPr>
      <w:rFonts w:ascii="Arial" w:hAnsi="Arial"/>
    </w:rPr>
  </w:style>
  <w:style w:type="paragraph" w:styleId="NormalWeb">
    <w:name w:val="Normal (Web)"/>
    <w:basedOn w:val="Normal"/>
    <w:uiPriority w:val="99"/>
    <w:unhideWhenUsed/>
    <w:rsid w:val="0077516B"/>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styleId="CommentReference">
    <w:name w:val="annotation reference"/>
    <w:basedOn w:val="DefaultParagraphFont"/>
    <w:uiPriority w:val="99"/>
    <w:semiHidden/>
    <w:unhideWhenUsed/>
    <w:rsid w:val="00195E1C"/>
    <w:rPr>
      <w:sz w:val="16"/>
      <w:szCs w:val="16"/>
    </w:rPr>
  </w:style>
  <w:style w:type="paragraph" w:styleId="CommentText">
    <w:name w:val="annotation text"/>
    <w:basedOn w:val="Normal"/>
    <w:link w:val="CommentTextChar"/>
    <w:uiPriority w:val="99"/>
    <w:semiHidden/>
    <w:unhideWhenUsed/>
    <w:rsid w:val="00195E1C"/>
    <w:pPr>
      <w:spacing w:line="240" w:lineRule="auto"/>
    </w:pPr>
    <w:rPr>
      <w:sz w:val="20"/>
      <w:szCs w:val="20"/>
    </w:rPr>
  </w:style>
  <w:style w:type="character" w:customStyle="1" w:styleId="CommentTextChar">
    <w:name w:val="Comment Text Char"/>
    <w:basedOn w:val="DefaultParagraphFont"/>
    <w:link w:val="CommentText"/>
    <w:uiPriority w:val="99"/>
    <w:semiHidden/>
    <w:rsid w:val="00195E1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95E1C"/>
    <w:rPr>
      <w:b/>
      <w:bCs/>
    </w:rPr>
  </w:style>
  <w:style w:type="character" w:customStyle="1" w:styleId="CommentSubjectChar">
    <w:name w:val="Comment Subject Char"/>
    <w:basedOn w:val="CommentTextChar"/>
    <w:link w:val="CommentSubject"/>
    <w:uiPriority w:val="99"/>
    <w:semiHidden/>
    <w:rsid w:val="00195E1C"/>
    <w:rPr>
      <w:rFonts w:ascii="Arial" w:hAnsi="Arial"/>
      <w:b/>
      <w:bCs/>
      <w:sz w:val="20"/>
      <w:szCs w:val="20"/>
    </w:rPr>
  </w:style>
  <w:style w:type="character" w:customStyle="1" w:styleId="Heading3Char">
    <w:name w:val="Heading 3 Char"/>
    <w:basedOn w:val="DefaultParagraphFont"/>
    <w:link w:val="Heading3"/>
    <w:uiPriority w:val="9"/>
    <w:rsid w:val="00CF1E1B"/>
    <w:rPr>
      <w:rFonts w:ascii="Arial" w:eastAsiaTheme="majorEastAsia" w:hAnsi="Arial"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F21CA-7A25-4635-B4AA-CB7FD485A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3103</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2023-08-29T09:22:00Z</dcterms:created>
  <dcterms:modified xsi:type="dcterms:W3CDTF">2023-08-29T09:23:00Z</dcterms:modified>
</cp:coreProperties>
</file>