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
          <w:szCs w:val="2"/>
          <w:u w:val="none"/>
          <w:shd w:fill="auto" w:val="clear"/>
          <w:vertAlign w:val="baseline"/>
        </w:rPr>
      </w:pPr>
      <w:r w:rsidDel="00000000" w:rsidR="00000000" w:rsidRPr="00000000">
        <w:rPr>
          <w:rtl w:val="0"/>
        </w:rPr>
      </w:r>
    </w:p>
    <w:p w:rsidR="00000000" w:rsidDel="00000000" w:rsidP="00000000" w:rsidRDefault="00000000" w:rsidRPr="00000000" w14:paraId="00000002">
      <w:pPr>
        <w:spacing w:after="0" w:line="240" w:lineRule="auto"/>
        <w:rPr>
          <w:rFonts w:ascii="Calibri" w:cs="Calibri" w:eastAsia="Calibri" w:hAnsi="Calibri"/>
          <w:sz w:val="2"/>
          <w:szCs w:val="2"/>
        </w:rPr>
      </w:pPr>
      <w:r w:rsidDel="00000000" w:rsidR="00000000" w:rsidRPr="00000000">
        <w:rPr>
          <w:rtl w:val="0"/>
        </w:rPr>
      </w:r>
    </w:p>
    <w:p w:rsidR="00000000" w:rsidDel="00000000" w:rsidP="00000000" w:rsidRDefault="00000000" w:rsidRPr="00000000" w14:paraId="00000003">
      <w:pPr>
        <w:pBdr>
          <w:top w:color="4472c4" w:space="10" w:sz="4" w:val="single"/>
          <w:bottom w:color="4472c4" w:space="26" w:sz="4" w:val="single"/>
        </w:pBdr>
        <w:spacing w:after="360" w:before="360" w:lineRule="auto"/>
        <w:ind w:left="864" w:right="864" w:firstLine="0"/>
        <w:rPr>
          <w:rFonts w:ascii="Calibri" w:cs="Calibri" w:eastAsia="Calibri" w:hAnsi="Calibri"/>
          <w:i w:val="1"/>
          <w:color w:val="4472c4"/>
        </w:rPr>
      </w:pPr>
      <w:r w:rsidDel="00000000" w:rsidR="00000000" w:rsidRPr="00000000">
        <w:rPr>
          <w:rFonts w:ascii="Calibri" w:cs="Calibri" w:eastAsia="Calibri" w:hAnsi="Calibri"/>
          <w:i w:val="1"/>
          <w:color w:val="4472c4"/>
          <w:rtl w:val="0"/>
        </w:rPr>
        <w:br w:type="textWrapping"/>
      </w:r>
      <w:r w:rsidDel="00000000" w:rsidR="00000000" w:rsidRPr="00000000">
        <w:drawing>
          <wp:anchor allowOverlap="1" behindDoc="0" distB="0" distT="0" distL="114300" distR="114300" hidden="0" layoutInCell="1" locked="0" relativeHeight="0" simplePos="0">
            <wp:simplePos x="0" y="0"/>
            <wp:positionH relativeFrom="column">
              <wp:posOffset>1</wp:posOffset>
            </wp:positionH>
            <wp:positionV relativeFrom="paragraph">
              <wp:posOffset>0</wp:posOffset>
            </wp:positionV>
            <wp:extent cx="2697714" cy="891617"/>
            <wp:effectExtent b="0" l="0" r="0" t="0"/>
            <wp:wrapSquare wrapText="bothSides" distB="0" distT="0" distL="114300" distR="114300"/>
            <wp:docPr descr="A close up of black text&#10;&#10;Description automatically generated" id="846876588" name="image1.png"/>
            <a:graphic>
              <a:graphicData uri="http://schemas.openxmlformats.org/drawingml/2006/picture">
                <pic:pic>
                  <pic:nvPicPr>
                    <pic:cNvPr descr="A close up of black text&#10;&#10;Description automatically generated" id="0" name="image1.png"/>
                    <pic:cNvPicPr preferRelativeResize="0"/>
                  </pic:nvPicPr>
                  <pic:blipFill>
                    <a:blip r:embed="rId7"/>
                    <a:srcRect b="0" l="0" r="0" t="0"/>
                    <a:stretch>
                      <a:fillRect/>
                    </a:stretch>
                  </pic:blipFill>
                  <pic:spPr>
                    <a:xfrm>
                      <a:off x="0" y="0"/>
                      <a:ext cx="2697714" cy="891617"/>
                    </a:xfrm>
                    <a:prstGeom prst="rect"/>
                    <a:ln/>
                  </pic:spPr>
                </pic:pic>
              </a:graphicData>
            </a:graphic>
          </wp:anchor>
        </w:drawing>
      </w:r>
    </w:p>
    <w:p w:rsidR="00000000" w:rsidDel="00000000" w:rsidP="00000000" w:rsidRDefault="00000000" w:rsidRPr="00000000" w14:paraId="00000004">
      <w:pPr>
        <w:pBdr>
          <w:top w:color="4472c4" w:space="10" w:sz="4" w:val="single"/>
          <w:bottom w:color="4472c4" w:space="26" w:sz="4" w:val="single"/>
        </w:pBdr>
        <w:spacing w:after="360" w:before="360" w:lineRule="auto"/>
        <w:ind w:left="864" w:right="864" w:firstLine="0"/>
        <w:jc w:val="center"/>
        <w:rPr>
          <w:rFonts w:ascii="Arial" w:cs="Arial" w:eastAsia="Arial" w:hAnsi="Arial"/>
          <w:b w:val="1"/>
          <w:i w:val="1"/>
          <w:color w:val="4472c4"/>
          <w:sz w:val="36"/>
          <w:szCs w:val="36"/>
        </w:rPr>
      </w:pPr>
      <w:r w:rsidDel="00000000" w:rsidR="00000000" w:rsidRPr="00000000">
        <w:rPr>
          <w:rFonts w:ascii="Arial" w:cs="Arial" w:eastAsia="Arial" w:hAnsi="Arial"/>
          <w:b w:val="1"/>
          <w:smallCaps w:val="1"/>
          <w:color w:val="4472c4"/>
          <w:sz w:val="36"/>
          <w:szCs w:val="36"/>
          <w:rtl w:val="0"/>
        </w:rPr>
        <w:t xml:space="preserve">International Hotel Management</w:t>
      </w:r>
      <w:r w:rsidDel="00000000" w:rsidR="00000000" w:rsidRPr="00000000">
        <w:rPr>
          <w:rtl w:val="0"/>
        </w:rPr>
      </w:r>
    </w:p>
    <w:p w:rsidR="00000000" w:rsidDel="00000000" w:rsidP="00000000" w:rsidRDefault="00000000" w:rsidRPr="00000000" w14:paraId="00000005">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6">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Sustainable Hospitality &amp; Tourism Management BMIH5006</w:t>
      </w:r>
    </w:p>
    <w:p w:rsidR="00000000" w:rsidDel="00000000" w:rsidP="00000000" w:rsidRDefault="00000000" w:rsidRPr="00000000" w14:paraId="00000007">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8">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9">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A">
      <w:pPr>
        <w:jc w:val="center"/>
        <w:rPr>
          <w:rFonts w:ascii="Arial" w:cs="Arial" w:eastAsia="Arial" w:hAnsi="Arial"/>
          <w:b w:val="1"/>
          <w:color w:val="4472c4"/>
          <w:sz w:val="32"/>
          <w:szCs w:val="32"/>
        </w:rPr>
      </w:pPr>
      <w:r w:rsidDel="00000000" w:rsidR="00000000" w:rsidRPr="00000000">
        <w:rPr>
          <w:rFonts w:ascii="Arial" w:cs="Arial" w:eastAsia="Arial" w:hAnsi="Arial"/>
          <w:b w:val="1"/>
          <w:color w:val="4472c4"/>
          <w:sz w:val="32"/>
          <w:szCs w:val="32"/>
          <w:rtl w:val="0"/>
        </w:rPr>
        <w:t xml:space="preserve">Sustainable Practices and Accreditation in the Hotel and Hospitality Industry</w:t>
      </w:r>
    </w:p>
    <w:p w:rsidR="00000000" w:rsidDel="00000000" w:rsidP="00000000" w:rsidRDefault="00000000" w:rsidRPr="00000000" w14:paraId="0000000B">
      <w:pPr>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0C">
      <w:pPr>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0D">
      <w:pPr>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0E">
      <w:pP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0F">
      <w:pP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Student Name: Georgiana  Poteaca</w:t>
      </w:r>
    </w:p>
    <w:p w:rsidR="00000000" w:rsidDel="00000000" w:rsidP="00000000" w:rsidRDefault="00000000" w:rsidRPr="00000000" w14:paraId="00000010">
      <w:pP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Student ID: 2206484</w:t>
        <w:br w:type="textWrapping"/>
        <w:br w:type="textWrapping"/>
        <w:t xml:space="preserve">Lecturer Name: Dr Huw Thomas</w:t>
        <w:br w:type="textWrapping"/>
        <w:br w:type="textWrapping"/>
        <w:t xml:space="preserve">Date: 29/05/2024</w:t>
      </w:r>
    </w:p>
    <w:p w:rsidR="00000000" w:rsidDel="00000000" w:rsidP="00000000" w:rsidRDefault="00000000" w:rsidRPr="00000000" w14:paraId="00000011">
      <w:pP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12">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3">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4">
      <w:pPr>
        <w:pBdr>
          <w:top w:color="4472c4" w:space="10" w:sz="4" w:val="single"/>
          <w:bottom w:color="4472c4" w:space="10" w:sz="4" w:val="single"/>
        </w:pBdr>
        <w:spacing w:after="360" w:before="360" w:lineRule="auto"/>
        <w:ind w:left="864" w:right="864" w:firstLine="0"/>
        <w:jc w:val="center"/>
        <w:rPr>
          <w:rFonts w:ascii="Arial" w:cs="Arial" w:eastAsia="Arial" w:hAnsi="Arial"/>
          <w:i w:val="1"/>
          <w:color w:val="4472c4"/>
          <w:sz w:val="32"/>
          <w:szCs w:val="32"/>
        </w:rPr>
      </w:pPr>
      <w:r w:rsidDel="00000000" w:rsidR="00000000" w:rsidRPr="00000000">
        <w:rPr>
          <w:rFonts w:ascii="Arial" w:cs="Arial" w:eastAsia="Arial" w:hAnsi="Arial"/>
          <w:i w:val="1"/>
          <w:color w:val="4472c4"/>
          <w:sz w:val="32"/>
          <w:szCs w:val="32"/>
          <w:rtl w:val="0"/>
        </w:rPr>
        <w:t xml:space="preserve">Report</w:t>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br w:type="page"/>
      </w:r>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center"/>
        <w:rPr>
          <w:rFonts w:ascii="Calibri" w:cs="Calibri" w:eastAsia="Calibri" w:hAnsi="Calibri"/>
          <w:b w:val="1"/>
          <w:i w:val="0"/>
          <w:smallCaps w:val="0"/>
          <w:strike w:val="0"/>
          <w:color w:val="4472c4"/>
          <w:sz w:val="28"/>
          <w:szCs w:val="28"/>
          <w:u w:val="none"/>
          <w:shd w:fill="auto" w:val="clear"/>
          <w:vertAlign w:val="baseline"/>
        </w:rPr>
      </w:pPr>
      <w:r w:rsidDel="00000000" w:rsidR="00000000" w:rsidRPr="00000000">
        <w:rPr>
          <w:rFonts w:ascii="Calibri" w:cs="Calibri" w:eastAsia="Calibri" w:hAnsi="Calibri"/>
          <w:b w:val="1"/>
          <w:i w:val="0"/>
          <w:smallCaps w:val="0"/>
          <w:strike w:val="0"/>
          <w:color w:val="4472c4"/>
          <w:sz w:val="28"/>
          <w:szCs w:val="28"/>
          <w:u w:val="none"/>
          <w:shd w:fill="auto" w:val="clear"/>
          <w:vertAlign w:val="baseline"/>
          <w:rtl w:val="0"/>
        </w:rPr>
        <w:t xml:space="preserve">Sustainable Practices and Accreditation in the Hotel and Hospitality Industry</w:t>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center"/>
        <w:rPr>
          <w:rFonts w:ascii="Calibri" w:cs="Calibri" w:eastAsia="Calibri" w:hAnsi="Calibri"/>
          <w:b w:val="1"/>
          <w:i w:val="0"/>
          <w:smallCaps w:val="0"/>
          <w:strike w:val="0"/>
          <w:color w:val="4472c4"/>
          <w:sz w:val="28"/>
          <w:szCs w:val="28"/>
          <w:u w:val="none"/>
          <w:shd w:fill="auto" w:val="clear"/>
          <w:vertAlign w:val="baseline"/>
        </w:rPr>
      </w:pPr>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720" w:right="0" w:firstLine="0"/>
        <w:jc w:val="center"/>
        <w:rPr>
          <w:rFonts w:ascii="Calibri" w:cs="Calibri" w:eastAsia="Calibri" w:hAnsi="Calibri"/>
          <w:b w:val="0"/>
          <w:i w:val="0"/>
          <w:smallCaps w:val="0"/>
          <w:strike w:val="0"/>
          <w:color w:val="4472c4"/>
          <w:sz w:val="28"/>
          <w:szCs w:val="28"/>
          <w:u w:val="none"/>
          <w:shd w:fill="auto" w:val="clear"/>
          <w:vertAlign w:val="baseline"/>
        </w:rPr>
      </w:pPr>
      <w:r w:rsidDel="00000000" w:rsidR="00000000" w:rsidRPr="00000000">
        <w:rPr>
          <w:rtl w:val="0"/>
        </w:rPr>
      </w:r>
    </w:p>
    <w:tbl>
      <w:tblPr>
        <w:tblStyle w:val="Table1"/>
        <w:tblW w:w="9012.0" w:type="dxa"/>
        <w:jc w:val="left"/>
        <w:tblInd w:w="197.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8445"/>
        <w:gridCol w:w="567"/>
        <w:tblGridChange w:id="0">
          <w:tblGrid>
            <w:gridCol w:w="8445"/>
            <w:gridCol w:w="567"/>
          </w:tblGrid>
        </w:tblGridChange>
      </w:tblGrid>
      <w:tr>
        <w:trPr>
          <w:cantSplit w:val="0"/>
          <w:trHeight w:val="448" w:hRule="atLeast"/>
          <w:tblHeader w:val="0"/>
        </w:trPr>
        <w:tc>
          <w:tcPr>
            <w:tcMar>
              <w:top w:w="0.0" w:type="dxa"/>
              <w:bottom w:w="0.0" w:type="dxa"/>
            </w:tcMar>
          </w:tcPr>
          <w:p w:rsidR="00000000" w:rsidDel="00000000" w:rsidP="00000000" w:rsidRDefault="00000000" w:rsidRPr="00000000" w14:paraId="0000001A">
            <w:pPr>
              <w:numPr>
                <w:ilvl w:val="0"/>
                <w:numId w:val="1"/>
              </w:numPr>
              <w:ind w:left="518" w:hanging="360"/>
              <w:rPr>
                <w:b w:val="1"/>
                <w:sz w:val="24"/>
                <w:szCs w:val="24"/>
              </w:rPr>
            </w:pPr>
            <w:r w:rsidDel="00000000" w:rsidR="00000000" w:rsidRPr="00000000">
              <w:rPr>
                <w:b w:val="1"/>
                <w:sz w:val="24"/>
                <w:szCs w:val="24"/>
                <w:rtl w:val="0"/>
              </w:rPr>
              <w:t xml:space="preserve">Introduction</w:t>
            </w:r>
          </w:p>
        </w:tc>
        <w:tc>
          <w:tcPr>
            <w:shd w:fill="auto" w:val="clear"/>
            <w:tcMar>
              <w:top w:w="0.0" w:type="dxa"/>
              <w:bottom w:w="0.0" w:type="dxa"/>
            </w:tcMar>
          </w:tcPr>
          <w:p w:rsidR="00000000" w:rsidDel="00000000" w:rsidP="00000000" w:rsidRDefault="00000000" w:rsidRPr="00000000" w14:paraId="0000001B">
            <w:pPr>
              <w:rPr>
                <w:b w:val="1"/>
                <w:sz w:val="24"/>
                <w:szCs w:val="24"/>
              </w:rPr>
            </w:pPr>
            <w:r w:rsidDel="00000000" w:rsidR="00000000" w:rsidRPr="00000000">
              <w:rPr>
                <w:b w:val="1"/>
                <w:sz w:val="24"/>
                <w:szCs w:val="24"/>
                <w:rtl w:val="0"/>
              </w:rPr>
              <w:t xml:space="preserve">2</w:t>
            </w:r>
          </w:p>
        </w:tc>
      </w:tr>
      <w:tr>
        <w:trPr>
          <w:cantSplit w:val="0"/>
          <w:trHeight w:val="492" w:hRule="atLeast"/>
          <w:tblHeader w:val="0"/>
        </w:trPr>
        <w:tc>
          <w:tcPr>
            <w:tcMar>
              <w:top w:w="0.0" w:type="dxa"/>
              <w:bottom w:w="0.0" w:type="dxa"/>
            </w:tcMar>
          </w:tcPr>
          <w:p w:rsidR="00000000" w:rsidDel="00000000" w:rsidP="00000000" w:rsidRDefault="00000000" w:rsidRPr="00000000" w14:paraId="0000001C">
            <w:pPr>
              <w:numPr>
                <w:ilvl w:val="0"/>
                <w:numId w:val="1"/>
              </w:numPr>
              <w:ind w:left="518" w:hanging="360"/>
              <w:rPr>
                <w:b w:val="1"/>
                <w:sz w:val="24"/>
                <w:szCs w:val="24"/>
              </w:rPr>
            </w:pPr>
            <w:r w:rsidDel="00000000" w:rsidR="00000000" w:rsidRPr="00000000">
              <w:rPr>
                <w:b w:val="1"/>
                <w:sz w:val="24"/>
                <w:szCs w:val="24"/>
                <w:rtl w:val="0"/>
              </w:rPr>
              <w:t xml:space="preserve">Implementation of Sustainable Accreditation in Hotels</w:t>
            </w:r>
          </w:p>
        </w:tc>
        <w:tc>
          <w:tcPr>
            <w:shd w:fill="auto" w:val="clear"/>
            <w:tcMar>
              <w:top w:w="0.0" w:type="dxa"/>
              <w:bottom w:w="0.0" w:type="dxa"/>
            </w:tcMar>
          </w:tcPr>
          <w:p w:rsidR="00000000" w:rsidDel="00000000" w:rsidP="00000000" w:rsidRDefault="00000000" w:rsidRPr="00000000" w14:paraId="0000001D">
            <w:pPr>
              <w:rPr>
                <w:b w:val="1"/>
                <w:sz w:val="24"/>
                <w:szCs w:val="24"/>
              </w:rPr>
            </w:pPr>
            <w:r w:rsidDel="00000000" w:rsidR="00000000" w:rsidRPr="00000000">
              <w:rPr>
                <w:b w:val="1"/>
                <w:sz w:val="24"/>
                <w:szCs w:val="24"/>
                <w:rtl w:val="0"/>
              </w:rPr>
              <w:t xml:space="preserve">2</w:t>
            </w:r>
          </w:p>
        </w:tc>
      </w:tr>
      <w:tr>
        <w:trPr>
          <w:cantSplit w:val="0"/>
          <w:trHeight w:val="516" w:hRule="atLeast"/>
          <w:tblHeader w:val="0"/>
        </w:trPr>
        <w:tc>
          <w:tcPr>
            <w:tcMar>
              <w:top w:w="0.0" w:type="dxa"/>
              <w:bottom w:w="0.0" w:type="dxa"/>
            </w:tcMar>
          </w:tcPr>
          <w:p w:rsidR="00000000" w:rsidDel="00000000" w:rsidP="00000000" w:rsidRDefault="00000000" w:rsidRPr="00000000" w14:paraId="0000001E">
            <w:pPr>
              <w:numPr>
                <w:ilvl w:val="0"/>
                <w:numId w:val="1"/>
              </w:numPr>
              <w:ind w:left="518" w:hanging="360"/>
              <w:rPr>
                <w:b w:val="1"/>
                <w:sz w:val="24"/>
                <w:szCs w:val="24"/>
              </w:rPr>
            </w:pPr>
            <w:r w:rsidDel="00000000" w:rsidR="00000000" w:rsidRPr="00000000">
              <w:rPr>
                <w:b w:val="1"/>
                <w:sz w:val="24"/>
                <w:szCs w:val="24"/>
                <w:rtl w:val="0"/>
              </w:rPr>
              <w:t xml:space="preserve">The Criteria for Sustainable Accreditation</w:t>
            </w:r>
          </w:p>
        </w:tc>
        <w:tc>
          <w:tcPr>
            <w:shd w:fill="auto" w:val="clear"/>
            <w:tcMar>
              <w:top w:w="0.0" w:type="dxa"/>
              <w:bottom w:w="0.0" w:type="dxa"/>
            </w:tcMar>
          </w:tcPr>
          <w:p w:rsidR="00000000" w:rsidDel="00000000" w:rsidP="00000000" w:rsidRDefault="00000000" w:rsidRPr="00000000" w14:paraId="0000001F">
            <w:pPr>
              <w:rPr>
                <w:b w:val="1"/>
                <w:sz w:val="24"/>
                <w:szCs w:val="24"/>
              </w:rPr>
            </w:pPr>
            <w:r w:rsidDel="00000000" w:rsidR="00000000" w:rsidRPr="00000000">
              <w:rPr>
                <w:b w:val="1"/>
                <w:sz w:val="24"/>
                <w:szCs w:val="24"/>
                <w:rtl w:val="0"/>
              </w:rPr>
              <w:t xml:space="preserve">2</w:t>
            </w:r>
          </w:p>
        </w:tc>
      </w:tr>
      <w:tr>
        <w:trPr>
          <w:cantSplit w:val="0"/>
          <w:trHeight w:val="531" w:hRule="atLeast"/>
          <w:tblHeader w:val="0"/>
        </w:trPr>
        <w:tc>
          <w:tcPr>
            <w:tcMar>
              <w:top w:w="0.0" w:type="dxa"/>
              <w:bottom w:w="0.0" w:type="dxa"/>
            </w:tcMar>
          </w:tcPr>
          <w:p w:rsidR="00000000" w:rsidDel="00000000" w:rsidP="00000000" w:rsidRDefault="00000000" w:rsidRPr="00000000" w14:paraId="00000020">
            <w:pPr>
              <w:numPr>
                <w:ilvl w:val="0"/>
                <w:numId w:val="1"/>
              </w:numPr>
              <w:ind w:left="518" w:hanging="360"/>
              <w:rPr>
                <w:b w:val="1"/>
                <w:sz w:val="24"/>
                <w:szCs w:val="24"/>
              </w:rPr>
            </w:pPr>
            <w:r w:rsidDel="00000000" w:rsidR="00000000" w:rsidRPr="00000000">
              <w:rPr>
                <w:b w:val="1"/>
                <w:sz w:val="24"/>
                <w:szCs w:val="24"/>
                <w:rtl w:val="0"/>
              </w:rPr>
              <w:t xml:space="preserve">Compliance Measures</w:t>
            </w:r>
          </w:p>
        </w:tc>
        <w:tc>
          <w:tcPr>
            <w:shd w:fill="auto" w:val="clear"/>
            <w:tcMar>
              <w:top w:w="0.0" w:type="dxa"/>
              <w:bottom w:w="0.0" w:type="dxa"/>
            </w:tcMar>
          </w:tcPr>
          <w:p w:rsidR="00000000" w:rsidDel="00000000" w:rsidP="00000000" w:rsidRDefault="00000000" w:rsidRPr="00000000" w14:paraId="00000021">
            <w:pPr>
              <w:rPr>
                <w:b w:val="1"/>
                <w:sz w:val="24"/>
                <w:szCs w:val="24"/>
              </w:rPr>
            </w:pPr>
            <w:r w:rsidDel="00000000" w:rsidR="00000000" w:rsidRPr="00000000">
              <w:rPr>
                <w:b w:val="1"/>
                <w:sz w:val="24"/>
                <w:szCs w:val="24"/>
                <w:rtl w:val="0"/>
              </w:rPr>
              <w:t xml:space="preserve">3</w:t>
            </w:r>
          </w:p>
        </w:tc>
      </w:tr>
      <w:tr>
        <w:trPr>
          <w:cantSplit w:val="0"/>
          <w:trHeight w:val="2016" w:hRule="atLeast"/>
          <w:tblHeader w:val="0"/>
        </w:trPr>
        <w:tc>
          <w:tcPr>
            <w:tcMar>
              <w:top w:w="0.0" w:type="dxa"/>
              <w:bottom w:w="0.0" w:type="dxa"/>
            </w:tcMar>
          </w:tcPr>
          <w:p w:rsidR="00000000" w:rsidDel="00000000" w:rsidP="00000000" w:rsidRDefault="00000000" w:rsidRPr="00000000" w14:paraId="00000022">
            <w:pPr>
              <w:numPr>
                <w:ilvl w:val="0"/>
                <w:numId w:val="2"/>
              </w:numPr>
              <w:ind w:left="518" w:firstLine="273"/>
              <w:rPr>
                <w:sz w:val="24"/>
                <w:szCs w:val="24"/>
              </w:rPr>
            </w:pPr>
            <w:r w:rsidDel="00000000" w:rsidR="00000000" w:rsidRPr="00000000">
              <w:rPr>
                <w:sz w:val="24"/>
                <w:szCs w:val="24"/>
                <w:rtl w:val="0"/>
              </w:rPr>
              <w:t xml:space="preserve">Environmental Assessments and Sustainability Plans</w:t>
            </w:r>
          </w:p>
          <w:p w:rsidR="00000000" w:rsidDel="00000000" w:rsidP="00000000" w:rsidRDefault="00000000" w:rsidRPr="00000000" w14:paraId="00000023">
            <w:pPr>
              <w:numPr>
                <w:ilvl w:val="0"/>
                <w:numId w:val="2"/>
              </w:numPr>
              <w:ind w:left="518" w:firstLine="273"/>
              <w:rPr>
                <w:sz w:val="24"/>
                <w:szCs w:val="24"/>
              </w:rPr>
            </w:pPr>
            <w:r w:rsidDel="00000000" w:rsidR="00000000" w:rsidRPr="00000000">
              <w:rPr>
                <w:sz w:val="24"/>
                <w:szCs w:val="24"/>
                <w:rtl w:val="0"/>
              </w:rPr>
              <w:t xml:space="preserve">Staff Training and Engagement</w:t>
            </w:r>
          </w:p>
          <w:p w:rsidR="00000000" w:rsidDel="00000000" w:rsidP="00000000" w:rsidRDefault="00000000" w:rsidRPr="00000000" w14:paraId="00000024">
            <w:pPr>
              <w:numPr>
                <w:ilvl w:val="0"/>
                <w:numId w:val="2"/>
              </w:numPr>
              <w:ind w:left="518" w:firstLine="273"/>
              <w:rPr>
                <w:sz w:val="24"/>
                <w:szCs w:val="24"/>
              </w:rPr>
            </w:pPr>
            <w:r w:rsidDel="00000000" w:rsidR="00000000" w:rsidRPr="00000000">
              <w:rPr>
                <w:sz w:val="24"/>
                <w:szCs w:val="24"/>
                <w:rtl w:val="0"/>
              </w:rPr>
              <w:t xml:space="preserve">Monitoring, Measurement, and Reporting Systems</w:t>
            </w:r>
          </w:p>
          <w:p w:rsidR="00000000" w:rsidDel="00000000" w:rsidP="00000000" w:rsidRDefault="00000000" w:rsidRPr="00000000" w14:paraId="00000025">
            <w:pPr>
              <w:numPr>
                <w:ilvl w:val="0"/>
                <w:numId w:val="2"/>
              </w:numPr>
              <w:ind w:left="518" w:firstLine="273"/>
              <w:rPr>
                <w:b w:val="1"/>
                <w:sz w:val="24"/>
                <w:szCs w:val="24"/>
              </w:rPr>
            </w:pPr>
            <w:r w:rsidDel="00000000" w:rsidR="00000000" w:rsidRPr="00000000">
              <w:rPr>
                <w:sz w:val="24"/>
                <w:szCs w:val="24"/>
                <w:rtl w:val="0"/>
              </w:rPr>
              <w:t xml:space="preserve">Engagement with External Stakeholders</w:t>
            </w:r>
            <w:r w:rsidDel="00000000" w:rsidR="00000000" w:rsidRPr="00000000">
              <w:rPr>
                <w:rtl w:val="0"/>
              </w:rPr>
            </w:r>
          </w:p>
        </w:tc>
        <w:tc>
          <w:tcPr>
            <w:shd w:fill="auto" w:val="clear"/>
            <w:tcMar>
              <w:top w:w="0.0" w:type="dxa"/>
              <w:bottom w:w="0.0" w:type="dxa"/>
            </w:tcMar>
          </w:tcPr>
          <w:p w:rsidR="00000000" w:rsidDel="00000000" w:rsidP="00000000" w:rsidRDefault="00000000" w:rsidRPr="00000000" w14:paraId="00000026">
            <w:pPr>
              <w:rPr>
                <w:b w:val="1"/>
                <w:sz w:val="24"/>
                <w:szCs w:val="24"/>
              </w:rPr>
            </w:pPr>
            <w:r w:rsidDel="00000000" w:rsidR="00000000" w:rsidRPr="00000000">
              <w:rPr>
                <w:rtl w:val="0"/>
              </w:rPr>
            </w:r>
          </w:p>
        </w:tc>
      </w:tr>
      <w:tr>
        <w:trPr>
          <w:cantSplit w:val="0"/>
          <w:trHeight w:val="454" w:hRule="atLeast"/>
          <w:tblHeader w:val="0"/>
        </w:trPr>
        <w:tc>
          <w:tcPr>
            <w:tcMar>
              <w:top w:w="0.0" w:type="dxa"/>
              <w:bottom w:w="0.0" w:type="dxa"/>
            </w:tcMar>
          </w:tcPr>
          <w:p w:rsidR="00000000" w:rsidDel="00000000" w:rsidP="00000000" w:rsidRDefault="00000000" w:rsidRPr="00000000" w14:paraId="00000027">
            <w:pPr>
              <w:numPr>
                <w:ilvl w:val="0"/>
                <w:numId w:val="1"/>
              </w:numPr>
              <w:ind w:left="518" w:hanging="360"/>
              <w:rPr>
                <w:b w:val="1"/>
                <w:sz w:val="24"/>
                <w:szCs w:val="24"/>
              </w:rPr>
            </w:pPr>
            <w:r w:rsidDel="00000000" w:rsidR="00000000" w:rsidRPr="00000000">
              <w:rPr>
                <w:b w:val="1"/>
                <w:sz w:val="24"/>
                <w:szCs w:val="24"/>
                <w:rtl w:val="0"/>
              </w:rPr>
              <w:t xml:space="preserve">Benefits and Challenges of Integrating Sustainability into Daily Operations</w:t>
            </w:r>
          </w:p>
        </w:tc>
        <w:tc>
          <w:tcPr>
            <w:shd w:fill="auto" w:val="clear"/>
            <w:tcMar>
              <w:top w:w="0.0" w:type="dxa"/>
              <w:bottom w:w="0.0" w:type="dxa"/>
            </w:tcMar>
          </w:tcPr>
          <w:p w:rsidR="00000000" w:rsidDel="00000000" w:rsidP="00000000" w:rsidRDefault="00000000" w:rsidRPr="00000000" w14:paraId="00000028">
            <w:pPr>
              <w:rPr>
                <w:b w:val="1"/>
                <w:sz w:val="24"/>
                <w:szCs w:val="24"/>
              </w:rPr>
            </w:pPr>
            <w:r w:rsidDel="00000000" w:rsidR="00000000" w:rsidRPr="00000000">
              <w:rPr>
                <w:b w:val="1"/>
                <w:sz w:val="24"/>
                <w:szCs w:val="24"/>
                <w:rtl w:val="0"/>
              </w:rPr>
              <w:t xml:space="preserve">5</w:t>
            </w:r>
          </w:p>
        </w:tc>
      </w:tr>
      <w:tr>
        <w:trPr>
          <w:cantSplit w:val="0"/>
          <w:trHeight w:val="1045" w:hRule="atLeast"/>
          <w:tblHeader w:val="0"/>
        </w:trPr>
        <w:tc>
          <w:tcPr>
            <w:tcMar>
              <w:top w:w="0.0" w:type="dxa"/>
              <w:bottom w:w="0.0" w:type="dxa"/>
            </w:tcMar>
          </w:tcPr>
          <w:p w:rsidR="00000000" w:rsidDel="00000000" w:rsidP="00000000" w:rsidRDefault="00000000" w:rsidRPr="00000000" w14:paraId="00000029">
            <w:pPr>
              <w:numPr>
                <w:ilvl w:val="1"/>
                <w:numId w:val="1"/>
              </w:numPr>
              <w:ind w:left="1238" w:hanging="360"/>
              <w:rPr>
                <w:sz w:val="24"/>
                <w:szCs w:val="24"/>
              </w:rPr>
            </w:pPr>
            <w:r w:rsidDel="00000000" w:rsidR="00000000" w:rsidRPr="00000000">
              <w:rPr>
                <w:sz w:val="24"/>
                <w:szCs w:val="24"/>
                <w:rtl w:val="0"/>
              </w:rPr>
              <w:t xml:space="preserve">Benefits of Sustainability</w:t>
            </w:r>
          </w:p>
          <w:p w:rsidR="00000000" w:rsidDel="00000000" w:rsidP="00000000" w:rsidRDefault="00000000" w:rsidRPr="00000000" w14:paraId="0000002A">
            <w:pPr>
              <w:numPr>
                <w:ilvl w:val="1"/>
                <w:numId w:val="1"/>
              </w:numPr>
              <w:ind w:left="1238" w:hanging="360"/>
              <w:rPr>
                <w:b w:val="1"/>
                <w:sz w:val="24"/>
                <w:szCs w:val="24"/>
              </w:rPr>
            </w:pPr>
            <w:r w:rsidDel="00000000" w:rsidR="00000000" w:rsidRPr="00000000">
              <w:rPr>
                <w:sz w:val="24"/>
                <w:szCs w:val="24"/>
                <w:rtl w:val="0"/>
              </w:rPr>
              <w:t xml:space="preserve">Challenges of Implementation</w:t>
            </w:r>
            <w:r w:rsidDel="00000000" w:rsidR="00000000" w:rsidRPr="00000000">
              <w:rPr>
                <w:rtl w:val="0"/>
              </w:rPr>
            </w:r>
          </w:p>
        </w:tc>
        <w:tc>
          <w:tcPr>
            <w:shd w:fill="auto" w:val="clear"/>
            <w:tcMar>
              <w:top w:w="0.0" w:type="dxa"/>
              <w:bottom w:w="0.0" w:type="dxa"/>
            </w:tcMar>
          </w:tcPr>
          <w:p w:rsidR="00000000" w:rsidDel="00000000" w:rsidP="00000000" w:rsidRDefault="00000000" w:rsidRPr="00000000" w14:paraId="0000002B">
            <w:pPr>
              <w:rPr>
                <w:b w:val="1"/>
                <w:sz w:val="24"/>
                <w:szCs w:val="24"/>
              </w:rPr>
            </w:pPr>
            <w:r w:rsidDel="00000000" w:rsidR="00000000" w:rsidRPr="00000000">
              <w:rPr>
                <w:rtl w:val="0"/>
              </w:rPr>
            </w:r>
          </w:p>
        </w:tc>
      </w:tr>
      <w:tr>
        <w:trPr>
          <w:cantSplit w:val="0"/>
          <w:trHeight w:val="477" w:hRule="atLeast"/>
          <w:tblHeader w:val="0"/>
        </w:trPr>
        <w:tc>
          <w:tcPr>
            <w:tcMar>
              <w:top w:w="0.0" w:type="dxa"/>
              <w:bottom w:w="0.0" w:type="dxa"/>
            </w:tcMar>
          </w:tcPr>
          <w:p w:rsidR="00000000" w:rsidDel="00000000" w:rsidP="00000000" w:rsidRDefault="00000000" w:rsidRPr="00000000" w14:paraId="0000002C">
            <w:pPr>
              <w:numPr>
                <w:ilvl w:val="0"/>
                <w:numId w:val="1"/>
              </w:numPr>
              <w:ind w:left="518" w:hanging="360"/>
              <w:rPr>
                <w:b w:val="1"/>
                <w:sz w:val="24"/>
                <w:szCs w:val="24"/>
              </w:rPr>
            </w:pPr>
            <w:r w:rsidDel="00000000" w:rsidR="00000000" w:rsidRPr="00000000">
              <w:rPr>
                <w:b w:val="1"/>
                <w:sz w:val="24"/>
                <w:szCs w:val="24"/>
                <w:rtl w:val="0"/>
              </w:rPr>
              <w:t xml:space="preserve">The Future of the Hotel and Hospitality Industry</w:t>
            </w:r>
          </w:p>
        </w:tc>
        <w:tc>
          <w:tcPr>
            <w:shd w:fill="auto" w:val="clear"/>
            <w:tcMar>
              <w:top w:w="0.0" w:type="dxa"/>
              <w:bottom w:w="0.0" w:type="dxa"/>
            </w:tcMar>
          </w:tcPr>
          <w:p w:rsidR="00000000" w:rsidDel="00000000" w:rsidP="00000000" w:rsidRDefault="00000000" w:rsidRPr="00000000" w14:paraId="0000002D">
            <w:pPr>
              <w:rPr>
                <w:b w:val="1"/>
                <w:sz w:val="24"/>
                <w:szCs w:val="24"/>
              </w:rPr>
            </w:pPr>
            <w:r w:rsidDel="00000000" w:rsidR="00000000" w:rsidRPr="00000000">
              <w:rPr>
                <w:b w:val="1"/>
                <w:sz w:val="24"/>
                <w:szCs w:val="24"/>
                <w:rtl w:val="0"/>
              </w:rPr>
              <w:t xml:space="preserve">7</w:t>
            </w:r>
          </w:p>
        </w:tc>
      </w:tr>
      <w:tr>
        <w:trPr>
          <w:cantSplit w:val="0"/>
          <w:trHeight w:val="557" w:hRule="atLeast"/>
          <w:tblHeader w:val="0"/>
        </w:trPr>
        <w:tc>
          <w:tcPr>
            <w:tcMar>
              <w:top w:w="0.0" w:type="dxa"/>
              <w:bottom w:w="0.0" w:type="dxa"/>
            </w:tcMar>
          </w:tcPr>
          <w:p w:rsidR="00000000" w:rsidDel="00000000" w:rsidP="00000000" w:rsidRDefault="00000000" w:rsidRPr="00000000" w14:paraId="0000002E">
            <w:pPr>
              <w:numPr>
                <w:ilvl w:val="0"/>
                <w:numId w:val="1"/>
              </w:numPr>
              <w:ind w:left="518" w:hanging="360"/>
              <w:rPr>
                <w:b w:val="1"/>
                <w:sz w:val="24"/>
                <w:szCs w:val="24"/>
              </w:rPr>
            </w:pPr>
            <w:r w:rsidDel="00000000" w:rsidR="00000000" w:rsidRPr="00000000">
              <w:rPr>
                <w:b w:val="1"/>
                <w:sz w:val="24"/>
                <w:szCs w:val="24"/>
                <w:rtl w:val="0"/>
              </w:rPr>
              <w:t xml:space="preserve">Conclusion</w:t>
            </w:r>
          </w:p>
        </w:tc>
        <w:tc>
          <w:tcPr>
            <w:shd w:fill="auto" w:val="clear"/>
            <w:tcMar>
              <w:top w:w="0.0" w:type="dxa"/>
              <w:bottom w:w="0.0" w:type="dxa"/>
            </w:tcMar>
          </w:tcPr>
          <w:p w:rsidR="00000000" w:rsidDel="00000000" w:rsidP="00000000" w:rsidRDefault="00000000" w:rsidRPr="00000000" w14:paraId="0000002F">
            <w:pPr>
              <w:rPr>
                <w:b w:val="1"/>
                <w:sz w:val="24"/>
                <w:szCs w:val="24"/>
              </w:rPr>
            </w:pPr>
            <w:r w:rsidDel="00000000" w:rsidR="00000000" w:rsidRPr="00000000">
              <w:rPr>
                <w:b w:val="1"/>
                <w:sz w:val="24"/>
                <w:szCs w:val="24"/>
                <w:rtl w:val="0"/>
              </w:rPr>
              <w:t xml:space="preserve">7</w:t>
            </w:r>
          </w:p>
        </w:tc>
      </w:tr>
      <w:tr>
        <w:trPr>
          <w:cantSplit w:val="0"/>
          <w:trHeight w:val="485" w:hRule="atLeast"/>
          <w:tblHeader w:val="0"/>
        </w:trPr>
        <w:tc>
          <w:tcPr>
            <w:tcMar>
              <w:top w:w="0.0" w:type="dxa"/>
              <w:bottom w:w="0.0" w:type="dxa"/>
            </w:tcMar>
          </w:tcPr>
          <w:p w:rsidR="00000000" w:rsidDel="00000000" w:rsidP="00000000" w:rsidRDefault="00000000" w:rsidRPr="00000000" w14:paraId="00000030">
            <w:pPr>
              <w:numPr>
                <w:ilvl w:val="0"/>
                <w:numId w:val="1"/>
              </w:numPr>
              <w:ind w:left="518" w:hanging="360"/>
              <w:rPr>
                <w:b w:val="1"/>
                <w:sz w:val="24"/>
                <w:szCs w:val="24"/>
              </w:rPr>
            </w:pPr>
            <w:r w:rsidDel="00000000" w:rsidR="00000000" w:rsidRPr="00000000">
              <w:rPr>
                <w:b w:val="1"/>
                <w:sz w:val="24"/>
                <w:szCs w:val="24"/>
                <w:rtl w:val="0"/>
              </w:rPr>
              <w:t xml:space="preserve">References</w:t>
            </w:r>
          </w:p>
        </w:tc>
        <w:tc>
          <w:tcPr>
            <w:shd w:fill="auto" w:val="clear"/>
            <w:tcMar>
              <w:top w:w="0.0" w:type="dxa"/>
              <w:bottom w:w="0.0" w:type="dxa"/>
            </w:tcMar>
          </w:tcPr>
          <w:p w:rsidR="00000000" w:rsidDel="00000000" w:rsidP="00000000" w:rsidRDefault="00000000" w:rsidRPr="00000000" w14:paraId="00000031">
            <w:pPr>
              <w:rPr>
                <w:b w:val="1"/>
                <w:sz w:val="24"/>
                <w:szCs w:val="24"/>
              </w:rPr>
            </w:pPr>
            <w:r w:rsidDel="00000000" w:rsidR="00000000" w:rsidRPr="00000000">
              <w:rPr>
                <w:b w:val="1"/>
                <w:sz w:val="24"/>
                <w:szCs w:val="24"/>
                <w:rtl w:val="0"/>
              </w:rPr>
              <w:t xml:space="preserve">9</w:t>
            </w:r>
          </w:p>
        </w:tc>
      </w:tr>
    </w:tbl>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rPr/>
      </w:pPr>
      <w:r w:rsidDel="00000000" w:rsidR="00000000" w:rsidRPr="00000000">
        <w:br w:type="page"/>
      </w:r>
      <w:r w:rsidDel="00000000" w:rsidR="00000000" w:rsidRPr="00000000">
        <w:rPr>
          <w:rtl w:val="0"/>
        </w:rPr>
      </w:r>
    </w:p>
    <w:p w:rsidR="00000000" w:rsidDel="00000000" w:rsidP="00000000" w:rsidRDefault="00000000" w:rsidRPr="00000000" w14:paraId="00000035">
      <w:pPr>
        <w:spacing w:line="360" w:lineRule="auto"/>
        <w:jc w:val="both"/>
        <w:rPr>
          <w:rFonts w:ascii="Arial" w:cs="Arial" w:eastAsia="Arial" w:hAnsi="Arial"/>
          <w:color w:val="4472c4"/>
          <w:sz w:val="28"/>
          <w:szCs w:val="28"/>
        </w:rPr>
      </w:pPr>
      <w:r w:rsidDel="00000000" w:rsidR="00000000" w:rsidRPr="00000000">
        <w:rPr>
          <w:rFonts w:ascii="Arial" w:cs="Arial" w:eastAsia="Arial" w:hAnsi="Arial"/>
          <w:b w:val="1"/>
          <w:color w:val="4472c4"/>
          <w:sz w:val="28"/>
          <w:szCs w:val="28"/>
          <w:rtl w:val="0"/>
        </w:rPr>
        <w:t xml:space="preserve">1. Introduction</w:t>
      </w:r>
      <w:r w:rsidDel="00000000" w:rsidR="00000000" w:rsidRPr="00000000">
        <w:rPr>
          <w:rtl w:val="0"/>
        </w:rPr>
      </w:r>
    </w:p>
    <w:p w:rsidR="00000000" w:rsidDel="00000000" w:rsidP="00000000" w:rsidRDefault="00000000" w:rsidRPr="00000000" w14:paraId="00000036">
      <w:pPr>
        <w:spacing w:line="360" w:lineRule="auto"/>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Hotel and hospitality service companies over the recent years have been gradually realizing the need for the implementation of sustainable practices in their operations. This growing consumer trend regarding the demand for eco -friendly lodging alternatives and locations near nature reserves is influenced by several factors, one of which includes the increase in environmental concerns (Weaver et al., 2013 ; Kim et al., 2017). </w:t>
      </w:r>
    </w:p>
    <w:p w:rsidR="00000000" w:rsidDel="00000000" w:rsidP="00000000" w:rsidRDefault="00000000" w:rsidRPr="00000000" w14:paraId="00000037">
      <w:pPr>
        <w:spacing w:line="360" w:lineRule="auto"/>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This year, sustainable certification programs such as Green Key certification are growing more popular with hotels and gain considerable interest and exposure. The programs have moved from implementation nationally and citywide last year to a global level (Rodríguez-García et al. , 2023).</w:t>
      </w:r>
    </w:p>
    <w:p w:rsidR="00000000" w:rsidDel="00000000" w:rsidP="00000000" w:rsidRDefault="00000000" w:rsidRPr="00000000" w14:paraId="00000038">
      <w:pPr>
        <w:spacing w:line="360" w:lineRule="auto"/>
        <w:jc w:val="both"/>
        <w:rPr>
          <w:rFonts w:ascii="Arial" w:cs="Arial" w:eastAsia="Arial" w:hAnsi="Arial"/>
          <w:b w:val="1"/>
          <w:color w:val="000000"/>
          <w:sz w:val="24"/>
          <w:szCs w:val="24"/>
        </w:rPr>
      </w:pPr>
      <w:r w:rsidDel="00000000" w:rsidR="00000000" w:rsidRPr="00000000">
        <w:rPr>
          <w:rFonts w:ascii="Arial" w:cs="Arial" w:eastAsia="Arial" w:hAnsi="Arial"/>
          <w:color w:val="000000"/>
          <w:sz w:val="24"/>
          <w:szCs w:val="24"/>
          <w:rtl w:val="0"/>
        </w:rPr>
        <w:t xml:space="preserve">Sustainability in the hotel industry is a hard nut to crack. This paper will investigate the practice and process of sustainable accreditation in hotels, the benefits and issues that arise in becoming sustainable in day-to-day work and examine the new trends that are emerging because of these developments. This chapter serves as an introduction for the following chapters, whereby it shall outline the content of this book in a bid to describe the importance of sustainability in hotels.</w:t>
      </w:r>
      <w:r w:rsidDel="00000000" w:rsidR="00000000" w:rsidRPr="00000000">
        <w:rPr>
          <w:rtl w:val="0"/>
        </w:rPr>
      </w:r>
    </w:p>
    <w:p w:rsidR="00000000" w:rsidDel="00000000" w:rsidP="00000000" w:rsidRDefault="00000000" w:rsidRPr="00000000" w14:paraId="00000039">
      <w:pPr>
        <w:spacing w:line="360" w:lineRule="auto"/>
        <w:jc w:val="both"/>
        <w:rPr>
          <w:rFonts w:ascii="Arial" w:cs="Arial" w:eastAsia="Arial" w:hAnsi="Arial"/>
          <w:b w:val="1"/>
          <w:color w:val="4472c4"/>
          <w:sz w:val="28"/>
          <w:szCs w:val="28"/>
        </w:rPr>
      </w:pPr>
      <w:r w:rsidDel="00000000" w:rsidR="00000000" w:rsidRPr="00000000">
        <w:rPr>
          <w:rtl w:val="0"/>
        </w:rPr>
      </w:r>
    </w:p>
    <w:p w:rsidR="00000000" w:rsidDel="00000000" w:rsidP="00000000" w:rsidRDefault="00000000" w:rsidRPr="00000000" w14:paraId="0000003A">
      <w:pPr>
        <w:spacing w:line="360" w:lineRule="auto"/>
        <w:jc w:val="both"/>
        <w:rPr>
          <w:rFonts w:ascii="Arial" w:cs="Arial" w:eastAsia="Arial" w:hAnsi="Arial"/>
          <w:color w:val="4472c4"/>
          <w:sz w:val="28"/>
          <w:szCs w:val="28"/>
        </w:rPr>
      </w:pPr>
      <w:r w:rsidDel="00000000" w:rsidR="00000000" w:rsidRPr="00000000">
        <w:rPr>
          <w:rFonts w:ascii="Arial" w:cs="Arial" w:eastAsia="Arial" w:hAnsi="Arial"/>
          <w:b w:val="1"/>
          <w:color w:val="4472c4"/>
          <w:sz w:val="28"/>
          <w:szCs w:val="28"/>
          <w:rtl w:val="0"/>
        </w:rPr>
        <w:t xml:space="preserve">2. Implementation of Sustainable Accreditation in Hotels</w:t>
      </w:r>
      <w:r w:rsidDel="00000000" w:rsidR="00000000" w:rsidRPr="00000000">
        <w:rPr>
          <w:rtl w:val="0"/>
        </w:rPr>
      </w:r>
    </w:p>
    <w:p w:rsidR="00000000" w:rsidDel="00000000" w:rsidP="00000000" w:rsidRDefault="00000000" w:rsidRPr="00000000" w14:paraId="0000003B">
      <w:pPr>
        <w:spacing w:line="360" w:lineRule="auto"/>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However, sustainable accreditation programs urge hotels to resort to ecologically sensitive practices by themselves. These programs set the norms that a hotel must comply with to be granted such accreditations and in that way work as a tool for the industry to incentivize environmental sustainability (Rodríguez-García et al., 2023).</w:t>
      </w:r>
    </w:p>
    <w:p w:rsidR="00000000" w:rsidDel="00000000" w:rsidP="00000000" w:rsidRDefault="00000000" w:rsidRPr="00000000" w14:paraId="0000003C">
      <w:pPr>
        <w:spacing w:line="360" w:lineRule="auto"/>
        <w:jc w:val="both"/>
        <w:rPr>
          <w:rFonts w:ascii="Arial" w:cs="Arial" w:eastAsia="Arial" w:hAnsi="Arial"/>
          <w:b w:val="1"/>
          <w:color w:val="000000"/>
          <w:sz w:val="24"/>
          <w:szCs w:val="24"/>
        </w:rPr>
      </w:pPr>
      <w:r w:rsidDel="00000000" w:rsidR="00000000" w:rsidRPr="00000000">
        <w:rPr>
          <w:rtl w:val="0"/>
        </w:rPr>
      </w:r>
    </w:p>
    <w:p w:rsidR="00000000" w:rsidDel="00000000" w:rsidP="00000000" w:rsidRDefault="00000000" w:rsidRPr="00000000" w14:paraId="0000003D">
      <w:pPr>
        <w:spacing w:line="360" w:lineRule="auto"/>
        <w:jc w:val="both"/>
        <w:rPr>
          <w:rFonts w:ascii="Arial" w:cs="Arial" w:eastAsia="Arial" w:hAnsi="Arial"/>
          <w:color w:val="4472c4"/>
          <w:sz w:val="28"/>
          <w:szCs w:val="28"/>
        </w:rPr>
      </w:pPr>
      <w:r w:rsidDel="00000000" w:rsidR="00000000" w:rsidRPr="00000000">
        <w:rPr>
          <w:rFonts w:ascii="Arial" w:cs="Arial" w:eastAsia="Arial" w:hAnsi="Arial"/>
          <w:b w:val="1"/>
          <w:color w:val="4472c4"/>
          <w:sz w:val="28"/>
          <w:szCs w:val="28"/>
          <w:rtl w:val="0"/>
        </w:rPr>
        <w:t xml:space="preserve">3. The Criteria for Sustainable Accreditation</w:t>
      </w:r>
      <w:r w:rsidDel="00000000" w:rsidR="00000000" w:rsidRPr="00000000">
        <w:rPr>
          <w:rtl w:val="0"/>
        </w:rPr>
      </w:r>
    </w:p>
    <w:p w:rsidR="00000000" w:rsidDel="00000000" w:rsidP="00000000" w:rsidRDefault="00000000" w:rsidRPr="00000000" w14:paraId="0000003E">
      <w:pPr>
        <w:spacing w:line="360" w:lineRule="auto"/>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There are numerous criteria in different areas which must be met by a hotel to be accredited as a viable one. The criteria in such areas at least are in several areas that can be met in the efforts of minimizing environmental impacts that may arise from the activities of a hotel.</w:t>
      </w:r>
    </w:p>
    <w:p w:rsidR="00000000" w:rsidDel="00000000" w:rsidP="00000000" w:rsidRDefault="00000000" w:rsidRPr="00000000" w14:paraId="0000003F">
      <w:pPr>
        <w:spacing w:line="360" w:lineRule="auto"/>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In sustainable accreditation, energy efficiency is a key point. A hotel must ensure that all the energy that is used is reduced and, most importantly, the efficiency of consumption is brought to the required levels. Thus, they may as well invest in the energy-saving technologies themselves, such as LED lights, smart thermostats, and efficient appliances. They will be able to reduce their carbon footprint in this way and contribute to lessening climate change.</w:t>
      </w:r>
    </w:p>
    <w:p w:rsidR="00000000" w:rsidDel="00000000" w:rsidP="00000000" w:rsidRDefault="00000000" w:rsidRPr="00000000" w14:paraId="00000040">
      <w:pPr>
        <w:spacing w:line="360" w:lineRule="auto"/>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The second large part is sustainable accreditation about water conservation. This requires that hotels have ways of using less water and promoting water conservation within the hotels. These may include low-flow fixtures, water-saving practices, landscaping, irrigation, and treatment technologies that recover water for reuse (Kim et al., 2017). Effective water management serves to reduce not only the burden of a hotel on the environment but also ensures sustainable water supplies in the long term.</w:t>
      </w:r>
    </w:p>
    <w:p w:rsidR="00000000" w:rsidDel="00000000" w:rsidP="00000000" w:rsidRDefault="00000000" w:rsidRPr="00000000" w14:paraId="00000041">
      <w:pPr>
        <w:spacing w:line="360" w:lineRule="auto"/>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Waste management is also another critical aspect of sustainable accreditation. Hotels must engage in innovative mechanisms for the management of waste that reduce waste, promote recycling and composting, and generally reduce the dependence on throw-away plastics (Baum et al., 2016). The current waste-friendly management strategies can assist hotels not to allow any type of waste to end at the landfills, save the resources, and contribute to a circular economy.</w:t>
      </w:r>
    </w:p>
    <w:p w:rsidR="00000000" w:rsidDel="00000000" w:rsidP="00000000" w:rsidRDefault="00000000" w:rsidRPr="00000000" w14:paraId="00000042">
      <w:pPr>
        <w:spacing w:line="360" w:lineRule="auto"/>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Finally, community involvement is the third pillar of sustainable accreditation. A hotel should engage in the community through shopping from local businesspeople, integrating the local cultural heritage into the operations of the hotel, and even employing the people from these regions. Through the community involvement commissions, hotels will be able to form amicable relations with the locals, and the contributions will be very significant to the social and economic development of towns within which they operate.</w:t>
      </w:r>
    </w:p>
    <w:p w:rsidR="00000000" w:rsidDel="00000000" w:rsidP="00000000" w:rsidRDefault="00000000" w:rsidRPr="00000000" w14:paraId="00000043">
      <w:pPr>
        <w:spacing w:line="360" w:lineRule="auto"/>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44">
      <w:pPr>
        <w:spacing w:line="360" w:lineRule="auto"/>
        <w:jc w:val="both"/>
        <w:rPr>
          <w:rFonts w:ascii="Arial" w:cs="Arial" w:eastAsia="Arial" w:hAnsi="Arial"/>
          <w:color w:val="4472c4"/>
          <w:sz w:val="28"/>
          <w:szCs w:val="28"/>
        </w:rPr>
      </w:pPr>
      <w:r w:rsidDel="00000000" w:rsidR="00000000" w:rsidRPr="00000000">
        <w:rPr>
          <w:rFonts w:ascii="Arial" w:cs="Arial" w:eastAsia="Arial" w:hAnsi="Arial"/>
          <w:b w:val="1"/>
          <w:color w:val="4472c4"/>
          <w:sz w:val="28"/>
          <w:szCs w:val="28"/>
          <w:rtl w:val="0"/>
        </w:rPr>
        <w:t xml:space="preserve">4. Compliance Measures</w:t>
      </w:r>
      <w:r w:rsidDel="00000000" w:rsidR="00000000" w:rsidRPr="00000000">
        <w:rPr>
          <w:rtl w:val="0"/>
        </w:rPr>
      </w:r>
    </w:p>
    <w:p w:rsidR="00000000" w:rsidDel="00000000" w:rsidP="00000000" w:rsidRDefault="00000000" w:rsidRPr="00000000" w14:paraId="00000045">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Sustainable accreditation programmes include stringent compliance measures, one of which is the need that hotels follow predetermined environmental responsibility criteria. These measures also suggest sustainable practices that hotels may implement to help make sustainability a reality. If they want to maintain their sustainable accreditation, hotels must implement several changes into their routines. </w:t>
      </w:r>
    </w:p>
    <w:p w:rsidR="00000000" w:rsidDel="00000000" w:rsidP="00000000" w:rsidRDefault="00000000" w:rsidRPr="00000000" w14:paraId="00000046">
      <w:pPr>
        <w:spacing w:line="360" w:lineRule="auto"/>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Environmental Assessments and Sustainability Plans:</w:t>
      </w:r>
      <w:r w:rsidDel="00000000" w:rsidR="00000000" w:rsidRPr="00000000">
        <w:rPr>
          <w:rFonts w:ascii="Arial" w:cs="Arial" w:eastAsia="Arial" w:hAnsi="Arial"/>
          <w:sz w:val="24"/>
          <w:szCs w:val="24"/>
          <w:rtl w:val="0"/>
        </w:rPr>
        <w:t xml:space="preserve"> For starters, hotels should conduct comprehensive environmental analyses that bring out their weaknesses and craft tailor-made sustainability plans. This is like the one above, talking in detail about the goals and objectives and the action that will be taken to reduce the impact on the environment and be certified for the same (Baum et al., 2016). It is through assessment and monitoring the success of these assessments that hotels can determine what they are doing right and where they require change to improve their performance in sustainability.</w:t>
      </w:r>
    </w:p>
    <w:p w:rsidR="00000000" w:rsidDel="00000000" w:rsidP="00000000" w:rsidRDefault="00000000" w:rsidRPr="00000000" w14:paraId="00000047">
      <w:pPr>
        <w:spacing w:line="360" w:lineRule="auto"/>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Staff Training and Engagement:</w:t>
      </w:r>
      <w:r w:rsidDel="00000000" w:rsidR="00000000" w:rsidRPr="00000000">
        <w:rPr>
          <w:rFonts w:ascii="Arial" w:cs="Arial" w:eastAsia="Arial" w:hAnsi="Arial"/>
          <w:sz w:val="24"/>
          <w:szCs w:val="24"/>
          <w:rtl w:val="0"/>
        </w:rPr>
        <w:t xml:space="preserve"> Training and staff engagement in compliance with sustainable accreditation standards are important aspects. The staff would be trained so that hotels may invest in imparting knowledge of sustainability principles, practices, and protocols among its workforces. This can be in the form of training on the conservation of energy and water, management of waste, conservation of biodiversity, or community engagement initiatives. Engaging the staff ensures that there is a culture of responsibility regarding the environment in the hotel and, therefore, practice of sustainability is actualized within the organization.</w:t>
      </w:r>
    </w:p>
    <w:p w:rsidR="00000000" w:rsidDel="00000000" w:rsidP="00000000" w:rsidRDefault="00000000" w:rsidRPr="00000000" w14:paraId="00000048">
      <w:pPr>
        <w:spacing w:line="360" w:lineRule="auto"/>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Monitoring, Measurement, and Reporting Systems:</w:t>
      </w:r>
      <w:r w:rsidDel="00000000" w:rsidR="00000000" w:rsidRPr="00000000">
        <w:rPr>
          <w:rFonts w:ascii="Arial" w:cs="Arial" w:eastAsia="Arial" w:hAnsi="Arial"/>
          <w:sz w:val="24"/>
          <w:szCs w:val="24"/>
          <w:rtl w:val="0"/>
        </w:rPr>
        <w:t xml:space="preserve"> On the third case, therefore, hotels would need the development of good monitoring, measurement, and reporting systems that will be used to measure performance against stated sustainability goals and verify compliance with standards of accreditation. This includes the collection of data for the different performance indicators associated with the consumption of energy, use of water, generation of waste, and community involvement activities. With regular monitoring and reporting, hotels can detect what can be improved, measure the efficacy of their sustainability interventions, and transparently communicate their progress to their stakeholders.</w:t>
      </w:r>
    </w:p>
    <w:p w:rsidR="00000000" w:rsidDel="00000000" w:rsidP="00000000" w:rsidRDefault="00000000" w:rsidRPr="00000000" w14:paraId="00000049">
      <w:pPr>
        <w:spacing w:line="360" w:lineRule="auto"/>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Engagement with External Stakeholders:</w:t>
      </w:r>
      <w:r w:rsidDel="00000000" w:rsidR="00000000" w:rsidRPr="00000000">
        <w:rPr>
          <w:rFonts w:ascii="Arial" w:cs="Arial" w:eastAsia="Arial" w:hAnsi="Arial"/>
          <w:sz w:val="24"/>
          <w:szCs w:val="24"/>
          <w:rtl w:val="0"/>
        </w:rPr>
        <w:t xml:space="preserve"> In addition, it is advocated that hotels engage their outside stakeholders, including guests, suppliers, and local communities, in furthering their efforts toward sustainability. This could be done by sourcing from suppliers, receiving feedback from guests on practices, building community projects within the destination with local organizations, and groups of interest, as shown in Kim et. al., (2017). All these partnerships and engagements will help the hotel to build a collective pool of knowledge and resources toward achieving the set goals of sustainability.</w:t>
      </w:r>
    </w:p>
    <w:p w:rsidR="00000000" w:rsidDel="00000000" w:rsidP="00000000" w:rsidRDefault="00000000" w:rsidRPr="00000000" w14:paraId="0000004A">
      <w:pPr>
        <w:spacing w:line="360" w:lineRule="auto"/>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4B">
      <w:pPr>
        <w:spacing w:line="360" w:lineRule="auto"/>
        <w:jc w:val="both"/>
        <w:rPr>
          <w:rFonts w:ascii="Arial" w:cs="Arial" w:eastAsia="Arial" w:hAnsi="Arial"/>
          <w:b w:val="1"/>
          <w:color w:val="4472c4"/>
          <w:sz w:val="28"/>
          <w:szCs w:val="28"/>
        </w:rPr>
      </w:pPr>
      <w:r w:rsidDel="00000000" w:rsidR="00000000" w:rsidRPr="00000000">
        <w:rPr>
          <w:rtl w:val="0"/>
        </w:rPr>
      </w:r>
    </w:p>
    <w:p w:rsidR="00000000" w:rsidDel="00000000" w:rsidP="00000000" w:rsidRDefault="00000000" w:rsidRPr="00000000" w14:paraId="0000004C">
      <w:pPr>
        <w:spacing w:line="360" w:lineRule="auto"/>
        <w:rPr>
          <w:rFonts w:ascii="Arial" w:cs="Arial" w:eastAsia="Arial" w:hAnsi="Arial"/>
          <w:color w:val="4472c4"/>
          <w:sz w:val="28"/>
          <w:szCs w:val="28"/>
        </w:rPr>
      </w:pPr>
      <w:r w:rsidDel="00000000" w:rsidR="00000000" w:rsidRPr="00000000">
        <w:rPr>
          <w:rFonts w:ascii="Arial" w:cs="Arial" w:eastAsia="Arial" w:hAnsi="Arial"/>
          <w:b w:val="1"/>
          <w:color w:val="4472c4"/>
          <w:sz w:val="28"/>
          <w:szCs w:val="28"/>
          <w:rtl w:val="0"/>
        </w:rPr>
        <w:t xml:space="preserve">5. Benefits and Challenges of Integrating Sustainability into Daily Operations</w:t>
      </w:r>
      <w:r w:rsidDel="00000000" w:rsidR="00000000" w:rsidRPr="00000000">
        <w:rPr>
          <w:rtl w:val="0"/>
        </w:rPr>
      </w:r>
    </w:p>
    <w:p w:rsidR="00000000" w:rsidDel="00000000" w:rsidP="00000000" w:rsidRDefault="00000000" w:rsidRPr="00000000" w14:paraId="0000004D">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Sustainability from this perspective is what the integration of sustainability into daily hotel operations does in terms of accruing a host of benefits to environmental conservation, economic efficiency, and heightened reputation (Baum et al., 2016). Understanding a clear picture of the benefits to be accrued is imperative for hotels in the endeavour to incorporate sustainability in their business as a pillar of the business strategy. </w:t>
      </w:r>
    </w:p>
    <w:p w:rsidR="00000000" w:rsidDel="00000000" w:rsidP="00000000" w:rsidRDefault="00000000" w:rsidRPr="00000000" w14:paraId="0000004E">
      <w:pPr>
        <w:spacing w:line="36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Benefits of Sustainability </w:t>
      </w:r>
    </w:p>
    <w:p w:rsidR="00000000" w:rsidDel="00000000" w:rsidP="00000000" w:rsidRDefault="00000000" w:rsidRPr="00000000" w14:paraId="0000004F">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Sustainability initiatives in the hotel industry have numerous benefits, both tangible and intangible, and impact on the success and resilience of the business. The first and most significant benefit achieved through sustainability is reducing the environmental footprint and conserving the natural resource base of hotels. The use of efficient energy equipment and technology, water-saving initiatives, and waste minimization programs, reduce the impact the hotel has on the environment and further their contribution to biodiversity conservation, mitigate climate change, and conserve natural ecosystems while attracting environmentally considerate guests (Kim et al., 2017). </w:t>
      </w:r>
    </w:p>
    <w:p w:rsidR="00000000" w:rsidDel="00000000" w:rsidP="00000000" w:rsidRDefault="00000000" w:rsidRPr="00000000" w14:paraId="00000050">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Secondly, sustainability usually translates to savings and operations efficiency hotels. Efficient lighting, heating, and ventilation systems, water-saving fixtures, and initiatives, and waste reduction often lead to huge cuts in the utility bills over the long term (Fernández-Robin et al., 2019). Again, by cutting on resource use and reduction of waste generation, the cost of operations is usually cut down for the hotel; hence, more profitability in the long run. Lastly, being sustainable will ensure that hotels further their reputation and brand image, driving ecologically minded consumers and guarantee loyalty among guests. Hotels that embrace sustainable practices are seen as responsible and friendly to the environment, thus positioning themselves in a unique situation compared to the competitors, which are often recommended for an elitist clientele (Pham et al., 2019).</w:t>
      </w:r>
    </w:p>
    <w:p w:rsidR="00000000" w:rsidDel="00000000" w:rsidP="00000000" w:rsidRDefault="00000000" w:rsidRPr="00000000" w14:paraId="00000051">
      <w:pPr>
        <w:spacing w:line="360" w:lineRule="auto"/>
        <w:jc w:val="both"/>
        <w:rPr>
          <w:rFonts w:ascii="Arial" w:cs="Arial" w:eastAsia="Arial" w:hAnsi="Arial"/>
          <w:b w:val="1"/>
          <w:sz w:val="24"/>
          <w:szCs w:val="24"/>
        </w:rPr>
      </w:pPr>
      <w:r w:rsidDel="00000000" w:rsidR="00000000" w:rsidRPr="00000000">
        <w:rPr>
          <w:rFonts w:ascii="Arial" w:cs="Arial" w:eastAsia="Arial" w:hAnsi="Arial"/>
          <w:sz w:val="24"/>
          <w:szCs w:val="24"/>
          <w:rtl w:val="0"/>
        </w:rPr>
        <w:t xml:space="preserve"> In return, the higher the visibility and credibility a sustainable hotel gains from such positive word-of-mouth and media publicity. Sustainability also contributes to employee wellness and satisfaction, which cultivates a good culture and appreciation for work. Employee involvement in the sustainable actions of a hotel and recognition of their role in the environment endear them to its good will, and in turn, it increases their engagement, retention, and productivity (Rodríguez-García et al., 2023). </w:t>
      </w:r>
      <w:r w:rsidDel="00000000" w:rsidR="00000000" w:rsidRPr="00000000">
        <w:rPr>
          <w:rtl w:val="0"/>
        </w:rPr>
      </w:r>
    </w:p>
    <w:p w:rsidR="00000000" w:rsidDel="00000000" w:rsidP="00000000" w:rsidRDefault="00000000" w:rsidRPr="00000000" w14:paraId="00000052">
      <w:pPr>
        <w:spacing w:line="360" w:lineRule="auto"/>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Challenges of Implementation</w:t>
      </w:r>
      <w:r w:rsidDel="00000000" w:rsidR="00000000" w:rsidRPr="00000000">
        <w:rPr>
          <w:rtl w:val="0"/>
        </w:rPr>
      </w:r>
    </w:p>
    <w:p w:rsidR="00000000" w:rsidDel="00000000" w:rsidP="00000000" w:rsidRDefault="00000000" w:rsidRPr="00000000" w14:paraId="00000053">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Though there are several benefits to a hotel, the sustainability of the day-to-day operations presents quite a few challenges to its full implementation. This is crucial for those hotels that would not wish to be constrained by such challenges in the process of realizing long term set sustainability goals. Perhaps the most significant challenge to implementing sustainability initiatives in hotels is that the process is difficult. </w:t>
      </w:r>
    </w:p>
    <w:p w:rsidR="00000000" w:rsidDel="00000000" w:rsidP="00000000" w:rsidRDefault="00000000" w:rsidRPr="00000000" w14:paraId="00000054">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Sustainability can be a costly affair as one will require to invest in technology and infrastructure, even more in training personnel, which comes with financial and logistical challenges for hotels, especially the small and independent ones (Baum et al., 2016). In addition, it may require one to change the processes or procedures that have been followed for some time. This would then call for proper planning and coordination. The most significant challenge that is likely to derail or rather impede the implementation of sustainability initiatives in hotels is resource constraint in terms of finance and time and other competing resources. Hotels are established in thin budgets, and there is pressure to deliver optimum returns in the short term, making it difficult to justify investments in projects whose results may not be guaranteed to be realized (Fernández-Robin et al., 2019). </w:t>
      </w:r>
    </w:p>
    <w:p w:rsidR="00000000" w:rsidDel="00000000" w:rsidP="00000000" w:rsidRDefault="00000000" w:rsidRPr="00000000" w14:paraId="00000055">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Moreover, less staff capacity and expertise in sustainability will limit their ability to manage and implement most of the sustainable practices. The resistance to change is a crucial barrier when implementing sustainability initiatives among the stakeholders of the hotel. Some stakeholders view a sustainability hotel as an increase burden or a deviation from normal business operations, thus resistance to change could manifest itself in the form of non-cooperation and unwillingness to change (Pham et al., 2019). </w:t>
      </w:r>
    </w:p>
    <w:p w:rsidR="00000000" w:rsidDel="00000000" w:rsidP="00000000" w:rsidRDefault="00000000" w:rsidRPr="00000000" w14:paraId="00000056">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change resistance barrier will be managed by proper communication, stakeholder engagement, and leadership and support that is required for it to be able to muster support and commitment in lines with sustainability goals. Hotels also face conformance challenges regarding related regulatory requirements and compliance obligations, especially in regions with immature or incongruent regulations. Hotels are forced to ensure compliance with shifting environmental legislation, codes of practices, and industry standards to avoid penalties. </w:t>
      </w:r>
    </w:p>
    <w:p w:rsidR="00000000" w:rsidDel="00000000" w:rsidP="00000000" w:rsidRDefault="00000000" w:rsidRPr="00000000" w14:paraId="00000057">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More so, it would bring more burden on the hotels because such certificates and accreditation programs usually require complicated documentation, reporting, and verification. In conclusion, even though the incorporation of sustainability in the daily operations of hotels has significant benefits, at the same time, it is not without challenges. Hotels must accept issues of implementation complexity, resource constraints, resistance to change, and regulatory issues to move towards sustainable practice and to make full use of the potential of sustainability initiatives.</w:t>
      </w:r>
    </w:p>
    <w:p w:rsidR="00000000" w:rsidDel="00000000" w:rsidP="00000000" w:rsidRDefault="00000000" w:rsidRPr="00000000" w14:paraId="00000058">
      <w:pPr>
        <w:spacing w:line="360" w:lineRule="auto"/>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59">
      <w:pPr>
        <w:spacing w:line="360" w:lineRule="auto"/>
        <w:jc w:val="both"/>
        <w:rPr>
          <w:rFonts w:ascii="Arial" w:cs="Arial" w:eastAsia="Arial" w:hAnsi="Arial"/>
          <w:color w:val="4472c4"/>
          <w:sz w:val="28"/>
          <w:szCs w:val="28"/>
        </w:rPr>
      </w:pPr>
      <w:r w:rsidDel="00000000" w:rsidR="00000000" w:rsidRPr="00000000">
        <w:rPr>
          <w:rFonts w:ascii="Arial" w:cs="Arial" w:eastAsia="Arial" w:hAnsi="Arial"/>
          <w:b w:val="1"/>
          <w:color w:val="4472c4"/>
          <w:sz w:val="28"/>
          <w:szCs w:val="28"/>
          <w:rtl w:val="0"/>
        </w:rPr>
        <w:t xml:space="preserve">6. The Future of the Hotel and Hospitality Industry</w:t>
      </w:r>
      <w:r w:rsidDel="00000000" w:rsidR="00000000" w:rsidRPr="00000000">
        <w:rPr>
          <w:rtl w:val="0"/>
        </w:rPr>
      </w:r>
    </w:p>
    <w:p w:rsidR="00000000" w:rsidDel="00000000" w:rsidP="00000000" w:rsidRDefault="00000000" w:rsidRPr="00000000" w14:paraId="0000005A">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directions in the global hospitality industry are being formed currently by the influence of emerging trends and changing consumer preferences, all with sustainability at the canter of shaping the industry's trajectory (Park et al., 2021). A proper understanding of these trends is needed so as hotels may be well prepared to face the future challenges that may be posed and take advantage of opportunities in the increasingly changed marketplace. Sustainable tourism will be at the canter stage of future trends in the hotel and hospitality industry since the level of awareness about matters of the environment has increased, together with alterations in customer preferences (Baum et al., 2016). </w:t>
      </w:r>
    </w:p>
    <w:p w:rsidR="00000000" w:rsidDel="00000000" w:rsidP="00000000" w:rsidRDefault="00000000" w:rsidRPr="00000000" w14:paraId="0000005B">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Hotels will collaborate more and more with local communities on developing economic development, cultural heritage conservation, and the encouragement of social welfare. From the procurement of local products and local hiring of talent to community-supported projects and philanthropic initiatives, hotels will be engaged in the well-being and sustainability of the destinations in which they operate. In conclusion, the future of the hotel and hospitality industry is characterized by sustainable tourism practices , technology integration, experiential travel offerings, and community engagement. All these trends help hotels identify and stay in line with their dynamic consumers so that they can be positioned for long-term success and lead in influencing future travel and tourism .</w:t>
      </w:r>
    </w:p>
    <w:p w:rsidR="00000000" w:rsidDel="00000000" w:rsidP="00000000" w:rsidRDefault="00000000" w:rsidRPr="00000000" w14:paraId="0000005C">
      <w:pPr>
        <w:spacing w:line="360" w:lineRule="auto"/>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5D">
      <w:pPr>
        <w:spacing w:line="360" w:lineRule="auto"/>
        <w:jc w:val="both"/>
        <w:rPr>
          <w:rFonts w:ascii="Arial" w:cs="Arial" w:eastAsia="Arial" w:hAnsi="Arial"/>
          <w:color w:val="4472c4"/>
          <w:sz w:val="28"/>
          <w:szCs w:val="28"/>
        </w:rPr>
      </w:pPr>
      <w:r w:rsidDel="00000000" w:rsidR="00000000" w:rsidRPr="00000000">
        <w:rPr>
          <w:rFonts w:ascii="Arial" w:cs="Arial" w:eastAsia="Arial" w:hAnsi="Arial"/>
          <w:b w:val="1"/>
          <w:color w:val="4472c4"/>
          <w:sz w:val="28"/>
          <w:szCs w:val="28"/>
          <w:rtl w:val="0"/>
        </w:rPr>
        <w:t xml:space="preserve">7. Conclusion</w:t>
      </w:r>
      <w:r w:rsidDel="00000000" w:rsidR="00000000" w:rsidRPr="00000000">
        <w:rPr>
          <w:rtl w:val="0"/>
        </w:rPr>
      </w:r>
    </w:p>
    <w:p w:rsidR="00000000" w:rsidDel="00000000" w:rsidP="00000000" w:rsidRDefault="00000000" w:rsidRPr="00000000" w14:paraId="0000005E">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In sum, the hotel and hospitality industry are changing with a new focus on sustainability, the integration of technology, and experiential travel. The implementation of most of the sustainability practices by hotels is very challenging, but the benefits derived from the latter are tremendous for anything from savings on costs to reputation and customer satisfaction. In the next years, hotels should ride the trends related to sustainable tourism, technology integration, and community engagement to remain competitive and strong in the marketplace. In the discussion above, it has been clearly highlighted how through the focus on sustainability and innovation, hotels can create value for the stakeholders, contribute to environmental conservation, and design a better future for travel and tourism.</w:t>
      </w:r>
      <w:r w:rsidDel="00000000" w:rsidR="00000000" w:rsidRPr="00000000">
        <w:br w:type="page"/>
      </w:r>
      <w:r w:rsidDel="00000000" w:rsidR="00000000" w:rsidRPr="00000000">
        <w:rPr>
          <w:rtl w:val="0"/>
        </w:rPr>
      </w:r>
    </w:p>
    <w:p w:rsidR="00000000" w:rsidDel="00000000" w:rsidP="00000000" w:rsidRDefault="00000000" w:rsidRPr="00000000" w14:paraId="0000005F">
      <w:pP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References:</w:t>
      </w:r>
    </w:p>
    <w:p w:rsidR="00000000" w:rsidDel="00000000" w:rsidP="00000000" w:rsidRDefault="00000000" w:rsidRPr="00000000" w14:paraId="00000060">
      <w:pP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61">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426"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Abad-Segura, E., Cortés-García, F.J., &amp; Belmonte-Ureña, L.J. (2019).</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The Sustainable Approach to Corporate Social Responsibility: A Global Analysis and Future Trends</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Sustainability, 11(19), 5382. </w:t>
      </w:r>
      <w:hyperlink r:id="rId8">
        <w:r w:rsidDel="00000000" w:rsidR="00000000" w:rsidRPr="00000000">
          <w:rPr>
            <w:rFonts w:ascii="Arial" w:cs="Arial" w:eastAsia="Arial" w:hAnsi="Arial"/>
            <w:b w:val="0"/>
            <w:i w:val="0"/>
            <w:smallCaps w:val="0"/>
            <w:strike w:val="0"/>
            <w:color w:val="0563c1"/>
            <w:sz w:val="24"/>
            <w:szCs w:val="24"/>
            <w:u w:val="single"/>
            <w:shd w:fill="auto" w:val="clear"/>
            <w:vertAlign w:val="baseline"/>
            <w:rtl w:val="0"/>
          </w:rPr>
          <w:t xml:space="preserve">https://doi.org/10.3390/su11195382</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(accessed on May 10, 2024)</w:t>
      </w:r>
    </w:p>
    <w:p w:rsidR="00000000" w:rsidDel="00000000" w:rsidP="00000000" w:rsidRDefault="00000000" w:rsidRPr="00000000" w14:paraId="00000062">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426"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Baum, T., Cheung, C., Kong, H., Kralj, A., Mooney, S., Nguyễn Thị Thanh H., Ramachandran, S., Dropulić Ružić, M., &amp; Siow, M.L. (2016).</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Sustainability and the Tourism and Hospitality Workforce: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 Thematic Analysis. Sustainability, 8(8), 809. </w:t>
      </w:r>
      <w:hyperlink r:id="rId9">
        <w:r w:rsidDel="00000000" w:rsidR="00000000" w:rsidRPr="00000000">
          <w:rPr>
            <w:rFonts w:ascii="Arial" w:cs="Arial" w:eastAsia="Arial" w:hAnsi="Arial"/>
            <w:b w:val="0"/>
            <w:i w:val="0"/>
            <w:smallCaps w:val="0"/>
            <w:strike w:val="0"/>
            <w:color w:val="0563c1"/>
            <w:sz w:val="24"/>
            <w:szCs w:val="24"/>
            <w:u w:val="single"/>
            <w:shd w:fill="auto" w:val="clear"/>
            <w:vertAlign w:val="baseline"/>
            <w:rtl w:val="0"/>
          </w:rPr>
          <w:t xml:space="preserve">https://doi.org/10.3390/su8080809</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(accessed on May 10, 2024)</w:t>
      </w:r>
    </w:p>
    <w:p w:rsidR="00000000" w:rsidDel="00000000" w:rsidP="00000000" w:rsidRDefault="00000000" w:rsidRPr="00000000" w14:paraId="00000063">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426"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Baum, T., Mooney, S., Robinson, R., Solnet, D., &amp; Solnet, D. (2019).</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Tourism Employment: A Decade of Expansion and Change.</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Annals of Tourism Research, 75, 338–351. https://doi.org/10.1016/j.annals.2019.03.007 (accessed on May 10, 2024)</w:t>
      </w:r>
    </w:p>
    <w:p w:rsidR="00000000" w:rsidDel="00000000" w:rsidP="00000000" w:rsidRDefault="00000000" w:rsidRPr="00000000" w14:paraId="00000064">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426"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Breda, Z., Pacheco, C., &amp; Dinis, G. (2019).</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FUTURE TRENDS IN THE HOSPITALITY INDUSTRY: AN ANALYSIS FROM THE CONSUMERS’ POINT OF VIEW.</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hyperlink r:id="rId10">
        <w:r w:rsidDel="00000000" w:rsidR="00000000" w:rsidRPr="00000000">
          <w:rPr>
            <w:rFonts w:ascii="Arial" w:cs="Arial" w:eastAsia="Arial" w:hAnsi="Arial"/>
            <w:b w:val="0"/>
            <w:i w:val="0"/>
            <w:smallCaps w:val="0"/>
            <w:strike w:val="0"/>
            <w:color w:val="0563c1"/>
            <w:sz w:val="24"/>
            <w:szCs w:val="24"/>
            <w:u w:val="single"/>
            <w:shd w:fill="auto" w:val="clear"/>
            <w:vertAlign w:val="baseline"/>
            <w:rtl w:val="0"/>
          </w:rPr>
          <w:t xml:space="preserve">https://doi.org/10.20867/tosee.05.9</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(accessed on May 10, 2024)</w:t>
      </w:r>
    </w:p>
    <w:p w:rsidR="00000000" w:rsidDel="00000000" w:rsidP="00000000" w:rsidRDefault="00000000" w:rsidRPr="00000000" w14:paraId="0000006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426"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Dadzie, J., Pratt, I., &amp; Frimpong-Asante, J. (2022).</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A review of sustainable technologies for energy efficient upgrade of existing buildings and systems. IOP Conference Series:</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Earth and Environmental Science, 1101(2), 022028. </w:t>
      </w:r>
      <w:hyperlink r:id="rId11">
        <w:r w:rsidDel="00000000" w:rsidR="00000000" w:rsidRPr="00000000">
          <w:rPr>
            <w:rFonts w:ascii="Arial" w:cs="Arial" w:eastAsia="Arial" w:hAnsi="Arial"/>
            <w:b w:val="0"/>
            <w:i w:val="0"/>
            <w:smallCaps w:val="0"/>
            <w:strike w:val="0"/>
            <w:color w:val="0563c1"/>
            <w:sz w:val="24"/>
            <w:szCs w:val="24"/>
            <w:u w:val="single"/>
            <w:shd w:fill="auto" w:val="clear"/>
            <w:vertAlign w:val="baseline"/>
            <w:rtl w:val="0"/>
          </w:rPr>
          <w:t xml:space="preserve">https://doi.org/10.1088/1755-1315/1101/2/022028</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(accessed on May 10, 2024)</w:t>
      </w:r>
    </w:p>
    <w:p w:rsidR="00000000" w:rsidDel="00000000" w:rsidP="00000000" w:rsidRDefault="00000000" w:rsidRPr="00000000" w14:paraId="0000006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426"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Fernández-Robin, C., Celemín-Pedroche, M.S., Santander-Astorga, P., &amp; Alonso-Almeida, MdM. (2019).</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Green Practices in Hospitality:</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A Contingency Approach. Sustainability, 11(13), 3737. </w:t>
      </w:r>
      <w:hyperlink r:id="rId12">
        <w:r w:rsidDel="00000000" w:rsidR="00000000" w:rsidRPr="00000000">
          <w:rPr>
            <w:rFonts w:ascii="Arial" w:cs="Arial" w:eastAsia="Arial" w:hAnsi="Arial"/>
            <w:b w:val="0"/>
            <w:i w:val="0"/>
            <w:smallCaps w:val="0"/>
            <w:strike w:val="0"/>
            <w:color w:val="0563c1"/>
            <w:sz w:val="24"/>
            <w:szCs w:val="24"/>
            <w:u w:val="single"/>
            <w:shd w:fill="auto" w:val="clear"/>
            <w:vertAlign w:val="baseline"/>
            <w:rtl w:val="0"/>
          </w:rPr>
          <w:t xml:space="preserve">https://doi.org/10.3390/su11133737</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(accessed on May 10, 2024)</w:t>
      </w:r>
    </w:p>
    <w:p w:rsidR="00000000" w:rsidDel="00000000" w:rsidP="00000000" w:rsidRDefault="00000000" w:rsidRPr="00000000" w14:paraId="0000006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426"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Foris, D., Crihălmean, N., &amp; Panoiu, T.M. (2020).</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THE NEW TECHNOLOGIES AND SUSTAINABLE PRACTICES IN HOSPITALITY</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SERIES V - ECONOMIC SCIENCES, 13(62), 65-74. </w:t>
      </w:r>
      <w:hyperlink r:id="rId13">
        <w:r w:rsidDel="00000000" w:rsidR="00000000" w:rsidRPr="00000000">
          <w:rPr>
            <w:rFonts w:ascii="Arial" w:cs="Arial" w:eastAsia="Arial" w:hAnsi="Arial"/>
            <w:b w:val="0"/>
            <w:i w:val="0"/>
            <w:smallCaps w:val="0"/>
            <w:strike w:val="0"/>
            <w:color w:val="0563c1"/>
            <w:sz w:val="24"/>
            <w:szCs w:val="24"/>
            <w:u w:val="single"/>
            <w:shd w:fill="auto" w:val="clear"/>
            <w:vertAlign w:val="baseline"/>
            <w:rtl w:val="0"/>
          </w:rPr>
          <w:t xml:space="preserve">https://doi.org/10.31926/but.es.2020.13.62.2.7</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(accessed on May 10, 2024)</w:t>
      </w:r>
    </w:p>
    <w:p w:rsidR="00000000" w:rsidDel="00000000" w:rsidP="00000000" w:rsidRDefault="00000000" w:rsidRPr="00000000" w14:paraId="0000006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426"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Guttentag, D. (2010).</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Virtual Reality: Applications and Implications for Tourism.</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Tourism Management, 31(5), 637–651. </w:t>
      </w:r>
      <w:hyperlink r:id="rId14">
        <w:r w:rsidDel="00000000" w:rsidR="00000000" w:rsidRPr="00000000">
          <w:rPr>
            <w:rFonts w:ascii="Arial" w:cs="Arial" w:eastAsia="Arial" w:hAnsi="Arial"/>
            <w:b w:val="0"/>
            <w:i w:val="0"/>
            <w:smallCaps w:val="0"/>
            <w:strike w:val="0"/>
            <w:color w:val="0563c1"/>
            <w:sz w:val="24"/>
            <w:szCs w:val="24"/>
            <w:u w:val="single"/>
            <w:shd w:fill="auto" w:val="clear"/>
            <w:vertAlign w:val="baseline"/>
            <w:rtl w:val="0"/>
          </w:rPr>
          <w:t xml:space="preserve">https://doi.org/10.1016/j.tourman.2009.07.003</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(accessed on May 10, 2024)</w:t>
      </w:r>
    </w:p>
    <w:p w:rsidR="00000000" w:rsidDel="00000000" w:rsidP="00000000" w:rsidRDefault="00000000" w:rsidRPr="00000000" w14:paraId="0000006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426"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Khatter, A. (2023).</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Challenges and Solutions for Environmental Sustainability in the Hospitality Sector.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Sustainability, 15(15), 11491. </w:t>
      </w:r>
      <w:hyperlink r:id="rId15">
        <w:r w:rsidDel="00000000" w:rsidR="00000000" w:rsidRPr="00000000">
          <w:rPr>
            <w:rFonts w:ascii="Arial" w:cs="Arial" w:eastAsia="Arial" w:hAnsi="Arial"/>
            <w:b w:val="0"/>
            <w:i w:val="0"/>
            <w:smallCaps w:val="0"/>
            <w:strike w:val="0"/>
            <w:color w:val="0563c1"/>
            <w:sz w:val="24"/>
            <w:szCs w:val="24"/>
            <w:u w:val="single"/>
            <w:shd w:fill="auto" w:val="clear"/>
            <w:vertAlign w:val="baseline"/>
            <w:rtl w:val="0"/>
          </w:rPr>
          <w:t xml:space="preserve">https://doi.org/10.3390/su151511491</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(accessed on May 10, 2024)</w:t>
      </w:r>
    </w:p>
    <w:p w:rsidR="00000000" w:rsidDel="00000000" w:rsidP="00000000" w:rsidRDefault="00000000" w:rsidRPr="00000000" w14:paraId="0000006A">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426"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Kim, Sun, Lee, Kiwon, &amp; Fairhurst, Ann. (2017).</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The review of “green” research in hospitality, 2000-2014: Current trends and future research directions.</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International Journal of Contemporary Hospitality Management. </w:t>
      </w:r>
      <w:hyperlink r:id="rId16">
        <w:r w:rsidDel="00000000" w:rsidR="00000000" w:rsidRPr="00000000">
          <w:rPr>
            <w:rFonts w:ascii="Arial" w:cs="Arial" w:eastAsia="Arial" w:hAnsi="Arial"/>
            <w:b w:val="0"/>
            <w:i w:val="0"/>
            <w:smallCaps w:val="0"/>
            <w:strike w:val="0"/>
            <w:color w:val="0563c1"/>
            <w:sz w:val="24"/>
            <w:szCs w:val="24"/>
            <w:u w:val="single"/>
            <w:shd w:fill="auto" w:val="clear"/>
            <w:vertAlign w:val="baseline"/>
            <w:rtl w:val="0"/>
          </w:rPr>
          <w:t xml:space="preserve">https://www.researchgate.net/publication/312667982_The_review_of_green_research_in_hospitality_2000-2014_Current_trends_and_future_research_directions</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(accessed on May 10, 2024)</w:t>
      </w:r>
    </w:p>
    <w:p w:rsidR="00000000" w:rsidDel="00000000" w:rsidP="00000000" w:rsidRDefault="00000000" w:rsidRPr="00000000" w14:paraId="0000006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426"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Park, Junghyun, Park, Yunmi, Yoo, Jae, &amp; Yu, Jongsik. (2021).</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Can Hotel Companies’ Water Conservation Management and Waste Reduction Measures Influence Hotel Customers’ Willingness to Pay More and Intention to Revisit?</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International Journal of Environmental Research and Public Health. </w:t>
      </w:r>
      <w:hyperlink r:id="rId17">
        <w:r w:rsidDel="00000000" w:rsidR="00000000" w:rsidRPr="00000000">
          <w:rPr>
            <w:rFonts w:ascii="Arial" w:cs="Arial" w:eastAsia="Arial" w:hAnsi="Arial"/>
            <w:b w:val="0"/>
            <w:i w:val="0"/>
            <w:smallCaps w:val="0"/>
            <w:strike w:val="0"/>
            <w:color w:val="0563c1"/>
            <w:sz w:val="24"/>
            <w:szCs w:val="24"/>
            <w:u w:val="single"/>
            <w:shd w:fill="auto" w:val="clear"/>
            <w:vertAlign w:val="baseline"/>
            <w:rtl w:val="0"/>
          </w:rPr>
          <w:t xml:space="preserve">https://doi.org/10.3390/ijerph18179054</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(accessed on May 10, 2024)</w:t>
      </w:r>
    </w:p>
    <w:p w:rsidR="00000000" w:rsidDel="00000000" w:rsidP="00000000" w:rsidRDefault="00000000" w:rsidRPr="00000000" w14:paraId="0000006C">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426"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Pham, N.T., Tučková, Z., &amp; Chiappetta Jabbour, C.J. (2019).</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Greening the hospitality industry: How do green human resource management practices influence organizational citizenship behaviour in hotels?</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A mixed-methods study. Tourism Management, 72, 386-399. </w:t>
      </w:r>
      <w:hyperlink r:id="rId18">
        <w:r w:rsidDel="00000000" w:rsidR="00000000" w:rsidRPr="00000000">
          <w:rPr>
            <w:rFonts w:ascii="Arial" w:cs="Arial" w:eastAsia="Arial" w:hAnsi="Arial"/>
            <w:b w:val="0"/>
            <w:i w:val="0"/>
            <w:smallCaps w:val="0"/>
            <w:strike w:val="0"/>
            <w:color w:val="0563c1"/>
            <w:sz w:val="24"/>
            <w:szCs w:val="24"/>
            <w:u w:val="single"/>
            <w:shd w:fill="auto" w:val="clear"/>
            <w:vertAlign w:val="baseline"/>
            <w:rtl w:val="0"/>
          </w:rPr>
          <w:t xml:space="preserve">https://doi.org/10.1016/j.tourman.2018.12.008</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(accessed on May 10, 2024)</w:t>
      </w:r>
    </w:p>
    <w:p w:rsidR="00000000" w:rsidDel="00000000" w:rsidP="00000000" w:rsidRDefault="00000000" w:rsidRPr="00000000" w14:paraId="0000006D">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426"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Popșa, R.E. (2023).</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Importance of Sustainability in the Hotel Industry</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Expert Journal of Business and Management, 11(2), 183-188. </w:t>
      </w:r>
      <w:hyperlink r:id="rId19">
        <w:r w:rsidDel="00000000" w:rsidR="00000000" w:rsidRPr="00000000">
          <w:rPr>
            <w:rFonts w:ascii="Arial" w:cs="Arial" w:eastAsia="Arial" w:hAnsi="Arial"/>
            <w:b w:val="0"/>
            <w:i w:val="0"/>
            <w:smallCaps w:val="0"/>
            <w:strike w:val="0"/>
            <w:color w:val="0563c1"/>
            <w:sz w:val="24"/>
            <w:szCs w:val="24"/>
            <w:u w:val="single"/>
            <w:shd w:fill="auto" w:val="clear"/>
            <w:vertAlign w:val="baseline"/>
            <w:rtl w:val="0"/>
          </w:rPr>
          <w:t xml:space="preserve">https://business.expertjournals.com/23446781-1116/</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(accessed on May 10, 2024)</w:t>
      </w:r>
    </w:p>
    <w:p w:rsidR="00000000" w:rsidDel="00000000" w:rsidP="00000000" w:rsidRDefault="00000000" w:rsidRPr="00000000" w14:paraId="0000006E">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426"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Rodríguez-García, Roberto, Ferrero-Ferrero, Idoya, &amp; Fernandez-Izquierdo, Maria. (2023).</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Analysis of integration of sustainability in sustainability certifications in the hotel industry.</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Frontiers in Sustainability. </w:t>
      </w:r>
      <w:hyperlink r:id="rId20">
        <w:r w:rsidDel="00000000" w:rsidR="00000000" w:rsidRPr="00000000">
          <w:rPr>
            <w:rFonts w:ascii="Arial" w:cs="Arial" w:eastAsia="Arial" w:hAnsi="Arial"/>
            <w:b w:val="0"/>
            <w:i w:val="0"/>
            <w:smallCaps w:val="0"/>
            <w:strike w:val="0"/>
            <w:color w:val="0563c1"/>
            <w:sz w:val="24"/>
            <w:szCs w:val="24"/>
            <w:u w:val="single"/>
            <w:shd w:fill="auto" w:val="clear"/>
            <w:vertAlign w:val="baseline"/>
            <w:rtl w:val="0"/>
          </w:rPr>
          <w:t xml:space="preserve">https://www.researchgate.net/publication/371742446_Analysis_of_integration_of_sustainability_in_sustainability_certifications_in_the_hotel_industry</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(accessed on May 10, 2024)</w:t>
      </w:r>
    </w:p>
    <w:p w:rsidR="00000000" w:rsidDel="00000000" w:rsidP="00000000" w:rsidRDefault="00000000" w:rsidRPr="00000000" w14:paraId="0000006F">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426"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Scott, N., Laws, E., &amp; Prideaux, B. (2013).</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Tourism Crises and Marketing Recovery Strategies.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Journal of Travel &amp; Tourism Marketing, 30(1-2), 1–20. </w:t>
      </w:r>
      <w:hyperlink r:id="rId21">
        <w:r w:rsidDel="00000000" w:rsidR="00000000" w:rsidRPr="00000000">
          <w:rPr>
            <w:rFonts w:ascii="Arial" w:cs="Arial" w:eastAsia="Arial" w:hAnsi="Arial"/>
            <w:b w:val="0"/>
            <w:i w:val="0"/>
            <w:smallCaps w:val="0"/>
            <w:strike w:val="0"/>
            <w:color w:val="0563c1"/>
            <w:sz w:val="24"/>
            <w:szCs w:val="24"/>
            <w:u w:val="single"/>
            <w:shd w:fill="auto" w:val="clear"/>
            <w:vertAlign w:val="baseline"/>
            <w:rtl w:val="0"/>
          </w:rPr>
          <w:t xml:space="preserve">https://doi.org/10.1300/J073v23n02_01</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(accessed on May 10, 2024)</w:t>
      </w:r>
    </w:p>
    <w:p w:rsidR="00000000" w:rsidDel="00000000" w:rsidP="00000000" w:rsidRDefault="00000000" w:rsidRPr="00000000" w14:paraId="00000070">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426"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Shaikh, P., &amp; Bhautik, P. (2022).</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A Comprehensive Study on Sustainable Practices in the Hotel Industry: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 Review. ECS Transactions, 107(1), 479. </w:t>
      </w:r>
      <w:hyperlink r:id="rId22">
        <w:r w:rsidDel="00000000" w:rsidR="00000000" w:rsidRPr="00000000">
          <w:rPr>
            <w:rFonts w:ascii="Arial" w:cs="Arial" w:eastAsia="Arial" w:hAnsi="Arial"/>
            <w:b w:val="0"/>
            <w:i w:val="0"/>
            <w:smallCaps w:val="0"/>
            <w:strike w:val="0"/>
            <w:color w:val="0563c1"/>
            <w:sz w:val="24"/>
            <w:szCs w:val="24"/>
            <w:u w:val="single"/>
            <w:shd w:fill="auto" w:val="clear"/>
            <w:vertAlign w:val="baseline"/>
            <w:rtl w:val="0"/>
          </w:rPr>
          <w:t xml:space="preserve">https://doi.org/10.1149/10701.0479ecst</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(accessed on May 10, 2024)</w:t>
      </w:r>
    </w:p>
    <w:p w:rsidR="00000000" w:rsidDel="00000000" w:rsidP="00000000" w:rsidRDefault="00000000" w:rsidRPr="00000000" w14:paraId="00000071">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426"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Sobti, Rajeev, K., Ravikiran, Kareem, Hawraa, K., Jisha, Dhamija, Koushal, &amp; Rao, A.L.N. (2024).</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Analysing solid waste management practices for the hotel industry.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E3S Web of Conferences. </w:t>
      </w:r>
      <w:hyperlink r:id="rId23">
        <w:r w:rsidDel="00000000" w:rsidR="00000000" w:rsidRPr="00000000">
          <w:rPr>
            <w:rFonts w:ascii="Arial" w:cs="Arial" w:eastAsia="Arial" w:hAnsi="Arial"/>
            <w:b w:val="0"/>
            <w:i w:val="0"/>
            <w:smallCaps w:val="0"/>
            <w:strike w:val="0"/>
            <w:color w:val="0563c1"/>
            <w:sz w:val="24"/>
            <w:szCs w:val="24"/>
            <w:u w:val="single"/>
            <w:shd w:fill="auto" w:val="clear"/>
            <w:vertAlign w:val="baseline"/>
            <w:rtl w:val="0"/>
          </w:rPr>
          <w:t xml:space="preserve">https://doi.org/10.1051/e3sconf/202450701073</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(accessed on May 10, 2024)</w:t>
      </w:r>
    </w:p>
    <w:p w:rsidR="00000000" w:rsidDel="00000000" w:rsidP="00000000" w:rsidRDefault="00000000" w:rsidRPr="00000000" w14:paraId="00000072">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426"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Wang, D., Park, S., &amp; Fesenmaier, D.R. (2012).</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The Role of Smartphones in Mediating the Touristic Experience.</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Journal of Travel Research, 51(4), 371–387. </w:t>
      </w:r>
      <w:hyperlink r:id="rId24">
        <w:r w:rsidDel="00000000" w:rsidR="00000000" w:rsidRPr="00000000">
          <w:rPr>
            <w:rFonts w:ascii="Arial" w:cs="Arial" w:eastAsia="Arial" w:hAnsi="Arial"/>
            <w:b w:val="0"/>
            <w:i w:val="0"/>
            <w:smallCaps w:val="0"/>
            <w:strike w:val="0"/>
            <w:color w:val="0563c1"/>
            <w:sz w:val="24"/>
            <w:szCs w:val="24"/>
            <w:u w:val="single"/>
            <w:shd w:fill="auto" w:val="clear"/>
            <w:vertAlign w:val="baseline"/>
            <w:rtl w:val="0"/>
          </w:rPr>
          <w:t xml:space="preserve">https://doi.org/10.1177/0047287511426341</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(accessed on May 10, 2024)</w:t>
      </w:r>
    </w:p>
    <w:p w:rsidR="00000000" w:rsidDel="00000000" w:rsidP="00000000" w:rsidRDefault="00000000" w:rsidRPr="00000000" w14:paraId="00000073">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426"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Weaver, D., Davidson, M. C. G., Lawton, L., Patiar, A., Reid, S., &amp; Johnston, N. (2013).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Awarding Sustainable Asia-Pacific Hotel Practices:</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Rewarding Innovative Practices or Open Rhetoric? Tourism Recreation Research, 38(1), 15–28. </w:t>
      </w:r>
      <w:hyperlink r:id="rId25">
        <w:r w:rsidDel="00000000" w:rsidR="00000000" w:rsidRPr="00000000">
          <w:rPr>
            <w:rFonts w:ascii="Arial" w:cs="Arial" w:eastAsia="Arial" w:hAnsi="Arial"/>
            <w:b w:val="0"/>
            <w:i w:val="0"/>
            <w:smallCaps w:val="0"/>
            <w:strike w:val="0"/>
            <w:color w:val="0563c1"/>
            <w:sz w:val="24"/>
            <w:szCs w:val="24"/>
            <w:u w:val="single"/>
            <w:shd w:fill="auto" w:val="clear"/>
            <w:vertAlign w:val="baseline"/>
            <w:rtl w:val="0"/>
          </w:rPr>
          <w:t xml:space="preserve">https://doi.org/10.1080/02508281.2013.11081726</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(accessed on May 10, 2024)</w:t>
      </w:r>
    </w:p>
    <w:p w:rsidR="00000000" w:rsidDel="00000000" w:rsidP="00000000" w:rsidRDefault="00000000" w:rsidRPr="00000000" w14:paraId="00000074">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360" w:lineRule="auto"/>
        <w:ind w:left="426" w:right="0" w:hanging="360"/>
        <w:jc w:val="left"/>
        <w:rPr>
          <w:rFonts w:ascii="Arial" w:cs="Arial" w:eastAsia="Arial" w:hAnsi="Arial"/>
          <w:b w:val="0"/>
          <w:i w:val="0"/>
          <w:smallCaps w:val="0"/>
          <w:strike w:val="0"/>
          <w:color w:val="000000"/>
          <w:sz w:val="24"/>
          <w:szCs w:val="24"/>
          <w:u w:val="none"/>
          <w:shd w:fill="auto" w:val="clear"/>
          <w:vertAlign w:val="baseline"/>
        </w:rPr>
      </w:pPr>
      <w:bookmarkStart w:colFirst="0" w:colLast="0" w:name="_heading=h.gjdgxs" w:id="0"/>
      <w:bookmarkEnd w:id="0"/>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Xiang, Z., &amp; Gretzel, U. (2010).</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Role of Social Media in Online Travel Information Search.</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Tourism Management, 31(2), 179–188. </w:t>
      </w:r>
      <w:hyperlink r:id="rId26">
        <w:r w:rsidDel="00000000" w:rsidR="00000000" w:rsidRPr="00000000">
          <w:rPr>
            <w:rFonts w:ascii="Arial" w:cs="Arial" w:eastAsia="Arial" w:hAnsi="Arial"/>
            <w:b w:val="0"/>
            <w:i w:val="0"/>
            <w:smallCaps w:val="0"/>
            <w:strike w:val="0"/>
            <w:color w:val="0563c1"/>
            <w:sz w:val="24"/>
            <w:szCs w:val="24"/>
            <w:u w:val="single"/>
            <w:shd w:fill="auto" w:val="clear"/>
            <w:vertAlign w:val="baseline"/>
            <w:rtl w:val="0"/>
          </w:rPr>
          <w:t xml:space="preserve">https://doi.org/10.1016/j.tourman.2009.02.016</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(accessed on May 10, 2024)</w:t>
      </w:r>
    </w:p>
    <w:p w:rsidR="00000000" w:rsidDel="00000000" w:rsidP="00000000" w:rsidRDefault="00000000" w:rsidRPr="00000000" w14:paraId="00000075">
      <w:pPr>
        <w:rPr/>
      </w:pPr>
      <w:r w:rsidDel="00000000" w:rsidR="00000000" w:rsidRPr="00000000">
        <w:rPr>
          <w:rtl w:val="0"/>
        </w:rPr>
      </w:r>
    </w:p>
    <w:sectPr>
      <w:footerReference r:id="rId27" w:type="default"/>
      <w:pgSz w:h="16838" w:w="11906" w:orient="portrait"/>
      <w:pgMar w:bottom="1440" w:top="1440" w:left="1418" w:right="991" w:header="708" w:footer="708"/>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7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3">
    <w:lvl w:ilvl="0">
      <w:start w:val="1"/>
      <w:numFmt w:val="decimal"/>
      <w:lvlText w:val="%1."/>
      <w:lvlJc w:val="left"/>
      <w:pPr>
        <w:ind w:left="1080" w:hanging="360"/>
      </w:pPr>
      <w:rPr>
        <w:b w:val="1"/>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Emphasis">
    <w:name w:val="Emphasis"/>
    <w:basedOn w:val="DefaultParagraphFont"/>
    <w:uiPriority w:val="20"/>
    <w:qFormat w:val="1"/>
    <w:rsid w:val="005E36AC"/>
    <w:rPr>
      <w:i w:val="1"/>
      <w:iCs w:val="1"/>
    </w:rPr>
  </w:style>
  <w:style w:type="character" w:styleId="Hyperlink">
    <w:name w:val="Hyperlink"/>
    <w:basedOn w:val="DefaultParagraphFont"/>
    <w:uiPriority w:val="99"/>
    <w:unhideWhenUsed w:val="1"/>
    <w:rsid w:val="005E36AC"/>
    <w:rPr>
      <w:color w:val="0563c1" w:themeColor="hyperlink"/>
      <w:u w:val="single"/>
    </w:rPr>
  </w:style>
  <w:style w:type="character" w:styleId="UnresolvedMention">
    <w:name w:val="Unresolved Mention"/>
    <w:basedOn w:val="DefaultParagraphFont"/>
    <w:uiPriority w:val="99"/>
    <w:semiHidden w:val="1"/>
    <w:unhideWhenUsed w:val="1"/>
    <w:rsid w:val="005E36AC"/>
    <w:rPr>
      <w:color w:val="605e5c"/>
      <w:shd w:color="auto" w:fill="e1dfdd" w:val="clear"/>
    </w:rPr>
  </w:style>
  <w:style w:type="character" w:styleId="FollowedHyperlink">
    <w:name w:val="FollowedHyperlink"/>
    <w:basedOn w:val="DefaultParagraphFont"/>
    <w:uiPriority w:val="99"/>
    <w:semiHidden w:val="1"/>
    <w:unhideWhenUsed w:val="1"/>
    <w:rsid w:val="00A63BD6"/>
    <w:rPr>
      <w:color w:val="954f72" w:themeColor="followedHyperlink"/>
      <w:u w:val="single"/>
    </w:rPr>
  </w:style>
  <w:style w:type="paragraph" w:styleId="ListParagraph">
    <w:name w:val="List Paragraph"/>
    <w:basedOn w:val="Normal"/>
    <w:uiPriority w:val="34"/>
    <w:qFormat w:val="1"/>
    <w:rsid w:val="00E64CD6"/>
    <w:pPr>
      <w:ind w:left="720"/>
      <w:contextualSpacing w:val="1"/>
    </w:pPr>
  </w:style>
  <w:style w:type="paragraph" w:styleId="Header">
    <w:name w:val="header"/>
    <w:basedOn w:val="Normal"/>
    <w:link w:val="HeaderChar"/>
    <w:uiPriority w:val="99"/>
    <w:unhideWhenUsed w:val="1"/>
    <w:rsid w:val="006F2670"/>
    <w:pPr>
      <w:tabs>
        <w:tab w:val="center" w:pos="4513"/>
        <w:tab w:val="right" w:pos="9026"/>
      </w:tabs>
      <w:spacing w:after="0" w:line="240" w:lineRule="auto"/>
    </w:pPr>
  </w:style>
  <w:style w:type="character" w:styleId="HeaderChar" w:customStyle="1">
    <w:name w:val="Header Char"/>
    <w:basedOn w:val="DefaultParagraphFont"/>
    <w:link w:val="Header"/>
    <w:uiPriority w:val="99"/>
    <w:rsid w:val="006F2670"/>
  </w:style>
  <w:style w:type="paragraph" w:styleId="Footer">
    <w:name w:val="footer"/>
    <w:basedOn w:val="Normal"/>
    <w:link w:val="FooterChar"/>
    <w:uiPriority w:val="99"/>
    <w:unhideWhenUsed w:val="1"/>
    <w:rsid w:val="006F2670"/>
    <w:pPr>
      <w:tabs>
        <w:tab w:val="center" w:pos="4513"/>
        <w:tab w:val="right" w:pos="9026"/>
      </w:tabs>
      <w:spacing w:after="0" w:line="240" w:lineRule="auto"/>
    </w:pPr>
  </w:style>
  <w:style w:type="character" w:styleId="FooterChar" w:customStyle="1">
    <w:name w:val="Footer Char"/>
    <w:basedOn w:val="DefaultParagraphFont"/>
    <w:link w:val="Footer"/>
    <w:uiPriority w:val="99"/>
    <w:rsid w:val="006F2670"/>
  </w:style>
  <w:style w:type="paragraph" w:styleId="NoSpacing">
    <w:name w:val="No Spacing"/>
    <w:link w:val="NoSpacingChar"/>
    <w:uiPriority w:val="1"/>
    <w:qFormat w:val="1"/>
    <w:rsid w:val="006F2670"/>
    <w:pPr>
      <w:spacing w:after="0" w:line="240" w:lineRule="auto"/>
    </w:pPr>
    <w:rPr>
      <w:rFonts w:eastAsiaTheme="minorEastAsia"/>
      <w:lang w:eastAsia="en-GB"/>
    </w:rPr>
  </w:style>
  <w:style w:type="character" w:styleId="NoSpacingChar" w:customStyle="1">
    <w:name w:val="No Spacing Char"/>
    <w:basedOn w:val="DefaultParagraphFont"/>
    <w:link w:val="NoSpacing"/>
    <w:uiPriority w:val="1"/>
    <w:rsid w:val="006F2670"/>
    <w:rPr>
      <w:rFonts w:eastAsiaTheme="minorEastAsia"/>
      <w:lang w:eastAsia="en-GB"/>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www.researchgate.net/publication/371742446_Analysis_of_integration_of_sustainability_in_sustainability_certifications_in_the_hotel_industry" TargetMode="External"/><Relationship Id="rId22" Type="http://schemas.openxmlformats.org/officeDocument/2006/relationships/hyperlink" Target="https://doi.org/10.1149/10701.0479ecst" TargetMode="External"/><Relationship Id="rId21" Type="http://schemas.openxmlformats.org/officeDocument/2006/relationships/hyperlink" Target="https://doi.org/10.1300/J073v23n02_01" TargetMode="External"/><Relationship Id="rId24" Type="http://schemas.openxmlformats.org/officeDocument/2006/relationships/hyperlink" Target="https://doi.org/10.1177/0047287511426341" TargetMode="External"/><Relationship Id="rId23" Type="http://schemas.openxmlformats.org/officeDocument/2006/relationships/hyperlink" Target="https://doi.org/10.1051/e3sconf/202450701073"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doi.org/10.3390/su8080809" TargetMode="External"/><Relationship Id="rId26" Type="http://schemas.openxmlformats.org/officeDocument/2006/relationships/hyperlink" Target="https://doi.org/10.1016/j.tourman.2009.02.016" TargetMode="External"/><Relationship Id="rId25" Type="http://schemas.openxmlformats.org/officeDocument/2006/relationships/hyperlink" Target="https://doi.org/10.1080/02508281.2013.11081726" TargetMode="External"/><Relationship Id="rId27"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yperlink" Target="https://doi.org/10.3390/su11195382" TargetMode="External"/><Relationship Id="rId11" Type="http://schemas.openxmlformats.org/officeDocument/2006/relationships/hyperlink" Target="https://doi.org/10.1088/1755-1315/1101/2/022028" TargetMode="External"/><Relationship Id="rId10" Type="http://schemas.openxmlformats.org/officeDocument/2006/relationships/hyperlink" Target="https://doi.org/10.20867/tosee.05.9" TargetMode="External"/><Relationship Id="rId13" Type="http://schemas.openxmlformats.org/officeDocument/2006/relationships/hyperlink" Target="https://doi.org/10.31926/but.es.2020.13.62.2.7" TargetMode="External"/><Relationship Id="rId12" Type="http://schemas.openxmlformats.org/officeDocument/2006/relationships/hyperlink" Target="https://doi.org/10.3390/su11133737" TargetMode="External"/><Relationship Id="rId15" Type="http://schemas.openxmlformats.org/officeDocument/2006/relationships/hyperlink" Target="https://doi.org/10.3390/su151511491" TargetMode="External"/><Relationship Id="rId14" Type="http://schemas.openxmlformats.org/officeDocument/2006/relationships/hyperlink" Target="https://doi.org/10.1016/j.tourman.2009.07.003" TargetMode="External"/><Relationship Id="rId17" Type="http://schemas.openxmlformats.org/officeDocument/2006/relationships/hyperlink" Target="https://doi.org/10.3390/ijerph18179054" TargetMode="External"/><Relationship Id="rId16" Type="http://schemas.openxmlformats.org/officeDocument/2006/relationships/hyperlink" Target="https://www.researchgate.net/publication/312667982_The_review_of_green_research_in_hospitality_2000-2014_Current_trends_and_future_research_directions" TargetMode="External"/><Relationship Id="rId19" Type="http://schemas.openxmlformats.org/officeDocument/2006/relationships/hyperlink" Target="https://business.expertjournals.com/23446781-1116/" TargetMode="External"/><Relationship Id="rId18" Type="http://schemas.openxmlformats.org/officeDocument/2006/relationships/hyperlink" Target="https://doi.org/10.1016/j.tourman.2018.12.008"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eFogl6da86m2sxQ4eCcPD2XLQ7w==">CgMxLjAyCGguZ2pkZ3hzOAByITEtX0Q1NGotbGZ4VmJ2WWNXT1ZYRmtUcEduWnJ1SmFEbg==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2024-05-17T11:58:00Z</dcterms:created>
  <dc:creator>Evciuc, Marin</dc:creator>
</cp:coreProperties>
</file>