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151C5" w14:textId="77777777" w:rsidR="00A1797E" w:rsidRPr="00E66A22" w:rsidRDefault="00A1797E" w:rsidP="00A1797E">
      <w:pPr>
        <w:spacing w:line="360" w:lineRule="auto"/>
        <w:rPr>
          <w:rFonts w:ascii="Arial" w:hAnsi="Arial" w:cs="Arial"/>
          <w:sz w:val="24"/>
          <w:szCs w:val="24"/>
        </w:rPr>
      </w:pPr>
      <w:r w:rsidRPr="00E66A22">
        <w:rPr>
          <w:rFonts w:ascii="Arial" w:hAnsi="Arial" w:cs="Arial"/>
          <w:b/>
          <w:bCs/>
          <w:sz w:val="24"/>
          <w:szCs w:val="24"/>
        </w:rPr>
        <w:t>Student name</w:t>
      </w:r>
      <w:r>
        <w:rPr>
          <w:rFonts w:ascii="Arial" w:hAnsi="Arial" w:cs="Arial"/>
          <w:b/>
          <w:bCs/>
          <w:sz w:val="24"/>
          <w:szCs w:val="24"/>
        </w:rPr>
        <w:t xml:space="preserve"> </w:t>
      </w:r>
      <w:r w:rsidRPr="00A1797E">
        <w:rPr>
          <w:rFonts w:ascii="Arial" w:hAnsi="Arial" w:cs="Arial"/>
          <w:sz w:val="24"/>
          <w:szCs w:val="24"/>
        </w:rPr>
        <w:t>andleeb</w:t>
      </w:r>
      <w:r>
        <w:rPr>
          <w:rFonts w:ascii="Arial" w:hAnsi="Arial" w:cs="Arial"/>
          <w:sz w:val="24"/>
          <w:szCs w:val="24"/>
        </w:rPr>
        <w:t xml:space="preserve"> madeha</w:t>
      </w:r>
    </w:p>
    <w:p w14:paraId="01AAC478" w14:textId="77777777" w:rsidR="00A1797E" w:rsidRPr="00E66A22" w:rsidRDefault="00A1797E" w:rsidP="00A1797E">
      <w:pPr>
        <w:spacing w:line="360" w:lineRule="auto"/>
        <w:rPr>
          <w:rFonts w:ascii="Arial" w:hAnsi="Arial" w:cs="Arial"/>
          <w:sz w:val="24"/>
          <w:szCs w:val="24"/>
        </w:rPr>
      </w:pPr>
      <w:r w:rsidRPr="00E66A22">
        <w:rPr>
          <w:rFonts w:ascii="Arial" w:hAnsi="Arial" w:cs="Arial"/>
          <w:b/>
          <w:bCs/>
          <w:sz w:val="24"/>
          <w:szCs w:val="24"/>
        </w:rPr>
        <w:t>Student ID number</w:t>
      </w:r>
      <w:r>
        <w:rPr>
          <w:rFonts w:ascii="Arial" w:hAnsi="Arial" w:cs="Arial"/>
          <w:b/>
          <w:bCs/>
          <w:sz w:val="24"/>
          <w:szCs w:val="24"/>
        </w:rPr>
        <w:t xml:space="preserve"> </w:t>
      </w:r>
      <w:r>
        <w:rPr>
          <w:rFonts w:ascii="Arial" w:hAnsi="Arial" w:cs="Arial"/>
          <w:sz w:val="24"/>
          <w:szCs w:val="24"/>
        </w:rPr>
        <w:t>2239506</w:t>
      </w:r>
    </w:p>
    <w:p w14:paraId="0F3FD12A" w14:textId="3E8B6916" w:rsidR="00A1797E" w:rsidRPr="00E66A22" w:rsidRDefault="00A1797E" w:rsidP="00A1797E">
      <w:pPr>
        <w:spacing w:line="360" w:lineRule="auto"/>
        <w:rPr>
          <w:rFonts w:ascii="Arial" w:hAnsi="Arial" w:cs="Arial"/>
          <w:sz w:val="24"/>
          <w:szCs w:val="24"/>
        </w:rPr>
      </w:pPr>
      <w:r w:rsidRPr="00E66A22">
        <w:rPr>
          <w:rFonts w:ascii="Arial" w:hAnsi="Arial" w:cs="Arial"/>
          <w:b/>
          <w:bCs/>
          <w:sz w:val="24"/>
          <w:szCs w:val="24"/>
        </w:rPr>
        <w:t>Module</w:t>
      </w:r>
      <w:r>
        <w:rPr>
          <w:rFonts w:ascii="Arial" w:hAnsi="Arial" w:cs="Arial"/>
          <w:b/>
          <w:bCs/>
          <w:sz w:val="24"/>
          <w:szCs w:val="24"/>
        </w:rPr>
        <w:t xml:space="preserve"> </w:t>
      </w:r>
      <w:r w:rsidRPr="00A1797E">
        <w:rPr>
          <w:rFonts w:ascii="Arial" w:hAnsi="Arial" w:cs="Arial"/>
          <w:sz w:val="24"/>
          <w:szCs w:val="24"/>
        </w:rPr>
        <w:t>Sustainable Hospitality &amp; Tourism Management</w:t>
      </w:r>
    </w:p>
    <w:p w14:paraId="1E47FA20" w14:textId="6F1AAA43" w:rsidR="00A1797E" w:rsidRDefault="00A1797E" w:rsidP="00A1797E">
      <w:pPr>
        <w:spacing w:line="360" w:lineRule="auto"/>
        <w:rPr>
          <w:rFonts w:ascii="Arial" w:hAnsi="Arial" w:cs="Arial"/>
          <w:b/>
          <w:bCs/>
          <w:sz w:val="24"/>
          <w:szCs w:val="24"/>
        </w:rPr>
      </w:pPr>
      <w:r w:rsidRPr="00E66A22">
        <w:rPr>
          <w:rFonts w:ascii="Arial" w:hAnsi="Arial" w:cs="Arial"/>
          <w:b/>
          <w:bCs/>
          <w:sz w:val="24"/>
          <w:szCs w:val="24"/>
        </w:rPr>
        <w:t>Module code</w:t>
      </w:r>
      <w:r w:rsidRPr="00E66A22">
        <w:rPr>
          <w:rFonts w:ascii="Arial" w:hAnsi="Arial" w:cs="Arial"/>
          <w:sz w:val="24"/>
          <w:szCs w:val="24"/>
        </w:rPr>
        <w:t xml:space="preserve"> BMIH500</w:t>
      </w:r>
      <w:r>
        <w:rPr>
          <w:rFonts w:ascii="Arial" w:hAnsi="Arial" w:cs="Arial"/>
          <w:sz w:val="24"/>
          <w:szCs w:val="24"/>
        </w:rPr>
        <w:t>6</w:t>
      </w:r>
    </w:p>
    <w:p w14:paraId="4A535B24" w14:textId="5BD4657B" w:rsidR="00A1797E" w:rsidRDefault="00A1797E" w:rsidP="00A1797E">
      <w:pPr>
        <w:spacing w:line="360" w:lineRule="auto"/>
        <w:rPr>
          <w:rFonts w:ascii="Arial" w:hAnsi="Arial" w:cs="Arial"/>
          <w:b/>
          <w:bCs/>
          <w:sz w:val="24"/>
          <w:szCs w:val="24"/>
        </w:rPr>
      </w:pPr>
      <w:r w:rsidRPr="00E66A22">
        <w:rPr>
          <w:rFonts w:ascii="Arial" w:hAnsi="Arial" w:cs="Arial"/>
          <w:b/>
          <w:bCs/>
          <w:sz w:val="24"/>
          <w:szCs w:val="24"/>
        </w:rPr>
        <w:t>Lecturer</w:t>
      </w:r>
      <w:r>
        <w:rPr>
          <w:rFonts w:ascii="Arial" w:hAnsi="Arial" w:cs="Arial"/>
          <w:b/>
          <w:bCs/>
          <w:sz w:val="24"/>
          <w:szCs w:val="24"/>
        </w:rPr>
        <w:t xml:space="preserve"> </w:t>
      </w:r>
      <w:r w:rsidRPr="00A1797E">
        <w:rPr>
          <w:rFonts w:ascii="Arial" w:hAnsi="Arial" w:cs="Arial"/>
          <w:sz w:val="24"/>
          <w:szCs w:val="24"/>
        </w:rPr>
        <w:t>Christopher Wilkin</w:t>
      </w:r>
    </w:p>
    <w:p w14:paraId="0EC69342" w14:textId="048E8FD0" w:rsidR="00450D3D" w:rsidRDefault="00A1797E" w:rsidP="00A1797E">
      <w:pPr>
        <w:spacing w:line="360" w:lineRule="auto"/>
        <w:rPr>
          <w:rFonts w:ascii="Arial" w:hAnsi="Arial" w:cs="Arial"/>
          <w:sz w:val="24"/>
          <w:szCs w:val="24"/>
        </w:rPr>
      </w:pPr>
      <w:r w:rsidRPr="00E66A22">
        <w:rPr>
          <w:rFonts w:ascii="Arial" w:hAnsi="Arial" w:cs="Arial"/>
          <w:b/>
          <w:bCs/>
          <w:sz w:val="24"/>
          <w:szCs w:val="24"/>
        </w:rPr>
        <w:t xml:space="preserve">Assignment </w:t>
      </w:r>
      <w:r w:rsidR="00941EF6" w:rsidRPr="00E66A22">
        <w:rPr>
          <w:rFonts w:ascii="Arial" w:hAnsi="Arial" w:cs="Arial"/>
          <w:sz w:val="24"/>
          <w:szCs w:val="24"/>
        </w:rPr>
        <w:t xml:space="preserve">Title </w:t>
      </w:r>
      <w:r w:rsidR="00941EF6">
        <w:rPr>
          <w:rFonts w:ascii="Arial" w:hAnsi="Arial" w:cs="Arial"/>
          <w:sz w:val="24"/>
          <w:szCs w:val="24"/>
        </w:rPr>
        <w:t xml:space="preserve">essay </w:t>
      </w:r>
      <w:r w:rsidR="00941EF6" w:rsidRPr="00A123C5">
        <w:rPr>
          <w:rFonts w:ascii="Arial" w:hAnsi="Arial" w:cs="Arial"/>
          <w:sz w:val="24"/>
          <w:szCs w:val="24"/>
        </w:rPr>
        <w:t>environmentally friendly</w:t>
      </w:r>
    </w:p>
    <w:p w14:paraId="2D028744" w14:textId="77777777" w:rsidR="00450D3D" w:rsidRDefault="00450D3D">
      <w:pPr>
        <w:rPr>
          <w:rFonts w:ascii="Arial" w:hAnsi="Arial" w:cs="Arial"/>
          <w:sz w:val="24"/>
          <w:szCs w:val="24"/>
        </w:rPr>
      </w:pPr>
      <w:r>
        <w:rPr>
          <w:rFonts w:ascii="Arial" w:hAnsi="Arial" w:cs="Arial"/>
          <w:sz w:val="24"/>
          <w:szCs w:val="24"/>
        </w:rPr>
        <w:br w:type="page"/>
      </w:r>
    </w:p>
    <w:p w14:paraId="60E74E18" w14:textId="4029EE1A" w:rsidR="004B4A7F" w:rsidRPr="00A123C5" w:rsidRDefault="004B4A7F" w:rsidP="005271A0">
      <w:pPr>
        <w:spacing w:line="360" w:lineRule="auto"/>
        <w:rPr>
          <w:rFonts w:ascii="Arial" w:hAnsi="Arial" w:cs="Arial"/>
          <w:sz w:val="24"/>
          <w:szCs w:val="24"/>
        </w:rPr>
      </w:pPr>
      <w:r w:rsidRPr="00A123C5">
        <w:rPr>
          <w:rFonts w:ascii="Arial" w:hAnsi="Arial" w:cs="Arial"/>
          <w:sz w:val="24"/>
          <w:szCs w:val="24"/>
        </w:rPr>
        <w:lastRenderedPageBreak/>
        <w:t xml:space="preserve">The hospitality industry continues to </w:t>
      </w:r>
      <w:r w:rsidR="00A1797E" w:rsidRPr="00A123C5">
        <w:rPr>
          <w:rFonts w:ascii="Arial" w:hAnsi="Arial" w:cs="Arial"/>
          <w:sz w:val="24"/>
          <w:szCs w:val="24"/>
        </w:rPr>
        <w:t>recognize</w:t>
      </w:r>
      <w:r w:rsidRPr="00A123C5">
        <w:rPr>
          <w:rFonts w:ascii="Arial" w:hAnsi="Arial" w:cs="Arial"/>
          <w:sz w:val="24"/>
          <w:szCs w:val="24"/>
        </w:rPr>
        <w:t xml:space="preserve"> that adopting environmentally friendly sustainable </w:t>
      </w:r>
      <w:r w:rsidR="00A1797E" w:rsidRPr="00A123C5">
        <w:rPr>
          <w:rFonts w:ascii="Arial" w:hAnsi="Arial" w:cs="Arial"/>
          <w:sz w:val="24"/>
          <w:szCs w:val="24"/>
        </w:rPr>
        <w:t>practices</w:t>
      </w:r>
      <w:r w:rsidRPr="00A123C5">
        <w:rPr>
          <w:rFonts w:ascii="Arial" w:hAnsi="Arial" w:cs="Arial"/>
          <w:sz w:val="24"/>
          <w:szCs w:val="24"/>
        </w:rPr>
        <w:t xml:space="preserve"> becomes crucial. The combination of consumer preference enhancement and environmental necessity drives the increase in green practises adoption throughout the hospitality sector. Hospitality providers alongside many hotels now embrace green </w:t>
      </w:r>
      <w:r w:rsidR="00A1797E" w:rsidRPr="00A123C5">
        <w:rPr>
          <w:rFonts w:ascii="Arial" w:hAnsi="Arial" w:cs="Arial"/>
          <w:sz w:val="24"/>
          <w:szCs w:val="24"/>
        </w:rPr>
        <w:t>practices</w:t>
      </w:r>
      <w:r w:rsidRPr="00A123C5">
        <w:rPr>
          <w:rFonts w:ascii="Arial" w:hAnsi="Arial" w:cs="Arial"/>
          <w:sz w:val="24"/>
          <w:szCs w:val="24"/>
        </w:rPr>
        <w:t xml:space="preserve"> to save resources while fighting pollution and raising operational efficiency levels. Greener </w:t>
      </w:r>
      <w:r w:rsidR="00A1797E" w:rsidRPr="00A123C5">
        <w:rPr>
          <w:rFonts w:ascii="Arial" w:hAnsi="Arial" w:cs="Arial"/>
          <w:sz w:val="24"/>
          <w:szCs w:val="24"/>
        </w:rPr>
        <w:t>practices</w:t>
      </w:r>
      <w:r w:rsidRPr="00A123C5">
        <w:rPr>
          <w:rFonts w:ascii="Arial" w:hAnsi="Arial" w:cs="Arial"/>
          <w:sz w:val="24"/>
          <w:szCs w:val="24"/>
        </w:rPr>
        <w:t xml:space="preserve"> represent operational approaches that lessen business-environment interactions by reducing energy waste and water consumption alongside community and ecosystem conservation. Reintegrating sustainability within hotel daily operations demands extensive resource allocation coupled with significant time commitments. </w:t>
      </w:r>
      <w:r w:rsidR="00A1797E" w:rsidRPr="00A123C5">
        <w:rPr>
          <w:rFonts w:ascii="Arial" w:hAnsi="Arial" w:cs="Arial"/>
          <w:sz w:val="24"/>
          <w:szCs w:val="24"/>
        </w:rPr>
        <w:t>Modernizing</w:t>
      </w:r>
      <w:r w:rsidRPr="00A123C5">
        <w:rPr>
          <w:rFonts w:ascii="Arial" w:hAnsi="Arial" w:cs="Arial"/>
          <w:sz w:val="24"/>
          <w:szCs w:val="24"/>
        </w:rPr>
        <w:t xml:space="preserve"> a hotel requires changing established building systems combined with training staff about new technologies and implementing these advancements while preserving luxury brands of hospitality. This paper selects a specific green practise initiative before applying it at an identified hotel to address sustainable practise shortcomings with an evidence-based solution. This document examines both the advantages along with environmental effects and operational consequences of the initiative including its implementation difficulties.</w:t>
      </w:r>
    </w:p>
    <w:p w14:paraId="7B47DC4C" w14:textId="0D056936" w:rsidR="00EF24DC" w:rsidRPr="00A123C5" w:rsidRDefault="004B3125" w:rsidP="005271A0">
      <w:pPr>
        <w:spacing w:line="360" w:lineRule="auto"/>
        <w:rPr>
          <w:rFonts w:ascii="Arial" w:hAnsi="Arial" w:cs="Arial"/>
          <w:sz w:val="24"/>
          <w:szCs w:val="24"/>
        </w:rPr>
      </w:pPr>
      <w:r w:rsidRPr="00A123C5">
        <w:rPr>
          <w:rFonts w:ascii="Arial" w:hAnsi="Arial" w:cs="Arial"/>
          <w:sz w:val="24"/>
          <w:szCs w:val="24"/>
        </w:rPr>
        <w:t xml:space="preserve">Hilton Hotels &amp; Resorts serves as a leader in global hospitality by developing remarkable sustainability </w:t>
      </w:r>
      <w:r w:rsidR="00941EF6" w:rsidRPr="00A123C5">
        <w:rPr>
          <w:rFonts w:ascii="Arial" w:hAnsi="Arial" w:cs="Arial"/>
          <w:sz w:val="24"/>
          <w:szCs w:val="24"/>
        </w:rPr>
        <w:t>programs</w:t>
      </w:r>
      <w:r w:rsidRPr="00A123C5">
        <w:rPr>
          <w:rFonts w:ascii="Arial" w:hAnsi="Arial" w:cs="Arial"/>
          <w:sz w:val="24"/>
          <w:szCs w:val="24"/>
        </w:rPr>
        <w:t xml:space="preserve">. The sustainability </w:t>
      </w:r>
      <w:r w:rsidR="00941EF6" w:rsidRPr="00A123C5">
        <w:rPr>
          <w:rFonts w:ascii="Arial" w:hAnsi="Arial" w:cs="Arial"/>
          <w:sz w:val="24"/>
          <w:szCs w:val="24"/>
        </w:rPr>
        <w:t>program</w:t>
      </w:r>
      <w:r w:rsidRPr="00A123C5">
        <w:rPr>
          <w:rFonts w:ascii="Arial" w:hAnsi="Arial" w:cs="Arial"/>
          <w:sz w:val="24"/>
          <w:szCs w:val="24"/>
        </w:rPr>
        <w:t xml:space="preserve"> of Hilton Hotels and Resorts known as "Travel with Purpose" concentrates on protecting the environment through their goal to decrease water use by 50% over 2030. Throughout its worldwide network of hotels Hilton has established various initiatives which focus on lowering energy consumption and </w:t>
      </w:r>
      <w:r w:rsidR="00941EF6" w:rsidRPr="00A123C5">
        <w:rPr>
          <w:rFonts w:ascii="Arial" w:hAnsi="Arial" w:cs="Arial"/>
          <w:sz w:val="24"/>
          <w:szCs w:val="24"/>
        </w:rPr>
        <w:t>maximizing</w:t>
      </w:r>
      <w:r w:rsidRPr="00A123C5">
        <w:rPr>
          <w:rFonts w:ascii="Arial" w:hAnsi="Arial" w:cs="Arial"/>
          <w:sz w:val="24"/>
          <w:szCs w:val="24"/>
        </w:rPr>
        <w:t xml:space="preserve"> waste recycling and </w:t>
      </w:r>
      <w:r w:rsidR="00941EF6" w:rsidRPr="00A123C5">
        <w:rPr>
          <w:rFonts w:ascii="Arial" w:hAnsi="Arial" w:cs="Arial"/>
          <w:sz w:val="24"/>
          <w:szCs w:val="24"/>
        </w:rPr>
        <w:t>utilizing</w:t>
      </w:r>
      <w:r w:rsidRPr="00A123C5">
        <w:rPr>
          <w:rFonts w:ascii="Arial" w:hAnsi="Arial" w:cs="Arial"/>
          <w:sz w:val="24"/>
          <w:szCs w:val="24"/>
        </w:rPr>
        <w:t xml:space="preserve"> sustainable product origins. </w:t>
      </w:r>
      <w:r w:rsidR="00941EF6" w:rsidRPr="00A123C5">
        <w:rPr>
          <w:rFonts w:ascii="Arial" w:hAnsi="Arial" w:cs="Arial"/>
          <w:sz w:val="24"/>
          <w:szCs w:val="24"/>
        </w:rPr>
        <w:t>The Hilton</w:t>
      </w:r>
      <w:r w:rsidRPr="00A123C5">
        <w:rPr>
          <w:rFonts w:ascii="Arial" w:hAnsi="Arial" w:cs="Arial"/>
          <w:sz w:val="24"/>
          <w:szCs w:val="24"/>
        </w:rPr>
        <w:t xml:space="preserve"> struggles to fulfil its green objectives regarding water management next to other hotel establishments. Hotel locations that operate in areas with minimal freshwater supply such as California as well as parts of the Middle East are facing </w:t>
      </w:r>
      <w:r w:rsidR="00941EF6" w:rsidRPr="00A123C5">
        <w:rPr>
          <w:rFonts w:ascii="Arial" w:hAnsi="Arial" w:cs="Arial"/>
          <w:sz w:val="24"/>
          <w:szCs w:val="24"/>
        </w:rPr>
        <w:t>scarcity of rising water</w:t>
      </w:r>
      <w:r w:rsidRPr="00A123C5">
        <w:rPr>
          <w:rFonts w:ascii="Arial" w:hAnsi="Arial" w:cs="Arial"/>
          <w:sz w:val="24"/>
          <w:szCs w:val="24"/>
        </w:rPr>
        <w:t xml:space="preserve"> challenges. Motionless spare will examine greywater recycling as one green practise initiative designed to address Hilton's deficiencies in sustainable practises.</w:t>
      </w:r>
    </w:p>
    <w:p w14:paraId="5DE5AF12" w14:textId="2EBAF9AF" w:rsidR="004B3125" w:rsidRPr="00A123C5" w:rsidRDefault="004B3125" w:rsidP="005271A0">
      <w:pPr>
        <w:spacing w:line="360" w:lineRule="auto"/>
        <w:rPr>
          <w:rFonts w:ascii="Arial" w:hAnsi="Arial" w:cs="Arial"/>
          <w:sz w:val="24"/>
          <w:szCs w:val="24"/>
        </w:rPr>
      </w:pPr>
      <w:r w:rsidRPr="00A123C5">
        <w:rPr>
          <w:rFonts w:ascii="Arial" w:hAnsi="Arial" w:cs="Arial"/>
          <w:sz w:val="24"/>
          <w:szCs w:val="24"/>
        </w:rPr>
        <w:t xml:space="preserve">The collection of used domestic water from </w:t>
      </w:r>
      <w:r w:rsidR="00941EF6" w:rsidRPr="00A123C5">
        <w:rPr>
          <w:rFonts w:ascii="Arial" w:hAnsi="Arial" w:cs="Arial"/>
          <w:sz w:val="24"/>
          <w:szCs w:val="24"/>
        </w:rPr>
        <w:t>showers,</w:t>
      </w:r>
      <w:r w:rsidRPr="00A123C5">
        <w:rPr>
          <w:rFonts w:ascii="Arial" w:hAnsi="Arial" w:cs="Arial"/>
          <w:sz w:val="24"/>
          <w:szCs w:val="24"/>
        </w:rPr>
        <w:t xml:space="preserve"> sinks and laundry combined with treatment enables its eventual use in non-drinking applications between irrigation and </w:t>
      </w:r>
      <w:r w:rsidRPr="00A123C5">
        <w:rPr>
          <w:rFonts w:ascii="Arial" w:hAnsi="Arial" w:cs="Arial"/>
          <w:sz w:val="24"/>
          <w:szCs w:val="24"/>
        </w:rPr>
        <w:lastRenderedPageBreak/>
        <w:t>toilet flushing. Real-time administration of greywater continues gaining adoption inside sustainable architectural designs along with hospitality infrastructure throughout the world. Hotels obtaining substantial savings in freshwater consumption through greywater recycling systems assist water preservation programs. Considering their sustainability mission Hilton can explore greywater reuse techniques for expanded environmental performance in areas of limited water availability.</w:t>
      </w:r>
    </w:p>
    <w:p w14:paraId="43A62D04" w14:textId="0F35BA2D" w:rsidR="004B3125" w:rsidRPr="00A123C5" w:rsidRDefault="004B3125" w:rsidP="005271A0">
      <w:pPr>
        <w:spacing w:line="360" w:lineRule="auto"/>
        <w:rPr>
          <w:rFonts w:ascii="Arial" w:hAnsi="Arial" w:cs="Arial"/>
          <w:sz w:val="24"/>
          <w:szCs w:val="24"/>
        </w:rPr>
      </w:pPr>
      <w:r w:rsidRPr="00A123C5">
        <w:rPr>
          <w:rFonts w:ascii="Arial" w:hAnsi="Arial" w:cs="Arial"/>
          <w:sz w:val="24"/>
          <w:szCs w:val="24"/>
        </w:rPr>
        <w:t xml:space="preserve">The adoption of greywater recycling at </w:t>
      </w:r>
      <w:r w:rsidR="00941EF6" w:rsidRPr="00A123C5">
        <w:rPr>
          <w:rFonts w:ascii="Arial" w:hAnsi="Arial" w:cs="Arial"/>
          <w:sz w:val="24"/>
          <w:szCs w:val="24"/>
        </w:rPr>
        <w:t>the Hilton</w:t>
      </w:r>
      <w:r w:rsidRPr="00A123C5">
        <w:rPr>
          <w:rFonts w:ascii="Arial" w:hAnsi="Arial" w:cs="Arial"/>
          <w:sz w:val="24"/>
          <w:szCs w:val="24"/>
        </w:rPr>
        <w:t xml:space="preserve"> starts by </w:t>
      </w:r>
      <w:r w:rsidR="00941EF6" w:rsidRPr="00A123C5">
        <w:rPr>
          <w:rFonts w:ascii="Arial" w:hAnsi="Arial" w:cs="Arial"/>
          <w:sz w:val="24"/>
          <w:szCs w:val="24"/>
        </w:rPr>
        <w:t>analyzing</w:t>
      </w:r>
      <w:r w:rsidRPr="00A123C5">
        <w:rPr>
          <w:rFonts w:ascii="Arial" w:hAnsi="Arial" w:cs="Arial"/>
          <w:sz w:val="24"/>
          <w:szCs w:val="24"/>
        </w:rPr>
        <w:t xml:space="preserve"> operational benefits which this system can provide. Hotels throughout the day consume significant levels of water across guest quarters and bathrooms together with kitchen areas and laundry rooms. When hotels integrate greywater recycling </w:t>
      </w:r>
      <w:r w:rsidR="00941EF6" w:rsidRPr="00A123C5">
        <w:rPr>
          <w:rFonts w:ascii="Arial" w:hAnsi="Arial" w:cs="Arial"/>
          <w:sz w:val="24"/>
          <w:szCs w:val="24"/>
        </w:rPr>
        <w:t>systems,</w:t>
      </w:r>
      <w:r w:rsidRPr="00A123C5">
        <w:rPr>
          <w:rFonts w:ascii="Arial" w:hAnsi="Arial" w:cs="Arial"/>
          <w:sz w:val="24"/>
          <w:szCs w:val="24"/>
        </w:rPr>
        <w:t xml:space="preserve"> they can regenerate waste water from specific areas to lower their dependence on freshwater supplies for outdoor areas and plumbing needs. The reuse of greywater through this system maintains freshwater supplies while decreasing hotels' municipal water consumption which produces budgetary benefits. Hotels located in regions with limited water supplies should benefit from these conservation measures through lowered expenses because water costs continue to rise along with existing and anticipated water usage controls. The grey water recycling system would yield environmental and financial returns for Hilton properties in California since the region </w:t>
      </w:r>
      <w:r w:rsidR="00941EF6" w:rsidRPr="00A123C5">
        <w:rPr>
          <w:rFonts w:ascii="Arial" w:hAnsi="Arial" w:cs="Arial"/>
          <w:sz w:val="24"/>
          <w:szCs w:val="24"/>
        </w:rPr>
        <w:t>emphasizes</w:t>
      </w:r>
      <w:r w:rsidRPr="00A123C5">
        <w:rPr>
          <w:rFonts w:ascii="Arial" w:hAnsi="Arial" w:cs="Arial"/>
          <w:sz w:val="24"/>
          <w:szCs w:val="24"/>
        </w:rPr>
        <w:t xml:space="preserve"> vital water preservation.</w:t>
      </w:r>
    </w:p>
    <w:p w14:paraId="290926C7" w14:textId="5013761C" w:rsidR="004B3125" w:rsidRPr="00A123C5" w:rsidRDefault="004B3125" w:rsidP="005271A0">
      <w:pPr>
        <w:spacing w:line="360" w:lineRule="auto"/>
        <w:rPr>
          <w:rFonts w:ascii="Arial" w:hAnsi="Arial" w:cs="Arial"/>
          <w:sz w:val="24"/>
          <w:szCs w:val="24"/>
        </w:rPr>
      </w:pPr>
      <w:r w:rsidRPr="00A123C5">
        <w:rPr>
          <w:rFonts w:ascii="Arial" w:hAnsi="Arial" w:cs="Arial"/>
          <w:sz w:val="24"/>
          <w:szCs w:val="24"/>
        </w:rPr>
        <w:t xml:space="preserve">Multiple properties worldwide have successfully installed greywater recycling systems which prove how practical and beneficial this sustainable practise can be. The greywater management system at Emirates Palace Hotel in Abu Dhabi serves to irrigate facilities. This </w:t>
      </w:r>
      <w:r w:rsidR="00941EF6" w:rsidRPr="00A123C5">
        <w:rPr>
          <w:rFonts w:ascii="Arial" w:hAnsi="Arial" w:cs="Arial"/>
          <w:sz w:val="24"/>
          <w:szCs w:val="24"/>
        </w:rPr>
        <w:t>program</w:t>
      </w:r>
      <w:r w:rsidRPr="00A123C5">
        <w:rPr>
          <w:rFonts w:ascii="Arial" w:hAnsi="Arial" w:cs="Arial"/>
          <w:sz w:val="24"/>
          <w:szCs w:val="24"/>
        </w:rPr>
        <w:t xml:space="preserve"> has permitted the establishment to lower its freshwater consumption in an environment </w:t>
      </w:r>
      <w:r w:rsidR="00941EF6" w:rsidRPr="00A123C5">
        <w:rPr>
          <w:rFonts w:ascii="Arial" w:hAnsi="Arial" w:cs="Arial"/>
          <w:sz w:val="24"/>
          <w:szCs w:val="24"/>
        </w:rPr>
        <w:t>characterized</w:t>
      </w:r>
      <w:r w:rsidRPr="00A123C5">
        <w:rPr>
          <w:rFonts w:ascii="Arial" w:hAnsi="Arial" w:cs="Arial"/>
          <w:sz w:val="24"/>
          <w:szCs w:val="24"/>
        </w:rPr>
        <w:t xml:space="preserve"> by dry climate. Hotel Verde in Cape Town proves its green commitment to sustainability through its </w:t>
      </w:r>
      <w:r w:rsidR="00941EF6" w:rsidRPr="00A123C5">
        <w:rPr>
          <w:rFonts w:ascii="Arial" w:hAnsi="Arial" w:cs="Arial"/>
          <w:sz w:val="24"/>
          <w:szCs w:val="24"/>
        </w:rPr>
        <w:t>utilization</w:t>
      </w:r>
      <w:r w:rsidRPr="00A123C5">
        <w:rPr>
          <w:rFonts w:ascii="Arial" w:hAnsi="Arial" w:cs="Arial"/>
          <w:sz w:val="24"/>
          <w:szCs w:val="24"/>
        </w:rPr>
        <w:t xml:space="preserve"> of greywater recycling methods in Africa's greenest hotel. The case studies demonstrate confrontation between the technical feasibility of greywater recycling and how it enables hotels to reach both sustainability objectives and business targets.</w:t>
      </w:r>
    </w:p>
    <w:p w14:paraId="173B1C3E" w14:textId="74E13314" w:rsidR="004B3125" w:rsidRPr="00A123C5" w:rsidRDefault="004B3125" w:rsidP="005271A0">
      <w:pPr>
        <w:spacing w:line="360" w:lineRule="auto"/>
        <w:rPr>
          <w:rFonts w:ascii="Arial" w:hAnsi="Arial" w:cs="Arial"/>
          <w:sz w:val="24"/>
          <w:szCs w:val="24"/>
        </w:rPr>
      </w:pPr>
      <w:r w:rsidRPr="00A123C5">
        <w:rPr>
          <w:rFonts w:ascii="Arial" w:hAnsi="Arial" w:cs="Arial"/>
          <w:sz w:val="24"/>
          <w:szCs w:val="24"/>
        </w:rPr>
        <w:t xml:space="preserve">The implementation of greywater recycling in hotel applications presents substantial operational and financial obstacles along with the apparent benefits of this practise. The main hurdle for implementing greywater treatment systems arises from their high </w:t>
      </w:r>
      <w:r w:rsidRPr="00A123C5">
        <w:rPr>
          <w:rFonts w:ascii="Arial" w:hAnsi="Arial" w:cs="Arial"/>
          <w:sz w:val="24"/>
          <w:szCs w:val="24"/>
        </w:rPr>
        <w:lastRenderedPageBreak/>
        <w:t>installation expenses. The expense of these systems grows significantly when applied to large hotel establishments such as Hilton's properties. The expenses involved in installing greywater treatment systems include buying filtering equipment together with storage reservoirs and alterations to plumbing systems for proper greywater reclaim. Hilton will potentially have elevated initial expenses because their numerous hotels demand flexible solutions that match local environmental requirements. The expensive initial investment leads numerous hotels to decide that water cost reduction and ecological advantages will cover the startup expenses in the long run. Short- and long-term water conservation initiatives face an initial financial barrier which can be partially addressed through government-funded incentives and rebates for water-saving technology implementation [5].</w:t>
      </w:r>
    </w:p>
    <w:p w14:paraId="6685AF8A" w14:textId="0EF242E1"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Local rules about compliance present an obstacle for commercial facilities that wish to implement greywater recycling systems. Regulators closely monitor the reuse of recycled water throughout many regions because they want to protect public health and safety. Dependencies within local permits establish performance requirements that untreated greywater must meet before hotels can use it either for irrigation activities or toilet flushing. The installation of advanced filtration along with disinfection systems has become mandatory for hotels under some local compliance standards. Hilton requires joint work between their teams and water regulators to obey regulations and </w:t>
      </w:r>
      <w:r w:rsidR="00941EF6" w:rsidRPr="00A123C5">
        <w:rPr>
          <w:rFonts w:ascii="Arial" w:hAnsi="Arial" w:cs="Arial"/>
          <w:sz w:val="24"/>
          <w:szCs w:val="24"/>
        </w:rPr>
        <w:t>get Permissions</w:t>
      </w:r>
      <w:r w:rsidRPr="00A123C5">
        <w:rPr>
          <w:rFonts w:ascii="Arial" w:hAnsi="Arial" w:cs="Arial"/>
          <w:sz w:val="24"/>
          <w:szCs w:val="24"/>
        </w:rPr>
        <w:t xml:space="preserve"> from the local authorities. </w:t>
      </w:r>
      <w:r w:rsidR="00941EF6" w:rsidRPr="00A123C5">
        <w:rPr>
          <w:rFonts w:ascii="Arial" w:hAnsi="Arial" w:cs="Arial"/>
          <w:sz w:val="24"/>
          <w:szCs w:val="24"/>
        </w:rPr>
        <w:t>Dependence</w:t>
      </w:r>
      <w:r w:rsidRPr="00A123C5">
        <w:rPr>
          <w:rFonts w:ascii="Arial" w:hAnsi="Arial" w:cs="Arial"/>
          <w:sz w:val="24"/>
          <w:szCs w:val="24"/>
        </w:rPr>
        <w:t xml:space="preserve"> on compliance involve consistent monitoring of the greywater system for maintenance of requisite water quality criteria. Keeping hotel guests along with staff protected from harm requires this method to run through an extended and expensive sequence. The necessary compliance requirements prove difficult for many smaller hotels to implement broad greywater recycling adoption because they lack the resources needed for required procedures.</w:t>
      </w:r>
    </w:p>
    <w:p w14:paraId="52B4C039" w14:textId="7FDAA4E3"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To promote water reuse awareness </w:t>
      </w:r>
      <w:r w:rsidR="00941EF6" w:rsidRPr="00A123C5">
        <w:rPr>
          <w:rFonts w:ascii="Arial" w:hAnsi="Arial" w:cs="Arial"/>
          <w:sz w:val="24"/>
          <w:szCs w:val="24"/>
        </w:rPr>
        <w:t>guests,</w:t>
      </w:r>
      <w:r w:rsidRPr="00A123C5">
        <w:rPr>
          <w:rFonts w:ascii="Arial" w:hAnsi="Arial" w:cs="Arial"/>
          <w:sz w:val="24"/>
          <w:szCs w:val="24"/>
        </w:rPr>
        <w:t xml:space="preserve"> require educational materials alongside proper communication regarding recycled water. Some hotel visitors have doubts regarding the safety levels of reused water despite robust standard compliance in waste treatment systems. The resolution of these issues requires Hilton to implement a proficient communication framework for passive guest teachings about greywater </w:t>
      </w:r>
      <w:r w:rsidRPr="00A123C5">
        <w:rPr>
          <w:rFonts w:ascii="Arial" w:hAnsi="Arial" w:cs="Arial"/>
          <w:sz w:val="24"/>
          <w:szCs w:val="24"/>
        </w:rPr>
        <w:lastRenderedPageBreak/>
        <w:t>recycling benefits together with security protocols on water quality. Communication about recycled water should be provided through multiple channels such as hotel guestroom materials along with signs across property spaces and digital Hilton communication methods. Hilton's educational programs will teach their visitors about recycled water benefits and practices to build trust in these water reuse systems.</w:t>
      </w:r>
    </w:p>
    <w:p w14:paraId="3DCFCC8C" w14:textId="68E8CF4A"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Despite facing numerous </w:t>
      </w:r>
      <w:r w:rsidR="00941EF6" w:rsidRPr="00A123C5">
        <w:rPr>
          <w:rFonts w:ascii="Arial" w:hAnsi="Arial" w:cs="Arial"/>
          <w:sz w:val="24"/>
          <w:szCs w:val="24"/>
        </w:rPr>
        <w:t>obstacles,</w:t>
      </w:r>
      <w:r w:rsidRPr="00A123C5">
        <w:rPr>
          <w:rFonts w:ascii="Arial" w:hAnsi="Arial" w:cs="Arial"/>
          <w:sz w:val="24"/>
          <w:szCs w:val="24"/>
        </w:rPr>
        <w:t xml:space="preserve"> the potential ecological advantages of greywater recycling exceed all barriers during setup. The environmental benefits of greywater recycling are clear: Advantages of grey water recycling include resources conservation alongside reduced freshwater use while </w:t>
      </w:r>
      <w:r w:rsidR="00941EF6" w:rsidRPr="00A123C5">
        <w:rPr>
          <w:rFonts w:ascii="Arial" w:hAnsi="Arial" w:cs="Arial"/>
          <w:sz w:val="24"/>
          <w:szCs w:val="24"/>
        </w:rPr>
        <w:t>minimizing</w:t>
      </w:r>
      <w:r w:rsidRPr="00A123C5">
        <w:rPr>
          <w:rFonts w:ascii="Arial" w:hAnsi="Arial" w:cs="Arial"/>
          <w:sz w:val="24"/>
          <w:szCs w:val="24"/>
        </w:rPr>
        <w:t xml:space="preserve"> the environmental footprints of hospitality facilities. By implementing greywater recycling, Hilton can contribute to global sustainability efforts and align itself with the United Nations’ Sustainable Development Goals (SDGs), particularly Goal 6: Clean Water and Sanitation, and Goal 12: Responsible Consumption and Production. The implementation of these practises enables Hilton to build its status as an industry sustainability leader while winning over environmentally responsible </w:t>
      </w:r>
      <w:r w:rsidR="00941EF6" w:rsidRPr="00A123C5">
        <w:rPr>
          <w:rFonts w:ascii="Arial" w:hAnsi="Arial" w:cs="Arial"/>
          <w:sz w:val="24"/>
          <w:szCs w:val="24"/>
        </w:rPr>
        <w:t>travelers</w:t>
      </w:r>
      <w:r w:rsidRPr="00A123C5">
        <w:rPr>
          <w:rFonts w:ascii="Arial" w:hAnsi="Arial" w:cs="Arial"/>
          <w:sz w:val="24"/>
          <w:szCs w:val="24"/>
        </w:rPr>
        <w:t xml:space="preserve"> through their accommodation choices.</w:t>
      </w:r>
    </w:p>
    <w:p w14:paraId="7CA0E975" w14:textId="6293F5AB"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When Hilton implements greywater recycling practises in their sustainability </w:t>
      </w:r>
      <w:r w:rsidR="00941EF6" w:rsidRPr="00A123C5">
        <w:rPr>
          <w:rFonts w:ascii="Arial" w:hAnsi="Arial" w:cs="Arial"/>
          <w:sz w:val="24"/>
          <w:szCs w:val="24"/>
        </w:rPr>
        <w:t>plan,</w:t>
      </w:r>
      <w:r w:rsidRPr="00A123C5">
        <w:rPr>
          <w:rFonts w:ascii="Arial" w:hAnsi="Arial" w:cs="Arial"/>
          <w:sz w:val="24"/>
          <w:szCs w:val="24"/>
        </w:rPr>
        <w:t xml:space="preserve"> they will achieve both environmental and monetary benefits for their long-term financial stability. Hotel operators can achieve important cost savings from water </w:t>
      </w:r>
      <w:r w:rsidR="00941EF6" w:rsidRPr="00A123C5">
        <w:rPr>
          <w:rFonts w:ascii="Arial" w:hAnsi="Arial" w:cs="Arial"/>
          <w:sz w:val="24"/>
          <w:szCs w:val="24"/>
        </w:rPr>
        <w:t>conservation,</w:t>
      </w:r>
      <w:r w:rsidRPr="00A123C5">
        <w:rPr>
          <w:rFonts w:ascii="Arial" w:hAnsi="Arial" w:cs="Arial"/>
          <w:sz w:val="24"/>
          <w:szCs w:val="24"/>
        </w:rPr>
        <w:t xml:space="preserve"> especially when water prices rise or water supply decreases in their specific market areas. Hilton's planned global business expansion can benefit from greywater recycling because it safeguards future operations against water scarcity or rising costs in water-depleted areas particularly affecting the Middle East along with California and parts of Asia. The growing market demand for eco-friendly stays will create a competitive advantage for Hilton because of their implementation of sustainable practises including greywater recycling. The growing market demand for </w:t>
      </w:r>
      <w:r w:rsidR="00941EF6" w:rsidRPr="00A123C5">
        <w:rPr>
          <w:rFonts w:ascii="Arial" w:hAnsi="Arial" w:cs="Arial"/>
          <w:sz w:val="24"/>
          <w:szCs w:val="24"/>
        </w:rPr>
        <w:t>environmentally friendly</w:t>
      </w:r>
      <w:r w:rsidRPr="00A123C5">
        <w:rPr>
          <w:rFonts w:ascii="Arial" w:hAnsi="Arial" w:cs="Arial"/>
          <w:sz w:val="24"/>
          <w:szCs w:val="24"/>
        </w:rPr>
        <w:t xml:space="preserve"> businesses together with Hilton's capability to demonstrate sustainability positions the company competitively through enhanced brand image.</w:t>
      </w:r>
    </w:p>
    <w:p w14:paraId="233BBA1C" w14:textId="10CCEF8D"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Greywater recycling enables Hilton to reach their CSR targets in addition to operational and financial advantages. As companies within the hospitality industry face growing CSR </w:t>
      </w:r>
      <w:r w:rsidR="00941EF6" w:rsidRPr="00A123C5">
        <w:rPr>
          <w:rFonts w:ascii="Arial" w:hAnsi="Arial" w:cs="Arial"/>
          <w:sz w:val="24"/>
          <w:szCs w:val="24"/>
        </w:rPr>
        <w:t>expectations,</w:t>
      </w:r>
      <w:r w:rsidRPr="00A123C5">
        <w:rPr>
          <w:rFonts w:ascii="Arial" w:hAnsi="Arial" w:cs="Arial"/>
          <w:sz w:val="24"/>
          <w:szCs w:val="24"/>
        </w:rPr>
        <w:t xml:space="preserve"> they must balance environmental sustainability with delivering </w:t>
      </w:r>
      <w:r w:rsidRPr="00A123C5">
        <w:rPr>
          <w:rFonts w:ascii="Arial" w:hAnsi="Arial" w:cs="Arial"/>
          <w:sz w:val="24"/>
          <w:szCs w:val="24"/>
        </w:rPr>
        <w:lastRenderedPageBreak/>
        <w:t xml:space="preserve">customer satisfaction while implementing corporate strategy. Through its adoption of greywater recycling systems Hilton takes an innovative stance to resolve water shortages and protect natural ecosystems while continuing its existing Environmental Responsibility missions. The company should use its sustainability practises to demonstrate water management leadership while attracting customers who value </w:t>
      </w:r>
      <w:r w:rsidR="00941EF6" w:rsidRPr="00A123C5">
        <w:rPr>
          <w:rFonts w:ascii="Arial" w:hAnsi="Arial" w:cs="Arial"/>
          <w:sz w:val="24"/>
          <w:szCs w:val="24"/>
        </w:rPr>
        <w:t>environmentally</w:t>
      </w:r>
      <w:r w:rsidRPr="00A123C5">
        <w:rPr>
          <w:rFonts w:ascii="Arial" w:hAnsi="Arial" w:cs="Arial"/>
          <w:sz w:val="24"/>
          <w:szCs w:val="24"/>
        </w:rPr>
        <w:t xml:space="preserve"> friendly operations. The adoption of such protocols would attract two types of stakeholders: environmentally sensitive visitors as well as sustainable-focused investors looking for alignment.</w:t>
      </w:r>
    </w:p>
    <w:p w14:paraId="1B5DDAD3" w14:textId="53302E65" w:rsidR="00EF24D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By adopting circular thinking into their sustainability </w:t>
      </w:r>
      <w:r w:rsidR="00941EF6" w:rsidRPr="00A123C5">
        <w:rPr>
          <w:rFonts w:ascii="Arial" w:hAnsi="Arial" w:cs="Arial"/>
          <w:sz w:val="24"/>
          <w:szCs w:val="24"/>
        </w:rPr>
        <w:t>strategy,</w:t>
      </w:r>
      <w:r w:rsidRPr="00A123C5">
        <w:rPr>
          <w:rFonts w:ascii="Arial" w:hAnsi="Arial" w:cs="Arial"/>
          <w:sz w:val="24"/>
          <w:szCs w:val="24"/>
        </w:rPr>
        <w:t xml:space="preserve"> Hilton can develop their position as an environmentally responsible business. The circular economy design approach supports long-lasting product and material reuse systems that help decrease waste and advance sustainable practises. The circular </w:t>
      </w:r>
      <w:r w:rsidR="00941EF6" w:rsidRPr="00A123C5">
        <w:rPr>
          <w:rFonts w:ascii="Arial" w:hAnsi="Arial" w:cs="Arial"/>
          <w:sz w:val="24"/>
          <w:szCs w:val="24"/>
        </w:rPr>
        <w:t>economic</w:t>
      </w:r>
      <w:r w:rsidRPr="00A123C5">
        <w:rPr>
          <w:rFonts w:ascii="Arial" w:hAnsi="Arial" w:cs="Arial"/>
          <w:sz w:val="24"/>
          <w:szCs w:val="24"/>
        </w:rPr>
        <w:t xml:space="preserve"> concept embraces a method of water reuse that turns rejected waste liquid into a valuable resource. Alongside greywater recycling Hilton could implement sustainability practises by creating renewable energy sources through solar panels and establishing composting infrastructure for organic waste products. The current initiatives let Hilton implement comprehensive sustainability practises that expand beyond </w:t>
      </w:r>
      <w:r w:rsidR="00941EF6" w:rsidRPr="00A123C5">
        <w:rPr>
          <w:rFonts w:ascii="Arial" w:hAnsi="Arial" w:cs="Arial"/>
          <w:sz w:val="24"/>
          <w:szCs w:val="24"/>
        </w:rPr>
        <w:t>single</w:t>
      </w:r>
      <w:r w:rsidRPr="00A123C5">
        <w:rPr>
          <w:rFonts w:ascii="Arial" w:hAnsi="Arial" w:cs="Arial"/>
          <w:sz w:val="24"/>
          <w:szCs w:val="24"/>
        </w:rPr>
        <w:t xml:space="preserve"> divisions to affect all operational aspects of its </w:t>
      </w:r>
      <w:r w:rsidR="00941EF6" w:rsidRPr="00A123C5">
        <w:rPr>
          <w:rFonts w:ascii="Arial" w:hAnsi="Arial" w:cs="Arial"/>
          <w:sz w:val="24"/>
          <w:szCs w:val="24"/>
        </w:rPr>
        <w:t>organization</w:t>
      </w:r>
      <w:r w:rsidRPr="00A123C5">
        <w:rPr>
          <w:rFonts w:ascii="Arial" w:hAnsi="Arial" w:cs="Arial"/>
          <w:sz w:val="24"/>
          <w:szCs w:val="24"/>
        </w:rPr>
        <w:t xml:space="preserve">. Circular thinking integration would establish Hilton as an industry leader for hospitality sustainability thus inspiring other businesses to emulate these </w:t>
      </w:r>
      <w:r w:rsidR="00941EF6" w:rsidRPr="00A123C5">
        <w:rPr>
          <w:rFonts w:ascii="Arial" w:hAnsi="Arial" w:cs="Arial"/>
          <w:sz w:val="24"/>
          <w:szCs w:val="24"/>
        </w:rPr>
        <w:t>practices</w:t>
      </w:r>
      <w:r w:rsidRPr="00A123C5">
        <w:rPr>
          <w:rFonts w:ascii="Arial" w:hAnsi="Arial" w:cs="Arial"/>
          <w:sz w:val="24"/>
          <w:szCs w:val="24"/>
        </w:rPr>
        <w:t>.</w:t>
      </w:r>
    </w:p>
    <w:p w14:paraId="0B4100AD" w14:textId="77777777"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 xml:space="preserve">Yet the compelling advantages of establishing a greywater recycling system do not overcome the extensive sustainability obstacles that the hospitality sector currently confronts. Most hotels have naturally high resources needs because they need big-scale operations that demand large amounts of energy as well as substantial water and materials usage. Systemic transformations needed for sustainable practises present hurdles which could make their adoption difficult to scale throughout a global hotel corporation. Several areas experience employee and managerial as well as guest opposition towards ecological changes in traditional business operations. The successful implementation of sustainability solutions demands robust leadership together with staff training and direct demonstrations of sustainability value. The </w:t>
      </w:r>
      <w:r w:rsidRPr="00A123C5">
        <w:rPr>
          <w:rFonts w:ascii="Arial" w:hAnsi="Arial" w:cs="Arial"/>
          <w:sz w:val="24"/>
          <w:szCs w:val="24"/>
        </w:rPr>
        <w:lastRenderedPageBreak/>
        <w:t>extensive resources available to Hilton enable them to handle these sustainability obstacles yet smaller hotel chains structurally experience increased sustainability integration issues stemming from financial limitations and people-related know-how deficits. The hospitality industry needs collective efforts between stakeholders including local governments and other market segments to create universal sustainable industry solutions.</w:t>
      </w:r>
    </w:p>
    <w:p w14:paraId="4EE3FC57" w14:textId="77777777" w:rsidR="0004676C" w:rsidRPr="00A123C5" w:rsidRDefault="0004676C" w:rsidP="005271A0">
      <w:pPr>
        <w:spacing w:line="360" w:lineRule="auto"/>
        <w:rPr>
          <w:rFonts w:ascii="Arial" w:hAnsi="Arial" w:cs="Arial"/>
          <w:sz w:val="24"/>
          <w:szCs w:val="24"/>
        </w:rPr>
      </w:pPr>
      <w:r w:rsidRPr="00A123C5">
        <w:rPr>
          <w:rFonts w:ascii="Arial" w:hAnsi="Arial" w:cs="Arial"/>
          <w:sz w:val="24"/>
          <w:szCs w:val="24"/>
        </w:rPr>
        <w:t>Hilton Hotels must implement greywater recycling within an all-encompassing sustainable strategy that includes multiple sustainable practises. Spreading sustainable tourism practises requires the development of integrated approaches which balance multiple sustainability elements starting from energy improvements and waste management to responsible sourcing methods. Through existing sustainability programmes Hilton has implemented measures including sustainable food sourcing and waste diversion and energy-efficient lighting systems. Through additional integration of greywater recycling systems and other water-saving programmes Hilton can improve its sustainability leadership position in the hospitality market. The hotel chain should partner with locals and environmental groups to teach guest populations about water preserving techniques while developing guest engagement activities for sustainability. Hilton provides rewards to guests who make sustainable choices by joining water conservation programmes or utilising the hotel's towel and linens reuse system.</w:t>
      </w:r>
    </w:p>
    <w:p w14:paraId="08FE8F93" w14:textId="540AB9D6" w:rsidR="00CD15E5" w:rsidRPr="00A123C5" w:rsidRDefault="00CD15E5" w:rsidP="005271A0">
      <w:pPr>
        <w:spacing w:line="360" w:lineRule="auto"/>
        <w:rPr>
          <w:rFonts w:ascii="Arial" w:hAnsi="Arial" w:cs="Arial"/>
          <w:sz w:val="24"/>
          <w:szCs w:val="24"/>
        </w:rPr>
      </w:pPr>
      <w:r w:rsidRPr="00A123C5">
        <w:rPr>
          <w:rFonts w:ascii="Arial" w:hAnsi="Arial" w:cs="Arial"/>
          <w:sz w:val="24"/>
          <w:szCs w:val="24"/>
        </w:rPr>
        <w:t>The recycling of greywater presents substantial possibilities for major hotel-based events to achieve environmental and economic advantages. Properties frequently become preferred venues for conferences and several events requiring substantial amounts of water. Greywater recycling systems should be customizable to service large events thereby reducing their ecological impact on such gatherings. Hilton should create event-specific graywater recycling technology which recycles water designated for event cleaning activities with catering together with restroom purposes. The hotel's reduced water consumption thanks to its built-in water recycling functionality will help inspire event organisers to use sustainable practises in their own business strategies. Event organisations understand the growing importance of sustainability in their planning. Th</w:t>
      </w:r>
      <w:r w:rsidR="00C0038A">
        <w:rPr>
          <w:rFonts w:ascii="Arial" w:hAnsi="Arial" w:cs="Arial"/>
          <w:sz w:val="24"/>
          <w:szCs w:val="24"/>
        </w:rPr>
        <w:t>e</w:t>
      </w:r>
      <w:r w:rsidRPr="00A123C5">
        <w:rPr>
          <w:rFonts w:ascii="Arial" w:hAnsi="Arial" w:cs="Arial"/>
          <w:sz w:val="24"/>
          <w:szCs w:val="24"/>
        </w:rPr>
        <w:t xml:space="preserve"> </w:t>
      </w:r>
      <w:r w:rsidRPr="00A123C5">
        <w:rPr>
          <w:rFonts w:ascii="Arial" w:hAnsi="Arial" w:cs="Arial"/>
          <w:sz w:val="24"/>
          <w:szCs w:val="24"/>
        </w:rPr>
        <w:lastRenderedPageBreak/>
        <w:t>Hilton has an opportunity to position itself as a green venue that hosts both corporate and social functions.</w:t>
      </w:r>
    </w:p>
    <w:p w14:paraId="68C99392" w14:textId="56B56E71" w:rsidR="00CD15E5" w:rsidRPr="00A123C5" w:rsidRDefault="00CD15E5" w:rsidP="005271A0">
      <w:pPr>
        <w:spacing w:line="360" w:lineRule="auto"/>
        <w:rPr>
          <w:rFonts w:ascii="Arial" w:hAnsi="Arial" w:cs="Arial"/>
          <w:sz w:val="24"/>
          <w:szCs w:val="24"/>
        </w:rPr>
      </w:pPr>
      <w:r w:rsidRPr="00A123C5">
        <w:rPr>
          <w:rFonts w:ascii="Arial" w:hAnsi="Arial" w:cs="Arial"/>
          <w:sz w:val="24"/>
          <w:szCs w:val="24"/>
        </w:rPr>
        <w:t xml:space="preserve">Environmental consciousness among global audiences keeps growing which results in an expanding market for sustainable hospitality services. Hotels employing innovative sustainable solutions ranging from greywater recycling to others will capture future tourism market segments because eco-conscious </w:t>
      </w:r>
      <w:r w:rsidR="00941EF6" w:rsidRPr="00A123C5">
        <w:rPr>
          <w:rFonts w:ascii="Arial" w:hAnsi="Arial" w:cs="Arial"/>
          <w:sz w:val="24"/>
          <w:szCs w:val="24"/>
        </w:rPr>
        <w:t>travelers</w:t>
      </w:r>
      <w:r w:rsidRPr="00A123C5">
        <w:rPr>
          <w:rFonts w:ascii="Arial" w:hAnsi="Arial" w:cs="Arial"/>
          <w:sz w:val="24"/>
          <w:szCs w:val="24"/>
        </w:rPr>
        <w:t xml:space="preserve"> make sustainability a top priority. As an industry leader with its extensive </w:t>
      </w:r>
      <w:r w:rsidR="00941EF6" w:rsidRPr="00A123C5">
        <w:rPr>
          <w:rFonts w:ascii="Arial" w:hAnsi="Arial" w:cs="Arial"/>
          <w:sz w:val="24"/>
          <w:szCs w:val="24"/>
        </w:rPr>
        <w:t>network,</w:t>
      </w:r>
      <w:r w:rsidRPr="00A123C5">
        <w:rPr>
          <w:rFonts w:ascii="Arial" w:hAnsi="Arial" w:cs="Arial"/>
          <w:sz w:val="24"/>
          <w:szCs w:val="24"/>
        </w:rPr>
        <w:t xml:space="preserve"> Hilton possesses the perfect position to turn sustainability into a strategic advantage that enhances its market competitiveness. The employment of sustainability initiatives by Hilton allows the company to improve brand perception and draw environmentally aware guests who demonstrate loyalty through extended relationships.</w:t>
      </w:r>
    </w:p>
    <w:p w14:paraId="138A17FF" w14:textId="7B7F09CC" w:rsidR="002A5A19" w:rsidRDefault="00CD15E5" w:rsidP="005271A0">
      <w:pPr>
        <w:spacing w:line="360" w:lineRule="auto"/>
        <w:rPr>
          <w:rFonts w:ascii="Arial" w:hAnsi="Arial" w:cs="Arial"/>
          <w:sz w:val="24"/>
          <w:szCs w:val="24"/>
        </w:rPr>
      </w:pPr>
      <w:r w:rsidRPr="00A123C5">
        <w:rPr>
          <w:rFonts w:ascii="Arial" w:hAnsi="Arial" w:cs="Arial"/>
          <w:sz w:val="24"/>
          <w:szCs w:val="24"/>
        </w:rPr>
        <w:t xml:space="preserve">Greywater recycling integrated within Hilton Hotels operates as a highly efficient and sustainable system to fulfil the company's unmet water conservation requirements. Multiple advantages emerge from this practise which combines reduced water use with cost reduction and better sustainability results. Graywater recycling creates opportunities for Hilton to build its CSR strategy while presenting them with options to strengthen their </w:t>
      </w:r>
      <w:r w:rsidR="00941EF6" w:rsidRPr="00A123C5">
        <w:rPr>
          <w:rFonts w:ascii="Arial" w:hAnsi="Arial" w:cs="Arial"/>
          <w:sz w:val="24"/>
          <w:szCs w:val="24"/>
        </w:rPr>
        <w:t>environmentally friendly</w:t>
      </w:r>
      <w:r w:rsidRPr="00A123C5">
        <w:rPr>
          <w:rFonts w:ascii="Arial" w:hAnsi="Arial" w:cs="Arial"/>
          <w:sz w:val="24"/>
          <w:szCs w:val="24"/>
        </w:rPr>
        <w:t xml:space="preserve"> business identity. The environmental and operational advantages of graywater recycling eliminate the implementation barriers stemming from installation costs and regulatory requirements at Hilton which make this solution a valuable company investment. This green practise benefits Hilton through its responsiveness to the expanding market for sustainable accommodations and its support for worldwide initiatives which combat water shortages and environmental damage. Through adoptive practises including greywater recycling Hilton can maintain its position as sustainability leader delivering positive change to both hospitality and global sustainability goals.</w:t>
      </w:r>
    </w:p>
    <w:p w14:paraId="5FC4AD27" w14:textId="77777777" w:rsidR="00A123C5" w:rsidRPr="00A123C5" w:rsidRDefault="00A123C5" w:rsidP="005271A0">
      <w:pPr>
        <w:spacing w:line="360" w:lineRule="auto"/>
        <w:rPr>
          <w:rFonts w:ascii="Arial" w:hAnsi="Arial" w:cs="Arial"/>
          <w:sz w:val="24"/>
          <w:szCs w:val="24"/>
        </w:rPr>
      </w:pPr>
    </w:p>
    <w:p w14:paraId="77967F1B" w14:textId="77777777" w:rsidR="00EF24DC" w:rsidRPr="00A123C5" w:rsidRDefault="00EF24DC" w:rsidP="005271A0">
      <w:pPr>
        <w:spacing w:line="360" w:lineRule="auto"/>
        <w:rPr>
          <w:rFonts w:ascii="Arial" w:hAnsi="Arial" w:cs="Arial"/>
          <w:sz w:val="24"/>
          <w:szCs w:val="24"/>
        </w:rPr>
      </w:pPr>
      <w:r w:rsidRPr="00A123C5">
        <w:rPr>
          <w:rFonts w:ascii="Arial" w:hAnsi="Arial" w:cs="Arial"/>
          <w:b/>
          <w:bCs/>
          <w:sz w:val="24"/>
          <w:szCs w:val="24"/>
        </w:rPr>
        <w:t>References</w:t>
      </w:r>
    </w:p>
    <w:p w14:paraId="63971CCD"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Inkson, C., &amp; Minnaert, L. (2018). </w:t>
      </w:r>
      <w:r w:rsidRPr="00A123C5">
        <w:rPr>
          <w:rFonts w:ascii="Arial" w:hAnsi="Arial" w:cs="Arial"/>
          <w:i/>
          <w:iCs/>
          <w:sz w:val="24"/>
          <w:szCs w:val="24"/>
        </w:rPr>
        <w:t>Tourism management: An introduction</w:t>
      </w:r>
      <w:r w:rsidRPr="00A123C5">
        <w:rPr>
          <w:rFonts w:ascii="Arial" w:hAnsi="Arial" w:cs="Arial"/>
          <w:sz w:val="24"/>
          <w:szCs w:val="24"/>
        </w:rPr>
        <w:t xml:space="preserve"> (2nd ed.). London: SAGE.</w:t>
      </w:r>
    </w:p>
    <w:p w14:paraId="3738D730"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lastRenderedPageBreak/>
        <w:t xml:space="preserve">Cooper, C. (2021). </w:t>
      </w:r>
      <w:r w:rsidRPr="00A123C5">
        <w:rPr>
          <w:rFonts w:ascii="Arial" w:hAnsi="Arial" w:cs="Arial"/>
          <w:i/>
          <w:iCs/>
          <w:sz w:val="24"/>
          <w:szCs w:val="24"/>
        </w:rPr>
        <w:t>Essentials of tourism</w:t>
      </w:r>
      <w:r w:rsidRPr="00A123C5">
        <w:rPr>
          <w:rFonts w:ascii="Arial" w:hAnsi="Arial" w:cs="Arial"/>
          <w:sz w:val="24"/>
          <w:szCs w:val="24"/>
        </w:rPr>
        <w:t xml:space="preserve"> (3rd ed.). London: SAGE.</w:t>
      </w:r>
    </w:p>
    <w:p w14:paraId="1AA429CD"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Haski-Leventhal, D. (2018). </w:t>
      </w:r>
      <w:r w:rsidRPr="00A123C5">
        <w:rPr>
          <w:rFonts w:ascii="Arial" w:hAnsi="Arial" w:cs="Arial"/>
          <w:i/>
          <w:iCs/>
          <w:sz w:val="24"/>
          <w:szCs w:val="24"/>
        </w:rPr>
        <w:t>Strategic corporate social responsibility: Tools &amp; theories for responsible management</w:t>
      </w:r>
      <w:r w:rsidRPr="00A123C5">
        <w:rPr>
          <w:rFonts w:ascii="Arial" w:hAnsi="Arial" w:cs="Arial"/>
          <w:sz w:val="24"/>
          <w:szCs w:val="24"/>
        </w:rPr>
        <w:t>. London: SAGE.</w:t>
      </w:r>
    </w:p>
    <w:p w14:paraId="26E45D63"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Sloan, P., Legrand, W., &amp; Chen, J.S. (2017). </w:t>
      </w:r>
      <w:r w:rsidRPr="00A123C5">
        <w:rPr>
          <w:rFonts w:ascii="Arial" w:hAnsi="Arial" w:cs="Arial"/>
          <w:i/>
          <w:iCs/>
          <w:sz w:val="24"/>
          <w:szCs w:val="24"/>
        </w:rPr>
        <w:t>Sustainability in the hospitality industry: Principles of sustainable operations</w:t>
      </w:r>
      <w:r w:rsidRPr="00A123C5">
        <w:rPr>
          <w:rFonts w:ascii="Arial" w:hAnsi="Arial" w:cs="Arial"/>
          <w:sz w:val="24"/>
          <w:szCs w:val="24"/>
        </w:rPr>
        <w:t xml:space="preserve"> (3rd ed.). London: Butterworth-Heinemann.</w:t>
      </w:r>
    </w:p>
    <w:p w14:paraId="21DF767C"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Wickham, D., Donnelly, T., &amp; French, L. (2021). Strategic sustainability management in the event sector. </w:t>
      </w:r>
      <w:r w:rsidRPr="00A123C5">
        <w:rPr>
          <w:rFonts w:ascii="Arial" w:hAnsi="Arial" w:cs="Arial"/>
          <w:i/>
          <w:iCs/>
          <w:sz w:val="24"/>
          <w:szCs w:val="24"/>
        </w:rPr>
        <w:t>Event Management</w:t>
      </w:r>
      <w:r w:rsidRPr="00A123C5">
        <w:rPr>
          <w:rFonts w:ascii="Arial" w:hAnsi="Arial" w:cs="Arial"/>
          <w:sz w:val="24"/>
          <w:szCs w:val="24"/>
        </w:rPr>
        <w:t>, 25(3), 279–296.</w:t>
      </w:r>
    </w:p>
    <w:p w14:paraId="14D12C85"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Jauhari, V. (2021). </w:t>
      </w:r>
      <w:r w:rsidRPr="00A123C5">
        <w:rPr>
          <w:rFonts w:ascii="Arial" w:hAnsi="Arial" w:cs="Arial"/>
          <w:i/>
          <w:iCs/>
          <w:sz w:val="24"/>
          <w:szCs w:val="24"/>
        </w:rPr>
        <w:t>Managing sustainability in the hospitality and tourism industry: Paradigms and directions for the future</w:t>
      </w:r>
      <w:r w:rsidRPr="00A123C5">
        <w:rPr>
          <w:rFonts w:ascii="Arial" w:hAnsi="Arial" w:cs="Arial"/>
          <w:sz w:val="24"/>
          <w:szCs w:val="24"/>
        </w:rPr>
        <w:t xml:space="preserve"> (9th ed.). Oakville: Apple Academic Press, Inc.</w:t>
      </w:r>
    </w:p>
    <w:p w14:paraId="37A5AA02"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Costa, &amp; Costa, C. (2022). </w:t>
      </w:r>
      <w:r w:rsidRPr="00A123C5">
        <w:rPr>
          <w:rFonts w:ascii="Arial" w:hAnsi="Arial" w:cs="Arial"/>
          <w:i/>
          <w:iCs/>
          <w:sz w:val="24"/>
          <w:szCs w:val="24"/>
        </w:rPr>
        <w:t>Sustainability and competitiveness in the hospitality industry</w:t>
      </w:r>
      <w:r w:rsidRPr="00A123C5">
        <w:rPr>
          <w:rFonts w:ascii="Arial" w:hAnsi="Arial" w:cs="Arial"/>
          <w:sz w:val="24"/>
          <w:szCs w:val="24"/>
        </w:rPr>
        <w:t xml:space="preserve"> (Costa &amp; C. Costa, Eds.). Business Science Reference.</w:t>
      </w:r>
    </w:p>
    <w:p w14:paraId="6977D156"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Korstanje, G., George, B., &amp; Nedelea, A. (2020). </w:t>
      </w:r>
      <w:r w:rsidRPr="00A123C5">
        <w:rPr>
          <w:rFonts w:ascii="Arial" w:hAnsi="Arial" w:cs="Arial"/>
          <w:i/>
          <w:iCs/>
          <w:sz w:val="24"/>
          <w:szCs w:val="24"/>
        </w:rPr>
        <w:t>Strategies for promoting sustainable hospitality and tourism services</w:t>
      </w:r>
      <w:r w:rsidRPr="00A123C5">
        <w:rPr>
          <w:rFonts w:ascii="Arial" w:hAnsi="Arial" w:cs="Arial"/>
          <w:sz w:val="24"/>
          <w:szCs w:val="24"/>
        </w:rPr>
        <w:t>. IGI Global.</w:t>
      </w:r>
    </w:p>
    <w:p w14:paraId="34A6BC71"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Edgell, D. (2020). </w:t>
      </w:r>
      <w:r w:rsidRPr="00A123C5">
        <w:rPr>
          <w:rFonts w:ascii="Arial" w:hAnsi="Arial" w:cs="Arial"/>
          <w:i/>
          <w:iCs/>
          <w:sz w:val="24"/>
          <w:szCs w:val="24"/>
        </w:rPr>
        <w:t>Managing sustainable tourism: A legacy for the future</w:t>
      </w:r>
      <w:r w:rsidRPr="00A123C5">
        <w:rPr>
          <w:rFonts w:ascii="Arial" w:hAnsi="Arial" w:cs="Arial"/>
          <w:sz w:val="24"/>
          <w:szCs w:val="24"/>
        </w:rPr>
        <w:t xml:space="preserve"> (3rd ed.). Routledge.</w:t>
      </w:r>
    </w:p>
    <w:p w14:paraId="7B97F99D"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i/>
          <w:iCs/>
          <w:sz w:val="24"/>
          <w:szCs w:val="24"/>
        </w:rPr>
        <w:t>Sustainable tourism: Breakthroughs in research and practice</w:t>
      </w:r>
      <w:r w:rsidRPr="00A123C5">
        <w:rPr>
          <w:rFonts w:ascii="Arial" w:hAnsi="Arial" w:cs="Arial"/>
          <w:sz w:val="24"/>
          <w:szCs w:val="24"/>
        </w:rPr>
        <w:t xml:space="preserve"> (2019). IGI Global.</w:t>
      </w:r>
    </w:p>
    <w:p w14:paraId="104FEF94"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Batabyal, A. (2018). </w:t>
      </w:r>
      <w:r w:rsidRPr="00A123C5">
        <w:rPr>
          <w:rFonts w:ascii="Arial" w:hAnsi="Arial" w:cs="Arial"/>
          <w:i/>
          <w:iCs/>
          <w:sz w:val="24"/>
          <w:szCs w:val="24"/>
        </w:rPr>
        <w:t>Managing sustainable tourism resources</w:t>
      </w:r>
      <w:r w:rsidRPr="00A123C5">
        <w:rPr>
          <w:rFonts w:ascii="Arial" w:hAnsi="Arial" w:cs="Arial"/>
          <w:sz w:val="24"/>
          <w:szCs w:val="24"/>
        </w:rPr>
        <w:t>. IGI Global.</w:t>
      </w:r>
    </w:p>
    <w:p w14:paraId="65A6B7D6"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i/>
          <w:iCs/>
          <w:sz w:val="24"/>
          <w:szCs w:val="24"/>
        </w:rPr>
        <w:t>New governance and management in touristic destinations</w:t>
      </w:r>
      <w:r w:rsidRPr="00A123C5">
        <w:rPr>
          <w:rFonts w:ascii="Arial" w:hAnsi="Arial" w:cs="Arial"/>
          <w:sz w:val="24"/>
          <w:szCs w:val="24"/>
        </w:rPr>
        <w:t xml:space="preserve"> (2022). IGI Global.</w:t>
      </w:r>
    </w:p>
    <w:p w14:paraId="47E779FD"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Green Globe. Retrieved from </w:t>
      </w:r>
      <w:hyperlink r:id="rId5" w:tgtFrame="_new" w:history="1">
        <w:r w:rsidRPr="00A123C5">
          <w:rPr>
            <w:rStyle w:val="Hyperlink"/>
            <w:rFonts w:ascii="Arial" w:hAnsi="Arial" w:cs="Arial"/>
            <w:sz w:val="24"/>
            <w:szCs w:val="24"/>
          </w:rPr>
          <w:t>https://www.greenglobe.com</w:t>
        </w:r>
      </w:hyperlink>
    </w:p>
    <w:p w14:paraId="163FB24F"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World Trade Organization - Home page - Global trade. Retrieved from </w:t>
      </w:r>
      <w:hyperlink r:id="rId6" w:tgtFrame="_new" w:history="1">
        <w:r w:rsidRPr="00A123C5">
          <w:rPr>
            <w:rStyle w:val="Hyperlink"/>
            <w:rFonts w:ascii="Arial" w:hAnsi="Arial" w:cs="Arial"/>
            <w:sz w:val="24"/>
            <w:szCs w:val="24"/>
          </w:rPr>
          <w:t>https://www.wto.org</w:t>
        </w:r>
      </w:hyperlink>
    </w:p>
    <w:p w14:paraId="24A83A8C"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TOURISM 4 SDGs | UNWTO. Retrieved from </w:t>
      </w:r>
      <w:hyperlink r:id="rId7" w:tgtFrame="_new" w:history="1">
        <w:r w:rsidRPr="00A123C5">
          <w:rPr>
            <w:rStyle w:val="Hyperlink"/>
            <w:rFonts w:ascii="Arial" w:hAnsi="Arial" w:cs="Arial"/>
            <w:sz w:val="24"/>
            <w:szCs w:val="24"/>
          </w:rPr>
          <w:t>https://www.unwto.org</w:t>
        </w:r>
      </w:hyperlink>
    </w:p>
    <w:p w14:paraId="64DAC906"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EIC Centre for Sustainability and Social Impact (eventscouncil.org). Retrieved from </w:t>
      </w:r>
      <w:hyperlink r:id="rId8" w:tgtFrame="_new" w:history="1">
        <w:r w:rsidRPr="00A123C5">
          <w:rPr>
            <w:rStyle w:val="Hyperlink"/>
            <w:rFonts w:ascii="Arial" w:hAnsi="Arial" w:cs="Arial"/>
            <w:sz w:val="24"/>
            <w:szCs w:val="24"/>
          </w:rPr>
          <w:t>https://www.eventscouncil.org</w:t>
        </w:r>
      </w:hyperlink>
    </w:p>
    <w:p w14:paraId="385EE5EA"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lastRenderedPageBreak/>
        <w:t xml:space="preserve">Buhalis, D., &amp; Sinarta, Y. (2019). </w:t>
      </w:r>
      <w:r w:rsidRPr="00A123C5">
        <w:rPr>
          <w:rFonts w:ascii="Arial" w:hAnsi="Arial" w:cs="Arial"/>
          <w:i/>
          <w:iCs/>
          <w:sz w:val="24"/>
          <w:szCs w:val="24"/>
        </w:rPr>
        <w:t>Realising the potential of sustainable tourism in hospitality: Challenges and opportunities</w:t>
      </w:r>
      <w:r w:rsidRPr="00A123C5">
        <w:rPr>
          <w:rFonts w:ascii="Arial" w:hAnsi="Arial" w:cs="Arial"/>
          <w:sz w:val="24"/>
          <w:szCs w:val="24"/>
        </w:rPr>
        <w:t>. Journal of Hospitality &amp; Tourism Research, 43(4), 482-504.</w:t>
      </w:r>
    </w:p>
    <w:p w14:paraId="2BA709B7"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Sharma, S. (2019). </w:t>
      </w:r>
      <w:r w:rsidRPr="00A123C5">
        <w:rPr>
          <w:rFonts w:ascii="Arial" w:hAnsi="Arial" w:cs="Arial"/>
          <w:i/>
          <w:iCs/>
          <w:sz w:val="24"/>
          <w:szCs w:val="24"/>
        </w:rPr>
        <w:t>Corporate social responsibility in the hospitality industry: Sustainability challenges and opportunities</w:t>
      </w:r>
      <w:r w:rsidRPr="00A123C5">
        <w:rPr>
          <w:rFonts w:ascii="Arial" w:hAnsi="Arial" w:cs="Arial"/>
          <w:sz w:val="24"/>
          <w:szCs w:val="24"/>
        </w:rPr>
        <w:t>. Journal of Sustainable Tourism, 27(6), 850-868.</w:t>
      </w:r>
    </w:p>
    <w:p w14:paraId="422C84CD"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Gössling, S., &amp; Scott, D. (2020). </w:t>
      </w:r>
      <w:r w:rsidRPr="00A123C5">
        <w:rPr>
          <w:rFonts w:ascii="Arial" w:hAnsi="Arial" w:cs="Arial"/>
          <w:i/>
          <w:iCs/>
          <w:sz w:val="24"/>
          <w:szCs w:val="24"/>
        </w:rPr>
        <w:t>Sustainable tourism and hospitality management: New perspectives and practices</w:t>
      </w:r>
      <w:r w:rsidRPr="00A123C5">
        <w:rPr>
          <w:rFonts w:ascii="Arial" w:hAnsi="Arial" w:cs="Arial"/>
          <w:sz w:val="24"/>
          <w:szCs w:val="24"/>
        </w:rPr>
        <w:t>. Routledge.</w:t>
      </w:r>
    </w:p>
    <w:p w14:paraId="40EF85B6" w14:textId="77777777" w:rsidR="00EF24DC" w:rsidRPr="00A123C5" w:rsidRDefault="00EF24DC" w:rsidP="005271A0">
      <w:pPr>
        <w:numPr>
          <w:ilvl w:val="0"/>
          <w:numId w:val="1"/>
        </w:numPr>
        <w:spacing w:line="360" w:lineRule="auto"/>
        <w:rPr>
          <w:rFonts w:ascii="Arial" w:hAnsi="Arial" w:cs="Arial"/>
          <w:sz w:val="24"/>
          <w:szCs w:val="24"/>
        </w:rPr>
      </w:pPr>
      <w:r w:rsidRPr="00A123C5">
        <w:rPr>
          <w:rFonts w:ascii="Arial" w:hAnsi="Arial" w:cs="Arial"/>
          <w:sz w:val="24"/>
          <w:szCs w:val="24"/>
        </w:rPr>
        <w:t xml:space="preserve">Jones, P., &amp; Comfort, D. (2020). </w:t>
      </w:r>
      <w:r w:rsidRPr="00A123C5">
        <w:rPr>
          <w:rFonts w:ascii="Arial" w:hAnsi="Arial" w:cs="Arial"/>
          <w:i/>
          <w:iCs/>
          <w:sz w:val="24"/>
          <w:szCs w:val="24"/>
        </w:rPr>
        <w:t>Sustainability in hospitality and tourism: A review and critique</w:t>
      </w:r>
      <w:r w:rsidRPr="00A123C5">
        <w:rPr>
          <w:rFonts w:ascii="Arial" w:hAnsi="Arial" w:cs="Arial"/>
          <w:sz w:val="24"/>
          <w:szCs w:val="24"/>
        </w:rPr>
        <w:t>. International Journal of Hospitality Management, 87, 102463.</w:t>
      </w:r>
    </w:p>
    <w:p w14:paraId="4F99E1D1" w14:textId="77777777" w:rsidR="00EF24DC" w:rsidRPr="00A123C5" w:rsidRDefault="00EF24DC" w:rsidP="005271A0">
      <w:pPr>
        <w:spacing w:line="360" w:lineRule="auto"/>
        <w:rPr>
          <w:rFonts w:ascii="Arial" w:hAnsi="Arial" w:cs="Arial"/>
          <w:sz w:val="24"/>
          <w:szCs w:val="24"/>
        </w:rPr>
      </w:pPr>
    </w:p>
    <w:sectPr w:rsidR="00EF24DC" w:rsidRPr="00A123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3204F2"/>
    <w:multiLevelType w:val="multilevel"/>
    <w:tmpl w:val="D35E6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3993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1DF"/>
    <w:rsid w:val="0004676C"/>
    <w:rsid w:val="00130DEE"/>
    <w:rsid w:val="001C16B7"/>
    <w:rsid w:val="002203D3"/>
    <w:rsid w:val="002A5A19"/>
    <w:rsid w:val="003941DF"/>
    <w:rsid w:val="00450D3D"/>
    <w:rsid w:val="004B3125"/>
    <w:rsid w:val="004B4A7F"/>
    <w:rsid w:val="005271A0"/>
    <w:rsid w:val="00537221"/>
    <w:rsid w:val="00537657"/>
    <w:rsid w:val="005D4FF7"/>
    <w:rsid w:val="00941EF6"/>
    <w:rsid w:val="00A123C5"/>
    <w:rsid w:val="00A1797E"/>
    <w:rsid w:val="00C0038A"/>
    <w:rsid w:val="00CD15E5"/>
    <w:rsid w:val="00DB7592"/>
    <w:rsid w:val="00EF24DC"/>
    <w:rsid w:val="00FC64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B041"/>
  <w15:chartTrackingRefBased/>
  <w15:docId w15:val="{FED47F35-BDB6-4FE0-90C9-50E2D19B6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1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41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1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1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1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1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1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1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1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1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41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1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1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1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1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1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1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1DF"/>
    <w:rPr>
      <w:rFonts w:eastAsiaTheme="majorEastAsia" w:cstheme="majorBidi"/>
      <w:color w:val="272727" w:themeColor="text1" w:themeTint="D8"/>
    </w:rPr>
  </w:style>
  <w:style w:type="paragraph" w:styleId="Title">
    <w:name w:val="Title"/>
    <w:basedOn w:val="Normal"/>
    <w:next w:val="Normal"/>
    <w:link w:val="TitleChar"/>
    <w:uiPriority w:val="10"/>
    <w:qFormat/>
    <w:rsid w:val="00394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1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1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1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1DF"/>
    <w:pPr>
      <w:spacing w:before="160"/>
      <w:jc w:val="center"/>
    </w:pPr>
    <w:rPr>
      <w:i/>
      <w:iCs/>
      <w:color w:val="404040" w:themeColor="text1" w:themeTint="BF"/>
    </w:rPr>
  </w:style>
  <w:style w:type="character" w:customStyle="1" w:styleId="QuoteChar">
    <w:name w:val="Quote Char"/>
    <w:basedOn w:val="DefaultParagraphFont"/>
    <w:link w:val="Quote"/>
    <w:uiPriority w:val="29"/>
    <w:rsid w:val="003941DF"/>
    <w:rPr>
      <w:i/>
      <w:iCs/>
      <w:color w:val="404040" w:themeColor="text1" w:themeTint="BF"/>
    </w:rPr>
  </w:style>
  <w:style w:type="paragraph" w:styleId="ListParagraph">
    <w:name w:val="List Paragraph"/>
    <w:basedOn w:val="Normal"/>
    <w:uiPriority w:val="34"/>
    <w:qFormat/>
    <w:rsid w:val="003941DF"/>
    <w:pPr>
      <w:ind w:left="720"/>
      <w:contextualSpacing/>
    </w:pPr>
  </w:style>
  <w:style w:type="character" w:styleId="IntenseEmphasis">
    <w:name w:val="Intense Emphasis"/>
    <w:basedOn w:val="DefaultParagraphFont"/>
    <w:uiPriority w:val="21"/>
    <w:qFormat/>
    <w:rsid w:val="003941DF"/>
    <w:rPr>
      <w:i/>
      <w:iCs/>
      <w:color w:val="0F4761" w:themeColor="accent1" w:themeShade="BF"/>
    </w:rPr>
  </w:style>
  <w:style w:type="paragraph" w:styleId="IntenseQuote">
    <w:name w:val="Intense Quote"/>
    <w:basedOn w:val="Normal"/>
    <w:next w:val="Normal"/>
    <w:link w:val="IntenseQuoteChar"/>
    <w:uiPriority w:val="30"/>
    <w:qFormat/>
    <w:rsid w:val="00394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1DF"/>
    <w:rPr>
      <w:i/>
      <w:iCs/>
      <w:color w:val="0F4761" w:themeColor="accent1" w:themeShade="BF"/>
    </w:rPr>
  </w:style>
  <w:style w:type="character" w:styleId="IntenseReference">
    <w:name w:val="Intense Reference"/>
    <w:basedOn w:val="DefaultParagraphFont"/>
    <w:uiPriority w:val="32"/>
    <w:qFormat/>
    <w:rsid w:val="003941DF"/>
    <w:rPr>
      <w:b/>
      <w:bCs/>
      <w:smallCaps/>
      <w:color w:val="0F4761" w:themeColor="accent1" w:themeShade="BF"/>
      <w:spacing w:val="5"/>
    </w:rPr>
  </w:style>
  <w:style w:type="character" w:styleId="Hyperlink">
    <w:name w:val="Hyperlink"/>
    <w:basedOn w:val="DefaultParagraphFont"/>
    <w:uiPriority w:val="99"/>
    <w:unhideWhenUsed/>
    <w:rsid w:val="00EF24DC"/>
    <w:rPr>
      <w:color w:val="467886" w:themeColor="hyperlink"/>
      <w:u w:val="single"/>
    </w:rPr>
  </w:style>
  <w:style w:type="character" w:styleId="UnresolvedMention">
    <w:name w:val="Unresolved Mention"/>
    <w:basedOn w:val="DefaultParagraphFont"/>
    <w:uiPriority w:val="99"/>
    <w:semiHidden/>
    <w:unhideWhenUsed/>
    <w:rsid w:val="00EF24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1120">
      <w:bodyDiv w:val="1"/>
      <w:marLeft w:val="0"/>
      <w:marRight w:val="0"/>
      <w:marTop w:val="0"/>
      <w:marBottom w:val="0"/>
      <w:divBdr>
        <w:top w:val="none" w:sz="0" w:space="0" w:color="auto"/>
        <w:left w:val="none" w:sz="0" w:space="0" w:color="auto"/>
        <w:bottom w:val="none" w:sz="0" w:space="0" w:color="auto"/>
        <w:right w:val="none" w:sz="0" w:space="0" w:color="auto"/>
      </w:divBdr>
    </w:div>
    <w:div w:id="35476109">
      <w:bodyDiv w:val="1"/>
      <w:marLeft w:val="0"/>
      <w:marRight w:val="0"/>
      <w:marTop w:val="0"/>
      <w:marBottom w:val="0"/>
      <w:divBdr>
        <w:top w:val="none" w:sz="0" w:space="0" w:color="auto"/>
        <w:left w:val="none" w:sz="0" w:space="0" w:color="auto"/>
        <w:bottom w:val="none" w:sz="0" w:space="0" w:color="auto"/>
        <w:right w:val="none" w:sz="0" w:space="0" w:color="auto"/>
      </w:divBdr>
    </w:div>
    <w:div w:id="110176704">
      <w:bodyDiv w:val="1"/>
      <w:marLeft w:val="0"/>
      <w:marRight w:val="0"/>
      <w:marTop w:val="0"/>
      <w:marBottom w:val="0"/>
      <w:divBdr>
        <w:top w:val="none" w:sz="0" w:space="0" w:color="auto"/>
        <w:left w:val="none" w:sz="0" w:space="0" w:color="auto"/>
        <w:bottom w:val="none" w:sz="0" w:space="0" w:color="auto"/>
        <w:right w:val="none" w:sz="0" w:space="0" w:color="auto"/>
      </w:divBdr>
    </w:div>
    <w:div w:id="116024968">
      <w:bodyDiv w:val="1"/>
      <w:marLeft w:val="0"/>
      <w:marRight w:val="0"/>
      <w:marTop w:val="0"/>
      <w:marBottom w:val="0"/>
      <w:divBdr>
        <w:top w:val="none" w:sz="0" w:space="0" w:color="auto"/>
        <w:left w:val="none" w:sz="0" w:space="0" w:color="auto"/>
        <w:bottom w:val="none" w:sz="0" w:space="0" w:color="auto"/>
        <w:right w:val="none" w:sz="0" w:space="0" w:color="auto"/>
      </w:divBdr>
      <w:divsChild>
        <w:div w:id="996153510">
          <w:marLeft w:val="0"/>
          <w:marRight w:val="0"/>
          <w:marTop w:val="0"/>
          <w:marBottom w:val="0"/>
          <w:divBdr>
            <w:top w:val="none" w:sz="0" w:space="0" w:color="auto"/>
            <w:left w:val="none" w:sz="0" w:space="0" w:color="auto"/>
            <w:bottom w:val="none" w:sz="0" w:space="0" w:color="auto"/>
            <w:right w:val="none" w:sz="0" w:space="0" w:color="auto"/>
          </w:divBdr>
          <w:divsChild>
            <w:div w:id="303432696">
              <w:marLeft w:val="0"/>
              <w:marRight w:val="0"/>
              <w:marTop w:val="0"/>
              <w:marBottom w:val="0"/>
              <w:divBdr>
                <w:top w:val="none" w:sz="0" w:space="0" w:color="auto"/>
                <w:left w:val="none" w:sz="0" w:space="0" w:color="auto"/>
                <w:bottom w:val="none" w:sz="0" w:space="0" w:color="auto"/>
                <w:right w:val="none" w:sz="0" w:space="0" w:color="auto"/>
              </w:divBdr>
              <w:divsChild>
                <w:div w:id="576131147">
                  <w:marLeft w:val="0"/>
                  <w:marRight w:val="0"/>
                  <w:marTop w:val="0"/>
                  <w:marBottom w:val="0"/>
                  <w:divBdr>
                    <w:top w:val="none" w:sz="0" w:space="0" w:color="auto"/>
                    <w:left w:val="none" w:sz="0" w:space="0" w:color="auto"/>
                    <w:bottom w:val="none" w:sz="0" w:space="0" w:color="auto"/>
                    <w:right w:val="none" w:sz="0" w:space="0" w:color="auto"/>
                  </w:divBdr>
                  <w:divsChild>
                    <w:div w:id="13457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092667">
          <w:marLeft w:val="0"/>
          <w:marRight w:val="0"/>
          <w:marTop w:val="0"/>
          <w:marBottom w:val="0"/>
          <w:divBdr>
            <w:top w:val="none" w:sz="0" w:space="0" w:color="auto"/>
            <w:left w:val="none" w:sz="0" w:space="0" w:color="auto"/>
            <w:bottom w:val="none" w:sz="0" w:space="0" w:color="auto"/>
            <w:right w:val="none" w:sz="0" w:space="0" w:color="auto"/>
          </w:divBdr>
          <w:divsChild>
            <w:div w:id="1230650455">
              <w:marLeft w:val="0"/>
              <w:marRight w:val="0"/>
              <w:marTop w:val="0"/>
              <w:marBottom w:val="0"/>
              <w:divBdr>
                <w:top w:val="none" w:sz="0" w:space="0" w:color="auto"/>
                <w:left w:val="none" w:sz="0" w:space="0" w:color="auto"/>
                <w:bottom w:val="none" w:sz="0" w:space="0" w:color="auto"/>
                <w:right w:val="none" w:sz="0" w:space="0" w:color="auto"/>
              </w:divBdr>
              <w:divsChild>
                <w:div w:id="2007659607">
                  <w:marLeft w:val="0"/>
                  <w:marRight w:val="0"/>
                  <w:marTop w:val="0"/>
                  <w:marBottom w:val="0"/>
                  <w:divBdr>
                    <w:top w:val="none" w:sz="0" w:space="0" w:color="auto"/>
                    <w:left w:val="none" w:sz="0" w:space="0" w:color="auto"/>
                    <w:bottom w:val="none" w:sz="0" w:space="0" w:color="auto"/>
                    <w:right w:val="none" w:sz="0" w:space="0" w:color="auto"/>
                  </w:divBdr>
                  <w:divsChild>
                    <w:div w:id="95520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60504">
      <w:bodyDiv w:val="1"/>
      <w:marLeft w:val="0"/>
      <w:marRight w:val="0"/>
      <w:marTop w:val="0"/>
      <w:marBottom w:val="0"/>
      <w:divBdr>
        <w:top w:val="none" w:sz="0" w:space="0" w:color="auto"/>
        <w:left w:val="none" w:sz="0" w:space="0" w:color="auto"/>
        <w:bottom w:val="none" w:sz="0" w:space="0" w:color="auto"/>
        <w:right w:val="none" w:sz="0" w:space="0" w:color="auto"/>
      </w:divBdr>
    </w:div>
    <w:div w:id="171532289">
      <w:bodyDiv w:val="1"/>
      <w:marLeft w:val="0"/>
      <w:marRight w:val="0"/>
      <w:marTop w:val="0"/>
      <w:marBottom w:val="0"/>
      <w:divBdr>
        <w:top w:val="none" w:sz="0" w:space="0" w:color="auto"/>
        <w:left w:val="none" w:sz="0" w:space="0" w:color="auto"/>
        <w:bottom w:val="none" w:sz="0" w:space="0" w:color="auto"/>
        <w:right w:val="none" w:sz="0" w:space="0" w:color="auto"/>
      </w:divBdr>
    </w:div>
    <w:div w:id="255216295">
      <w:bodyDiv w:val="1"/>
      <w:marLeft w:val="0"/>
      <w:marRight w:val="0"/>
      <w:marTop w:val="0"/>
      <w:marBottom w:val="0"/>
      <w:divBdr>
        <w:top w:val="none" w:sz="0" w:space="0" w:color="auto"/>
        <w:left w:val="none" w:sz="0" w:space="0" w:color="auto"/>
        <w:bottom w:val="none" w:sz="0" w:space="0" w:color="auto"/>
        <w:right w:val="none" w:sz="0" w:space="0" w:color="auto"/>
      </w:divBdr>
    </w:div>
    <w:div w:id="283344060">
      <w:bodyDiv w:val="1"/>
      <w:marLeft w:val="0"/>
      <w:marRight w:val="0"/>
      <w:marTop w:val="0"/>
      <w:marBottom w:val="0"/>
      <w:divBdr>
        <w:top w:val="none" w:sz="0" w:space="0" w:color="auto"/>
        <w:left w:val="none" w:sz="0" w:space="0" w:color="auto"/>
        <w:bottom w:val="none" w:sz="0" w:space="0" w:color="auto"/>
        <w:right w:val="none" w:sz="0" w:space="0" w:color="auto"/>
      </w:divBdr>
    </w:div>
    <w:div w:id="473374369">
      <w:bodyDiv w:val="1"/>
      <w:marLeft w:val="0"/>
      <w:marRight w:val="0"/>
      <w:marTop w:val="0"/>
      <w:marBottom w:val="0"/>
      <w:divBdr>
        <w:top w:val="none" w:sz="0" w:space="0" w:color="auto"/>
        <w:left w:val="none" w:sz="0" w:space="0" w:color="auto"/>
        <w:bottom w:val="none" w:sz="0" w:space="0" w:color="auto"/>
        <w:right w:val="none" w:sz="0" w:space="0" w:color="auto"/>
      </w:divBdr>
      <w:divsChild>
        <w:div w:id="2023504637">
          <w:marLeft w:val="0"/>
          <w:marRight w:val="0"/>
          <w:marTop w:val="0"/>
          <w:marBottom w:val="0"/>
          <w:divBdr>
            <w:top w:val="none" w:sz="0" w:space="0" w:color="auto"/>
            <w:left w:val="none" w:sz="0" w:space="0" w:color="auto"/>
            <w:bottom w:val="none" w:sz="0" w:space="0" w:color="auto"/>
            <w:right w:val="none" w:sz="0" w:space="0" w:color="auto"/>
          </w:divBdr>
          <w:divsChild>
            <w:div w:id="1147354459">
              <w:marLeft w:val="0"/>
              <w:marRight w:val="0"/>
              <w:marTop w:val="0"/>
              <w:marBottom w:val="0"/>
              <w:divBdr>
                <w:top w:val="none" w:sz="0" w:space="0" w:color="auto"/>
                <w:left w:val="none" w:sz="0" w:space="0" w:color="auto"/>
                <w:bottom w:val="none" w:sz="0" w:space="0" w:color="auto"/>
                <w:right w:val="none" w:sz="0" w:space="0" w:color="auto"/>
              </w:divBdr>
              <w:divsChild>
                <w:div w:id="1046099887">
                  <w:marLeft w:val="0"/>
                  <w:marRight w:val="0"/>
                  <w:marTop w:val="0"/>
                  <w:marBottom w:val="0"/>
                  <w:divBdr>
                    <w:top w:val="none" w:sz="0" w:space="0" w:color="auto"/>
                    <w:left w:val="none" w:sz="0" w:space="0" w:color="auto"/>
                    <w:bottom w:val="none" w:sz="0" w:space="0" w:color="auto"/>
                    <w:right w:val="none" w:sz="0" w:space="0" w:color="auto"/>
                  </w:divBdr>
                  <w:divsChild>
                    <w:div w:id="96975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294930">
          <w:marLeft w:val="0"/>
          <w:marRight w:val="0"/>
          <w:marTop w:val="0"/>
          <w:marBottom w:val="0"/>
          <w:divBdr>
            <w:top w:val="none" w:sz="0" w:space="0" w:color="auto"/>
            <w:left w:val="none" w:sz="0" w:space="0" w:color="auto"/>
            <w:bottom w:val="none" w:sz="0" w:space="0" w:color="auto"/>
            <w:right w:val="none" w:sz="0" w:space="0" w:color="auto"/>
          </w:divBdr>
          <w:divsChild>
            <w:div w:id="1515265281">
              <w:marLeft w:val="0"/>
              <w:marRight w:val="0"/>
              <w:marTop w:val="0"/>
              <w:marBottom w:val="0"/>
              <w:divBdr>
                <w:top w:val="none" w:sz="0" w:space="0" w:color="auto"/>
                <w:left w:val="none" w:sz="0" w:space="0" w:color="auto"/>
                <w:bottom w:val="none" w:sz="0" w:space="0" w:color="auto"/>
                <w:right w:val="none" w:sz="0" w:space="0" w:color="auto"/>
              </w:divBdr>
              <w:divsChild>
                <w:div w:id="11224658">
                  <w:marLeft w:val="0"/>
                  <w:marRight w:val="0"/>
                  <w:marTop w:val="0"/>
                  <w:marBottom w:val="0"/>
                  <w:divBdr>
                    <w:top w:val="none" w:sz="0" w:space="0" w:color="auto"/>
                    <w:left w:val="none" w:sz="0" w:space="0" w:color="auto"/>
                    <w:bottom w:val="none" w:sz="0" w:space="0" w:color="auto"/>
                    <w:right w:val="none" w:sz="0" w:space="0" w:color="auto"/>
                  </w:divBdr>
                  <w:divsChild>
                    <w:div w:id="63441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428417">
      <w:bodyDiv w:val="1"/>
      <w:marLeft w:val="0"/>
      <w:marRight w:val="0"/>
      <w:marTop w:val="0"/>
      <w:marBottom w:val="0"/>
      <w:divBdr>
        <w:top w:val="none" w:sz="0" w:space="0" w:color="auto"/>
        <w:left w:val="none" w:sz="0" w:space="0" w:color="auto"/>
        <w:bottom w:val="none" w:sz="0" w:space="0" w:color="auto"/>
        <w:right w:val="none" w:sz="0" w:space="0" w:color="auto"/>
      </w:divBdr>
      <w:divsChild>
        <w:div w:id="2002079753">
          <w:marLeft w:val="0"/>
          <w:marRight w:val="0"/>
          <w:marTop w:val="0"/>
          <w:marBottom w:val="0"/>
          <w:divBdr>
            <w:top w:val="none" w:sz="0" w:space="0" w:color="auto"/>
            <w:left w:val="none" w:sz="0" w:space="0" w:color="auto"/>
            <w:bottom w:val="none" w:sz="0" w:space="0" w:color="auto"/>
            <w:right w:val="none" w:sz="0" w:space="0" w:color="auto"/>
          </w:divBdr>
          <w:divsChild>
            <w:div w:id="1000767396">
              <w:marLeft w:val="0"/>
              <w:marRight w:val="0"/>
              <w:marTop w:val="0"/>
              <w:marBottom w:val="0"/>
              <w:divBdr>
                <w:top w:val="none" w:sz="0" w:space="0" w:color="auto"/>
                <w:left w:val="none" w:sz="0" w:space="0" w:color="auto"/>
                <w:bottom w:val="none" w:sz="0" w:space="0" w:color="auto"/>
                <w:right w:val="none" w:sz="0" w:space="0" w:color="auto"/>
              </w:divBdr>
              <w:divsChild>
                <w:div w:id="1934975411">
                  <w:marLeft w:val="0"/>
                  <w:marRight w:val="0"/>
                  <w:marTop w:val="0"/>
                  <w:marBottom w:val="0"/>
                  <w:divBdr>
                    <w:top w:val="none" w:sz="0" w:space="0" w:color="auto"/>
                    <w:left w:val="none" w:sz="0" w:space="0" w:color="auto"/>
                    <w:bottom w:val="none" w:sz="0" w:space="0" w:color="auto"/>
                    <w:right w:val="none" w:sz="0" w:space="0" w:color="auto"/>
                  </w:divBdr>
                  <w:divsChild>
                    <w:div w:id="72792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353752">
          <w:marLeft w:val="0"/>
          <w:marRight w:val="0"/>
          <w:marTop w:val="0"/>
          <w:marBottom w:val="0"/>
          <w:divBdr>
            <w:top w:val="none" w:sz="0" w:space="0" w:color="auto"/>
            <w:left w:val="none" w:sz="0" w:space="0" w:color="auto"/>
            <w:bottom w:val="none" w:sz="0" w:space="0" w:color="auto"/>
            <w:right w:val="none" w:sz="0" w:space="0" w:color="auto"/>
          </w:divBdr>
          <w:divsChild>
            <w:div w:id="972442751">
              <w:marLeft w:val="0"/>
              <w:marRight w:val="0"/>
              <w:marTop w:val="0"/>
              <w:marBottom w:val="0"/>
              <w:divBdr>
                <w:top w:val="none" w:sz="0" w:space="0" w:color="auto"/>
                <w:left w:val="none" w:sz="0" w:space="0" w:color="auto"/>
                <w:bottom w:val="none" w:sz="0" w:space="0" w:color="auto"/>
                <w:right w:val="none" w:sz="0" w:space="0" w:color="auto"/>
              </w:divBdr>
              <w:divsChild>
                <w:div w:id="142045260">
                  <w:marLeft w:val="0"/>
                  <w:marRight w:val="0"/>
                  <w:marTop w:val="0"/>
                  <w:marBottom w:val="0"/>
                  <w:divBdr>
                    <w:top w:val="none" w:sz="0" w:space="0" w:color="auto"/>
                    <w:left w:val="none" w:sz="0" w:space="0" w:color="auto"/>
                    <w:bottom w:val="none" w:sz="0" w:space="0" w:color="auto"/>
                    <w:right w:val="none" w:sz="0" w:space="0" w:color="auto"/>
                  </w:divBdr>
                  <w:divsChild>
                    <w:div w:id="27016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9437">
      <w:bodyDiv w:val="1"/>
      <w:marLeft w:val="0"/>
      <w:marRight w:val="0"/>
      <w:marTop w:val="0"/>
      <w:marBottom w:val="0"/>
      <w:divBdr>
        <w:top w:val="none" w:sz="0" w:space="0" w:color="auto"/>
        <w:left w:val="none" w:sz="0" w:space="0" w:color="auto"/>
        <w:bottom w:val="none" w:sz="0" w:space="0" w:color="auto"/>
        <w:right w:val="none" w:sz="0" w:space="0" w:color="auto"/>
      </w:divBdr>
    </w:div>
    <w:div w:id="781530078">
      <w:bodyDiv w:val="1"/>
      <w:marLeft w:val="0"/>
      <w:marRight w:val="0"/>
      <w:marTop w:val="0"/>
      <w:marBottom w:val="0"/>
      <w:divBdr>
        <w:top w:val="none" w:sz="0" w:space="0" w:color="auto"/>
        <w:left w:val="none" w:sz="0" w:space="0" w:color="auto"/>
        <w:bottom w:val="none" w:sz="0" w:space="0" w:color="auto"/>
        <w:right w:val="none" w:sz="0" w:space="0" w:color="auto"/>
      </w:divBdr>
      <w:divsChild>
        <w:div w:id="975333202">
          <w:marLeft w:val="0"/>
          <w:marRight w:val="0"/>
          <w:marTop w:val="0"/>
          <w:marBottom w:val="0"/>
          <w:divBdr>
            <w:top w:val="none" w:sz="0" w:space="0" w:color="auto"/>
            <w:left w:val="none" w:sz="0" w:space="0" w:color="auto"/>
            <w:bottom w:val="none" w:sz="0" w:space="0" w:color="auto"/>
            <w:right w:val="none" w:sz="0" w:space="0" w:color="auto"/>
          </w:divBdr>
          <w:divsChild>
            <w:div w:id="433522923">
              <w:marLeft w:val="0"/>
              <w:marRight w:val="0"/>
              <w:marTop w:val="0"/>
              <w:marBottom w:val="0"/>
              <w:divBdr>
                <w:top w:val="none" w:sz="0" w:space="0" w:color="auto"/>
                <w:left w:val="none" w:sz="0" w:space="0" w:color="auto"/>
                <w:bottom w:val="none" w:sz="0" w:space="0" w:color="auto"/>
                <w:right w:val="none" w:sz="0" w:space="0" w:color="auto"/>
              </w:divBdr>
              <w:divsChild>
                <w:div w:id="1996685383">
                  <w:marLeft w:val="0"/>
                  <w:marRight w:val="0"/>
                  <w:marTop w:val="0"/>
                  <w:marBottom w:val="0"/>
                  <w:divBdr>
                    <w:top w:val="none" w:sz="0" w:space="0" w:color="auto"/>
                    <w:left w:val="none" w:sz="0" w:space="0" w:color="auto"/>
                    <w:bottom w:val="none" w:sz="0" w:space="0" w:color="auto"/>
                    <w:right w:val="none" w:sz="0" w:space="0" w:color="auto"/>
                  </w:divBdr>
                  <w:divsChild>
                    <w:div w:id="114199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6482">
          <w:marLeft w:val="0"/>
          <w:marRight w:val="0"/>
          <w:marTop w:val="0"/>
          <w:marBottom w:val="0"/>
          <w:divBdr>
            <w:top w:val="none" w:sz="0" w:space="0" w:color="auto"/>
            <w:left w:val="none" w:sz="0" w:space="0" w:color="auto"/>
            <w:bottom w:val="none" w:sz="0" w:space="0" w:color="auto"/>
            <w:right w:val="none" w:sz="0" w:space="0" w:color="auto"/>
          </w:divBdr>
          <w:divsChild>
            <w:div w:id="1335258628">
              <w:marLeft w:val="0"/>
              <w:marRight w:val="0"/>
              <w:marTop w:val="0"/>
              <w:marBottom w:val="0"/>
              <w:divBdr>
                <w:top w:val="none" w:sz="0" w:space="0" w:color="auto"/>
                <w:left w:val="none" w:sz="0" w:space="0" w:color="auto"/>
                <w:bottom w:val="none" w:sz="0" w:space="0" w:color="auto"/>
                <w:right w:val="none" w:sz="0" w:space="0" w:color="auto"/>
              </w:divBdr>
              <w:divsChild>
                <w:div w:id="483200220">
                  <w:marLeft w:val="0"/>
                  <w:marRight w:val="0"/>
                  <w:marTop w:val="0"/>
                  <w:marBottom w:val="0"/>
                  <w:divBdr>
                    <w:top w:val="none" w:sz="0" w:space="0" w:color="auto"/>
                    <w:left w:val="none" w:sz="0" w:space="0" w:color="auto"/>
                    <w:bottom w:val="none" w:sz="0" w:space="0" w:color="auto"/>
                    <w:right w:val="none" w:sz="0" w:space="0" w:color="auto"/>
                  </w:divBdr>
                  <w:divsChild>
                    <w:div w:id="1559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689564">
      <w:bodyDiv w:val="1"/>
      <w:marLeft w:val="0"/>
      <w:marRight w:val="0"/>
      <w:marTop w:val="0"/>
      <w:marBottom w:val="0"/>
      <w:divBdr>
        <w:top w:val="none" w:sz="0" w:space="0" w:color="auto"/>
        <w:left w:val="none" w:sz="0" w:space="0" w:color="auto"/>
        <w:bottom w:val="none" w:sz="0" w:space="0" w:color="auto"/>
        <w:right w:val="none" w:sz="0" w:space="0" w:color="auto"/>
      </w:divBdr>
    </w:div>
    <w:div w:id="855114439">
      <w:bodyDiv w:val="1"/>
      <w:marLeft w:val="0"/>
      <w:marRight w:val="0"/>
      <w:marTop w:val="0"/>
      <w:marBottom w:val="0"/>
      <w:divBdr>
        <w:top w:val="none" w:sz="0" w:space="0" w:color="auto"/>
        <w:left w:val="none" w:sz="0" w:space="0" w:color="auto"/>
        <w:bottom w:val="none" w:sz="0" w:space="0" w:color="auto"/>
        <w:right w:val="none" w:sz="0" w:space="0" w:color="auto"/>
      </w:divBdr>
    </w:div>
    <w:div w:id="1064252401">
      <w:bodyDiv w:val="1"/>
      <w:marLeft w:val="0"/>
      <w:marRight w:val="0"/>
      <w:marTop w:val="0"/>
      <w:marBottom w:val="0"/>
      <w:divBdr>
        <w:top w:val="none" w:sz="0" w:space="0" w:color="auto"/>
        <w:left w:val="none" w:sz="0" w:space="0" w:color="auto"/>
        <w:bottom w:val="none" w:sz="0" w:space="0" w:color="auto"/>
        <w:right w:val="none" w:sz="0" w:space="0" w:color="auto"/>
      </w:divBdr>
    </w:div>
    <w:div w:id="1292251699">
      <w:bodyDiv w:val="1"/>
      <w:marLeft w:val="0"/>
      <w:marRight w:val="0"/>
      <w:marTop w:val="0"/>
      <w:marBottom w:val="0"/>
      <w:divBdr>
        <w:top w:val="none" w:sz="0" w:space="0" w:color="auto"/>
        <w:left w:val="none" w:sz="0" w:space="0" w:color="auto"/>
        <w:bottom w:val="none" w:sz="0" w:space="0" w:color="auto"/>
        <w:right w:val="none" w:sz="0" w:space="0" w:color="auto"/>
      </w:divBdr>
    </w:div>
    <w:div w:id="1966617424">
      <w:bodyDiv w:val="1"/>
      <w:marLeft w:val="0"/>
      <w:marRight w:val="0"/>
      <w:marTop w:val="0"/>
      <w:marBottom w:val="0"/>
      <w:divBdr>
        <w:top w:val="none" w:sz="0" w:space="0" w:color="auto"/>
        <w:left w:val="none" w:sz="0" w:space="0" w:color="auto"/>
        <w:bottom w:val="none" w:sz="0" w:space="0" w:color="auto"/>
        <w:right w:val="none" w:sz="0" w:space="0" w:color="auto"/>
      </w:divBdr>
    </w:div>
    <w:div w:id="205974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ntscouncil.org" TargetMode="External"/><Relationship Id="rId3" Type="http://schemas.openxmlformats.org/officeDocument/2006/relationships/settings" Target="settings.xml"/><Relationship Id="rId7" Type="http://schemas.openxmlformats.org/officeDocument/2006/relationships/hyperlink" Target="https://www.unwto.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to.org" TargetMode="External"/><Relationship Id="rId5" Type="http://schemas.openxmlformats.org/officeDocument/2006/relationships/hyperlink" Target="https://www.greenglobe.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10</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Balaj Javed</dc:creator>
  <cp:keywords/>
  <dc:description/>
  <cp:lastModifiedBy>Andleeb Madeha</cp:lastModifiedBy>
  <cp:revision>9</cp:revision>
  <dcterms:created xsi:type="dcterms:W3CDTF">2025-01-26T07:29:00Z</dcterms:created>
  <dcterms:modified xsi:type="dcterms:W3CDTF">2025-02-04T11:35:00Z</dcterms:modified>
</cp:coreProperties>
</file>