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8AC55CC" w14:textId="77777777" w:rsidR="00B34EFB" w:rsidRPr="00F46292" w:rsidRDefault="00B34EFB" w:rsidP="00F46292">
      <w:pPr>
        <w:jc w:val="center"/>
        <w:rPr>
          <w:b/>
          <w:bCs/>
          <w:color w:val="000000" w:themeColor="text1"/>
          <w:sz w:val="32"/>
          <w:szCs w:val="32"/>
        </w:rPr>
      </w:pPr>
    </w:p>
    <w:p w14:paraId="06645F76" w14:textId="77777777" w:rsidR="00B34EFB" w:rsidRPr="00F46292" w:rsidRDefault="00584795" w:rsidP="00F46292">
      <w:pPr>
        <w:spacing w:before="240"/>
        <w:jc w:val="center"/>
        <w:rPr>
          <w:color w:val="000000" w:themeColor="text1"/>
        </w:rPr>
      </w:pPr>
      <w:r w:rsidRPr="00F46292">
        <w:rPr>
          <w:color w:val="000000" w:themeColor="text1"/>
        </w:rPr>
        <w:t xml:space="preserve"> </w:t>
      </w:r>
      <w:r w:rsidRPr="00F46292">
        <w:rPr>
          <w:noProof/>
          <w:color w:val="000000" w:themeColor="text1"/>
        </w:rPr>
        <w:drawing>
          <wp:inline distT="114300" distB="114300" distL="114300" distR="114300" wp14:anchorId="37AE1962" wp14:editId="2D1091A1">
            <wp:extent cx="2828925" cy="1133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28925" cy="1133475"/>
                    </a:xfrm>
                    <a:prstGeom prst="rect">
                      <a:avLst/>
                    </a:prstGeom>
                    <a:ln/>
                  </pic:spPr>
                </pic:pic>
              </a:graphicData>
            </a:graphic>
          </wp:inline>
        </w:drawing>
      </w:r>
    </w:p>
    <w:p w14:paraId="53AED801" w14:textId="77777777" w:rsidR="00B34EFB" w:rsidRPr="00F46292" w:rsidRDefault="00584795" w:rsidP="00F46292">
      <w:pPr>
        <w:spacing w:before="240"/>
        <w:jc w:val="center"/>
        <w:rPr>
          <w:color w:val="000000" w:themeColor="text1"/>
        </w:rPr>
      </w:pPr>
      <w:r w:rsidRPr="00F46292">
        <w:rPr>
          <w:b/>
          <w:bCs/>
          <w:color w:val="000000" w:themeColor="text1"/>
          <w:sz w:val="32"/>
          <w:szCs w:val="32"/>
        </w:rPr>
        <w:t>INNOVATING NEW WORKING PRACTICES AND BREEDING AN ENVIRONMENT WHERE TALENT MAY GROW</w:t>
      </w:r>
    </w:p>
    <w:p w14:paraId="75A189A8" w14:textId="77777777" w:rsidR="00B34EFB" w:rsidRPr="00F46292" w:rsidRDefault="00584795" w:rsidP="00F46292">
      <w:pPr>
        <w:spacing w:before="240"/>
        <w:jc w:val="center"/>
        <w:rPr>
          <w:b/>
          <w:bCs/>
          <w:color w:val="000000" w:themeColor="text1"/>
        </w:rPr>
      </w:pPr>
      <w:r w:rsidRPr="00F46292">
        <w:rPr>
          <w:b/>
          <w:bCs/>
          <w:color w:val="000000" w:themeColor="text1"/>
        </w:rPr>
        <w:t>Programme name: Master of Business Administration</w:t>
      </w:r>
    </w:p>
    <w:p w14:paraId="512AF66E" w14:textId="77777777" w:rsidR="00B34EFB" w:rsidRPr="00F46292" w:rsidRDefault="00584795" w:rsidP="00F46292">
      <w:pPr>
        <w:spacing w:before="240"/>
        <w:jc w:val="center"/>
        <w:rPr>
          <w:b/>
          <w:bCs/>
          <w:color w:val="000000" w:themeColor="text1"/>
        </w:rPr>
      </w:pPr>
      <w:r w:rsidRPr="00F46292">
        <w:rPr>
          <w:b/>
          <w:bCs/>
          <w:color w:val="000000" w:themeColor="text1"/>
        </w:rPr>
        <w:t>Module name and code: Human Capital Management LCMB7023</w:t>
      </w:r>
    </w:p>
    <w:p w14:paraId="1491E86B" w14:textId="3C8E1AFA" w:rsidR="00C1641B" w:rsidRPr="00F46292" w:rsidRDefault="00584795" w:rsidP="00C1641B">
      <w:pPr>
        <w:spacing w:before="240"/>
        <w:jc w:val="center"/>
        <w:rPr>
          <w:b/>
          <w:bCs/>
          <w:color w:val="000000" w:themeColor="text1"/>
        </w:rPr>
      </w:pPr>
      <w:r w:rsidRPr="00F46292">
        <w:rPr>
          <w:b/>
          <w:bCs/>
          <w:color w:val="000000" w:themeColor="text1"/>
        </w:rPr>
        <w:t>Lecturer's name:</w:t>
      </w:r>
      <w:r w:rsidRPr="00F46292">
        <w:rPr>
          <w:b/>
          <w:bCs/>
          <w:color w:val="000000" w:themeColor="text1"/>
        </w:rPr>
        <w:t xml:space="preserve"> Eno </w:t>
      </w:r>
      <w:proofErr w:type="spellStart"/>
      <w:r w:rsidRPr="00F46292">
        <w:rPr>
          <w:b/>
          <w:bCs/>
          <w:color w:val="000000" w:themeColor="text1"/>
        </w:rPr>
        <w:t>Maycock</w:t>
      </w:r>
      <w:proofErr w:type="spellEnd"/>
    </w:p>
    <w:p w14:paraId="491CD8E7" w14:textId="6508750F" w:rsidR="00716C40" w:rsidRPr="00F46292" w:rsidRDefault="00716C40" w:rsidP="00716C40">
      <w:pPr>
        <w:spacing w:before="240"/>
        <w:jc w:val="center"/>
        <w:rPr>
          <w:b/>
          <w:bCs/>
          <w:color w:val="000000" w:themeColor="text1"/>
        </w:rPr>
      </w:pPr>
      <w:r>
        <w:rPr>
          <w:b/>
          <w:bCs/>
          <w:color w:val="000000" w:themeColor="text1"/>
        </w:rPr>
        <w:t>HET SAKARIYA (2605591)</w:t>
      </w:r>
    </w:p>
    <w:p w14:paraId="17AECC05" w14:textId="77777777" w:rsidR="00B34EFB" w:rsidRPr="00F46292" w:rsidRDefault="00584795" w:rsidP="00F46292">
      <w:pPr>
        <w:spacing w:before="240"/>
        <w:jc w:val="center"/>
        <w:rPr>
          <w:b/>
          <w:bCs/>
          <w:color w:val="000000" w:themeColor="text1"/>
        </w:rPr>
      </w:pPr>
      <w:r w:rsidRPr="00F46292">
        <w:rPr>
          <w:b/>
          <w:bCs/>
          <w:color w:val="000000" w:themeColor="text1"/>
        </w:rPr>
        <w:t>Final word count:</w:t>
      </w:r>
      <w:r w:rsidR="009D3650">
        <w:rPr>
          <w:b/>
          <w:bCs/>
          <w:color w:val="000000" w:themeColor="text1"/>
        </w:rPr>
        <w:t xml:space="preserve"> 2580 Words</w:t>
      </w:r>
    </w:p>
    <w:p w14:paraId="27D5A28D" w14:textId="77777777" w:rsidR="00B34EFB" w:rsidRPr="00F46292" w:rsidRDefault="00584795" w:rsidP="00F46292">
      <w:pPr>
        <w:spacing w:before="240"/>
        <w:jc w:val="center"/>
        <w:rPr>
          <w:b/>
          <w:bCs/>
          <w:color w:val="000000" w:themeColor="text1"/>
        </w:rPr>
      </w:pPr>
      <w:r w:rsidRPr="00F46292">
        <w:rPr>
          <w:b/>
          <w:bCs/>
          <w:color w:val="000000" w:themeColor="text1"/>
        </w:rPr>
        <w:t>Submission date:</w:t>
      </w:r>
    </w:p>
    <w:p w14:paraId="49C9C0AE" w14:textId="77777777" w:rsidR="00F46292" w:rsidRPr="00F46292" w:rsidRDefault="00F46292" w:rsidP="00F46292">
      <w:pPr>
        <w:rPr>
          <w:b/>
          <w:bCs/>
          <w:color w:val="000000" w:themeColor="text1"/>
        </w:rPr>
      </w:pPr>
      <w:r w:rsidRPr="00F46292">
        <w:rPr>
          <w:b/>
          <w:bCs/>
          <w:color w:val="000000" w:themeColor="text1"/>
        </w:rPr>
        <w:br w:type="page"/>
      </w:r>
    </w:p>
    <w:sdt>
      <w:sdtPr>
        <w:rPr>
          <w:rFonts w:ascii="Arial" w:eastAsia="Arial" w:hAnsi="Arial" w:cs="Arial"/>
          <w:color w:val="000000" w:themeColor="text1"/>
          <w:sz w:val="24"/>
          <w:szCs w:val="24"/>
          <w:lang w:val="en-GB" w:eastAsia="en-IN"/>
        </w:rPr>
        <w:id w:val="-812404441"/>
        <w:docPartObj>
          <w:docPartGallery w:val="Table of Contents"/>
          <w:docPartUnique/>
        </w:docPartObj>
      </w:sdtPr>
      <w:sdtEndPr>
        <w:rPr>
          <w:b/>
          <w:bCs/>
          <w:noProof/>
        </w:rPr>
      </w:sdtEndPr>
      <w:sdtContent>
        <w:p w14:paraId="5BF1BBA9" w14:textId="77777777" w:rsidR="00F46292" w:rsidRPr="00F46292" w:rsidRDefault="00F46292" w:rsidP="00F46292">
          <w:pPr>
            <w:pStyle w:val="TOCHeading"/>
            <w:spacing w:line="360" w:lineRule="auto"/>
            <w:jc w:val="center"/>
            <w:rPr>
              <w:rFonts w:ascii="Arial" w:hAnsi="Arial" w:cs="Arial"/>
              <w:b/>
              <w:bCs/>
              <w:color w:val="000000" w:themeColor="text1"/>
              <w:sz w:val="28"/>
              <w:szCs w:val="28"/>
            </w:rPr>
          </w:pPr>
          <w:r w:rsidRPr="00F46292">
            <w:rPr>
              <w:rFonts w:ascii="Arial" w:hAnsi="Arial" w:cs="Arial"/>
              <w:b/>
              <w:bCs/>
              <w:color w:val="000000" w:themeColor="text1"/>
              <w:sz w:val="28"/>
              <w:szCs w:val="28"/>
            </w:rPr>
            <w:t>Table of Contents</w:t>
          </w:r>
        </w:p>
        <w:p w14:paraId="63B9242D" w14:textId="77777777" w:rsidR="009D3650" w:rsidRDefault="00F46292">
          <w:pPr>
            <w:pStyle w:val="TOC1"/>
            <w:tabs>
              <w:tab w:val="right" w:leader="dot" w:pos="9019"/>
            </w:tabs>
            <w:rPr>
              <w:rFonts w:asciiTheme="minorHAnsi" w:eastAsiaTheme="minorEastAsia" w:hAnsiTheme="minorHAnsi" w:cstheme="minorBidi"/>
              <w:noProof/>
              <w:kern w:val="2"/>
              <w:lang w:val="en-IN"/>
              <w14:ligatures w14:val="standardContextual"/>
            </w:rPr>
          </w:pPr>
          <w:r w:rsidRPr="00F46292">
            <w:rPr>
              <w:color w:val="000000" w:themeColor="text1"/>
            </w:rPr>
            <w:fldChar w:fldCharType="begin"/>
          </w:r>
          <w:r w:rsidRPr="00F46292">
            <w:rPr>
              <w:color w:val="000000" w:themeColor="text1"/>
            </w:rPr>
            <w:instrText xml:space="preserve"> TOC \o "1-3" \h \z \u </w:instrText>
          </w:r>
          <w:r w:rsidRPr="00F46292">
            <w:rPr>
              <w:color w:val="000000" w:themeColor="text1"/>
            </w:rPr>
            <w:fldChar w:fldCharType="separate"/>
          </w:r>
          <w:hyperlink w:anchor="_Toc242285607" w:history="1">
            <w:r w:rsidR="009D3650" w:rsidRPr="00AB3550">
              <w:rPr>
                <w:rStyle w:val="Hyperlink"/>
                <w:noProof/>
              </w:rPr>
              <w:t>Introduction</w:t>
            </w:r>
            <w:r w:rsidR="009D3650">
              <w:rPr>
                <w:noProof/>
                <w:webHidden/>
              </w:rPr>
              <w:tab/>
            </w:r>
            <w:r w:rsidR="009D3650">
              <w:rPr>
                <w:noProof/>
                <w:webHidden/>
              </w:rPr>
              <w:fldChar w:fldCharType="begin"/>
            </w:r>
            <w:r w:rsidR="009D3650">
              <w:rPr>
                <w:noProof/>
                <w:webHidden/>
              </w:rPr>
              <w:instrText xml:space="preserve"> PAGEREF _Toc242285607 \h </w:instrText>
            </w:r>
            <w:r w:rsidR="009D3650">
              <w:rPr>
                <w:noProof/>
                <w:webHidden/>
              </w:rPr>
            </w:r>
            <w:r w:rsidR="009D3650">
              <w:rPr>
                <w:noProof/>
                <w:webHidden/>
              </w:rPr>
              <w:fldChar w:fldCharType="separate"/>
            </w:r>
            <w:r w:rsidR="009D3650">
              <w:rPr>
                <w:noProof/>
                <w:webHidden/>
              </w:rPr>
              <w:t>3</w:t>
            </w:r>
            <w:r w:rsidR="009D3650">
              <w:rPr>
                <w:noProof/>
                <w:webHidden/>
              </w:rPr>
              <w:fldChar w:fldCharType="end"/>
            </w:r>
          </w:hyperlink>
        </w:p>
        <w:p w14:paraId="50ADADC2" w14:textId="77777777" w:rsidR="009D3650" w:rsidRDefault="009D365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42285608" w:history="1">
            <w:r w:rsidRPr="00AB3550">
              <w:rPr>
                <w:rStyle w:val="Hyperlink"/>
                <w:noProof/>
              </w:rPr>
              <w:t>TASK A: Designing Innovative Working Practices</w:t>
            </w:r>
            <w:r>
              <w:rPr>
                <w:noProof/>
                <w:webHidden/>
              </w:rPr>
              <w:tab/>
            </w:r>
            <w:r>
              <w:rPr>
                <w:noProof/>
                <w:webHidden/>
              </w:rPr>
              <w:fldChar w:fldCharType="begin"/>
            </w:r>
            <w:r>
              <w:rPr>
                <w:noProof/>
                <w:webHidden/>
              </w:rPr>
              <w:instrText xml:space="preserve"> PAGEREF _Toc242285608 \h </w:instrText>
            </w:r>
            <w:r>
              <w:rPr>
                <w:noProof/>
                <w:webHidden/>
              </w:rPr>
            </w:r>
            <w:r>
              <w:rPr>
                <w:noProof/>
                <w:webHidden/>
              </w:rPr>
              <w:fldChar w:fldCharType="separate"/>
            </w:r>
            <w:r>
              <w:rPr>
                <w:noProof/>
                <w:webHidden/>
              </w:rPr>
              <w:t>3</w:t>
            </w:r>
            <w:r>
              <w:rPr>
                <w:noProof/>
                <w:webHidden/>
              </w:rPr>
              <w:fldChar w:fldCharType="end"/>
            </w:r>
          </w:hyperlink>
        </w:p>
        <w:p w14:paraId="31EFDC65" w14:textId="77777777" w:rsidR="009D3650" w:rsidRDefault="009D365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42285609" w:history="1">
            <w:r w:rsidRPr="00AB3550">
              <w:rPr>
                <w:rStyle w:val="Hyperlink"/>
                <w:noProof/>
              </w:rPr>
              <w:t>TASK B: Breeding an Environment Where Talent May Grow</w:t>
            </w:r>
            <w:r>
              <w:rPr>
                <w:noProof/>
                <w:webHidden/>
              </w:rPr>
              <w:tab/>
            </w:r>
            <w:r>
              <w:rPr>
                <w:noProof/>
                <w:webHidden/>
              </w:rPr>
              <w:fldChar w:fldCharType="begin"/>
            </w:r>
            <w:r>
              <w:rPr>
                <w:noProof/>
                <w:webHidden/>
              </w:rPr>
              <w:instrText xml:space="preserve"> PAGEREF _Toc242285609 \h </w:instrText>
            </w:r>
            <w:r>
              <w:rPr>
                <w:noProof/>
                <w:webHidden/>
              </w:rPr>
            </w:r>
            <w:r>
              <w:rPr>
                <w:noProof/>
                <w:webHidden/>
              </w:rPr>
              <w:fldChar w:fldCharType="separate"/>
            </w:r>
            <w:r>
              <w:rPr>
                <w:noProof/>
                <w:webHidden/>
              </w:rPr>
              <w:t>7</w:t>
            </w:r>
            <w:r>
              <w:rPr>
                <w:noProof/>
                <w:webHidden/>
              </w:rPr>
              <w:fldChar w:fldCharType="end"/>
            </w:r>
          </w:hyperlink>
        </w:p>
        <w:p w14:paraId="59E6DE44" w14:textId="77777777" w:rsidR="009D3650" w:rsidRDefault="009D365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42285610" w:history="1">
            <w:r w:rsidRPr="00AB3550">
              <w:rPr>
                <w:rStyle w:val="Hyperlink"/>
                <w:noProof/>
              </w:rPr>
              <w:t>TASK C: Reflective Report</w:t>
            </w:r>
            <w:r>
              <w:rPr>
                <w:noProof/>
                <w:webHidden/>
              </w:rPr>
              <w:tab/>
            </w:r>
            <w:r>
              <w:rPr>
                <w:noProof/>
                <w:webHidden/>
              </w:rPr>
              <w:fldChar w:fldCharType="begin"/>
            </w:r>
            <w:r>
              <w:rPr>
                <w:noProof/>
                <w:webHidden/>
              </w:rPr>
              <w:instrText xml:space="preserve"> PAGEREF _Toc242285610 \h </w:instrText>
            </w:r>
            <w:r>
              <w:rPr>
                <w:noProof/>
                <w:webHidden/>
              </w:rPr>
            </w:r>
            <w:r>
              <w:rPr>
                <w:noProof/>
                <w:webHidden/>
              </w:rPr>
              <w:fldChar w:fldCharType="separate"/>
            </w:r>
            <w:r>
              <w:rPr>
                <w:noProof/>
                <w:webHidden/>
              </w:rPr>
              <w:t>12</w:t>
            </w:r>
            <w:r>
              <w:rPr>
                <w:noProof/>
                <w:webHidden/>
              </w:rPr>
              <w:fldChar w:fldCharType="end"/>
            </w:r>
          </w:hyperlink>
        </w:p>
        <w:p w14:paraId="08E9ACCD" w14:textId="77777777" w:rsidR="009D3650" w:rsidRDefault="009D365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42285611" w:history="1">
            <w:r w:rsidRPr="00AB3550">
              <w:rPr>
                <w:rStyle w:val="Hyperlink"/>
                <w:noProof/>
              </w:rPr>
              <w:t>Conclusion</w:t>
            </w:r>
            <w:r>
              <w:rPr>
                <w:noProof/>
                <w:webHidden/>
              </w:rPr>
              <w:tab/>
            </w:r>
            <w:r>
              <w:rPr>
                <w:noProof/>
                <w:webHidden/>
              </w:rPr>
              <w:fldChar w:fldCharType="begin"/>
            </w:r>
            <w:r>
              <w:rPr>
                <w:noProof/>
                <w:webHidden/>
              </w:rPr>
              <w:instrText xml:space="preserve"> PAGEREF _Toc242285611 \h </w:instrText>
            </w:r>
            <w:r>
              <w:rPr>
                <w:noProof/>
                <w:webHidden/>
              </w:rPr>
            </w:r>
            <w:r>
              <w:rPr>
                <w:noProof/>
                <w:webHidden/>
              </w:rPr>
              <w:fldChar w:fldCharType="separate"/>
            </w:r>
            <w:r>
              <w:rPr>
                <w:noProof/>
                <w:webHidden/>
              </w:rPr>
              <w:t>13</w:t>
            </w:r>
            <w:r>
              <w:rPr>
                <w:noProof/>
                <w:webHidden/>
              </w:rPr>
              <w:fldChar w:fldCharType="end"/>
            </w:r>
          </w:hyperlink>
        </w:p>
        <w:p w14:paraId="0796DCA3" w14:textId="77777777" w:rsidR="009D3650" w:rsidRDefault="009D365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42285612" w:history="1">
            <w:r w:rsidRPr="00AB3550">
              <w:rPr>
                <w:rStyle w:val="Hyperlink"/>
                <w:noProof/>
              </w:rPr>
              <w:t>Reference List</w:t>
            </w:r>
            <w:r>
              <w:rPr>
                <w:noProof/>
                <w:webHidden/>
              </w:rPr>
              <w:tab/>
            </w:r>
            <w:r>
              <w:rPr>
                <w:noProof/>
                <w:webHidden/>
              </w:rPr>
              <w:fldChar w:fldCharType="begin"/>
            </w:r>
            <w:r>
              <w:rPr>
                <w:noProof/>
                <w:webHidden/>
              </w:rPr>
              <w:instrText xml:space="preserve"> PAGEREF _Toc242285612 \h </w:instrText>
            </w:r>
            <w:r>
              <w:rPr>
                <w:noProof/>
                <w:webHidden/>
              </w:rPr>
            </w:r>
            <w:r>
              <w:rPr>
                <w:noProof/>
                <w:webHidden/>
              </w:rPr>
              <w:fldChar w:fldCharType="separate"/>
            </w:r>
            <w:r>
              <w:rPr>
                <w:noProof/>
                <w:webHidden/>
              </w:rPr>
              <w:t>14</w:t>
            </w:r>
            <w:r>
              <w:rPr>
                <w:noProof/>
                <w:webHidden/>
              </w:rPr>
              <w:fldChar w:fldCharType="end"/>
            </w:r>
          </w:hyperlink>
        </w:p>
        <w:p w14:paraId="419B1A7A" w14:textId="77777777" w:rsidR="00F46292" w:rsidRPr="00F46292" w:rsidRDefault="00F46292" w:rsidP="00F46292">
          <w:pPr>
            <w:rPr>
              <w:color w:val="000000" w:themeColor="text1"/>
            </w:rPr>
          </w:pPr>
          <w:r w:rsidRPr="00F46292">
            <w:rPr>
              <w:b/>
              <w:bCs/>
              <w:noProof/>
              <w:color w:val="000000" w:themeColor="text1"/>
            </w:rPr>
            <w:fldChar w:fldCharType="end"/>
          </w:r>
        </w:p>
      </w:sdtContent>
    </w:sdt>
    <w:p w14:paraId="76539C2C" w14:textId="77777777" w:rsidR="00F46292" w:rsidRPr="00F46292" w:rsidRDefault="00F46292" w:rsidP="00F46292">
      <w:pPr>
        <w:spacing w:before="240"/>
        <w:jc w:val="center"/>
        <w:rPr>
          <w:b/>
          <w:bCs/>
          <w:color w:val="000000" w:themeColor="text1"/>
        </w:rPr>
      </w:pPr>
    </w:p>
    <w:p w14:paraId="009B4CBC" w14:textId="77777777" w:rsidR="00B34EFB" w:rsidRPr="00F46292" w:rsidRDefault="00B34EFB" w:rsidP="00F46292">
      <w:pPr>
        <w:rPr>
          <w:color w:val="000000" w:themeColor="text1"/>
        </w:rPr>
      </w:pPr>
    </w:p>
    <w:p w14:paraId="60DB6870" w14:textId="77777777" w:rsidR="00B34EFB" w:rsidRPr="00F46292" w:rsidRDefault="00B34EFB" w:rsidP="00F46292">
      <w:pPr>
        <w:rPr>
          <w:color w:val="000000" w:themeColor="text1"/>
        </w:rPr>
      </w:pPr>
    </w:p>
    <w:p w14:paraId="5C428DF8" w14:textId="77777777" w:rsidR="00B34EFB" w:rsidRPr="00F46292" w:rsidRDefault="00584795" w:rsidP="00F46292">
      <w:pPr>
        <w:rPr>
          <w:color w:val="000000" w:themeColor="text1"/>
        </w:rPr>
      </w:pPr>
      <w:r w:rsidRPr="00F46292">
        <w:rPr>
          <w:color w:val="000000" w:themeColor="text1"/>
        </w:rPr>
        <w:br w:type="page"/>
      </w:r>
    </w:p>
    <w:p w14:paraId="004D3D03" w14:textId="77777777" w:rsidR="003502CA" w:rsidRDefault="003502CA" w:rsidP="00FE3DB7">
      <w:pPr>
        <w:pStyle w:val="Heading1"/>
        <w:spacing w:before="240"/>
        <w:rPr>
          <w:color w:val="000000" w:themeColor="text1"/>
        </w:rPr>
      </w:pPr>
      <w:bookmarkStart w:id="0" w:name="_oso4cnsgox8w" w:colFirst="0" w:colLast="0"/>
      <w:bookmarkStart w:id="1" w:name="_Toc242285607"/>
      <w:bookmarkEnd w:id="0"/>
      <w:r>
        <w:rPr>
          <w:color w:val="000000" w:themeColor="text1"/>
        </w:rPr>
        <w:lastRenderedPageBreak/>
        <w:t>Introduction</w:t>
      </w:r>
      <w:bookmarkEnd w:id="1"/>
    </w:p>
    <w:p w14:paraId="2E2A4E5E" w14:textId="77777777" w:rsidR="003502CA" w:rsidRPr="003502CA" w:rsidRDefault="003502CA" w:rsidP="00FE3DB7">
      <w:pPr>
        <w:spacing w:before="240"/>
      </w:pPr>
      <w:r w:rsidRPr="003502CA">
        <w:t xml:space="preserve">This report critically examines how </w:t>
      </w:r>
      <w:proofErr w:type="spellStart"/>
      <w:r w:rsidRPr="003502CA">
        <w:t>NexSpace</w:t>
      </w:r>
      <w:proofErr w:type="spellEnd"/>
      <w:r w:rsidRPr="003502CA">
        <w:t xml:space="preserve"> Health Systems </w:t>
      </w:r>
      <w:r w:rsidR="00FE3DB7">
        <w:t xml:space="preserve">(NHSX) </w:t>
      </w:r>
      <w:r w:rsidRPr="003502CA">
        <w:t xml:space="preserve">can redesign working practices and develop an environment where talent flourishes. It assesses novel work design, strategic talent </w:t>
      </w:r>
      <w:r w:rsidR="00FE3DB7" w:rsidRPr="003502CA">
        <w:t>evolution,</w:t>
      </w:r>
      <w:r w:rsidRPr="003502CA">
        <w:t xml:space="preserve"> and positive AI utilisation to reinforce teamwork, innovation, capacity of staff and long-term organisational productivity.</w:t>
      </w:r>
    </w:p>
    <w:p w14:paraId="280D416C" w14:textId="77777777" w:rsidR="00B34EFB" w:rsidRPr="00F46292" w:rsidRDefault="00584795" w:rsidP="00F46292">
      <w:pPr>
        <w:pStyle w:val="Heading1"/>
        <w:spacing w:before="240"/>
        <w:rPr>
          <w:color w:val="000000" w:themeColor="text1"/>
        </w:rPr>
      </w:pPr>
      <w:bookmarkStart w:id="2" w:name="_Toc242285608"/>
      <w:r w:rsidRPr="00F46292">
        <w:rPr>
          <w:color w:val="000000" w:themeColor="text1"/>
        </w:rPr>
        <w:t>TASK A: Designing Innovative Working Practices</w:t>
      </w:r>
      <w:bookmarkEnd w:id="2"/>
    </w:p>
    <w:p w14:paraId="1F9382DC" w14:textId="77777777" w:rsidR="00B34EFB" w:rsidRDefault="00584795" w:rsidP="00F46292">
      <w:pPr>
        <w:spacing w:before="240"/>
        <w:rPr>
          <w:color w:val="000000" w:themeColor="text1"/>
        </w:rPr>
      </w:pPr>
      <w:r w:rsidRPr="00F46292">
        <w:rPr>
          <w:color w:val="000000" w:themeColor="text1"/>
        </w:rPr>
        <w:t xml:space="preserve">At NHSX, traditional work design is based on hierarchical coordination, specialised </w:t>
      </w:r>
      <w:r w:rsidR="00F26E6A" w:rsidRPr="00F46292">
        <w:rPr>
          <w:color w:val="000000" w:themeColor="text1"/>
        </w:rPr>
        <w:t>roles,</w:t>
      </w:r>
      <w:r w:rsidRPr="00F46292">
        <w:rPr>
          <w:color w:val="000000" w:themeColor="text1"/>
        </w:rPr>
        <w:t xml:space="preserve"> and management control. The bureaucracy of </w:t>
      </w:r>
      <w:r w:rsidR="005B09AB" w:rsidRPr="00F46292">
        <w:rPr>
          <w:color w:val="000000" w:themeColor="text1"/>
        </w:rPr>
        <w:t>Weberian</w:t>
      </w:r>
      <w:r w:rsidRPr="00F46292">
        <w:rPr>
          <w:color w:val="000000" w:themeColor="text1"/>
        </w:rPr>
        <w:t xml:space="preserve"> and scientific management of Taylorism can offer standardisation, operational </w:t>
      </w:r>
      <w:r w:rsidR="00F26E6A" w:rsidRPr="00F46292">
        <w:rPr>
          <w:color w:val="000000" w:themeColor="text1"/>
        </w:rPr>
        <w:t>control,</w:t>
      </w:r>
      <w:r w:rsidRPr="00F46292">
        <w:rPr>
          <w:color w:val="000000" w:themeColor="text1"/>
        </w:rPr>
        <w:t xml:space="preserve"> and role clarity but their focus on top-down decision-making and supervision limits experimentation in the case of knowledge-based work where the technologies are dynamic. Stanford (2007) depicts the modern trend of inflexible, compartmentalised work to more fluid, project-based input, as management shifts towards surveillance to enablement, </w:t>
      </w:r>
      <w:r w:rsidR="00F26E6A" w:rsidRPr="00F46292">
        <w:rPr>
          <w:color w:val="000000" w:themeColor="text1"/>
        </w:rPr>
        <w:t>coaching,</w:t>
      </w:r>
      <w:r w:rsidRPr="00F46292">
        <w:rPr>
          <w:color w:val="000000" w:themeColor="text1"/>
        </w:rPr>
        <w:t xml:space="preserve"> and psychological safety. In the case of NHSX, such a change is a strategic consideration due to the fact that slow decision-making, lack of experimentation, and poor international knowledge sharing suggest that current organisations are no longer in tune with the needs of innovation of the organisation.</w:t>
      </w:r>
    </w:p>
    <w:p w14:paraId="790FF55B" w14:textId="77777777" w:rsidR="00595A8F" w:rsidRDefault="00595A8F" w:rsidP="00595A8F">
      <w:pPr>
        <w:spacing w:before="240"/>
        <w:jc w:val="center"/>
        <w:rPr>
          <w:color w:val="000000" w:themeColor="text1"/>
        </w:rPr>
      </w:pPr>
      <w:r w:rsidRPr="00595A8F">
        <w:rPr>
          <w:noProof/>
          <w:color w:val="000000" w:themeColor="text1"/>
        </w:rPr>
        <w:drawing>
          <wp:inline distT="0" distB="0" distL="0" distR="0" wp14:anchorId="58E326FC" wp14:editId="2A7DF9C4">
            <wp:extent cx="3924300" cy="3626576"/>
            <wp:effectExtent l="0" t="0" r="0" b="0"/>
            <wp:docPr id="614741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741908" name=""/>
                    <pic:cNvPicPr/>
                  </pic:nvPicPr>
                  <pic:blipFill>
                    <a:blip r:embed="rId8"/>
                    <a:stretch>
                      <a:fillRect/>
                    </a:stretch>
                  </pic:blipFill>
                  <pic:spPr>
                    <a:xfrm>
                      <a:off x="0" y="0"/>
                      <a:ext cx="3934140" cy="3635669"/>
                    </a:xfrm>
                    <a:prstGeom prst="rect">
                      <a:avLst/>
                    </a:prstGeom>
                  </pic:spPr>
                </pic:pic>
              </a:graphicData>
            </a:graphic>
          </wp:inline>
        </w:drawing>
      </w:r>
    </w:p>
    <w:p w14:paraId="7444902D" w14:textId="77777777" w:rsidR="00595A8F" w:rsidRPr="00595A8F" w:rsidRDefault="00595A8F" w:rsidP="00595A8F">
      <w:pPr>
        <w:spacing w:before="240"/>
        <w:jc w:val="center"/>
        <w:rPr>
          <w:b/>
          <w:bCs/>
          <w:color w:val="000000" w:themeColor="text1"/>
        </w:rPr>
      </w:pPr>
      <w:r w:rsidRPr="00595A8F">
        <w:rPr>
          <w:b/>
          <w:bCs/>
          <w:color w:val="000000" w:themeColor="text1"/>
        </w:rPr>
        <w:lastRenderedPageBreak/>
        <w:t>Figure 1: Traditional Vs. Innovative Work Design</w:t>
      </w:r>
    </w:p>
    <w:p w14:paraId="055C12C0" w14:textId="77777777" w:rsidR="00595A8F" w:rsidRPr="00F46292" w:rsidRDefault="00595A8F" w:rsidP="00595A8F">
      <w:pPr>
        <w:spacing w:before="240"/>
        <w:jc w:val="center"/>
        <w:rPr>
          <w:color w:val="000000" w:themeColor="text1"/>
        </w:rPr>
      </w:pPr>
      <w:r>
        <w:rPr>
          <w:color w:val="000000" w:themeColor="text1"/>
        </w:rPr>
        <w:t>(Self-Created)</w:t>
      </w:r>
    </w:p>
    <w:p w14:paraId="384801BA" w14:textId="77777777" w:rsidR="00B34EFB" w:rsidRPr="00F46292" w:rsidRDefault="00584795" w:rsidP="00F46292">
      <w:pPr>
        <w:spacing w:before="240"/>
        <w:rPr>
          <w:color w:val="000000" w:themeColor="text1"/>
        </w:rPr>
      </w:pPr>
      <w:r w:rsidRPr="00F46292">
        <w:rPr>
          <w:color w:val="000000" w:themeColor="text1"/>
        </w:rPr>
        <w:t xml:space="preserve">HPWS provides a helpful point of departure as it incorporates mutually reinforcing practices that foster ability, motivation and opportunity, </w:t>
      </w:r>
      <w:r w:rsidR="00F26E6A" w:rsidRPr="00F46292">
        <w:rPr>
          <w:color w:val="000000" w:themeColor="text1"/>
        </w:rPr>
        <w:t>favouring</w:t>
      </w:r>
      <w:r w:rsidRPr="00F46292">
        <w:rPr>
          <w:color w:val="000000" w:themeColor="text1"/>
        </w:rPr>
        <w:t xml:space="preserve"> productivity, quality, innovation as well as retention (Hassan, 2022). Its focus on multi-skilled jobs, autonomy, and teamwork and knowledge exchange are suitable in the AI-enabled environment of NHSX. Still, HPWS can be performance based and it might not be challenging enough to managerial control. HIWS offers a more potent remedy through more power, information, </w:t>
      </w:r>
      <w:r w:rsidR="00F26E6A" w:rsidRPr="00F46292">
        <w:rPr>
          <w:color w:val="000000" w:themeColor="text1"/>
        </w:rPr>
        <w:t>rewards,</w:t>
      </w:r>
      <w:r w:rsidRPr="00F46292">
        <w:rPr>
          <w:color w:val="000000" w:themeColor="text1"/>
        </w:rPr>
        <w:t xml:space="preserve"> and knowledge sharing opportunities to the employees (Nguyen et al., 2024). Decision-making can be enhanced by involving employees since locals are better positioned to share local knowledge on operational issues, and autonomy enhances creativity and commitment (Armstrong, 2020). But participation in the absence of strategic boundaries can generate inconsistencies in decisions. NHSX needs a combined and </w:t>
      </w:r>
      <w:r w:rsidR="00F26E6A" w:rsidRPr="00F46292">
        <w:rPr>
          <w:color w:val="000000" w:themeColor="text1"/>
        </w:rPr>
        <w:t>no</w:t>
      </w:r>
      <w:r w:rsidRPr="00F46292">
        <w:rPr>
          <w:color w:val="000000" w:themeColor="text1"/>
        </w:rPr>
        <w:t xml:space="preserve"> single model solution.</w:t>
      </w:r>
    </w:p>
    <w:p w14:paraId="3D771C54" w14:textId="77777777" w:rsidR="00B34EFB" w:rsidRPr="00F46292" w:rsidRDefault="00584795" w:rsidP="00F46292">
      <w:pPr>
        <w:spacing w:before="240"/>
        <w:rPr>
          <w:color w:val="000000" w:themeColor="text1"/>
        </w:rPr>
      </w:pPr>
      <w:r w:rsidRPr="00F46292">
        <w:rPr>
          <w:color w:val="000000" w:themeColor="text1"/>
        </w:rPr>
        <w:t xml:space="preserve">The overall design logic is offered by </w:t>
      </w:r>
      <w:proofErr w:type="spellStart"/>
      <w:r w:rsidRPr="00F46292">
        <w:rPr>
          <w:b/>
          <w:bCs/>
          <w:i/>
          <w:iCs/>
          <w:color w:val="000000" w:themeColor="text1"/>
        </w:rPr>
        <w:t>Sociotechnical</w:t>
      </w:r>
      <w:proofErr w:type="spellEnd"/>
      <w:r w:rsidRPr="00F46292">
        <w:rPr>
          <w:b/>
          <w:bCs/>
          <w:i/>
          <w:iCs/>
          <w:color w:val="000000" w:themeColor="text1"/>
        </w:rPr>
        <w:t xml:space="preserve"> Systems (STS) theory.</w:t>
      </w:r>
      <w:r w:rsidRPr="00F46292">
        <w:rPr>
          <w:color w:val="000000" w:themeColor="text1"/>
        </w:rPr>
        <w:t xml:space="preserve"> It perceives work as a social and technical complex that ought to be co-optimised, instead of injecting technology without redesigning jobs, </w:t>
      </w:r>
      <w:r w:rsidR="00F26E6A" w:rsidRPr="00F46292">
        <w:rPr>
          <w:color w:val="000000" w:themeColor="text1"/>
        </w:rPr>
        <w:t>authority,</w:t>
      </w:r>
      <w:r w:rsidRPr="00F46292">
        <w:rPr>
          <w:color w:val="000000" w:themeColor="text1"/>
        </w:rPr>
        <w:t xml:space="preserve"> and work processes (Thomas, 2024). Its principles of flow of information, local control of variance, proper decision rights and participation apply to an international health-technology company (</w:t>
      </w:r>
      <w:proofErr w:type="spellStart"/>
      <w:r w:rsidRPr="00F46292">
        <w:rPr>
          <w:color w:val="000000" w:themeColor="text1"/>
        </w:rPr>
        <w:t>Trist</w:t>
      </w:r>
      <w:proofErr w:type="spellEnd"/>
      <w:r w:rsidRPr="00F46292">
        <w:rPr>
          <w:color w:val="000000" w:themeColor="text1"/>
        </w:rPr>
        <w:t xml:space="preserve"> and </w:t>
      </w:r>
      <w:proofErr w:type="spellStart"/>
      <w:r w:rsidRPr="00F46292">
        <w:rPr>
          <w:color w:val="000000" w:themeColor="text1"/>
        </w:rPr>
        <w:t>Bamforth</w:t>
      </w:r>
      <w:proofErr w:type="spellEnd"/>
      <w:r w:rsidRPr="00F46292">
        <w:rPr>
          <w:color w:val="000000" w:themeColor="text1"/>
        </w:rPr>
        <w:t>, 1951). Following this, NHSX would be advised to integrate STS with HIWS and HPWS to develop a networked work system where tech accelerates and does not override employee judgement.</w:t>
      </w:r>
    </w:p>
    <w:p w14:paraId="1D86A19A" w14:textId="77777777" w:rsidR="00B34EFB" w:rsidRPr="00F46292" w:rsidRDefault="00584795" w:rsidP="00F46292">
      <w:pPr>
        <w:spacing w:before="240"/>
        <w:rPr>
          <w:color w:val="000000" w:themeColor="text1"/>
        </w:rPr>
      </w:pPr>
      <w:r w:rsidRPr="00EB6597">
        <w:rPr>
          <w:b/>
          <w:bCs/>
          <w:i/>
          <w:iCs/>
          <w:color w:val="000000" w:themeColor="text1"/>
        </w:rPr>
        <w:t>To start with</w:t>
      </w:r>
      <w:r w:rsidRPr="00F46292">
        <w:rPr>
          <w:color w:val="000000" w:themeColor="text1"/>
        </w:rPr>
        <w:t xml:space="preserve">, NHSX must build </w:t>
      </w:r>
      <w:r w:rsidRPr="00F46292">
        <w:rPr>
          <w:b/>
          <w:bCs/>
          <w:i/>
          <w:iCs/>
          <w:color w:val="000000" w:themeColor="text1"/>
        </w:rPr>
        <w:t>cross-functional product teams</w:t>
      </w:r>
      <w:r w:rsidRPr="00F46292">
        <w:rPr>
          <w:color w:val="000000" w:themeColor="text1"/>
        </w:rPr>
        <w:t xml:space="preserve"> that include software engineers, clinicians, data specialists, product </w:t>
      </w:r>
      <w:r w:rsidR="00F26E6A" w:rsidRPr="00F46292">
        <w:rPr>
          <w:color w:val="000000" w:themeColor="text1"/>
        </w:rPr>
        <w:t>managers,</w:t>
      </w:r>
      <w:r w:rsidRPr="00F46292">
        <w:rPr>
          <w:color w:val="000000" w:themeColor="text1"/>
        </w:rPr>
        <w:t xml:space="preserve"> and user-experience specialists. Every team must own specific products or patient-facing outcomes end-to-end, and have the power to fix operational problems (</w:t>
      </w:r>
      <w:proofErr w:type="spellStart"/>
      <w:r w:rsidRPr="00F46292">
        <w:rPr>
          <w:color w:val="000000" w:themeColor="text1"/>
        </w:rPr>
        <w:t>Uchenna</w:t>
      </w:r>
      <w:proofErr w:type="spellEnd"/>
      <w:r w:rsidRPr="00F46292">
        <w:rPr>
          <w:color w:val="000000" w:themeColor="text1"/>
        </w:rPr>
        <w:t xml:space="preserve"> et al., 2024). This would transform functional silos to knowledge-sharing models, and </w:t>
      </w:r>
      <w:proofErr w:type="spellStart"/>
      <w:r w:rsidRPr="00F46292">
        <w:rPr>
          <w:color w:val="000000" w:themeColor="text1"/>
        </w:rPr>
        <w:t>minimize</w:t>
      </w:r>
      <w:proofErr w:type="spellEnd"/>
      <w:r w:rsidRPr="00F46292">
        <w:rPr>
          <w:color w:val="000000" w:themeColor="text1"/>
        </w:rPr>
        <w:t xml:space="preserve"> escalation delays. </w:t>
      </w:r>
      <w:r w:rsidRPr="00F46292">
        <w:rPr>
          <w:b/>
          <w:bCs/>
          <w:i/>
          <w:iCs/>
          <w:color w:val="000000" w:themeColor="text1"/>
        </w:rPr>
        <w:t>Agile working</w:t>
      </w:r>
      <w:r w:rsidRPr="00F46292">
        <w:rPr>
          <w:color w:val="000000" w:themeColor="text1"/>
        </w:rPr>
        <w:t xml:space="preserve"> ought to offer the working rhythm as a result of brief sprints, recurrent reviews, </w:t>
      </w:r>
      <w:r w:rsidR="00F26E6A" w:rsidRPr="00F46292">
        <w:rPr>
          <w:color w:val="000000" w:themeColor="text1"/>
        </w:rPr>
        <w:t>coordination,</w:t>
      </w:r>
      <w:r w:rsidRPr="00F46292">
        <w:rPr>
          <w:color w:val="000000" w:themeColor="text1"/>
        </w:rPr>
        <w:t xml:space="preserve"> and reflections. These teams can be faster to adapt to changing clinical and technological needs, and errors and rework are decreased by frequent feedback (Ibrahim </w:t>
      </w:r>
      <w:proofErr w:type="spellStart"/>
      <w:r w:rsidRPr="00F46292">
        <w:rPr>
          <w:color w:val="000000" w:themeColor="text1"/>
        </w:rPr>
        <w:t>Alzoubi</w:t>
      </w:r>
      <w:proofErr w:type="spellEnd"/>
      <w:r w:rsidRPr="00F46292">
        <w:rPr>
          <w:color w:val="000000" w:themeColor="text1"/>
        </w:rPr>
        <w:t xml:space="preserve">, </w:t>
      </w:r>
      <w:proofErr w:type="spellStart"/>
      <w:r w:rsidRPr="00F46292">
        <w:rPr>
          <w:color w:val="000000" w:themeColor="text1"/>
        </w:rPr>
        <w:t>Qumer</w:t>
      </w:r>
      <w:proofErr w:type="spellEnd"/>
      <w:r w:rsidRPr="00F46292">
        <w:rPr>
          <w:color w:val="000000" w:themeColor="text1"/>
        </w:rPr>
        <w:t xml:space="preserve"> Gill and Al-Ani, </w:t>
      </w:r>
      <w:r w:rsidRPr="00F46292">
        <w:rPr>
          <w:color w:val="000000" w:themeColor="text1"/>
        </w:rPr>
        <w:lastRenderedPageBreak/>
        <w:t xml:space="preserve">2015). Notably, agile independence must be under disciplined leadership since healthcare technologies encompass quality, </w:t>
      </w:r>
      <w:r w:rsidR="00F26E6A" w:rsidRPr="00F46292">
        <w:rPr>
          <w:color w:val="000000" w:themeColor="text1"/>
        </w:rPr>
        <w:t>safety,</w:t>
      </w:r>
      <w:r w:rsidRPr="00F46292">
        <w:rPr>
          <w:color w:val="000000" w:themeColor="text1"/>
        </w:rPr>
        <w:t xml:space="preserve"> and regulation risks.</w:t>
      </w:r>
    </w:p>
    <w:p w14:paraId="50F257AD" w14:textId="77777777" w:rsidR="00B34EFB" w:rsidRDefault="00584795" w:rsidP="00F46292">
      <w:pPr>
        <w:spacing w:before="240"/>
        <w:rPr>
          <w:color w:val="000000" w:themeColor="text1"/>
        </w:rPr>
      </w:pPr>
      <w:r w:rsidRPr="00EB6597">
        <w:rPr>
          <w:b/>
          <w:bCs/>
          <w:i/>
          <w:iCs/>
          <w:color w:val="000000" w:themeColor="text1"/>
        </w:rPr>
        <w:t>Second</w:t>
      </w:r>
      <w:r w:rsidRPr="00F46292">
        <w:rPr>
          <w:color w:val="000000" w:themeColor="text1"/>
        </w:rPr>
        <w:t xml:space="preserve">, NHSX ought to develop a deliberate </w:t>
      </w:r>
      <w:r w:rsidRPr="00F46292">
        <w:rPr>
          <w:b/>
          <w:bCs/>
          <w:i/>
          <w:iCs/>
          <w:color w:val="000000" w:themeColor="text1"/>
        </w:rPr>
        <w:t>hybrid and flexible working model</w:t>
      </w:r>
      <w:r w:rsidRPr="00F46292">
        <w:rPr>
          <w:color w:val="000000" w:themeColor="text1"/>
        </w:rPr>
        <w:t xml:space="preserve"> as opposed to flexibly considering remote working. Collaboration, innovation </w:t>
      </w:r>
      <w:r w:rsidR="00F26E6A" w:rsidRPr="00F46292">
        <w:rPr>
          <w:color w:val="000000" w:themeColor="text1"/>
        </w:rPr>
        <w:t>workshops,</w:t>
      </w:r>
      <w:r w:rsidRPr="00F46292">
        <w:rPr>
          <w:color w:val="000000" w:themeColor="text1"/>
        </w:rPr>
        <w:t xml:space="preserve"> and complex problem-solving should be conducted on team-coordinated “anchor days” and employees should perform deep-focus work remotely where applicable (Handke et al., 2024). Having a flexible work schedule, within prearranged core working hours can also serve personal needs. Munda (2026) opined that flexibility arrangements can nurture autonomy, wellbeing, </w:t>
      </w:r>
      <w:r w:rsidR="00F26E6A" w:rsidRPr="00F46292">
        <w:rPr>
          <w:color w:val="000000" w:themeColor="text1"/>
        </w:rPr>
        <w:t>satisfaction,</w:t>
      </w:r>
      <w:r w:rsidRPr="00F46292">
        <w:rPr>
          <w:color w:val="000000" w:themeColor="text1"/>
        </w:rPr>
        <w:t xml:space="preserve"> and retention, but also pose challenges of overworking, digital </w:t>
      </w:r>
      <w:r w:rsidR="00F26E6A" w:rsidRPr="00F46292">
        <w:rPr>
          <w:color w:val="000000" w:themeColor="text1"/>
        </w:rPr>
        <w:t>fatigue,</w:t>
      </w:r>
      <w:r w:rsidRPr="00F46292">
        <w:rPr>
          <w:color w:val="000000" w:themeColor="text1"/>
        </w:rPr>
        <w:t xml:space="preserve"> and access imbalance. NHSX must thus achieve performance based on results and not visibility, create focus time without meetings and implement similar access to developing and decision-making opportunities at multiple locations.</w:t>
      </w:r>
    </w:p>
    <w:p w14:paraId="7C1A73AB" w14:textId="77777777" w:rsidR="00595A8F" w:rsidRDefault="00595A8F" w:rsidP="00595A8F">
      <w:pPr>
        <w:spacing w:before="240"/>
        <w:jc w:val="center"/>
        <w:rPr>
          <w:color w:val="000000" w:themeColor="text1"/>
        </w:rPr>
      </w:pPr>
      <w:r w:rsidRPr="00595A8F">
        <w:rPr>
          <w:noProof/>
          <w:color w:val="000000" w:themeColor="text1"/>
        </w:rPr>
        <w:drawing>
          <wp:inline distT="0" distB="0" distL="0" distR="0" wp14:anchorId="510F8DD9" wp14:editId="3E92935D">
            <wp:extent cx="4457700" cy="4212327"/>
            <wp:effectExtent l="0" t="0" r="0" b="0"/>
            <wp:docPr id="1785958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958478" name=""/>
                    <pic:cNvPicPr/>
                  </pic:nvPicPr>
                  <pic:blipFill>
                    <a:blip r:embed="rId9"/>
                    <a:stretch>
                      <a:fillRect/>
                    </a:stretch>
                  </pic:blipFill>
                  <pic:spPr>
                    <a:xfrm>
                      <a:off x="0" y="0"/>
                      <a:ext cx="4463774" cy="4218067"/>
                    </a:xfrm>
                    <a:prstGeom prst="rect">
                      <a:avLst/>
                    </a:prstGeom>
                  </pic:spPr>
                </pic:pic>
              </a:graphicData>
            </a:graphic>
          </wp:inline>
        </w:drawing>
      </w:r>
    </w:p>
    <w:p w14:paraId="1DD44F93" w14:textId="77777777" w:rsidR="00595A8F" w:rsidRPr="00595A8F" w:rsidRDefault="00595A8F" w:rsidP="00595A8F">
      <w:pPr>
        <w:spacing w:before="240"/>
        <w:jc w:val="center"/>
        <w:rPr>
          <w:b/>
          <w:bCs/>
          <w:color w:val="000000" w:themeColor="text1"/>
        </w:rPr>
      </w:pPr>
      <w:r w:rsidRPr="00595A8F">
        <w:rPr>
          <w:b/>
          <w:bCs/>
          <w:color w:val="000000" w:themeColor="text1"/>
        </w:rPr>
        <w:t>Figure 2: Integrated framework for Innovative work practices at NHSX</w:t>
      </w:r>
    </w:p>
    <w:p w14:paraId="74FD75D1" w14:textId="77777777" w:rsidR="00595A8F" w:rsidRPr="00F46292" w:rsidRDefault="00595A8F" w:rsidP="00595A8F">
      <w:pPr>
        <w:spacing w:before="240"/>
        <w:jc w:val="center"/>
        <w:rPr>
          <w:color w:val="000000" w:themeColor="text1"/>
        </w:rPr>
      </w:pPr>
      <w:r>
        <w:rPr>
          <w:color w:val="000000" w:themeColor="text1"/>
        </w:rPr>
        <w:t>(Self-Created)</w:t>
      </w:r>
    </w:p>
    <w:p w14:paraId="3A9DD4B4" w14:textId="77777777" w:rsidR="00B34EFB" w:rsidRPr="00F46292" w:rsidRDefault="00584795" w:rsidP="00F46292">
      <w:pPr>
        <w:spacing w:before="240"/>
        <w:rPr>
          <w:color w:val="000000" w:themeColor="text1"/>
        </w:rPr>
      </w:pPr>
      <w:r w:rsidRPr="00EB6597">
        <w:rPr>
          <w:b/>
          <w:bCs/>
          <w:i/>
          <w:iCs/>
          <w:color w:val="000000" w:themeColor="text1"/>
        </w:rPr>
        <w:lastRenderedPageBreak/>
        <w:t>Third</w:t>
      </w:r>
      <w:r w:rsidRPr="00F46292">
        <w:rPr>
          <w:color w:val="000000" w:themeColor="text1"/>
        </w:rPr>
        <w:t xml:space="preserve">, the infrastructure relating to the model needs to become </w:t>
      </w:r>
      <w:r w:rsidRPr="00F46292">
        <w:rPr>
          <w:b/>
          <w:bCs/>
          <w:i/>
          <w:iCs/>
          <w:color w:val="000000" w:themeColor="text1"/>
        </w:rPr>
        <w:t>digital collaboration</w:t>
      </w:r>
      <w:r w:rsidRPr="00F46292">
        <w:rPr>
          <w:color w:val="000000" w:themeColor="text1"/>
        </w:rPr>
        <w:t xml:space="preserve">. Communication, coordination and co-creation across the UK, India and UAE can be supported using teams and Slack, Zoom, </w:t>
      </w:r>
      <w:proofErr w:type="spellStart"/>
      <w:r w:rsidRPr="00F46292">
        <w:rPr>
          <w:color w:val="000000" w:themeColor="text1"/>
        </w:rPr>
        <w:t>Miro</w:t>
      </w:r>
      <w:proofErr w:type="spellEnd"/>
      <w:r w:rsidRPr="00F46292">
        <w:rPr>
          <w:color w:val="000000" w:themeColor="text1"/>
        </w:rPr>
        <w:t xml:space="preserve">, shared </w:t>
      </w:r>
      <w:r w:rsidR="00F26E6A" w:rsidRPr="00F46292">
        <w:rPr>
          <w:color w:val="000000" w:themeColor="text1"/>
        </w:rPr>
        <w:t>documents,</w:t>
      </w:r>
      <w:r w:rsidRPr="00F46292">
        <w:rPr>
          <w:color w:val="000000" w:themeColor="text1"/>
        </w:rPr>
        <w:t xml:space="preserve"> and boards (Lakshmi and </w:t>
      </w:r>
      <w:proofErr w:type="spellStart"/>
      <w:r w:rsidRPr="00F46292">
        <w:rPr>
          <w:color w:val="000000" w:themeColor="text1"/>
        </w:rPr>
        <w:t>Unny</w:t>
      </w:r>
      <w:proofErr w:type="spellEnd"/>
      <w:r w:rsidRPr="00F46292">
        <w:rPr>
          <w:color w:val="000000" w:themeColor="text1"/>
        </w:rPr>
        <w:t>, 2025). Better visibility of knowledge would be available through shared documentation and asynchronous discussion, and task boards would reveal bottlenecks and improve accountability (</w:t>
      </w:r>
      <w:proofErr w:type="spellStart"/>
      <w:r w:rsidRPr="00F46292">
        <w:rPr>
          <w:color w:val="000000" w:themeColor="text1"/>
        </w:rPr>
        <w:t>Zamiri</w:t>
      </w:r>
      <w:proofErr w:type="spellEnd"/>
      <w:r w:rsidRPr="00F46292">
        <w:rPr>
          <w:color w:val="000000" w:themeColor="text1"/>
        </w:rPr>
        <w:t xml:space="preserve"> and </w:t>
      </w:r>
      <w:proofErr w:type="spellStart"/>
      <w:r w:rsidRPr="00F46292">
        <w:rPr>
          <w:color w:val="000000" w:themeColor="text1"/>
        </w:rPr>
        <w:t>Esmaeili</w:t>
      </w:r>
      <w:proofErr w:type="spellEnd"/>
      <w:r w:rsidRPr="00F46292">
        <w:rPr>
          <w:color w:val="000000" w:themeColor="text1"/>
        </w:rPr>
        <w:t xml:space="preserve">, 2024). Technology will not however make collaboration. To avoid meeting overload and digital exhaustion, NHSX ought to create communication guidelines, inclusion of meetings, </w:t>
      </w:r>
      <w:r w:rsidR="00F26E6A" w:rsidRPr="00F46292">
        <w:rPr>
          <w:color w:val="000000" w:themeColor="text1"/>
        </w:rPr>
        <w:t>training,</w:t>
      </w:r>
      <w:r w:rsidRPr="00F46292">
        <w:rPr>
          <w:color w:val="000000" w:themeColor="text1"/>
        </w:rPr>
        <w:t xml:space="preserve"> and boundaries of tool usage.</w:t>
      </w:r>
    </w:p>
    <w:p w14:paraId="53F5C7F2" w14:textId="77777777" w:rsidR="00B34EFB" w:rsidRPr="00F46292" w:rsidRDefault="00584795" w:rsidP="00F46292">
      <w:pPr>
        <w:spacing w:before="240"/>
        <w:rPr>
          <w:color w:val="000000" w:themeColor="text1"/>
        </w:rPr>
      </w:pPr>
      <w:r w:rsidRPr="00EB6597">
        <w:rPr>
          <w:b/>
          <w:bCs/>
          <w:i/>
          <w:iCs/>
          <w:color w:val="000000" w:themeColor="text1"/>
        </w:rPr>
        <w:t>Lastly</w:t>
      </w:r>
      <w:r w:rsidRPr="00F46292">
        <w:rPr>
          <w:color w:val="000000" w:themeColor="text1"/>
        </w:rPr>
        <w:t xml:space="preserve">, </w:t>
      </w:r>
      <w:r w:rsidRPr="00F46292">
        <w:rPr>
          <w:b/>
          <w:bCs/>
          <w:i/>
          <w:iCs/>
          <w:color w:val="000000" w:themeColor="text1"/>
        </w:rPr>
        <w:t>coaching-based management and performance results</w:t>
      </w:r>
      <w:r w:rsidRPr="00F46292">
        <w:rPr>
          <w:color w:val="000000" w:themeColor="text1"/>
        </w:rPr>
        <w:t xml:space="preserve"> should promote </w:t>
      </w:r>
      <w:r w:rsidRPr="00F46292">
        <w:rPr>
          <w:b/>
          <w:bCs/>
          <w:i/>
          <w:iCs/>
          <w:color w:val="000000" w:themeColor="text1"/>
        </w:rPr>
        <w:t>employee autonomy</w:t>
      </w:r>
      <w:r w:rsidRPr="00F46292">
        <w:rPr>
          <w:color w:val="000000" w:themeColor="text1"/>
        </w:rPr>
        <w:t xml:space="preserve">. Managers are expected to be facilitators who </w:t>
      </w:r>
      <w:proofErr w:type="spellStart"/>
      <w:r w:rsidRPr="00F46292">
        <w:rPr>
          <w:color w:val="000000" w:themeColor="text1"/>
        </w:rPr>
        <w:t>prioritize</w:t>
      </w:r>
      <w:proofErr w:type="spellEnd"/>
      <w:r w:rsidRPr="00F46292">
        <w:rPr>
          <w:color w:val="000000" w:themeColor="text1"/>
        </w:rPr>
        <w:t xml:space="preserve">, eliminate </w:t>
      </w:r>
      <w:r w:rsidR="00F26E6A" w:rsidRPr="00F46292">
        <w:rPr>
          <w:color w:val="000000" w:themeColor="text1"/>
        </w:rPr>
        <w:t>barriers,</w:t>
      </w:r>
      <w:r w:rsidRPr="00F46292">
        <w:rPr>
          <w:color w:val="000000" w:themeColor="text1"/>
        </w:rPr>
        <w:t xml:space="preserve"> and build capacity as opposed to </w:t>
      </w:r>
      <w:proofErr w:type="spellStart"/>
      <w:r w:rsidRPr="00F46292">
        <w:rPr>
          <w:color w:val="000000" w:themeColor="text1"/>
        </w:rPr>
        <w:t>authorizing</w:t>
      </w:r>
      <w:proofErr w:type="spellEnd"/>
      <w:r w:rsidRPr="00F46292">
        <w:rPr>
          <w:color w:val="000000" w:themeColor="text1"/>
        </w:rPr>
        <w:t xml:space="preserve"> all operational decisions (</w:t>
      </w:r>
      <w:proofErr w:type="spellStart"/>
      <w:r w:rsidRPr="00F46292">
        <w:rPr>
          <w:color w:val="000000" w:themeColor="text1"/>
        </w:rPr>
        <w:t>Llopis</w:t>
      </w:r>
      <w:proofErr w:type="spellEnd"/>
      <w:r w:rsidRPr="00F46292">
        <w:rPr>
          <w:color w:val="000000" w:themeColor="text1"/>
        </w:rPr>
        <w:t xml:space="preserve"> et al., 2020). This practice is in line with the module AMO point of view: performance requires employees with the right ability, </w:t>
      </w:r>
      <w:r w:rsidR="00F26E6A" w:rsidRPr="00F46292">
        <w:rPr>
          <w:color w:val="000000" w:themeColor="text1"/>
        </w:rPr>
        <w:t>motivation,</w:t>
      </w:r>
      <w:r w:rsidRPr="00F46292">
        <w:rPr>
          <w:color w:val="000000" w:themeColor="text1"/>
        </w:rPr>
        <w:t xml:space="preserve"> and opportunity to contribute (</w:t>
      </w:r>
      <w:proofErr w:type="spellStart"/>
      <w:r w:rsidRPr="00F46292">
        <w:rPr>
          <w:color w:val="000000" w:themeColor="text1"/>
        </w:rPr>
        <w:t>Cappelli</w:t>
      </w:r>
      <w:proofErr w:type="spellEnd"/>
      <w:r w:rsidRPr="00F46292">
        <w:rPr>
          <w:color w:val="000000" w:themeColor="text1"/>
        </w:rPr>
        <w:t xml:space="preserve"> and </w:t>
      </w:r>
      <w:proofErr w:type="spellStart"/>
      <w:r w:rsidRPr="00F46292">
        <w:rPr>
          <w:color w:val="000000" w:themeColor="text1"/>
        </w:rPr>
        <w:t>Tavis</w:t>
      </w:r>
      <w:proofErr w:type="spellEnd"/>
      <w:r w:rsidRPr="00F46292">
        <w:rPr>
          <w:color w:val="000000" w:themeColor="text1"/>
        </w:rPr>
        <w:t xml:space="preserve">, 2016). The combined framework hence interconnects empowered individuals, nimble </w:t>
      </w:r>
      <w:proofErr w:type="spellStart"/>
      <w:r w:rsidRPr="00F46292">
        <w:rPr>
          <w:color w:val="000000" w:themeColor="text1"/>
        </w:rPr>
        <w:t>organizations</w:t>
      </w:r>
      <w:proofErr w:type="spellEnd"/>
      <w:r w:rsidRPr="00F46292">
        <w:rPr>
          <w:color w:val="000000" w:themeColor="text1"/>
        </w:rPr>
        <w:t xml:space="preserve">, adaptable </w:t>
      </w:r>
      <w:r w:rsidR="00F26E6A" w:rsidRPr="00F46292">
        <w:rPr>
          <w:color w:val="000000" w:themeColor="text1"/>
        </w:rPr>
        <w:t>work,</w:t>
      </w:r>
      <w:r w:rsidRPr="00F46292">
        <w:rPr>
          <w:color w:val="000000" w:themeColor="text1"/>
        </w:rPr>
        <w:t xml:space="preserve"> and digital facilities. Its foreseen results include quicker choices, enhanced cross-border knowledge motion, improved experimentation, enhanced employee participation and wellbeing, and organisational adaptability and innovation.</w:t>
      </w:r>
    </w:p>
    <w:p w14:paraId="17045E7E" w14:textId="77777777" w:rsidR="00B34EFB" w:rsidRPr="00F46292" w:rsidRDefault="00584795" w:rsidP="00F46292">
      <w:pPr>
        <w:spacing w:before="240"/>
        <w:rPr>
          <w:color w:val="000000" w:themeColor="text1"/>
        </w:rPr>
      </w:pPr>
      <w:r w:rsidRPr="00F46292">
        <w:rPr>
          <w:color w:val="000000" w:themeColor="text1"/>
        </w:rPr>
        <w:t>The paradigm must acknowledge that the present-day practice is not necessarily superior to others. Hybrid working can destroy social capital in the situation when interaction is discontinuous, whereas agile teams can increase the costs of coordination in cases when priorities are volatile (</w:t>
      </w:r>
      <w:proofErr w:type="spellStart"/>
      <w:r w:rsidRPr="00F46292">
        <w:rPr>
          <w:color w:val="000000" w:themeColor="text1"/>
        </w:rPr>
        <w:t>Marrapodi</w:t>
      </w:r>
      <w:proofErr w:type="spellEnd"/>
      <w:r w:rsidRPr="00F46292">
        <w:rPr>
          <w:color w:val="000000" w:themeColor="text1"/>
        </w:rPr>
        <w:t xml:space="preserve">, 2025). Equally, more autonomy may lead to augmented role ambiguity in which workers have no skills or </w:t>
      </w:r>
      <w:r w:rsidR="00F26E6A" w:rsidRPr="00F46292">
        <w:rPr>
          <w:color w:val="000000" w:themeColor="text1"/>
        </w:rPr>
        <w:t>decision-making</w:t>
      </w:r>
      <w:r w:rsidRPr="00F46292">
        <w:rPr>
          <w:color w:val="000000" w:themeColor="text1"/>
        </w:rPr>
        <w:t xml:space="preserve"> prerogative. Instead of simply applying the same arrangements to all roles, NHSX ought to implement a task and team-based approach instead. Greater physical presence may be necessary in clinical or security sensitive or lab activities, and such activities may be facilitated by greater flexibility in software development, </w:t>
      </w:r>
      <w:r w:rsidR="00F26E6A" w:rsidRPr="00F46292">
        <w:rPr>
          <w:color w:val="000000" w:themeColor="text1"/>
        </w:rPr>
        <w:t>analysis,</w:t>
      </w:r>
      <w:r w:rsidRPr="00F46292">
        <w:rPr>
          <w:color w:val="000000" w:themeColor="text1"/>
        </w:rPr>
        <w:t xml:space="preserve"> and documentation (</w:t>
      </w:r>
      <w:proofErr w:type="spellStart"/>
      <w:r w:rsidRPr="00F46292">
        <w:rPr>
          <w:color w:val="000000" w:themeColor="text1"/>
        </w:rPr>
        <w:t>Munir</w:t>
      </w:r>
      <w:proofErr w:type="spellEnd"/>
      <w:r w:rsidRPr="00F46292">
        <w:rPr>
          <w:color w:val="000000" w:themeColor="text1"/>
        </w:rPr>
        <w:t xml:space="preserve"> et al., 2022). Such a contextual approach is aligned to a STS since the work design must correspond with social and technical aspects of the task.</w:t>
      </w:r>
    </w:p>
    <w:p w14:paraId="1DA9B781" w14:textId="77777777" w:rsidR="00B34EFB" w:rsidRPr="00F46292" w:rsidRDefault="00B34EFB" w:rsidP="00F46292">
      <w:pPr>
        <w:spacing w:before="240"/>
        <w:rPr>
          <w:color w:val="000000" w:themeColor="text1"/>
        </w:rPr>
      </w:pPr>
    </w:p>
    <w:p w14:paraId="12F19E64" w14:textId="77777777" w:rsidR="00B34EFB" w:rsidRPr="00F46292" w:rsidRDefault="00584795" w:rsidP="00F46292">
      <w:pPr>
        <w:pStyle w:val="Heading1"/>
        <w:spacing w:before="240"/>
        <w:rPr>
          <w:color w:val="000000" w:themeColor="text1"/>
        </w:rPr>
      </w:pPr>
      <w:bookmarkStart w:id="3" w:name="_btnw9oiexhov" w:colFirst="0" w:colLast="0"/>
      <w:bookmarkEnd w:id="3"/>
      <w:r w:rsidRPr="00F46292">
        <w:rPr>
          <w:color w:val="000000" w:themeColor="text1"/>
        </w:rPr>
        <w:br w:type="page"/>
      </w:r>
      <w:bookmarkStart w:id="4" w:name="_84tlep4xn62i" w:colFirst="0" w:colLast="0"/>
      <w:bookmarkStart w:id="5" w:name="_Toc242285609"/>
      <w:bookmarkEnd w:id="4"/>
      <w:r w:rsidRPr="00F46292">
        <w:rPr>
          <w:color w:val="000000" w:themeColor="text1"/>
        </w:rPr>
        <w:t>TASK B: Breeding an Environment Where Talent May Grow</w:t>
      </w:r>
      <w:bookmarkEnd w:id="5"/>
    </w:p>
    <w:p w14:paraId="5A562397" w14:textId="77777777" w:rsidR="00B34EFB" w:rsidRPr="00F46292" w:rsidRDefault="00584795" w:rsidP="00F46292">
      <w:pPr>
        <w:spacing w:before="240"/>
        <w:rPr>
          <w:color w:val="000000" w:themeColor="text1"/>
        </w:rPr>
      </w:pPr>
      <w:r w:rsidRPr="00F46292">
        <w:rPr>
          <w:color w:val="000000" w:themeColor="text1"/>
        </w:rPr>
        <w:t xml:space="preserve">In the case of NHSX, talent management should also go beyond high performers and develop an organisational ecosystem where employees are able to learn capabilities continuously, to experiment and advance. This directly addresses NHSX’s loss of high-performing employees who perceive limited career growth and learning. Aligning organisational strategy, learning, motivation, career </w:t>
      </w:r>
      <w:r w:rsidR="00F26E6A" w:rsidRPr="00F46292">
        <w:rPr>
          <w:color w:val="000000" w:themeColor="text1"/>
        </w:rPr>
        <w:t>opportunity,</w:t>
      </w:r>
      <w:r w:rsidRPr="00F46292">
        <w:rPr>
          <w:color w:val="000000" w:themeColor="text1"/>
        </w:rPr>
        <w:t xml:space="preserve"> and employee experience are therefore more appropriate in a talent environment compared to isolated training interventions.</w:t>
      </w:r>
    </w:p>
    <w:p w14:paraId="35A039B6" w14:textId="77777777" w:rsidR="004E2DCB" w:rsidRPr="00F46292" w:rsidRDefault="00584795" w:rsidP="00F46292">
      <w:pPr>
        <w:spacing w:before="240"/>
        <w:rPr>
          <w:color w:val="000000" w:themeColor="text1"/>
        </w:rPr>
      </w:pPr>
      <w:r w:rsidRPr="004E2DCB">
        <w:rPr>
          <w:b/>
          <w:bCs/>
          <w:i/>
          <w:iCs/>
          <w:color w:val="000000" w:themeColor="text1"/>
        </w:rPr>
        <w:t>Learning Organisation</w:t>
      </w:r>
      <w:r w:rsidRPr="00F46292">
        <w:rPr>
          <w:color w:val="000000" w:themeColor="text1"/>
        </w:rPr>
        <w:t xml:space="preserve"> by </w:t>
      </w:r>
      <w:proofErr w:type="spellStart"/>
      <w:r w:rsidRPr="00F46292">
        <w:rPr>
          <w:color w:val="000000" w:themeColor="text1"/>
        </w:rPr>
        <w:t>Senge</w:t>
      </w:r>
      <w:proofErr w:type="spellEnd"/>
      <w:r w:rsidRPr="00F46292">
        <w:rPr>
          <w:color w:val="000000" w:themeColor="text1"/>
        </w:rPr>
        <w:t xml:space="preserve"> (1990) can be helpful. Its five disciplines of personal mastery, mental models, shared vision, team </w:t>
      </w:r>
      <w:r w:rsidR="00F26E6A" w:rsidRPr="00F46292">
        <w:rPr>
          <w:color w:val="000000" w:themeColor="text1"/>
        </w:rPr>
        <w:t>learning,</w:t>
      </w:r>
      <w:r w:rsidRPr="00F46292">
        <w:rPr>
          <w:color w:val="000000" w:themeColor="text1"/>
        </w:rPr>
        <w:t xml:space="preserve"> and systems thinking make learning an organisational competency instead of an HR activity. In the case of NHSX, personal mastery can facilitate ongoing technical and clinical growth, and team learning could enhance knowledge sharing throughout the UK, </w:t>
      </w:r>
      <w:r w:rsidR="00F26E6A" w:rsidRPr="00F46292">
        <w:rPr>
          <w:color w:val="000000" w:themeColor="text1"/>
        </w:rPr>
        <w:t>India,</w:t>
      </w:r>
      <w:r w:rsidRPr="00F46292">
        <w:rPr>
          <w:color w:val="000000" w:themeColor="text1"/>
        </w:rPr>
        <w:t xml:space="preserve"> and UAE. NHSX ought to thus integrate learning into daily work, as opposed to courses being the main means of development.</w:t>
      </w:r>
    </w:p>
    <w:p w14:paraId="5ED2DD7F" w14:textId="77777777" w:rsidR="00B34EFB" w:rsidRDefault="00584795" w:rsidP="00F46292">
      <w:pPr>
        <w:spacing w:before="240"/>
        <w:rPr>
          <w:color w:val="000000" w:themeColor="text1"/>
        </w:rPr>
      </w:pPr>
      <w:r w:rsidRPr="00F46292">
        <w:rPr>
          <w:color w:val="000000" w:themeColor="text1"/>
        </w:rPr>
        <w:t xml:space="preserve">This point of view can be complemented by the </w:t>
      </w:r>
      <w:r w:rsidRPr="004E2DCB">
        <w:rPr>
          <w:b/>
          <w:bCs/>
          <w:i/>
          <w:iCs/>
          <w:color w:val="000000" w:themeColor="text1"/>
        </w:rPr>
        <w:t>Growth Mindset</w:t>
      </w:r>
      <w:r w:rsidRPr="00F46292">
        <w:rPr>
          <w:color w:val="000000" w:themeColor="text1"/>
        </w:rPr>
        <w:t xml:space="preserve"> that </w:t>
      </w:r>
      <w:proofErr w:type="spellStart"/>
      <w:r w:rsidRPr="00F46292">
        <w:rPr>
          <w:color w:val="000000" w:themeColor="text1"/>
        </w:rPr>
        <w:t>Dweck</w:t>
      </w:r>
      <w:proofErr w:type="spellEnd"/>
      <w:r w:rsidRPr="00F46292">
        <w:rPr>
          <w:color w:val="000000" w:themeColor="text1"/>
        </w:rPr>
        <w:t xml:space="preserve"> (2006) creates, which shows that capabilities can be developed by means of effort, effective approaches, </w:t>
      </w:r>
      <w:r w:rsidR="00F26E6A" w:rsidRPr="00F46292">
        <w:rPr>
          <w:color w:val="000000" w:themeColor="text1"/>
        </w:rPr>
        <w:t>feedback,</w:t>
      </w:r>
      <w:r w:rsidRPr="00F46292">
        <w:rPr>
          <w:color w:val="000000" w:themeColor="text1"/>
        </w:rPr>
        <w:t xml:space="preserve"> and mentoring. The culture of growth can also be used to motivate employees to take on tougher tasks and use failure as a learning experience (</w:t>
      </w:r>
      <w:proofErr w:type="spellStart"/>
      <w:r w:rsidRPr="00F46292">
        <w:rPr>
          <w:color w:val="000000" w:themeColor="text1"/>
        </w:rPr>
        <w:t>Rožman</w:t>
      </w:r>
      <w:proofErr w:type="spellEnd"/>
      <w:r w:rsidRPr="00F46292">
        <w:rPr>
          <w:color w:val="000000" w:themeColor="text1"/>
        </w:rPr>
        <w:t xml:space="preserve"> et al., 2023). Still, inculcating a growth mentality using slogans is just one of the risks of turning into an empty symbol. It should be strengthened by leadership behaviour, developmental feedback, learning </w:t>
      </w:r>
      <w:r w:rsidR="00F26E6A" w:rsidRPr="00F46292">
        <w:rPr>
          <w:color w:val="000000" w:themeColor="text1"/>
        </w:rPr>
        <w:t>resources,</w:t>
      </w:r>
      <w:r w:rsidRPr="00F46292">
        <w:rPr>
          <w:color w:val="000000" w:themeColor="text1"/>
        </w:rPr>
        <w:t xml:space="preserve"> and recognition of improvement not only by the outcome (</w:t>
      </w:r>
      <w:proofErr w:type="spellStart"/>
      <w:r w:rsidRPr="00F46292">
        <w:rPr>
          <w:color w:val="000000" w:themeColor="text1"/>
        </w:rPr>
        <w:t>Crans</w:t>
      </w:r>
      <w:proofErr w:type="spellEnd"/>
      <w:r w:rsidRPr="00F46292">
        <w:rPr>
          <w:color w:val="000000" w:themeColor="text1"/>
        </w:rPr>
        <w:t xml:space="preserve"> et al., 2022).</w:t>
      </w:r>
    </w:p>
    <w:p w14:paraId="5A883DEE" w14:textId="77777777" w:rsidR="004E2DCB" w:rsidRDefault="004E2DCB" w:rsidP="004E2DCB">
      <w:pPr>
        <w:spacing w:before="240"/>
        <w:jc w:val="center"/>
        <w:rPr>
          <w:color w:val="000000" w:themeColor="text1"/>
        </w:rPr>
      </w:pPr>
      <w:r w:rsidRPr="004E2DCB">
        <w:rPr>
          <w:noProof/>
          <w:color w:val="000000" w:themeColor="text1"/>
        </w:rPr>
        <w:drawing>
          <wp:inline distT="0" distB="0" distL="0" distR="0" wp14:anchorId="6008F7AB" wp14:editId="4BC11AF0">
            <wp:extent cx="4038600" cy="3518535"/>
            <wp:effectExtent l="0" t="0" r="0" b="5715"/>
            <wp:docPr id="983907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907206" name=""/>
                    <pic:cNvPicPr/>
                  </pic:nvPicPr>
                  <pic:blipFill rotWithShape="1">
                    <a:blip r:embed="rId10"/>
                    <a:srcRect r="1110"/>
                    <a:stretch>
                      <a:fillRect/>
                    </a:stretch>
                  </pic:blipFill>
                  <pic:spPr bwMode="auto">
                    <a:xfrm>
                      <a:off x="0" y="0"/>
                      <a:ext cx="4044504" cy="3523679"/>
                    </a:xfrm>
                    <a:prstGeom prst="rect">
                      <a:avLst/>
                    </a:prstGeom>
                    <a:ln>
                      <a:noFill/>
                    </a:ln>
                    <a:extLst>
                      <a:ext uri="{53640926-AAD7-44D8-BBD7-CCE9431645EC}">
                        <a14:shadowObscured xmlns:a14="http://schemas.microsoft.com/office/drawing/2010/main"/>
                      </a:ext>
                    </a:extLst>
                  </pic:spPr>
                </pic:pic>
              </a:graphicData>
            </a:graphic>
          </wp:inline>
        </w:drawing>
      </w:r>
    </w:p>
    <w:p w14:paraId="37BCC9C6" w14:textId="77777777" w:rsidR="004E2DCB" w:rsidRPr="004E2DCB" w:rsidRDefault="004E2DCB" w:rsidP="004E2DCB">
      <w:pPr>
        <w:spacing w:before="240"/>
        <w:jc w:val="center"/>
        <w:rPr>
          <w:b/>
          <w:bCs/>
          <w:color w:val="000000" w:themeColor="text1"/>
        </w:rPr>
      </w:pPr>
      <w:r w:rsidRPr="004E2DCB">
        <w:rPr>
          <w:b/>
          <w:bCs/>
          <w:color w:val="000000" w:themeColor="text1"/>
        </w:rPr>
        <w:t>Figure 3: Key theories underpinning an environment of talent development</w:t>
      </w:r>
    </w:p>
    <w:p w14:paraId="60958380" w14:textId="77777777" w:rsidR="004E2DCB" w:rsidRPr="00F46292" w:rsidRDefault="004E2DCB" w:rsidP="004E2DCB">
      <w:pPr>
        <w:spacing w:before="240"/>
        <w:jc w:val="center"/>
        <w:rPr>
          <w:color w:val="000000" w:themeColor="text1"/>
        </w:rPr>
      </w:pPr>
      <w:r>
        <w:rPr>
          <w:color w:val="000000" w:themeColor="text1"/>
        </w:rPr>
        <w:t>(Self-Created)</w:t>
      </w:r>
    </w:p>
    <w:p w14:paraId="62E2A5C8" w14:textId="77777777" w:rsidR="00B34EFB" w:rsidRPr="00F46292" w:rsidRDefault="00584795" w:rsidP="00F46292">
      <w:pPr>
        <w:spacing w:before="240"/>
        <w:rPr>
          <w:color w:val="000000" w:themeColor="text1"/>
        </w:rPr>
      </w:pPr>
      <w:r w:rsidRPr="00F46292">
        <w:rPr>
          <w:color w:val="000000" w:themeColor="text1"/>
        </w:rPr>
        <w:t xml:space="preserve">The importance is the same with </w:t>
      </w:r>
      <w:r w:rsidRPr="004E2DCB">
        <w:rPr>
          <w:b/>
          <w:bCs/>
          <w:i/>
          <w:iCs/>
          <w:color w:val="000000" w:themeColor="text1"/>
        </w:rPr>
        <w:t>Psychological Safety</w:t>
      </w:r>
      <w:r w:rsidRPr="00F46292">
        <w:rPr>
          <w:color w:val="000000" w:themeColor="text1"/>
        </w:rPr>
        <w:t xml:space="preserve">. It is theorised by Edmondson (1999) as the belief that a team is safe to inter-personally risk. Psychological safety can serve voice, experimentation and knowledge sharing in NHSX where innovation requires employees who need to challenge assumptions by reporting errors and providing new ideas. Yet, psychological safety is not to be transformed into not being responsible. </w:t>
      </w:r>
      <w:proofErr w:type="spellStart"/>
      <w:r w:rsidRPr="00F46292">
        <w:rPr>
          <w:color w:val="000000" w:themeColor="text1"/>
        </w:rPr>
        <w:t>Latessa</w:t>
      </w:r>
      <w:proofErr w:type="spellEnd"/>
      <w:r w:rsidRPr="00F46292">
        <w:rPr>
          <w:color w:val="000000" w:themeColor="text1"/>
        </w:rPr>
        <w:t xml:space="preserve"> et al. (2023) opined that the joint of high psychological safety and high accountability as the learning zone, and high safety a</w:t>
      </w:r>
      <w:r w:rsidRPr="00F46292">
        <w:rPr>
          <w:color w:val="000000" w:themeColor="text1"/>
        </w:rPr>
        <w:t>nd low accountability could result in comfort, not performance. NHSX thus requires such managers that welcome questioning but with clear guidelines.</w:t>
      </w:r>
    </w:p>
    <w:p w14:paraId="2BFED328" w14:textId="77777777" w:rsidR="00B34EFB" w:rsidRPr="00F46292" w:rsidRDefault="00584795" w:rsidP="00F46292">
      <w:pPr>
        <w:spacing w:before="240"/>
        <w:rPr>
          <w:color w:val="000000" w:themeColor="text1"/>
        </w:rPr>
      </w:pPr>
      <w:r w:rsidRPr="004E2DCB">
        <w:rPr>
          <w:b/>
          <w:bCs/>
          <w:i/>
          <w:iCs/>
          <w:color w:val="000000" w:themeColor="text1"/>
        </w:rPr>
        <w:t>Self-Determination Theory</w:t>
      </w:r>
      <w:r w:rsidRPr="00F46292">
        <w:rPr>
          <w:color w:val="000000" w:themeColor="text1"/>
        </w:rPr>
        <w:t xml:space="preserve"> and </w:t>
      </w:r>
      <w:r w:rsidRPr="004E2DCB">
        <w:rPr>
          <w:b/>
          <w:bCs/>
          <w:i/>
          <w:iCs/>
          <w:color w:val="000000" w:themeColor="text1"/>
        </w:rPr>
        <w:t>Job</w:t>
      </w:r>
      <w:r w:rsidRPr="00F46292">
        <w:rPr>
          <w:color w:val="000000" w:themeColor="text1"/>
        </w:rPr>
        <w:t xml:space="preserve"> </w:t>
      </w:r>
      <w:r w:rsidRPr="004E2DCB">
        <w:rPr>
          <w:b/>
          <w:bCs/>
          <w:i/>
          <w:iCs/>
          <w:color w:val="000000" w:themeColor="text1"/>
        </w:rPr>
        <w:t>Crafting</w:t>
      </w:r>
      <w:r w:rsidRPr="00F46292">
        <w:rPr>
          <w:color w:val="000000" w:themeColor="text1"/>
        </w:rPr>
        <w:t xml:space="preserve"> lend these theories strength. Work supports autonomy, </w:t>
      </w:r>
      <w:r w:rsidR="00F26E6A" w:rsidRPr="00F46292">
        <w:rPr>
          <w:color w:val="000000" w:themeColor="text1"/>
        </w:rPr>
        <w:t>competence,</w:t>
      </w:r>
      <w:r w:rsidRPr="00F46292">
        <w:rPr>
          <w:color w:val="000000" w:themeColor="text1"/>
        </w:rPr>
        <w:t xml:space="preserve"> and relatedness, this puts employees in a better position to promote development (</w:t>
      </w:r>
      <w:proofErr w:type="spellStart"/>
      <w:r w:rsidRPr="00F46292">
        <w:rPr>
          <w:color w:val="000000" w:themeColor="text1"/>
        </w:rPr>
        <w:t>Olafsen</w:t>
      </w:r>
      <w:proofErr w:type="spellEnd"/>
      <w:r w:rsidRPr="00F46292">
        <w:rPr>
          <w:color w:val="000000" w:themeColor="text1"/>
        </w:rPr>
        <w:t xml:space="preserve"> et al., 2024). Job crafting enables employees to positively re-design tasks, relationships and perceptions of their job which enhances better fit, meaning and ownership (Armstrong, 2020). The role of NHSX as such should involve making job crafting possible under clear objectives, </w:t>
      </w:r>
      <w:r w:rsidR="00F26E6A" w:rsidRPr="00F46292">
        <w:rPr>
          <w:color w:val="000000" w:themeColor="text1"/>
        </w:rPr>
        <w:t>governance,</w:t>
      </w:r>
      <w:r w:rsidRPr="00F46292">
        <w:rPr>
          <w:color w:val="000000" w:themeColor="text1"/>
        </w:rPr>
        <w:t xml:space="preserve"> and team boundaries.</w:t>
      </w:r>
    </w:p>
    <w:p w14:paraId="69F775C7" w14:textId="77777777" w:rsidR="00B34EFB" w:rsidRPr="00F46292" w:rsidRDefault="00584795" w:rsidP="00F46292">
      <w:pPr>
        <w:spacing w:before="240"/>
        <w:rPr>
          <w:color w:val="000000" w:themeColor="text1"/>
        </w:rPr>
      </w:pPr>
      <w:r w:rsidRPr="00F46292">
        <w:rPr>
          <w:color w:val="000000" w:themeColor="text1"/>
        </w:rPr>
        <w:t xml:space="preserve">There are five interconnected pillars that need to be considered in the development of a thorough NHSX Talent Growth Ecosystem. </w:t>
      </w:r>
      <w:r w:rsidRPr="00F46292">
        <w:rPr>
          <w:b/>
          <w:bCs/>
          <w:i/>
          <w:iCs/>
          <w:color w:val="000000" w:themeColor="text1"/>
        </w:rPr>
        <w:t>First</w:t>
      </w:r>
      <w:r w:rsidRPr="00F46292">
        <w:rPr>
          <w:color w:val="000000" w:themeColor="text1"/>
        </w:rPr>
        <w:t xml:space="preserve">, wall planning must determine the present and future capability needs and especially in AI, data, cybersecurity, digital health, clinical </w:t>
      </w:r>
      <w:r w:rsidR="00F26E6A" w:rsidRPr="00F46292">
        <w:rPr>
          <w:color w:val="000000" w:themeColor="text1"/>
        </w:rPr>
        <w:t>knowledge,</w:t>
      </w:r>
      <w:r w:rsidRPr="00F46292">
        <w:rPr>
          <w:color w:val="000000" w:themeColor="text1"/>
        </w:rPr>
        <w:t xml:space="preserve"> and international collaboration (</w:t>
      </w:r>
      <w:proofErr w:type="spellStart"/>
      <w:r w:rsidRPr="00F46292">
        <w:rPr>
          <w:color w:val="000000" w:themeColor="text1"/>
        </w:rPr>
        <w:t>Arefin</w:t>
      </w:r>
      <w:proofErr w:type="spellEnd"/>
      <w:r w:rsidRPr="00F46292">
        <w:rPr>
          <w:color w:val="000000" w:themeColor="text1"/>
        </w:rPr>
        <w:t xml:space="preserve"> et al., 2025). Development investment can then be focused on the key capabilities guided by skills mapping. This ensures that talent development is not taken out of context (CIPD, 2023).</w:t>
      </w:r>
    </w:p>
    <w:p w14:paraId="556E41BC" w14:textId="77777777" w:rsidR="00B34EFB" w:rsidRPr="00F46292" w:rsidRDefault="00584795" w:rsidP="00F46292">
      <w:pPr>
        <w:spacing w:before="240"/>
        <w:rPr>
          <w:color w:val="000000" w:themeColor="text1"/>
        </w:rPr>
      </w:pPr>
      <w:r w:rsidRPr="00F46292">
        <w:rPr>
          <w:b/>
          <w:bCs/>
          <w:i/>
          <w:iCs/>
          <w:color w:val="000000" w:themeColor="text1"/>
        </w:rPr>
        <w:t>Second</w:t>
      </w:r>
      <w:r w:rsidRPr="00F46292">
        <w:rPr>
          <w:color w:val="000000" w:themeColor="text1"/>
        </w:rPr>
        <w:t xml:space="preserve">, NHSX ought to create ongoing learning and capability development. The talent framework in the module suggests that experiential learning, </w:t>
      </w:r>
      <w:r w:rsidR="00F26E6A" w:rsidRPr="00F46292">
        <w:rPr>
          <w:color w:val="000000" w:themeColor="text1"/>
        </w:rPr>
        <w:t>coaching,</w:t>
      </w:r>
      <w:r w:rsidRPr="00F46292">
        <w:rPr>
          <w:color w:val="000000" w:themeColor="text1"/>
        </w:rPr>
        <w:t xml:space="preserve"> and formal development should be used together, instead of using classroom training only (Taylor, 2018). Learning pathways, micro-learning, stretch assignments, and mentoring should be funded to the employees. Technical and relational capabilities would be nurtured in cross-functional projects and assist with the innovative working model introduced in Task A.</w:t>
      </w:r>
    </w:p>
    <w:p w14:paraId="01DCBF77" w14:textId="77777777" w:rsidR="00B34EFB" w:rsidRDefault="00584795" w:rsidP="00F46292">
      <w:pPr>
        <w:spacing w:before="240"/>
        <w:rPr>
          <w:color w:val="000000" w:themeColor="text1"/>
        </w:rPr>
      </w:pPr>
      <w:r w:rsidRPr="00F46292">
        <w:rPr>
          <w:b/>
          <w:bCs/>
          <w:i/>
          <w:iCs/>
          <w:color w:val="000000" w:themeColor="text1"/>
        </w:rPr>
        <w:t>Third</w:t>
      </w:r>
      <w:r w:rsidRPr="00F46292">
        <w:rPr>
          <w:color w:val="000000" w:themeColor="text1"/>
        </w:rPr>
        <w:t xml:space="preserve">, the retention problem should be dealt with by transparent career paths and internal mobility. Technical, managerial and specialist career routes should be published by NHSX, underpinned with internal talent-marketplace opportunities, job </w:t>
      </w:r>
      <w:r w:rsidR="00F26E6A" w:rsidRPr="00F46292">
        <w:rPr>
          <w:color w:val="000000" w:themeColor="text1"/>
        </w:rPr>
        <w:t>rotations,</w:t>
      </w:r>
      <w:r w:rsidRPr="00F46292">
        <w:rPr>
          <w:color w:val="000000" w:themeColor="text1"/>
        </w:rPr>
        <w:t xml:space="preserve"> and short-term cross areas. This would enable employees to move forward without necessarily thinking that entering management is the sole meaning of career success. Mentoring and succession opportunities must be given to high-potential employees, and development must not be limited to a small elite (</w:t>
      </w:r>
      <w:proofErr w:type="spellStart"/>
      <w:r w:rsidRPr="00F46292">
        <w:rPr>
          <w:color w:val="000000" w:themeColor="text1"/>
        </w:rPr>
        <w:t>Kehoe</w:t>
      </w:r>
      <w:proofErr w:type="spellEnd"/>
      <w:r w:rsidRPr="00F46292">
        <w:rPr>
          <w:color w:val="000000" w:themeColor="text1"/>
        </w:rPr>
        <w:t xml:space="preserve"> et al., 2022).</w:t>
      </w:r>
    </w:p>
    <w:p w14:paraId="0CA9D681" w14:textId="77777777" w:rsidR="008505BA" w:rsidRDefault="008505BA" w:rsidP="008505BA">
      <w:pPr>
        <w:spacing w:before="240"/>
        <w:jc w:val="center"/>
        <w:rPr>
          <w:color w:val="000000" w:themeColor="text1"/>
        </w:rPr>
      </w:pPr>
      <w:r w:rsidRPr="008505BA">
        <w:rPr>
          <w:noProof/>
          <w:color w:val="000000" w:themeColor="text1"/>
        </w:rPr>
        <w:drawing>
          <wp:inline distT="0" distB="0" distL="0" distR="0" wp14:anchorId="6183ACEE" wp14:editId="77C9CFC3">
            <wp:extent cx="4259580" cy="3989258"/>
            <wp:effectExtent l="0" t="0" r="7620" b="0"/>
            <wp:docPr id="735258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258634" name=""/>
                    <pic:cNvPicPr/>
                  </pic:nvPicPr>
                  <pic:blipFill>
                    <a:blip r:embed="rId11"/>
                    <a:stretch>
                      <a:fillRect/>
                    </a:stretch>
                  </pic:blipFill>
                  <pic:spPr>
                    <a:xfrm>
                      <a:off x="0" y="0"/>
                      <a:ext cx="4264189" cy="3993574"/>
                    </a:xfrm>
                    <a:prstGeom prst="rect">
                      <a:avLst/>
                    </a:prstGeom>
                  </pic:spPr>
                </pic:pic>
              </a:graphicData>
            </a:graphic>
          </wp:inline>
        </w:drawing>
      </w:r>
    </w:p>
    <w:p w14:paraId="6A96D506" w14:textId="77777777" w:rsidR="008505BA" w:rsidRPr="008505BA" w:rsidRDefault="008505BA" w:rsidP="008505BA">
      <w:pPr>
        <w:spacing w:before="240"/>
        <w:jc w:val="center"/>
        <w:rPr>
          <w:b/>
          <w:bCs/>
          <w:color w:val="000000" w:themeColor="text1"/>
        </w:rPr>
      </w:pPr>
      <w:r w:rsidRPr="008505BA">
        <w:rPr>
          <w:b/>
          <w:bCs/>
          <w:color w:val="000000" w:themeColor="text1"/>
        </w:rPr>
        <w:t>Figure 4: Strategic Talent Growth System for NHSX</w:t>
      </w:r>
    </w:p>
    <w:p w14:paraId="377746ED" w14:textId="77777777" w:rsidR="008505BA" w:rsidRPr="00F46292" w:rsidRDefault="008505BA" w:rsidP="008505BA">
      <w:pPr>
        <w:spacing w:before="240"/>
        <w:jc w:val="center"/>
        <w:rPr>
          <w:color w:val="000000" w:themeColor="text1"/>
        </w:rPr>
      </w:pPr>
      <w:r>
        <w:rPr>
          <w:color w:val="000000" w:themeColor="text1"/>
        </w:rPr>
        <w:t>(Self-Created)</w:t>
      </w:r>
    </w:p>
    <w:p w14:paraId="75E8B109" w14:textId="77777777" w:rsidR="00B34EFB" w:rsidRPr="00F46292" w:rsidRDefault="00584795" w:rsidP="00F46292">
      <w:pPr>
        <w:spacing w:before="240"/>
        <w:rPr>
          <w:color w:val="000000" w:themeColor="text1"/>
        </w:rPr>
      </w:pPr>
      <w:r w:rsidRPr="00F46292">
        <w:rPr>
          <w:b/>
          <w:bCs/>
          <w:i/>
          <w:iCs/>
          <w:color w:val="000000" w:themeColor="text1"/>
        </w:rPr>
        <w:t>Fourth</w:t>
      </w:r>
      <w:r w:rsidRPr="00F46292">
        <w:rPr>
          <w:color w:val="000000" w:themeColor="text1"/>
        </w:rPr>
        <w:t xml:space="preserve">, NHSX must develop a psychologically safe, and personality-oriented work environment. Managers ought to oversee frequent development discussions, be transparent about errors and welcome criticism. Monitoring of employee experience should be done regarding critical points like onboarding, learning, performance review, career </w:t>
      </w:r>
      <w:r w:rsidR="00F26E6A" w:rsidRPr="00F46292">
        <w:rPr>
          <w:color w:val="000000" w:themeColor="text1"/>
        </w:rPr>
        <w:t>progression,</w:t>
      </w:r>
      <w:r w:rsidRPr="00F46292">
        <w:rPr>
          <w:color w:val="000000" w:themeColor="text1"/>
        </w:rPr>
        <w:t xml:space="preserve"> and retention (Santos et al., 2025). This is able to detect friction that otherwise will contribute to disengagement and turnover. Notably, accountability, ethical standards and clear performance expectations should go with psychological safety.</w:t>
      </w:r>
    </w:p>
    <w:p w14:paraId="7ADC9649" w14:textId="77777777" w:rsidR="00B34EFB" w:rsidRPr="00F46292" w:rsidRDefault="00584795" w:rsidP="00F46292">
      <w:pPr>
        <w:spacing w:before="240"/>
        <w:rPr>
          <w:color w:val="000000" w:themeColor="text1"/>
        </w:rPr>
      </w:pPr>
      <w:r w:rsidRPr="00F46292">
        <w:rPr>
          <w:b/>
          <w:bCs/>
          <w:i/>
          <w:iCs/>
          <w:color w:val="000000" w:themeColor="text1"/>
        </w:rPr>
        <w:t>Fifth</w:t>
      </w:r>
      <w:r w:rsidRPr="00F46292">
        <w:rPr>
          <w:color w:val="000000" w:themeColor="text1"/>
        </w:rPr>
        <w:t xml:space="preserve">, development should be reinforced by performance and feedback systems. NHSX needs to employ frequent one to one coaching, ongoing goal </w:t>
      </w:r>
      <w:r w:rsidR="00F26E6A" w:rsidRPr="00F46292">
        <w:rPr>
          <w:color w:val="000000" w:themeColor="text1"/>
        </w:rPr>
        <w:t>setting,</w:t>
      </w:r>
      <w:r w:rsidRPr="00F46292">
        <w:rPr>
          <w:color w:val="000000" w:themeColor="text1"/>
        </w:rPr>
        <w:t xml:space="preserve"> and 360-feedback in place of regular annual appraisal. The performance talks must consider the results, as well as, the growth of capabilities. Key indicators may involve skills acquired, internal mobility, contributions to innovation, retention/engagement (</w:t>
      </w:r>
      <w:proofErr w:type="spellStart"/>
      <w:r w:rsidRPr="00F46292">
        <w:rPr>
          <w:color w:val="000000" w:themeColor="text1"/>
        </w:rPr>
        <w:t>Cappelli</w:t>
      </w:r>
      <w:proofErr w:type="spellEnd"/>
      <w:r w:rsidRPr="00F46292">
        <w:rPr>
          <w:color w:val="000000" w:themeColor="text1"/>
        </w:rPr>
        <w:t xml:space="preserve"> and </w:t>
      </w:r>
      <w:proofErr w:type="spellStart"/>
      <w:r w:rsidRPr="00F46292">
        <w:rPr>
          <w:color w:val="000000" w:themeColor="text1"/>
        </w:rPr>
        <w:t>Tavis</w:t>
      </w:r>
      <w:proofErr w:type="spellEnd"/>
      <w:r w:rsidRPr="00F46292">
        <w:rPr>
          <w:color w:val="000000" w:themeColor="text1"/>
        </w:rPr>
        <w:t>, 2016). That forms a feedback loop where strategy determines capabilities, learning builds on those capabilities, career opportunities put them into practice and performance systems maintain the growth.</w:t>
      </w:r>
    </w:p>
    <w:p w14:paraId="7B7E5DA3" w14:textId="77777777" w:rsidR="00B34EFB" w:rsidRPr="00F46292" w:rsidRDefault="00584795" w:rsidP="00F46292">
      <w:pPr>
        <w:spacing w:before="240"/>
        <w:rPr>
          <w:color w:val="000000" w:themeColor="text1"/>
        </w:rPr>
      </w:pPr>
      <w:r w:rsidRPr="00F46292">
        <w:rPr>
          <w:color w:val="000000" w:themeColor="text1"/>
        </w:rPr>
        <w:t xml:space="preserve">An ecosystem that can arise is as follows: </w:t>
      </w:r>
      <w:r w:rsidRPr="00F46292">
        <w:rPr>
          <w:rFonts w:ascii="Arial Unicode MS" w:eastAsia="Arial Unicode MS" w:hAnsi="Arial Unicode MS" w:cs="Arial Unicode MS"/>
          <w:i/>
          <w:iCs/>
          <w:color w:val="000000" w:themeColor="text1"/>
        </w:rPr>
        <w:t>strategic capability requirement→ continuous learning→ career mobility and job crafting→ psychological safety and motivation→ enhanced performance and retention.</w:t>
      </w:r>
      <w:r w:rsidRPr="00F46292">
        <w:rPr>
          <w:color w:val="000000" w:themeColor="text1"/>
        </w:rPr>
        <w:t xml:space="preserve"> Its effectiveness, nevertheless, lies in the managerial behaviour. Regarding this, managers should also be talent enablers who coach, stretch opportunities and feedback instead of gatekeepers of development (Strickland and Martins, 2026). NHSX must not also make assumptions on what all employees need to follow; plans should be individual, and based on career stage, role, </w:t>
      </w:r>
      <w:r w:rsidR="00F26E6A" w:rsidRPr="00F46292">
        <w:rPr>
          <w:color w:val="000000" w:themeColor="text1"/>
        </w:rPr>
        <w:t>location,</w:t>
      </w:r>
      <w:r w:rsidRPr="00F46292">
        <w:rPr>
          <w:color w:val="000000" w:themeColor="text1"/>
        </w:rPr>
        <w:t xml:space="preserve"> and specialist needs.</w:t>
      </w:r>
    </w:p>
    <w:p w14:paraId="39DB1E71" w14:textId="77777777" w:rsidR="00B34EFB" w:rsidRPr="00F46292" w:rsidRDefault="00584795" w:rsidP="00F46292">
      <w:pPr>
        <w:spacing w:before="240"/>
        <w:rPr>
          <w:color w:val="000000" w:themeColor="text1"/>
        </w:rPr>
      </w:pPr>
      <w:r w:rsidRPr="00F46292">
        <w:rPr>
          <w:color w:val="000000" w:themeColor="text1"/>
        </w:rPr>
        <w:t xml:space="preserve">Comprehensively, NHSX must develop talent via a holistic approach as opposed to a single HR practice. </w:t>
      </w:r>
      <w:proofErr w:type="spellStart"/>
      <w:r w:rsidRPr="00F46292">
        <w:rPr>
          <w:color w:val="000000" w:themeColor="text1"/>
        </w:rPr>
        <w:t>Senge</w:t>
      </w:r>
      <w:proofErr w:type="spellEnd"/>
      <w:r w:rsidRPr="00F46292">
        <w:rPr>
          <w:color w:val="000000" w:themeColor="text1"/>
        </w:rPr>
        <w:t xml:space="preserve"> (1990) offers the learning structure, </w:t>
      </w:r>
      <w:proofErr w:type="spellStart"/>
      <w:r w:rsidRPr="00F46292">
        <w:rPr>
          <w:color w:val="000000" w:themeColor="text1"/>
        </w:rPr>
        <w:t>Dweck</w:t>
      </w:r>
      <w:proofErr w:type="spellEnd"/>
      <w:r w:rsidRPr="00F46292">
        <w:rPr>
          <w:color w:val="000000" w:themeColor="text1"/>
        </w:rPr>
        <w:t xml:space="preserve"> (2006) sustains the culture of development, Edmondson (1999) establishes the psychology of experimentation, and Self- Determination Theory and Job Crafting reinforced the autonomy, competence, </w:t>
      </w:r>
      <w:r w:rsidR="00F26E6A" w:rsidRPr="00F46292">
        <w:rPr>
          <w:color w:val="000000" w:themeColor="text1"/>
        </w:rPr>
        <w:t>relatedness,</w:t>
      </w:r>
      <w:r w:rsidRPr="00F46292">
        <w:rPr>
          <w:color w:val="000000" w:themeColor="text1"/>
        </w:rPr>
        <w:t xml:space="preserve"> and ownership. Together with strategic workforce planning, career </w:t>
      </w:r>
      <w:r w:rsidR="00F26E6A" w:rsidRPr="00F46292">
        <w:rPr>
          <w:color w:val="000000" w:themeColor="text1"/>
        </w:rPr>
        <w:t>mobility,</w:t>
      </w:r>
      <w:r w:rsidRPr="00F46292">
        <w:rPr>
          <w:color w:val="000000" w:themeColor="text1"/>
        </w:rPr>
        <w:t xml:space="preserve"> and feedback on a regular basis, such an ecosystem can transform employee potential into organisational capability. In the case of NHSX trade-off, the result of the strategy is not necessarily more trained employees but a resilient base of talent able to innovate continuously, share knowledge, provide succession and sustainable performance.</w:t>
      </w:r>
    </w:p>
    <w:p w14:paraId="262BA201" w14:textId="77777777" w:rsidR="00B34EFB" w:rsidRPr="00F46292" w:rsidRDefault="00584795" w:rsidP="00F46292">
      <w:pPr>
        <w:pStyle w:val="Heading1"/>
        <w:spacing w:before="240"/>
        <w:rPr>
          <w:color w:val="000000" w:themeColor="text1"/>
        </w:rPr>
      </w:pPr>
      <w:bookmarkStart w:id="6" w:name="_z6oh65obaybz" w:colFirst="0" w:colLast="0"/>
      <w:bookmarkEnd w:id="6"/>
      <w:r w:rsidRPr="00F46292">
        <w:rPr>
          <w:color w:val="000000" w:themeColor="text1"/>
        </w:rPr>
        <w:br w:type="page"/>
      </w:r>
    </w:p>
    <w:p w14:paraId="72F2C8BE" w14:textId="77777777" w:rsidR="00B34EFB" w:rsidRPr="00F46292" w:rsidRDefault="00584795" w:rsidP="00F46292">
      <w:pPr>
        <w:pStyle w:val="Heading1"/>
        <w:spacing w:before="240"/>
        <w:rPr>
          <w:color w:val="000000" w:themeColor="text1"/>
        </w:rPr>
      </w:pPr>
      <w:bookmarkStart w:id="7" w:name="_wr935zpj6sn" w:colFirst="0" w:colLast="0"/>
      <w:bookmarkStart w:id="8" w:name="_Toc242285610"/>
      <w:bookmarkEnd w:id="7"/>
      <w:r w:rsidRPr="00F46292">
        <w:rPr>
          <w:color w:val="000000" w:themeColor="text1"/>
        </w:rPr>
        <w:t>TASK C: Reflective Report</w:t>
      </w:r>
      <w:bookmarkEnd w:id="8"/>
    </w:p>
    <w:p w14:paraId="670C0CB1" w14:textId="77777777" w:rsidR="00B34EFB" w:rsidRPr="00F46292" w:rsidRDefault="00584795" w:rsidP="00F46292">
      <w:pPr>
        <w:spacing w:before="240"/>
        <w:rPr>
          <w:color w:val="000000" w:themeColor="text1"/>
        </w:rPr>
      </w:pPr>
      <w:r w:rsidRPr="00F46292">
        <w:rPr>
          <w:color w:val="000000" w:themeColor="text1"/>
        </w:rPr>
        <w:t xml:space="preserve">Incorporating “Artificial Intelligence” (AI), which can reinforce the decision-making process, into the practice of “Human Resource Management” (HRM) as a future practitioner, this issue will not get weaker; however, professional judgement will not be transmitted to machines. AI has the ability to perform analysis on large amounts of workforce data, discover patterns of turnover, skills </w:t>
      </w:r>
      <w:r w:rsidR="00F26E6A" w:rsidRPr="00F46292">
        <w:rPr>
          <w:color w:val="000000" w:themeColor="text1"/>
        </w:rPr>
        <w:t>shortages,</w:t>
      </w:r>
      <w:r w:rsidRPr="00F46292">
        <w:rPr>
          <w:color w:val="000000" w:themeColor="text1"/>
        </w:rPr>
        <w:t xml:space="preserve"> and employee engagement, and facilitate evidence-based workforce planning. It can thus be a decision support tool but not an independent decision-maker. Nonetheless, the information provided in the module points out the necessity to strike a balance between the benefits of technology and ethical and human factors (World Economic Forum, 2025). Bias can be reinforced in the AI generated recommendations as they could fail to understand differences in the workplace context and thus compromise employee trust in</w:t>
      </w:r>
      <w:r w:rsidRPr="00F46292">
        <w:rPr>
          <w:color w:val="000000" w:themeColor="text1"/>
        </w:rPr>
        <w:t xml:space="preserve"> cases where transparency is not applied with the tool (Kern et al., 2022). I, therefore, feel that HR benefits should be able to confirm the results of the AI, ensure privacy, doubt any potentially biased </w:t>
      </w:r>
      <w:r w:rsidR="00F26E6A" w:rsidRPr="00F46292">
        <w:rPr>
          <w:color w:val="000000" w:themeColor="text1"/>
        </w:rPr>
        <w:t>suggestions,</w:t>
      </w:r>
      <w:r w:rsidRPr="00F46292">
        <w:rPr>
          <w:color w:val="000000" w:themeColor="text1"/>
        </w:rPr>
        <w:t xml:space="preserve"> and not lose the ability to feel when choices have an impact.</w:t>
      </w:r>
    </w:p>
    <w:p w14:paraId="544FE340" w14:textId="77777777" w:rsidR="00B34EFB" w:rsidRPr="00F46292" w:rsidRDefault="00584795" w:rsidP="00F46292">
      <w:pPr>
        <w:spacing w:before="240"/>
        <w:rPr>
          <w:color w:val="000000" w:themeColor="text1"/>
        </w:rPr>
      </w:pPr>
      <w:r w:rsidRPr="00F46292">
        <w:rPr>
          <w:color w:val="000000" w:themeColor="text1"/>
        </w:rPr>
        <w:t xml:space="preserve">This understanding has been acquired through my own use of AI. To start with, I have applied AI to compose academic tasks and to divide complicated concepts into logical parts. This enhanced my planning, </w:t>
      </w:r>
      <w:r w:rsidR="00F26E6A" w:rsidRPr="00F46292">
        <w:rPr>
          <w:color w:val="000000" w:themeColor="text1"/>
        </w:rPr>
        <w:t>synthesis,</w:t>
      </w:r>
      <w:r w:rsidRPr="00F46292">
        <w:rPr>
          <w:color w:val="000000" w:themeColor="text1"/>
        </w:rPr>
        <w:t xml:space="preserve"> and written communication as I was able to make comparisons between other structures prior to the development of my own argument. Nevertheless, </w:t>
      </w:r>
      <w:proofErr w:type="spellStart"/>
      <w:r w:rsidRPr="00F46292">
        <w:rPr>
          <w:color w:val="000000" w:themeColor="text1"/>
        </w:rPr>
        <w:t>overdependence</w:t>
      </w:r>
      <w:proofErr w:type="spellEnd"/>
      <w:r w:rsidRPr="00F46292">
        <w:rPr>
          <w:color w:val="000000" w:themeColor="text1"/>
        </w:rPr>
        <w:t xml:space="preserve"> might lead to less independent thought; this is why now I consider AI a starting point and carefully review its proposals.</w:t>
      </w:r>
    </w:p>
    <w:p w14:paraId="17CDFF3F" w14:textId="77777777" w:rsidR="00B34EFB" w:rsidRPr="00F46292" w:rsidRDefault="00584795" w:rsidP="00F46292">
      <w:pPr>
        <w:spacing w:before="240"/>
        <w:rPr>
          <w:color w:val="000000" w:themeColor="text1"/>
        </w:rPr>
      </w:pPr>
      <w:r w:rsidRPr="00F46292">
        <w:rPr>
          <w:color w:val="000000" w:themeColor="text1"/>
        </w:rPr>
        <w:t xml:space="preserve">Second, I have applied AI to critique and perfect academic writing in regard to the assessment requirements. This assisted me to </w:t>
      </w:r>
      <w:proofErr w:type="spellStart"/>
      <w:r w:rsidRPr="00F46292">
        <w:rPr>
          <w:color w:val="000000" w:themeColor="text1"/>
        </w:rPr>
        <w:t>recognize</w:t>
      </w:r>
      <w:proofErr w:type="spellEnd"/>
      <w:r w:rsidRPr="00F46292">
        <w:rPr>
          <w:color w:val="000000" w:themeColor="text1"/>
        </w:rPr>
        <w:t xml:space="preserve"> repetition, poor </w:t>
      </w:r>
      <w:r w:rsidR="00F26E6A" w:rsidRPr="00F46292">
        <w:rPr>
          <w:color w:val="000000" w:themeColor="text1"/>
        </w:rPr>
        <w:t>transitions,</w:t>
      </w:r>
      <w:r w:rsidRPr="00F46292">
        <w:rPr>
          <w:color w:val="000000" w:themeColor="text1"/>
        </w:rPr>
        <w:t xml:space="preserve"> and points of greater critical examination. It enhanced my quality evaluation skills based on explicit criteria. The weakness was that AI was able to propose refined wording without necessarily comprehending the entire academics (Khalifa and </w:t>
      </w:r>
      <w:proofErr w:type="spellStart"/>
      <w:r w:rsidRPr="00F46292">
        <w:rPr>
          <w:color w:val="000000" w:themeColor="text1"/>
        </w:rPr>
        <w:t>Albadawy</w:t>
      </w:r>
      <w:proofErr w:type="spellEnd"/>
      <w:r w:rsidRPr="00F46292">
        <w:rPr>
          <w:color w:val="000000" w:themeColor="text1"/>
        </w:rPr>
        <w:t>, 2024). This strengthened the necessity of my own assessment and knowledge of the subject.</w:t>
      </w:r>
    </w:p>
    <w:p w14:paraId="54C5C411" w14:textId="77777777" w:rsidR="00B34EFB" w:rsidRPr="00F46292" w:rsidRDefault="00584795" w:rsidP="00F46292">
      <w:pPr>
        <w:spacing w:before="240"/>
        <w:rPr>
          <w:color w:val="000000" w:themeColor="text1"/>
        </w:rPr>
      </w:pPr>
      <w:r w:rsidRPr="00F46292">
        <w:rPr>
          <w:color w:val="000000" w:themeColor="text1"/>
        </w:rPr>
        <w:t xml:space="preserve">Third, I have applied AI to clarify new things and create viable implementations of theories. This made my learning faster and enabled me to relate theoretical models </w:t>
      </w:r>
      <w:r w:rsidRPr="00F46292">
        <w:rPr>
          <w:color w:val="000000" w:themeColor="text1"/>
        </w:rPr>
        <w:t>and organisation issues. Yet, in the simplified explanations, critical thinking may be promoted by false pretences. I, thus, compare significant ideas with module materials and reliable academic materials.</w:t>
      </w:r>
    </w:p>
    <w:p w14:paraId="41FF9226" w14:textId="77777777" w:rsidR="00B34EFB" w:rsidRDefault="00584795" w:rsidP="00F46292">
      <w:pPr>
        <w:spacing w:before="240"/>
        <w:rPr>
          <w:color w:val="000000" w:themeColor="text1"/>
        </w:rPr>
      </w:pPr>
      <w:r w:rsidRPr="00F46292">
        <w:rPr>
          <w:color w:val="000000" w:themeColor="text1"/>
        </w:rPr>
        <w:t xml:space="preserve">The future capability plan has three priorities. To begin with, I will enhance the digital and analytical skill by gaining trust in HR analytics, interpretation of data and accountable AI application. Second, I will enhance the human-centred abilities by communicating, listening to conversations, </w:t>
      </w:r>
      <w:r w:rsidR="00F26E6A" w:rsidRPr="00F46292">
        <w:rPr>
          <w:color w:val="000000" w:themeColor="text1"/>
        </w:rPr>
        <w:t>coaching,</w:t>
      </w:r>
      <w:r w:rsidRPr="00F46292">
        <w:rPr>
          <w:color w:val="000000" w:themeColor="text1"/>
        </w:rPr>
        <w:t xml:space="preserve"> and managing conflicts because empathy is always paramount in HR decision making. Thirdly, I will learn to make critical and ethical judgments by asking questions of AI outputs, verifying </w:t>
      </w:r>
      <w:r w:rsidR="00F26E6A" w:rsidRPr="00F46292">
        <w:rPr>
          <w:color w:val="000000" w:themeColor="text1"/>
        </w:rPr>
        <w:t>evidence,</w:t>
      </w:r>
      <w:r w:rsidRPr="00F46292">
        <w:rPr>
          <w:color w:val="000000" w:themeColor="text1"/>
        </w:rPr>
        <w:t xml:space="preserve"> and determining fairness, </w:t>
      </w:r>
      <w:r w:rsidR="00F26E6A" w:rsidRPr="00F46292">
        <w:rPr>
          <w:color w:val="000000" w:themeColor="text1"/>
        </w:rPr>
        <w:t>privacy,</w:t>
      </w:r>
      <w:r w:rsidRPr="00F46292">
        <w:rPr>
          <w:color w:val="000000" w:themeColor="text1"/>
        </w:rPr>
        <w:t xml:space="preserve"> and employee implications. I will evaluate progress on a monthly basis with reflective notes, academic or professional activity feedback and evidence of accomplishment of the learning. This strategy will enhance my employability through integration of technological fluency with critical thinking, moral </w:t>
      </w:r>
      <w:r w:rsidR="00F26E6A" w:rsidRPr="00F46292">
        <w:rPr>
          <w:color w:val="000000" w:themeColor="text1"/>
        </w:rPr>
        <w:t>obligation,</w:t>
      </w:r>
      <w:r w:rsidRPr="00F46292">
        <w:rPr>
          <w:color w:val="000000" w:themeColor="text1"/>
        </w:rPr>
        <w:t xml:space="preserve"> and relationship skills.</w:t>
      </w:r>
    </w:p>
    <w:p w14:paraId="04968AB5" w14:textId="77777777" w:rsidR="00FE3DB7" w:rsidRDefault="00FE3DB7" w:rsidP="00FE3DB7">
      <w:pPr>
        <w:pStyle w:val="Heading1"/>
        <w:spacing w:before="240"/>
      </w:pPr>
      <w:bookmarkStart w:id="9" w:name="_Toc242285611"/>
      <w:r>
        <w:t>Conclusion</w:t>
      </w:r>
      <w:bookmarkEnd w:id="9"/>
    </w:p>
    <w:p w14:paraId="1E53FF7F" w14:textId="77777777" w:rsidR="00FE3DB7" w:rsidRPr="00F46292" w:rsidRDefault="00FE3DB7" w:rsidP="00FE3DB7">
      <w:pPr>
        <w:spacing w:before="240"/>
        <w:rPr>
          <w:color w:val="000000" w:themeColor="text1"/>
        </w:rPr>
      </w:pPr>
      <w:r>
        <w:rPr>
          <w:color w:val="000000" w:themeColor="text1"/>
        </w:rPr>
        <w:t>Thus</w:t>
      </w:r>
      <w:r w:rsidRPr="00FE3DB7">
        <w:rPr>
          <w:color w:val="000000" w:themeColor="text1"/>
        </w:rPr>
        <w:t>, NHSX requires an integrated human capital strategy combining agile and flexible work, employee autonomy, continuous learning, career mobility, and psychological safety. These practices are able to enhance innovation, retention, and organisational resilience. Nevertheless, technology, and AI must complement but not substitute human judgement to make ethical, inclusive, and people-centred decisions.</w:t>
      </w:r>
    </w:p>
    <w:p w14:paraId="177D7864" w14:textId="77777777" w:rsidR="008B2E2A" w:rsidRPr="00F46292" w:rsidRDefault="008B2E2A" w:rsidP="00F46292">
      <w:pPr>
        <w:rPr>
          <w:color w:val="000000" w:themeColor="text1"/>
        </w:rPr>
      </w:pPr>
      <w:r w:rsidRPr="00F46292">
        <w:rPr>
          <w:color w:val="000000" w:themeColor="text1"/>
        </w:rPr>
        <w:br w:type="page"/>
      </w:r>
    </w:p>
    <w:p w14:paraId="43805238" w14:textId="77777777" w:rsidR="008B2E2A" w:rsidRPr="00F46292" w:rsidRDefault="008B2E2A" w:rsidP="00F46292">
      <w:pPr>
        <w:pStyle w:val="Heading1"/>
        <w:rPr>
          <w:color w:val="000000" w:themeColor="text1"/>
        </w:rPr>
      </w:pPr>
      <w:bookmarkStart w:id="10" w:name="_Toc242285612"/>
      <w:r w:rsidRPr="00F46292">
        <w:rPr>
          <w:color w:val="000000" w:themeColor="text1"/>
        </w:rPr>
        <w:t>Reference List</w:t>
      </w:r>
      <w:bookmarkEnd w:id="10"/>
    </w:p>
    <w:p w14:paraId="2CDF0988"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Arefin</w:t>
      </w:r>
      <w:proofErr w:type="spellEnd"/>
      <w:r w:rsidRPr="00F46292">
        <w:rPr>
          <w:color w:val="000000" w:themeColor="text1"/>
          <w:lang w:val="en-IN"/>
        </w:rPr>
        <w:t xml:space="preserve">, S., </w:t>
      </w:r>
      <w:proofErr w:type="spellStart"/>
      <w:r w:rsidRPr="00F46292">
        <w:rPr>
          <w:color w:val="000000" w:themeColor="text1"/>
          <w:lang w:val="en-IN"/>
        </w:rPr>
        <w:t>Zannat</w:t>
      </w:r>
      <w:proofErr w:type="spellEnd"/>
      <w:r w:rsidRPr="00F46292">
        <w:rPr>
          <w:color w:val="000000" w:themeColor="text1"/>
          <w:lang w:val="en-IN"/>
        </w:rPr>
        <w:t xml:space="preserve">, N.T. and Health, G. (2025) ‘Securing AI in Global Health Research: A framework for cross-border data collaboration’, </w:t>
      </w:r>
      <w:r w:rsidRPr="00F46292">
        <w:rPr>
          <w:i/>
          <w:iCs/>
          <w:color w:val="000000" w:themeColor="text1"/>
          <w:lang w:val="en-IN"/>
        </w:rPr>
        <w:t>Clinical Medicine And Health Research Journal</w:t>
      </w:r>
      <w:r w:rsidRPr="00F46292">
        <w:rPr>
          <w:color w:val="000000" w:themeColor="text1"/>
          <w:lang w:val="en-IN"/>
        </w:rPr>
        <w:t>, 5(02), pp. 1187–1193.</w:t>
      </w:r>
    </w:p>
    <w:p w14:paraId="037D826C" w14:textId="77777777" w:rsidR="008B2E2A" w:rsidRPr="00F46292" w:rsidRDefault="008B2E2A" w:rsidP="00F46292">
      <w:pPr>
        <w:spacing w:before="240"/>
        <w:rPr>
          <w:color w:val="000000" w:themeColor="text1"/>
          <w:lang w:val="en-IN"/>
        </w:rPr>
      </w:pPr>
      <w:r w:rsidRPr="00F46292">
        <w:rPr>
          <w:color w:val="000000" w:themeColor="text1"/>
          <w:lang w:val="en-IN"/>
        </w:rPr>
        <w:t xml:space="preserve">Armstrong, M. (2020) ‘Armstrong’s handbook of human-resource management practice (11th ed.)’, </w:t>
      </w:r>
      <w:r w:rsidRPr="00F46292">
        <w:rPr>
          <w:i/>
          <w:iCs/>
          <w:color w:val="000000" w:themeColor="text1"/>
          <w:lang w:val="en-IN"/>
        </w:rPr>
        <w:t>Human Resource Management International Digest</w:t>
      </w:r>
      <w:r w:rsidRPr="00F46292">
        <w:rPr>
          <w:color w:val="000000" w:themeColor="text1"/>
          <w:lang w:val="en-IN"/>
        </w:rPr>
        <w:t>, 18(4).</w:t>
      </w:r>
    </w:p>
    <w:p w14:paraId="01011ED0"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Cappelli</w:t>
      </w:r>
      <w:proofErr w:type="spellEnd"/>
      <w:r w:rsidRPr="00F46292">
        <w:rPr>
          <w:color w:val="000000" w:themeColor="text1"/>
          <w:lang w:val="en-IN"/>
        </w:rPr>
        <w:t xml:space="preserve">, P. and </w:t>
      </w:r>
      <w:proofErr w:type="spellStart"/>
      <w:r w:rsidRPr="00F46292">
        <w:rPr>
          <w:color w:val="000000" w:themeColor="text1"/>
          <w:lang w:val="en-IN"/>
        </w:rPr>
        <w:t>Tavis</w:t>
      </w:r>
      <w:proofErr w:type="spellEnd"/>
      <w:r w:rsidRPr="00F46292">
        <w:rPr>
          <w:color w:val="000000" w:themeColor="text1"/>
          <w:lang w:val="en-IN"/>
        </w:rPr>
        <w:t xml:space="preserve">, A. (2016) ‘The performance management revolution’, </w:t>
      </w:r>
      <w:r w:rsidRPr="00F46292">
        <w:rPr>
          <w:i/>
          <w:iCs/>
          <w:color w:val="000000" w:themeColor="text1"/>
          <w:lang w:val="en-IN"/>
        </w:rPr>
        <w:t>Harvard business review</w:t>
      </w:r>
      <w:r w:rsidRPr="00F46292">
        <w:rPr>
          <w:color w:val="000000" w:themeColor="text1"/>
          <w:lang w:val="en-IN"/>
        </w:rPr>
        <w:t>, 94(10), pp. 58–67.</w:t>
      </w:r>
    </w:p>
    <w:p w14:paraId="2307C02C" w14:textId="77777777" w:rsidR="008B2E2A" w:rsidRPr="00F46292" w:rsidRDefault="008B2E2A" w:rsidP="00F46292">
      <w:pPr>
        <w:spacing w:before="240"/>
        <w:rPr>
          <w:color w:val="000000" w:themeColor="text1"/>
          <w:lang w:val="en-IN"/>
        </w:rPr>
      </w:pPr>
      <w:r w:rsidRPr="00F46292">
        <w:rPr>
          <w:color w:val="000000" w:themeColor="text1"/>
          <w:lang w:val="en-IN"/>
        </w:rPr>
        <w:t xml:space="preserve">CIPD (2023) </w:t>
      </w:r>
      <w:r w:rsidRPr="00F46292">
        <w:rPr>
          <w:i/>
          <w:iCs/>
          <w:color w:val="000000" w:themeColor="text1"/>
          <w:lang w:val="en-IN"/>
        </w:rPr>
        <w:t>Talent management | factsheets</w:t>
      </w:r>
      <w:r w:rsidRPr="00F46292">
        <w:rPr>
          <w:color w:val="000000" w:themeColor="text1"/>
          <w:lang w:val="en-IN"/>
        </w:rPr>
        <w:t xml:space="preserve">, </w:t>
      </w:r>
      <w:r w:rsidRPr="00F46292">
        <w:rPr>
          <w:i/>
          <w:iCs/>
          <w:color w:val="000000" w:themeColor="text1"/>
          <w:lang w:val="en-IN"/>
        </w:rPr>
        <w:t>CIPD</w:t>
      </w:r>
      <w:r w:rsidRPr="00F46292">
        <w:rPr>
          <w:color w:val="000000" w:themeColor="text1"/>
          <w:lang w:val="en-IN"/>
        </w:rPr>
        <w:t>. Available at: https://www.cipd.org/en/knowledge/factsheets/talent-factsheet/ (Accessed: 7 October 2026).</w:t>
      </w:r>
    </w:p>
    <w:p w14:paraId="7B640AB5"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Crans</w:t>
      </w:r>
      <w:proofErr w:type="spellEnd"/>
      <w:r w:rsidRPr="00F46292">
        <w:rPr>
          <w:color w:val="000000" w:themeColor="text1"/>
          <w:lang w:val="en-IN"/>
        </w:rPr>
        <w:t xml:space="preserve">, S., </w:t>
      </w:r>
      <w:proofErr w:type="spellStart"/>
      <w:r w:rsidRPr="00F46292">
        <w:rPr>
          <w:color w:val="000000" w:themeColor="text1"/>
          <w:lang w:val="en-IN"/>
        </w:rPr>
        <w:t>Aksentieva</w:t>
      </w:r>
      <w:proofErr w:type="spellEnd"/>
      <w:r w:rsidRPr="00F46292">
        <w:rPr>
          <w:color w:val="000000" w:themeColor="text1"/>
          <w:lang w:val="en-IN"/>
        </w:rPr>
        <w:t xml:space="preserve">, P., </w:t>
      </w:r>
      <w:proofErr w:type="spellStart"/>
      <w:r w:rsidRPr="00F46292">
        <w:rPr>
          <w:color w:val="000000" w:themeColor="text1"/>
          <w:lang w:val="en-IN"/>
        </w:rPr>
        <w:t>Beausaert</w:t>
      </w:r>
      <w:proofErr w:type="spellEnd"/>
      <w:r w:rsidRPr="00F46292">
        <w:rPr>
          <w:color w:val="000000" w:themeColor="text1"/>
          <w:lang w:val="en-IN"/>
        </w:rPr>
        <w:t xml:space="preserve">, S. and </w:t>
      </w:r>
      <w:proofErr w:type="spellStart"/>
      <w:r w:rsidRPr="00F46292">
        <w:rPr>
          <w:color w:val="000000" w:themeColor="text1"/>
          <w:lang w:val="en-IN"/>
        </w:rPr>
        <w:t>Segers</w:t>
      </w:r>
      <w:proofErr w:type="spellEnd"/>
      <w:r w:rsidRPr="00F46292">
        <w:rPr>
          <w:color w:val="000000" w:themeColor="text1"/>
          <w:lang w:val="en-IN"/>
        </w:rPr>
        <w:t xml:space="preserve">, M. (2022) ‘Learning leadership and feedback seeking </w:t>
      </w:r>
      <w:proofErr w:type="spellStart"/>
      <w:r w:rsidRPr="00F46292">
        <w:rPr>
          <w:color w:val="000000" w:themeColor="text1"/>
          <w:lang w:val="en-IN"/>
        </w:rPr>
        <w:t>behavior</w:t>
      </w:r>
      <w:proofErr w:type="spellEnd"/>
      <w:r w:rsidRPr="00F46292">
        <w:rPr>
          <w:color w:val="000000" w:themeColor="text1"/>
          <w:lang w:val="en-IN"/>
        </w:rPr>
        <w:t xml:space="preserve">: Leadership that spurs feedback seeking’, </w:t>
      </w:r>
      <w:r w:rsidRPr="00F46292">
        <w:rPr>
          <w:i/>
          <w:iCs/>
          <w:color w:val="000000" w:themeColor="text1"/>
          <w:lang w:val="en-IN"/>
        </w:rPr>
        <w:t>Frontiers in Psychology</w:t>
      </w:r>
      <w:r w:rsidRPr="00F46292">
        <w:rPr>
          <w:color w:val="000000" w:themeColor="text1"/>
          <w:lang w:val="en-IN"/>
        </w:rPr>
        <w:t>, 13(1), p. 890861.</w:t>
      </w:r>
    </w:p>
    <w:p w14:paraId="47FBCC55"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Dweck</w:t>
      </w:r>
      <w:proofErr w:type="spellEnd"/>
      <w:r w:rsidRPr="00F46292">
        <w:rPr>
          <w:color w:val="000000" w:themeColor="text1"/>
          <w:lang w:val="en-IN"/>
        </w:rPr>
        <w:t xml:space="preserve">, C.S. (2006) </w:t>
      </w:r>
      <w:r w:rsidRPr="00F46292">
        <w:rPr>
          <w:i/>
          <w:iCs/>
          <w:color w:val="000000" w:themeColor="text1"/>
          <w:lang w:val="en-IN"/>
        </w:rPr>
        <w:t>Mindset : The new psychology of success</w:t>
      </w:r>
      <w:r w:rsidRPr="00F46292">
        <w:rPr>
          <w:color w:val="000000" w:themeColor="text1"/>
          <w:lang w:val="en-IN"/>
        </w:rPr>
        <w:t>. Random House.</w:t>
      </w:r>
    </w:p>
    <w:p w14:paraId="21DAC3CE" w14:textId="77777777" w:rsidR="008B2E2A" w:rsidRPr="00F46292" w:rsidRDefault="008B2E2A" w:rsidP="00F46292">
      <w:pPr>
        <w:spacing w:before="240"/>
        <w:rPr>
          <w:color w:val="000000" w:themeColor="text1"/>
          <w:lang w:val="en-IN"/>
        </w:rPr>
      </w:pPr>
      <w:r w:rsidRPr="00F46292">
        <w:rPr>
          <w:color w:val="000000" w:themeColor="text1"/>
          <w:lang w:val="en-IN"/>
        </w:rPr>
        <w:t xml:space="preserve">Edmondson, A. (1999) ‘Psychological safety and learning </w:t>
      </w:r>
      <w:proofErr w:type="spellStart"/>
      <w:r w:rsidRPr="00F46292">
        <w:rPr>
          <w:color w:val="000000" w:themeColor="text1"/>
          <w:lang w:val="en-IN"/>
        </w:rPr>
        <w:t>behavior</w:t>
      </w:r>
      <w:proofErr w:type="spellEnd"/>
      <w:r w:rsidRPr="00F46292">
        <w:rPr>
          <w:color w:val="000000" w:themeColor="text1"/>
          <w:lang w:val="en-IN"/>
        </w:rPr>
        <w:t xml:space="preserve"> in work teams’, </w:t>
      </w:r>
      <w:r w:rsidRPr="00F46292">
        <w:rPr>
          <w:i/>
          <w:iCs/>
          <w:color w:val="000000" w:themeColor="text1"/>
          <w:lang w:val="en-IN"/>
        </w:rPr>
        <w:t>Administrative Science Quarterly</w:t>
      </w:r>
      <w:r w:rsidRPr="00F46292">
        <w:rPr>
          <w:color w:val="000000" w:themeColor="text1"/>
          <w:lang w:val="en-IN"/>
        </w:rPr>
        <w:t>, 44(2), pp. 350–383. Available at: https://doi.org/https://doi.org/10.2307/2666999.</w:t>
      </w:r>
    </w:p>
    <w:p w14:paraId="60967107" w14:textId="77777777" w:rsidR="008B2E2A" w:rsidRPr="00F46292" w:rsidRDefault="008B2E2A" w:rsidP="00F46292">
      <w:pPr>
        <w:spacing w:before="240"/>
        <w:rPr>
          <w:color w:val="000000" w:themeColor="text1"/>
          <w:lang w:val="en-IN"/>
        </w:rPr>
      </w:pPr>
      <w:r w:rsidRPr="00F46292">
        <w:rPr>
          <w:color w:val="000000" w:themeColor="text1"/>
          <w:lang w:val="en-IN"/>
        </w:rPr>
        <w:t xml:space="preserve">Edmondson, A.C. (2018) </w:t>
      </w:r>
      <w:r w:rsidRPr="00F46292">
        <w:rPr>
          <w:i/>
          <w:iCs/>
          <w:color w:val="000000" w:themeColor="text1"/>
          <w:lang w:val="en-IN"/>
        </w:rPr>
        <w:t xml:space="preserve">The fearless </w:t>
      </w:r>
      <w:proofErr w:type="spellStart"/>
      <w:r w:rsidRPr="00F46292">
        <w:rPr>
          <w:i/>
          <w:iCs/>
          <w:color w:val="000000" w:themeColor="text1"/>
          <w:lang w:val="en-IN"/>
        </w:rPr>
        <w:t>organization</w:t>
      </w:r>
      <w:proofErr w:type="spellEnd"/>
      <w:r w:rsidRPr="00F46292">
        <w:rPr>
          <w:i/>
          <w:iCs/>
          <w:color w:val="000000" w:themeColor="text1"/>
          <w:lang w:val="en-IN"/>
        </w:rPr>
        <w:t>: Creating psychological safety in the workplace for learning, innovation, and growth</w:t>
      </w:r>
      <w:r w:rsidRPr="00F46292">
        <w:rPr>
          <w:color w:val="000000" w:themeColor="text1"/>
          <w:lang w:val="en-IN"/>
        </w:rPr>
        <w:t>. John Wiley &amp; Sons.</w:t>
      </w:r>
    </w:p>
    <w:p w14:paraId="067B066B" w14:textId="77777777" w:rsidR="008B2E2A" w:rsidRPr="00F46292" w:rsidRDefault="008B2E2A" w:rsidP="00F46292">
      <w:pPr>
        <w:spacing w:before="240"/>
        <w:rPr>
          <w:color w:val="000000" w:themeColor="text1"/>
          <w:lang w:val="en-IN"/>
        </w:rPr>
      </w:pPr>
      <w:r w:rsidRPr="00F46292">
        <w:rPr>
          <w:color w:val="000000" w:themeColor="text1"/>
          <w:lang w:val="en-IN"/>
        </w:rPr>
        <w:t xml:space="preserve">Handke, L., Aldana, A., Costa, P.L. and O’Neill, T.A. (2024) ‘Hybrid teamwork: What we know and where we can go from here’, </w:t>
      </w:r>
      <w:r w:rsidRPr="00F46292">
        <w:rPr>
          <w:i/>
          <w:iCs/>
          <w:color w:val="000000" w:themeColor="text1"/>
          <w:lang w:val="en-IN"/>
        </w:rPr>
        <w:t>Small Group Research</w:t>
      </w:r>
      <w:r w:rsidRPr="00F46292">
        <w:rPr>
          <w:color w:val="000000" w:themeColor="text1"/>
          <w:lang w:val="en-IN"/>
        </w:rPr>
        <w:t>, 55(5), p. 10464964241279078.</w:t>
      </w:r>
    </w:p>
    <w:p w14:paraId="38B1E76D" w14:textId="77777777" w:rsidR="008B2E2A" w:rsidRPr="00F46292" w:rsidRDefault="008B2E2A" w:rsidP="00F46292">
      <w:pPr>
        <w:spacing w:before="240"/>
        <w:rPr>
          <w:color w:val="000000" w:themeColor="text1"/>
          <w:lang w:val="en-IN"/>
        </w:rPr>
      </w:pPr>
      <w:r w:rsidRPr="00F46292">
        <w:rPr>
          <w:color w:val="000000" w:themeColor="text1"/>
          <w:lang w:val="en-IN"/>
        </w:rPr>
        <w:t xml:space="preserve">Hassan, Z. (2022) ‘Employee retention through effective human resource management practices in Maldives: Mediation effects of compensation and rewards system’, </w:t>
      </w:r>
      <w:r w:rsidRPr="00F46292">
        <w:rPr>
          <w:i/>
          <w:iCs/>
          <w:color w:val="000000" w:themeColor="text1"/>
          <w:lang w:val="en-IN"/>
        </w:rPr>
        <w:t>Journal of Entrepreneurship, Management and Innovation</w:t>
      </w:r>
      <w:r w:rsidRPr="00F46292">
        <w:rPr>
          <w:color w:val="000000" w:themeColor="text1"/>
          <w:lang w:val="en-IN"/>
        </w:rPr>
        <w:t>, 18(2), pp. 137–173.</w:t>
      </w:r>
    </w:p>
    <w:p w14:paraId="1C080F0D" w14:textId="77777777" w:rsidR="008B2E2A" w:rsidRPr="00F46292" w:rsidRDefault="008B2E2A" w:rsidP="00F46292">
      <w:pPr>
        <w:spacing w:before="240"/>
        <w:rPr>
          <w:color w:val="000000" w:themeColor="text1"/>
          <w:lang w:val="en-IN"/>
        </w:rPr>
      </w:pPr>
      <w:r w:rsidRPr="00F46292">
        <w:rPr>
          <w:color w:val="000000" w:themeColor="text1"/>
          <w:lang w:val="en-IN"/>
        </w:rPr>
        <w:t xml:space="preserve">Ibrahim </w:t>
      </w:r>
      <w:proofErr w:type="spellStart"/>
      <w:r w:rsidRPr="00F46292">
        <w:rPr>
          <w:color w:val="000000" w:themeColor="text1"/>
          <w:lang w:val="en-IN"/>
        </w:rPr>
        <w:t>Alzoubi</w:t>
      </w:r>
      <w:proofErr w:type="spellEnd"/>
      <w:r w:rsidRPr="00F46292">
        <w:rPr>
          <w:color w:val="000000" w:themeColor="text1"/>
          <w:lang w:val="en-IN"/>
        </w:rPr>
        <w:t xml:space="preserve">, Y., </w:t>
      </w:r>
      <w:proofErr w:type="spellStart"/>
      <w:r w:rsidRPr="00F46292">
        <w:rPr>
          <w:color w:val="000000" w:themeColor="text1"/>
          <w:lang w:val="en-IN"/>
        </w:rPr>
        <w:t>Qumer</w:t>
      </w:r>
      <w:proofErr w:type="spellEnd"/>
      <w:r w:rsidRPr="00F46292">
        <w:rPr>
          <w:color w:val="000000" w:themeColor="text1"/>
          <w:lang w:val="en-IN"/>
        </w:rPr>
        <w:t xml:space="preserve"> Gill, A. and </w:t>
      </w:r>
      <w:proofErr w:type="spellStart"/>
      <w:r w:rsidRPr="00F46292">
        <w:rPr>
          <w:color w:val="000000" w:themeColor="text1"/>
          <w:lang w:val="en-IN"/>
        </w:rPr>
        <w:t>Al-Ani</w:t>
      </w:r>
      <w:proofErr w:type="spellEnd"/>
      <w:r w:rsidRPr="00F46292">
        <w:rPr>
          <w:color w:val="000000" w:themeColor="text1"/>
          <w:lang w:val="en-IN"/>
        </w:rPr>
        <w:t xml:space="preserve">, A. (2015) ‘Distributed agile development communication: An agile architecture driven framework’, </w:t>
      </w:r>
      <w:r w:rsidRPr="00F46292">
        <w:rPr>
          <w:i/>
          <w:iCs/>
          <w:color w:val="000000" w:themeColor="text1"/>
          <w:lang w:val="en-IN"/>
        </w:rPr>
        <w:t>Journal of Software</w:t>
      </w:r>
      <w:r w:rsidRPr="00F46292">
        <w:rPr>
          <w:color w:val="000000" w:themeColor="text1"/>
          <w:lang w:val="en-IN"/>
        </w:rPr>
        <w:t>, 10(6), pp. 681–694.</w:t>
      </w:r>
    </w:p>
    <w:p w14:paraId="7C362003"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Kehoe</w:t>
      </w:r>
      <w:proofErr w:type="spellEnd"/>
      <w:r w:rsidRPr="00F46292">
        <w:rPr>
          <w:color w:val="000000" w:themeColor="text1"/>
          <w:lang w:val="en-IN"/>
        </w:rPr>
        <w:t xml:space="preserve">, R.R., </w:t>
      </w:r>
      <w:proofErr w:type="spellStart"/>
      <w:r w:rsidRPr="00F46292">
        <w:rPr>
          <w:color w:val="000000" w:themeColor="text1"/>
          <w:lang w:val="en-IN"/>
        </w:rPr>
        <w:t>Collings</w:t>
      </w:r>
      <w:proofErr w:type="spellEnd"/>
      <w:r w:rsidRPr="00F46292">
        <w:rPr>
          <w:color w:val="000000" w:themeColor="text1"/>
          <w:lang w:val="en-IN"/>
        </w:rPr>
        <w:t xml:space="preserve">, D.G. and </w:t>
      </w:r>
      <w:proofErr w:type="spellStart"/>
      <w:r w:rsidRPr="00F46292">
        <w:rPr>
          <w:color w:val="000000" w:themeColor="text1"/>
          <w:lang w:val="en-IN"/>
        </w:rPr>
        <w:t>Cascio</w:t>
      </w:r>
      <w:proofErr w:type="spellEnd"/>
      <w:r w:rsidRPr="00F46292">
        <w:rPr>
          <w:color w:val="000000" w:themeColor="text1"/>
          <w:lang w:val="en-IN"/>
        </w:rPr>
        <w:t>, W.F. (2022) ‘Simply the best? Star performers and high</w:t>
      </w:r>
      <w:r w:rsidRPr="00F46292">
        <w:rPr>
          <w:rFonts w:ascii="Cambria Math" w:hAnsi="Cambria Math" w:cs="Cambria Math"/>
          <w:color w:val="000000" w:themeColor="text1"/>
          <w:lang w:val="en-IN"/>
        </w:rPr>
        <w:t>‐</w:t>
      </w:r>
      <w:r w:rsidRPr="00F46292">
        <w:rPr>
          <w:color w:val="000000" w:themeColor="text1"/>
          <w:lang w:val="en-IN"/>
        </w:rPr>
        <w:t xml:space="preserve">potential employees: Critical reflections and a path forward for research and practice’, </w:t>
      </w:r>
      <w:r w:rsidRPr="00F46292">
        <w:rPr>
          <w:i/>
          <w:iCs/>
          <w:color w:val="000000" w:themeColor="text1"/>
          <w:lang w:val="en-IN"/>
        </w:rPr>
        <w:t>Personnel Psychology</w:t>
      </w:r>
      <w:r w:rsidRPr="00F46292">
        <w:rPr>
          <w:color w:val="000000" w:themeColor="text1"/>
          <w:lang w:val="en-IN"/>
        </w:rPr>
        <w:t>, 76(2), p. 12558.</w:t>
      </w:r>
    </w:p>
    <w:p w14:paraId="43771F6E" w14:textId="77777777" w:rsidR="008B2E2A" w:rsidRPr="00F46292" w:rsidRDefault="008B2E2A" w:rsidP="00F46292">
      <w:pPr>
        <w:spacing w:before="240"/>
        <w:rPr>
          <w:color w:val="000000" w:themeColor="text1"/>
          <w:lang w:val="en-IN"/>
        </w:rPr>
      </w:pPr>
      <w:r w:rsidRPr="00F46292">
        <w:rPr>
          <w:color w:val="000000" w:themeColor="text1"/>
          <w:lang w:val="en-IN"/>
        </w:rPr>
        <w:t xml:space="preserve">Kern, C., </w:t>
      </w:r>
      <w:proofErr w:type="spellStart"/>
      <w:r w:rsidRPr="00F46292">
        <w:rPr>
          <w:color w:val="000000" w:themeColor="text1"/>
          <w:lang w:val="en-IN"/>
        </w:rPr>
        <w:t>Gerdon</w:t>
      </w:r>
      <w:proofErr w:type="spellEnd"/>
      <w:r w:rsidRPr="00F46292">
        <w:rPr>
          <w:color w:val="000000" w:themeColor="text1"/>
          <w:lang w:val="en-IN"/>
        </w:rPr>
        <w:t xml:space="preserve">, F., Bach, R.L., </w:t>
      </w:r>
      <w:proofErr w:type="spellStart"/>
      <w:r w:rsidRPr="00F46292">
        <w:rPr>
          <w:color w:val="000000" w:themeColor="text1"/>
          <w:lang w:val="en-IN"/>
        </w:rPr>
        <w:t>Keusch</w:t>
      </w:r>
      <w:proofErr w:type="spellEnd"/>
      <w:r w:rsidRPr="00F46292">
        <w:rPr>
          <w:color w:val="000000" w:themeColor="text1"/>
          <w:lang w:val="en-IN"/>
        </w:rPr>
        <w:t xml:space="preserve">, F. and </w:t>
      </w:r>
      <w:proofErr w:type="spellStart"/>
      <w:r w:rsidRPr="00F46292">
        <w:rPr>
          <w:color w:val="000000" w:themeColor="text1"/>
          <w:lang w:val="en-IN"/>
        </w:rPr>
        <w:t>Kreuter</w:t>
      </w:r>
      <w:proofErr w:type="spellEnd"/>
      <w:r w:rsidRPr="00F46292">
        <w:rPr>
          <w:color w:val="000000" w:themeColor="text1"/>
          <w:lang w:val="en-IN"/>
        </w:rPr>
        <w:t xml:space="preserve">, F. (2022) ‘Humans versus machines: Who is perceived to decide fairer? Experimental evidence on attitudes toward automated decision-making’, </w:t>
      </w:r>
      <w:r w:rsidRPr="00F46292">
        <w:rPr>
          <w:i/>
          <w:iCs/>
          <w:color w:val="000000" w:themeColor="text1"/>
          <w:lang w:val="en-IN"/>
        </w:rPr>
        <w:t>Patterns</w:t>
      </w:r>
      <w:r w:rsidRPr="00F46292">
        <w:rPr>
          <w:color w:val="000000" w:themeColor="text1"/>
          <w:lang w:val="en-IN"/>
        </w:rPr>
        <w:t>, 3(10), p. 100591.</w:t>
      </w:r>
    </w:p>
    <w:p w14:paraId="4BFDA10B" w14:textId="77777777" w:rsidR="008B2E2A" w:rsidRPr="00F46292" w:rsidRDefault="008B2E2A" w:rsidP="00F46292">
      <w:pPr>
        <w:spacing w:before="240"/>
        <w:rPr>
          <w:color w:val="000000" w:themeColor="text1"/>
          <w:lang w:val="en-IN"/>
        </w:rPr>
      </w:pPr>
      <w:r w:rsidRPr="00F46292">
        <w:rPr>
          <w:color w:val="000000" w:themeColor="text1"/>
          <w:lang w:val="en-IN"/>
        </w:rPr>
        <w:t xml:space="preserve">Khalifa, M. and </w:t>
      </w:r>
      <w:proofErr w:type="spellStart"/>
      <w:r w:rsidRPr="00F46292">
        <w:rPr>
          <w:color w:val="000000" w:themeColor="text1"/>
          <w:lang w:val="en-IN"/>
        </w:rPr>
        <w:t>Albadawy</w:t>
      </w:r>
      <w:proofErr w:type="spellEnd"/>
      <w:r w:rsidRPr="00F46292">
        <w:rPr>
          <w:color w:val="000000" w:themeColor="text1"/>
          <w:lang w:val="en-IN"/>
        </w:rPr>
        <w:t xml:space="preserve">, M. (2024) ‘Using artificial intelligence in academic writing and research: An essential productivity tool’, </w:t>
      </w:r>
      <w:r w:rsidRPr="00F46292">
        <w:rPr>
          <w:i/>
          <w:iCs/>
          <w:color w:val="000000" w:themeColor="text1"/>
          <w:lang w:val="en-IN"/>
        </w:rPr>
        <w:t>Computer Methods and Programs in Biomedicine Update</w:t>
      </w:r>
      <w:r w:rsidRPr="00F46292">
        <w:rPr>
          <w:color w:val="000000" w:themeColor="text1"/>
          <w:lang w:val="en-IN"/>
        </w:rPr>
        <w:t>, 5(1), p. 100145.</w:t>
      </w:r>
    </w:p>
    <w:p w14:paraId="5C17F3EB" w14:textId="77777777" w:rsidR="008B2E2A" w:rsidRPr="00F46292" w:rsidRDefault="008B2E2A" w:rsidP="00F46292">
      <w:pPr>
        <w:spacing w:before="240"/>
        <w:rPr>
          <w:color w:val="000000" w:themeColor="text1"/>
          <w:lang w:val="en-IN"/>
        </w:rPr>
      </w:pPr>
      <w:r w:rsidRPr="00F46292">
        <w:rPr>
          <w:color w:val="000000" w:themeColor="text1"/>
          <w:lang w:val="en-IN"/>
        </w:rPr>
        <w:t xml:space="preserve">Lakshmi, A.J. and </w:t>
      </w:r>
      <w:proofErr w:type="spellStart"/>
      <w:r w:rsidRPr="00F46292">
        <w:rPr>
          <w:color w:val="000000" w:themeColor="text1"/>
          <w:lang w:val="en-IN"/>
        </w:rPr>
        <w:t>Unny</w:t>
      </w:r>
      <w:proofErr w:type="spellEnd"/>
      <w:r w:rsidRPr="00F46292">
        <w:rPr>
          <w:color w:val="000000" w:themeColor="text1"/>
          <w:lang w:val="en-IN"/>
        </w:rPr>
        <w:t xml:space="preserve">, A. (2025) </w:t>
      </w:r>
      <w:r w:rsidRPr="00F46292">
        <w:rPr>
          <w:i/>
          <w:iCs/>
          <w:color w:val="000000" w:themeColor="text1"/>
          <w:lang w:val="en-IN"/>
        </w:rPr>
        <w:t>Digital Transformation and Cooperatives</w:t>
      </w:r>
      <w:r w:rsidRPr="00F46292">
        <w:rPr>
          <w:color w:val="000000" w:themeColor="text1"/>
          <w:lang w:val="en-IN"/>
        </w:rPr>
        <w:t>. Taylor &amp; Francis.</w:t>
      </w:r>
    </w:p>
    <w:p w14:paraId="1DF55ECE"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Latessa</w:t>
      </w:r>
      <w:proofErr w:type="spellEnd"/>
      <w:r w:rsidRPr="00F46292">
        <w:rPr>
          <w:color w:val="000000" w:themeColor="text1"/>
          <w:lang w:val="en-IN"/>
        </w:rPr>
        <w:t xml:space="preserve">, R.A., </w:t>
      </w:r>
      <w:proofErr w:type="spellStart"/>
      <w:r w:rsidRPr="00F46292">
        <w:rPr>
          <w:color w:val="000000" w:themeColor="text1"/>
          <w:lang w:val="en-IN"/>
        </w:rPr>
        <w:t>Galvin</w:t>
      </w:r>
      <w:proofErr w:type="spellEnd"/>
      <w:r w:rsidRPr="00F46292">
        <w:rPr>
          <w:color w:val="000000" w:themeColor="text1"/>
          <w:lang w:val="en-IN"/>
        </w:rPr>
        <w:t xml:space="preserve">, S.L., </w:t>
      </w:r>
      <w:proofErr w:type="spellStart"/>
      <w:r w:rsidRPr="00F46292">
        <w:rPr>
          <w:color w:val="000000" w:themeColor="text1"/>
          <w:lang w:val="en-IN"/>
        </w:rPr>
        <w:t>Swendiman</w:t>
      </w:r>
      <w:proofErr w:type="spellEnd"/>
      <w:r w:rsidRPr="00F46292">
        <w:rPr>
          <w:color w:val="000000" w:themeColor="text1"/>
          <w:lang w:val="en-IN"/>
        </w:rPr>
        <w:t xml:space="preserve">, R.A., </w:t>
      </w:r>
      <w:proofErr w:type="spellStart"/>
      <w:r w:rsidRPr="00F46292">
        <w:rPr>
          <w:color w:val="000000" w:themeColor="text1"/>
          <w:lang w:val="en-IN"/>
        </w:rPr>
        <w:t>Onyango</w:t>
      </w:r>
      <w:proofErr w:type="spellEnd"/>
      <w:r w:rsidRPr="00F46292">
        <w:rPr>
          <w:color w:val="000000" w:themeColor="text1"/>
          <w:lang w:val="en-IN"/>
        </w:rPr>
        <w:t xml:space="preserve">, J., </w:t>
      </w:r>
      <w:proofErr w:type="spellStart"/>
      <w:r w:rsidRPr="00F46292">
        <w:rPr>
          <w:color w:val="000000" w:themeColor="text1"/>
          <w:lang w:val="en-IN"/>
        </w:rPr>
        <w:t>Ostrach</w:t>
      </w:r>
      <w:proofErr w:type="spellEnd"/>
      <w:r w:rsidRPr="00F46292">
        <w:rPr>
          <w:color w:val="000000" w:themeColor="text1"/>
          <w:lang w:val="en-IN"/>
        </w:rPr>
        <w:t xml:space="preserve">, B., Edmondson, A.C., Davis, S.A. and </w:t>
      </w:r>
      <w:proofErr w:type="spellStart"/>
      <w:r w:rsidRPr="00F46292">
        <w:rPr>
          <w:color w:val="000000" w:themeColor="text1"/>
          <w:lang w:val="en-IN"/>
        </w:rPr>
        <w:t>Hirsh</w:t>
      </w:r>
      <w:proofErr w:type="spellEnd"/>
      <w:r w:rsidRPr="00F46292">
        <w:rPr>
          <w:color w:val="000000" w:themeColor="text1"/>
          <w:lang w:val="en-IN"/>
        </w:rPr>
        <w:t xml:space="preserve">, D.A. (2023) ‘Psychological safety and accountability in longitudinal integrated clerkships: A dual institution qualitative study’, </w:t>
      </w:r>
      <w:r w:rsidRPr="00F46292">
        <w:rPr>
          <w:i/>
          <w:iCs/>
          <w:color w:val="000000" w:themeColor="text1"/>
          <w:lang w:val="en-IN"/>
        </w:rPr>
        <w:t>BMC Medical Education</w:t>
      </w:r>
      <w:r w:rsidRPr="00F46292">
        <w:rPr>
          <w:color w:val="000000" w:themeColor="text1"/>
          <w:lang w:val="en-IN"/>
        </w:rPr>
        <w:t>, 23(1), p. 760.</w:t>
      </w:r>
    </w:p>
    <w:p w14:paraId="6942D5E8"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Llopis</w:t>
      </w:r>
      <w:proofErr w:type="spellEnd"/>
      <w:r w:rsidRPr="00F46292">
        <w:rPr>
          <w:color w:val="000000" w:themeColor="text1"/>
          <w:lang w:val="en-IN"/>
        </w:rPr>
        <w:t xml:space="preserve">, E.J., </w:t>
      </w:r>
      <w:proofErr w:type="spellStart"/>
      <w:r w:rsidRPr="00F46292">
        <w:rPr>
          <w:color w:val="000000" w:themeColor="text1"/>
          <w:lang w:val="en-IN"/>
        </w:rPr>
        <w:t>Kokole</w:t>
      </w:r>
      <w:proofErr w:type="spellEnd"/>
      <w:r w:rsidRPr="00F46292">
        <w:rPr>
          <w:color w:val="000000" w:themeColor="text1"/>
          <w:lang w:val="en-IN"/>
        </w:rPr>
        <w:t xml:space="preserve">, D., </w:t>
      </w:r>
      <w:proofErr w:type="spellStart"/>
      <w:r w:rsidRPr="00F46292">
        <w:rPr>
          <w:color w:val="000000" w:themeColor="text1"/>
          <w:lang w:val="en-IN"/>
        </w:rPr>
        <w:t>Neufeld</w:t>
      </w:r>
      <w:proofErr w:type="spellEnd"/>
      <w:r w:rsidRPr="00F46292">
        <w:rPr>
          <w:color w:val="000000" w:themeColor="text1"/>
          <w:lang w:val="en-IN"/>
        </w:rPr>
        <w:t xml:space="preserve">, M., Muhammad Hasan, O.S. and </w:t>
      </w:r>
      <w:proofErr w:type="spellStart"/>
      <w:r w:rsidRPr="00F46292">
        <w:rPr>
          <w:color w:val="000000" w:themeColor="text1"/>
          <w:lang w:val="en-IN"/>
        </w:rPr>
        <w:t>Rehm</w:t>
      </w:r>
      <w:proofErr w:type="spellEnd"/>
      <w:r w:rsidRPr="00F46292">
        <w:rPr>
          <w:color w:val="000000" w:themeColor="text1"/>
          <w:lang w:val="en-IN"/>
        </w:rPr>
        <w:t xml:space="preserve">, J. (2020) ‘What is the current alcohol labelling practice in the who European region and what are barriers and facilitators to development and implementation of alcohol labelling policy?’, </w:t>
      </w:r>
      <w:r w:rsidRPr="00F46292">
        <w:rPr>
          <w:i/>
          <w:iCs/>
          <w:color w:val="000000" w:themeColor="text1"/>
          <w:lang w:val="en-IN"/>
        </w:rPr>
        <w:t>BMC Health Services Research</w:t>
      </w:r>
      <w:r w:rsidRPr="00F46292">
        <w:rPr>
          <w:color w:val="000000" w:themeColor="text1"/>
          <w:lang w:val="en-IN"/>
        </w:rPr>
        <w:t>, 23(1), p. 958.</w:t>
      </w:r>
    </w:p>
    <w:p w14:paraId="441513A7"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Marrapodi</w:t>
      </w:r>
      <w:proofErr w:type="spellEnd"/>
      <w:r w:rsidRPr="00F46292">
        <w:rPr>
          <w:color w:val="000000" w:themeColor="text1"/>
          <w:lang w:val="en-IN"/>
        </w:rPr>
        <w:t xml:space="preserve">, R. (2025) </w:t>
      </w:r>
      <w:r w:rsidRPr="00F46292">
        <w:rPr>
          <w:i/>
          <w:iCs/>
          <w:color w:val="000000" w:themeColor="text1"/>
          <w:lang w:val="en-IN"/>
        </w:rPr>
        <w:t>Leadership and conflict resolution in virtual and hybrid teams</w:t>
      </w:r>
      <w:r w:rsidRPr="00F46292">
        <w:rPr>
          <w:color w:val="000000" w:themeColor="text1"/>
          <w:lang w:val="en-IN"/>
        </w:rPr>
        <w:t xml:space="preserve">. </w:t>
      </w:r>
      <w:proofErr w:type="spellStart"/>
      <w:r w:rsidRPr="00F46292">
        <w:rPr>
          <w:color w:val="000000" w:themeColor="text1"/>
          <w:lang w:val="en-IN"/>
        </w:rPr>
        <w:t>FrancoAngeli</w:t>
      </w:r>
      <w:proofErr w:type="spellEnd"/>
      <w:r w:rsidRPr="00F46292">
        <w:rPr>
          <w:color w:val="000000" w:themeColor="text1"/>
          <w:lang w:val="en-IN"/>
        </w:rPr>
        <w:t>.</w:t>
      </w:r>
    </w:p>
    <w:p w14:paraId="779FB67F" w14:textId="77777777" w:rsidR="008B2E2A" w:rsidRPr="00F46292" w:rsidRDefault="008B2E2A" w:rsidP="00F46292">
      <w:pPr>
        <w:spacing w:before="240"/>
        <w:rPr>
          <w:color w:val="000000" w:themeColor="text1"/>
          <w:lang w:val="en-IN"/>
        </w:rPr>
      </w:pPr>
      <w:r w:rsidRPr="00F46292">
        <w:rPr>
          <w:color w:val="000000" w:themeColor="text1"/>
          <w:lang w:val="en-IN"/>
        </w:rPr>
        <w:t xml:space="preserve">Munda, V. (2026) </w:t>
      </w:r>
      <w:r w:rsidRPr="00F46292">
        <w:rPr>
          <w:i/>
          <w:iCs/>
          <w:color w:val="000000" w:themeColor="text1"/>
          <w:lang w:val="en-IN"/>
        </w:rPr>
        <w:t>Flexibility at work: Understanding job satisfaction</w:t>
      </w:r>
      <w:r w:rsidRPr="00F46292">
        <w:rPr>
          <w:color w:val="000000" w:themeColor="text1"/>
          <w:lang w:val="en-IN"/>
        </w:rPr>
        <w:t>. Authors Click Publishing.</w:t>
      </w:r>
    </w:p>
    <w:p w14:paraId="45291541" w14:textId="77777777" w:rsidR="008B2E2A" w:rsidRPr="00F46292" w:rsidRDefault="008B2E2A" w:rsidP="00F46292">
      <w:pPr>
        <w:spacing w:before="240"/>
        <w:rPr>
          <w:color w:val="000000" w:themeColor="text1"/>
          <w:lang w:val="en-IN"/>
        </w:rPr>
      </w:pPr>
      <w:r w:rsidRPr="00F46292">
        <w:rPr>
          <w:color w:val="000000" w:themeColor="text1"/>
          <w:lang w:val="en-IN"/>
        </w:rPr>
        <w:t xml:space="preserve">Munir, T., Akbar, M.S., Ahmed, S., Sarfraz, A., Sarfraz, Z., Sarfraz, M., Felix, M. and </w:t>
      </w:r>
      <w:proofErr w:type="spellStart"/>
      <w:r w:rsidRPr="00F46292">
        <w:rPr>
          <w:color w:val="000000" w:themeColor="text1"/>
          <w:lang w:val="en-IN"/>
        </w:rPr>
        <w:t>Cherrez-Ojeda</w:t>
      </w:r>
      <w:proofErr w:type="spellEnd"/>
      <w:r w:rsidRPr="00F46292">
        <w:rPr>
          <w:color w:val="000000" w:themeColor="text1"/>
          <w:lang w:val="en-IN"/>
        </w:rPr>
        <w:t xml:space="preserve">, I. (2022) ‘A systematic review of internet of things in clinical laboratories: Opportunities, advantages, and challenges’, </w:t>
      </w:r>
      <w:r w:rsidRPr="00F46292">
        <w:rPr>
          <w:i/>
          <w:iCs/>
          <w:color w:val="000000" w:themeColor="text1"/>
          <w:lang w:val="en-IN"/>
        </w:rPr>
        <w:t>Sensors</w:t>
      </w:r>
      <w:r w:rsidRPr="00F46292">
        <w:rPr>
          <w:color w:val="000000" w:themeColor="text1"/>
          <w:lang w:val="en-IN"/>
        </w:rPr>
        <w:t>, 22(20), p. 8051.</w:t>
      </w:r>
    </w:p>
    <w:p w14:paraId="542146D6" w14:textId="77777777" w:rsidR="008B2E2A" w:rsidRPr="00F46292" w:rsidRDefault="008B2E2A" w:rsidP="00F46292">
      <w:pPr>
        <w:spacing w:before="240"/>
        <w:rPr>
          <w:color w:val="000000" w:themeColor="text1"/>
          <w:lang w:val="en-IN"/>
        </w:rPr>
      </w:pPr>
      <w:r w:rsidRPr="00F46292">
        <w:rPr>
          <w:color w:val="000000" w:themeColor="text1"/>
          <w:lang w:val="en-IN"/>
        </w:rPr>
        <w:t xml:space="preserve">Nguyen, M., Pontes, N., Malik, A., Gupta, J. and </w:t>
      </w:r>
      <w:proofErr w:type="spellStart"/>
      <w:r w:rsidRPr="00F46292">
        <w:rPr>
          <w:color w:val="000000" w:themeColor="text1"/>
          <w:lang w:val="en-IN"/>
        </w:rPr>
        <w:t>Gugnani</w:t>
      </w:r>
      <w:proofErr w:type="spellEnd"/>
      <w:r w:rsidRPr="00F46292">
        <w:rPr>
          <w:color w:val="000000" w:themeColor="text1"/>
          <w:lang w:val="en-IN"/>
        </w:rPr>
        <w:t xml:space="preserve">, R. (2024) ‘Impact of high involvement work systems in shaping power, knowledge sharing, rewards and knowledge perception of employees’, </w:t>
      </w:r>
      <w:r w:rsidRPr="00F46292">
        <w:rPr>
          <w:i/>
          <w:iCs/>
          <w:color w:val="000000" w:themeColor="text1"/>
          <w:lang w:val="en-IN"/>
        </w:rPr>
        <w:t>Journal of Knowledge Management</w:t>
      </w:r>
      <w:r w:rsidRPr="00F46292">
        <w:rPr>
          <w:color w:val="000000" w:themeColor="text1"/>
          <w:lang w:val="en-IN"/>
        </w:rPr>
        <w:t>, 28(6), pp. 1771–1792.</w:t>
      </w:r>
    </w:p>
    <w:p w14:paraId="1BA772FC"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Olafsen</w:t>
      </w:r>
      <w:proofErr w:type="spellEnd"/>
      <w:r w:rsidRPr="00F46292">
        <w:rPr>
          <w:color w:val="000000" w:themeColor="text1"/>
          <w:lang w:val="en-IN"/>
        </w:rPr>
        <w:t xml:space="preserve">, A.H., </w:t>
      </w:r>
      <w:proofErr w:type="spellStart"/>
      <w:r w:rsidRPr="00F46292">
        <w:rPr>
          <w:color w:val="000000" w:themeColor="text1"/>
          <w:lang w:val="en-IN"/>
        </w:rPr>
        <w:t>Marescaux</w:t>
      </w:r>
      <w:proofErr w:type="spellEnd"/>
      <w:r w:rsidRPr="00F46292">
        <w:rPr>
          <w:color w:val="000000" w:themeColor="text1"/>
          <w:lang w:val="en-IN"/>
        </w:rPr>
        <w:t xml:space="preserve">, B.P. and </w:t>
      </w:r>
      <w:proofErr w:type="spellStart"/>
      <w:r w:rsidRPr="00F46292">
        <w:rPr>
          <w:color w:val="000000" w:themeColor="text1"/>
          <w:lang w:val="en-IN"/>
        </w:rPr>
        <w:t>Kujanpää</w:t>
      </w:r>
      <w:proofErr w:type="spellEnd"/>
      <w:r w:rsidRPr="00F46292">
        <w:rPr>
          <w:color w:val="000000" w:themeColor="text1"/>
          <w:lang w:val="en-IN"/>
        </w:rPr>
        <w:t>, M. (2024) ‘Crafting for autonomy, competence, and relatedness: A self</w:t>
      </w:r>
      <w:r w:rsidRPr="00F46292">
        <w:rPr>
          <w:rFonts w:ascii="Cambria Math" w:hAnsi="Cambria Math" w:cs="Cambria Math"/>
          <w:color w:val="000000" w:themeColor="text1"/>
          <w:lang w:val="en-IN"/>
        </w:rPr>
        <w:t>‐</w:t>
      </w:r>
      <w:r w:rsidRPr="00F46292">
        <w:rPr>
          <w:color w:val="000000" w:themeColor="text1"/>
          <w:lang w:val="en-IN"/>
        </w:rPr>
        <w:t xml:space="preserve">determination theory model of need crafting at work’, </w:t>
      </w:r>
      <w:r w:rsidRPr="00F46292">
        <w:rPr>
          <w:i/>
          <w:iCs/>
          <w:color w:val="000000" w:themeColor="text1"/>
          <w:lang w:val="en-IN"/>
        </w:rPr>
        <w:t>Applied Psychology</w:t>
      </w:r>
      <w:r w:rsidRPr="00F46292">
        <w:rPr>
          <w:color w:val="000000" w:themeColor="text1"/>
          <w:lang w:val="en-IN"/>
        </w:rPr>
        <w:t>, 74(1), p. 12570.</w:t>
      </w:r>
    </w:p>
    <w:p w14:paraId="01F2EEF7"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Rožman</w:t>
      </w:r>
      <w:proofErr w:type="spellEnd"/>
      <w:r w:rsidRPr="00F46292">
        <w:rPr>
          <w:color w:val="000000" w:themeColor="text1"/>
          <w:lang w:val="en-IN"/>
        </w:rPr>
        <w:t xml:space="preserve">, M., </w:t>
      </w:r>
      <w:proofErr w:type="spellStart"/>
      <w:r w:rsidRPr="00F46292">
        <w:rPr>
          <w:color w:val="000000" w:themeColor="text1"/>
          <w:lang w:val="en-IN"/>
        </w:rPr>
        <w:t>Tominc</w:t>
      </w:r>
      <w:proofErr w:type="spellEnd"/>
      <w:r w:rsidRPr="00F46292">
        <w:rPr>
          <w:color w:val="000000" w:themeColor="text1"/>
          <w:lang w:val="en-IN"/>
        </w:rPr>
        <w:t xml:space="preserve">, P. and </w:t>
      </w:r>
      <w:proofErr w:type="spellStart"/>
      <w:r w:rsidRPr="00F46292">
        <w:rPr>
          <w:color w:val="000000" w:themeColor="text1"/>
          <w:lang w:val="en-IN"/>
        </w:rPr>
        <w:t>Milfelner</w:t>
      </w:r>
      <w:proofErr w:type="spellEnd"/>
      <w:r w:rsidRPr="00F46292">
        <w:rPr>
          <w:color w:val="000000" w:themeColor="text1"/>
          <w:lang w:val="en-IN"/>
        </w:rPr>
        <w:t>, B. (2023) ‘</w:t>
      </w:r>
      <w:proofErr w:type="spellStart"/>
      <w:r w:rsidRPr="00F46292">
        <w:rPr>
          <w:color w:val="000000" w:themeColor="text1"/>
          <w:lang w:val="en-IN"/>
        </w:rPr>
        <w:t>Maximizing</w:t>
      </w:r>
      <w:proofErr w:type="spellEnd"/>
      <w:r w:rsidRPr="00F46292">
        <w:rPr>
          <w:color w:val="000000" w:themeColor="text1"/>
          <w:lang w:val="en-IN"/>
        </w:rPr>
        <w:t xml:space="preserve"> employee engagement through artificial intelligent </w:t>
      </w:r>
      <w:proofErr w:type="spellStart"/>
      <w:r w:rsidRPr="00F46292">
        <w:rPr>
          <w:color w:val="000000" w:themeColor="text1"/>
          <w:lang w:val="en-IN"/>
        </w:rPr>
        <w:t>organizational</w:t>
      </w:r>
      <w:proofErr w:type="spellEnd"/>
      <w:r w:rsidRPr="00F46292">
        <w:rPr>
          <w:color w:val="000000" w:themeColor="text1"/>
          <w:lang w:val="en-IN"/>
        </w:rPr>
        <w:t xml:space="preserve"> culture in the context of leadership and training of employees: Testing linear and non-linear relationships’, </w:t>
      </w:r>
      <w:r w:rsidRPr="00F46292">
        <w:rPr>
          <w:i/>
          <w:iCs/>
          <w:color w:val="000000" w:themeColor="text1"/>
          <w:lang w:val="en-IN"/>
        </w:rPr>
        <w:t>Cogent Business &amp; Management</w:t>
      </w:r>
      <w:r w:rsidRPr="00F46292">
        <w:rPr>
          <w:color w:val="000000" w:themeColor="text1"/>
          <w:lang w:val="en-IN"/>
        </w:rPr>
        <w:t>, 10(2), p. 2248732.</w:t>
      </w:r>
    </w:p>
    <w:p w14:paraId="5FC61CCC" w14:textId="77777777" w:rsidR="008B2E2A" w:rsidRPr="00F46292" w:rsidRDefault="008B2E2A" w:rsidP="00F46292">
      <w:pPr>
        <w:spacing w:before="240"/>
        <w:rPr>
          <w:color w:val="000000" w:themeColor="text1"/>
          <w:lang w:val="en-IN"/>
        </w:rPr>
      </w:pPr>
      <w:r w:rsidRPr="00F46292">
        <w:rPr>
          <w:color w:val="000000" w:themeColor="text1"/>
          <w:lang w:val="en-IN"/>
        </w:rPr>
        <w:t xml:space="preserve">Santos, S.K., Junior, J.C. da S.F. and Cabral, P.M.F. (2025) ‘Talent retention of information technology professionals in light of employee experience: </w:t>
      </w:r>
      <w:proofErr w:type="spellStart"/>
      <w:r w:rsidRPr="00F46292">
        <w:rPr>
          <w:color w:val="000000" w:themeColor="text1"/>
          <w:lang w:val="en-IN"/>
        </w:rPr>
        <w:t>Artifact</w:t>
      </w:r>
      <w:proofErr w:type="spellEnd"/>
      <w:r w:rsidRPr="00F46292">
        <w:rPr>
          <w:color w:val="000000" w:themeColor="text1"/>
          <w:lang w:val="en-IN"/>
        </w:rPr>
        <w:t xml:space="preserve"> proposition’, </w:t>
      </w:r>
      <w:r w:rsidRPr="00F46292">
        <w:rPr>
          <w:i/>
          <w:iCs/>
          <w:color w:val="000000" w:themeColor="text1"/>
          <w:lang w:val="en-IN"/>
        </w:rPr>
        <w:t xml:space="preserve">Human </w:t>
      </w:r>
      <w:proofErr w:type="spellStart"/>
      <w:r w:rsidRPr="00F46292">
        <w:rPr>
          <w:i/>
          <w:iCs/>
          <w:color w:val="000000" w:themeColor="text1"/>
          <w:lang w:val="en-IN"/>
        </w:rPr>
        <w:t>Behavior</w:t>
      </w:r>
      <w:proofErr w:type="spellEnd"/>
      <w:r w:rsidRPr="00F46292">
        <w:rPr>
          <w:i/>
          <w:iCs/>
          <w:color w:val="000000" w:themeColor="text1"/>
          <w:lang w:val="en-IN"/>
        </w:rPr>
        <w:t xml:space="preserve"> and Emerging Technologies</w:t>
      </w:r>
      <w:r w:rsidRPr="00F46292">
        <w:rPr>
          <w:color w:val="000000" w:themeColor="text1"/>
          <w:lang w:val="en-IN"/>
        </w:rPr>
        <w:t>. Edited by A. Moussa, 2025(1), p. 5462842.</w:t>
      </w:r>
    </w:p>
    <w:p w14:paraId="4E4B9840"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Senge</w:t>
      </w:r>
      <w:proofErr w:type="spellEnd"/>
      <w:r w:rsidRPr="00F46292">
        <w:rPr>
          <w:color w:val="000000" w:themeColor="text1"/>
          <w:lang w:val="en-IN"/>
        </w:rPr>
        <w:t xml:space="preserve">, P.M. (1990) </w:t>
      </w:r>
      <w:r w:rsidRPr="00F46292">
        <w:rPr>
          <w:i/>
          <w:iCs/>
          <w:color w:val="000000" w:themeColor="text1"/>
          <w:lang w:val="en-IN"/>
        </w:rPr>
        <w:t xml:space="preserve">The fifth discipline : The art and practice of the learning </w:t>
      </w:r>
      <w:proofErr w:type="spellStart"/>
      <w:r w:rsidRPr="00F46292">
        <w:rPr>
          <w:i/>
          <w:iCs/>
          <w:color w:val="000000" w:themeColor="text1"/>
          <w:lang w:val="en-IN"/>
        </w:rPr>
        <w:t>organization</w:t>
      </w:r>
      <w:proofErr w:type="spellEnd"/>
      <w:r w:rsidRPr="00F46292">
        <w:rPr>
          <w:color w:val="000000" w:themeColor="text1"/>
          <w:lang w:val="en-IN"/>
        </w:rPr>
        <w:t>. Currency Doubleday.</w:t>
      </w:r>
    </w:p>
    <w:p w14:paraId="451CAD6F" w14:textId="77777777" w:rsidR="008B2E2A" w:rsidRPr="00F46292" w:rsidRDefault="008B2E2A" w:rsidP="00F46292">
      <w:pPr>
        <w:spacing w:before="240"/>
        <w:rPr>
          <w:color w:val="000000" w:themeColor="text1"/>
          <w:lang w:val="en-IN"/>
        </w:rPr>
      </w:pPr>
      <w:r w:rsidRPr="00F46292">
        <w:rPr>
          <w:color w:val="000000" w:themeColor="text1"/>
          <w:lang w:val="en-IN"/>
        </w:rPr>
        <w:t xml:space="preserve">Stanford, N. (2007) </w:t>
      </w:r>
      <w:r w:rsidRPr="00F46292">
        <w:rPr>
          <w:i/>
          <w:iCs/>
          <w:color w:val="000000" w:themeColor="text1"/>
          <w:lang w:val="en-IN"/>
        </w:rPr>
        <w:t>Guide to organisation design creating high-performing and adaptable enterprises second edition</w:t>
      </w:r>
      <w:r w:rsidRPr="00F46292">
        <w:rPr>
          <w:color w:val="000000" w:themeColor="text1"/>
          <w:lang w:val="en-IN"/>
        </w:rPr>
        <w:t>. Available at: https://cdn.waterstones.com/special/pdf/9781781253106.pdf (Accessed: 7 October 2026).</w:t>
      </w:r>
    </w:p>
    <w:p w14:paraId="78366186" w14:textId="77777777" w:rsidR="008B2E2A" w:rsidRPr="00F46292" w:rsidRDefault="008B2E2A" w:rsidP="00F46292">
      <w:pPr>
        <w:spacing w:before="240"/>
        <w:rPr>
          <w:color w:val="000000" w:themeColor="text1"/>
          <w:lang w:val="en-IN"/>
        </w:rPr>
      </w:pPr>
      <w:r w:rsidRPr="00F46292">
        <w:rPr>
          <w:color w:val="000000" w:themeColor="text1"/>
          <w:lang w:val="en-IN"/>
        </w:rPr>
        <w:t xml:space="preserve">Strickland, M.E. and Martins, A. (2026) ‘Executive coaching: A strategic tool for retaining talent and bridging the senior–middle leadership gap’, </w:t>
      </w:r>
      <w:r w:rsidRPr="00F46292">
        <w:rPr>
          <w:i/>
          <w:iCs/>
          <w:color w:val="000000" w:themeColor="text1"/>
          <w:lang w:val="en-IN"/>
        </w:rPr>
        <w:t>SA Journal of Human Resource Management</w:t>
      </w:r>
      <w:r w:rsidRPr="00F46292">
        <w:rPr>
          <w:color w:val="000000" w:themeColor="text1"/>
          <w:lang w:val="en-IN"/>
        </w:rPr>
        <w:t>, 24(0), p. 3365.</w:t>
      </w:r>
    </w:p>
    <w:p w14:paraId="59484897" w14:textId="77777777" w:rsidR="008B2E2A" w:rsidRPr="00F46292" w:rsidRDefault="008B2E2A" w:rsidP="00F46292">
      <w:pPr>
        <w:spacing w:before="240"/>
        <w:rPr>
          <w:color w:val="000000" w:themeColor="text1"/>
          <w:lang w:val="en-IN"/>
        </w:rPr>
      </w:pPr>
      <w:r w:rsidRPr="00F46292">
        <w:rPr>
          <w:color w:val="000000" w:themeColor="text1"/>
          <w:lang w:val="en-IN"/>
        </w:rPr>
        <w:t xml:space="preserve">Taylor, S. (2018) </w:t>
      </w:r>
      <w:r w:rsidRPr="00F46292">
        <w:rPr>
          <w:i/>
          <w:iCs/>
          <w:color w:val="000000" w:themeColor="text1"/>
          <w:lang w:val="en-IN"/>
        </w:rPr>
        <w:t>Resourcing and talent management- Chartered Institute Of Personnel And Development</w:t>
      </w:r>
      <w:r w:rsidRPr="00F46292">
        <w:rPr>
          <w:color w:val="000000" w:themeColor="text1"/>
          <w:lang w:val="en-IN"/>
        </w:rPr>
        <w:t xml:space="preserve">. 7th </w:t>
      </w:r>
      <w:proofErr w:type="spellStart"/>
      <w:r w:rsidRPr="00F46292">
        <w:rPr>
          <w:color w:val="000000" w:themeColor="text1"/>
          <w:lang w:val="en-IN"/>
        </w:rPr>
        <w:t>edn</w:t>
      </w:r>
      <w:proofErr w:type="spellEnd"/>
      <w:r w:rsidRPr="00F46292">
        <w:rPr>
          <w:color w:val="000000" w:themeColor="text1"/>
          <w:lang w:val="en-IN"/>
        </w:rPr>
        <w:t xml:space="preserve">. </w:t>
      </w:r>
      <w:proofErr w:type="spellStart"/>
      <w:r w:rsidRPr="00F46292">
        <w:rPr>
          <w:color w:val="000000" w:themeColor="text1"/>
          <w:lang w:val="en-IN"/>
        </w:rPr>
        <w:t>Koganpage</w:t>
      </w:r>
      <w:proofErr w:type="spellEnd"/>
      <w:r w:rsidRPr="00F46292">
        <w:rPr>
          <w:color w:val="000000" w:themeColor="text1"/>
          <w:lang w:val="en-IN"/>
        </w:rPr>
        <w:t>.</w:t>
      </w:r>
    </w:p>
    <w:p w14:paraId="4515ACE2" w14:textId="77777777" w:rsidR="008B2E2A" w:rsidRPr="00F46292" w:rsidRDefault="008B2E2A" w:rsidP="00F46292">
      <w:pPr>
        <w:spacing w:before="240"/>
        <w:rPr>
          <w:color w:val="000000" w:themeColor="text1"/>
          <w:lang w:val="en-IN"/>
        </w:rPr>
      </w:pPr>
      <w:r w:rsidRPr="00F46292">
        <w:rPr>
          <w:color w:val="000000" w:themeColor="text1"/>
          <w:lang w:val="en-IN"/>
        </w:rPr>
        <w:t xml:space="preserve">Thomas, A. (2024) ‘Digitally transforming the </w:t>
      </w:r>
      <w:proofErr w:type="spellStart"/>
      <w:r w:rsidRPr="00F46292">
        <w:rPr>
          <w:color w:val="000000" w:themeColor="text1"/>
          <w:lang w:val="en-IN"/>
        </w:rPr>
        <w:t>organization</w:t>
      </w:r>
      <w:proofErr w:type="spellEnd"/>
      <w:r w:rsidRPr="00F46292">
        <w:rPr>
          <w:color w:val="000000" w:themeColor="text1"/>
          <w:lang w:val="en-IN"/>
        </w:rPr>
        <w:t xml:space="preserve"> through knowledge management: A socio-technical system (STS) perspective’, </w:t>
      </w:r>
      <w:r w:rsidRPr="00F46292">
        <w:rPr>
          <w:i/>
          <w:iCs/>
          <w:color w:val="000000" w:themeColor="text1"/>
          <w:lang w:val="en-IN"/>
        </w:rPr>
        <w:t>European Journal of Innovation Management</w:t>
      </w:r>
      <w:r w:rsidRPr="00F46292">
        <w:rPr>
          <w:color w:val="000000" w:themeColor="text1"/>
          <w:lang w:val="en-IN"/>
        </w:rPr>
        <w:t>, 27(9), pp. 437–460.</w:t>
      </w:r>
    </w:p>
    <w:p w14:paraId="6B9646BF"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Trist</w:t>
      </w:r>
      <w:proofErr w:type="spellEnd"/>
      <w:r w:rsidRPr="00F46292">
        <w:rPr>
          <w:color w:val="000000" w:themeColor="text1"/>
          <w:lang w:val="en-IN"/>
        </w:rPr>
        <w:t xml:space="preserve">, E.L. and </w:t>
      </w:r>
      <w:proofErr w:type="spellStart"/>
      <w:r w:rsidRPr="00F46292">
        <w:rPr>
          <w:color w:val="000000" w:themeColor="text1"/>
          <w:lang w:val="en-IN"/>
        </w:rPr>
        <w:t>Bamforth</w:t>
      </w:r>
      <w:proofErr w:type="spellEnd"/>
      <w:r w:rsidRPr="00F46292">
        <w:rPr>
          <w:color w:val="000000" w:themeColor="text1"/>
          <w:lang w:val="en-IN"/>
        </w:rPr>
        <w:t xml:space="preserve">, K.W. (1951) ‘Some social and psychological consequences of the </w:t>
      </w:r>
      <w:proofErr w:type="spellStart"/>
      <w:r w:rsidRPr="00F46292">
        <w:rPr>
          <w:color w:val="000000" w:themeColor="text1"/>
          <w:lang w:val="en-IN"/>
        </w:rPr>
        <w:t>longwall</w:t>
      </w:r>
      <w:proofErr w:type="spellEnd"/>
      <w:r w:rsidRPr="00F46292">
        <w:rPr>
          <w:color w:val="000000" w:themeColor="text1"/>
          <w:lang w:val="en-IN"/>
        </w:rPr>
        <w:t xml:space="preserve"> method of coal-getting’, </w:t>
      </w:r>
      <w:r w:rsidRPr="00F46292">
        <w:rPr>
          <w:i/>
          <w:iCs/>
          <w:color w:val="000000" w:themeColor="text1"/>
          <w:lang w:val="en-IN"/>
        </w:rPr>
        <w:t>Human Relations</w:t>
      </w:r>
      <w:r w:rsidRPr="00F46292">
        <w:rPr>
          <w:color w:val="000000" w:themeColor="text1"/>
          <w:lang w:val="en-IN"/>
        </w:rPr>
        <w:t>, 4(1), pp. 3–38.</w:t>
      </w:r>
    </w:p>
    <w:p w14:paraId="7F24F5C2"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Uchenna</w:t>
      </w:r>
      <w:proofErr w:type="spellEnd"/>
      <w:r w:rsidRPr="00F46292">
        <w:rPr>
          <w:color w:val="000000" w:themeColor="text1"/>
          <w:lang w:val="en-IN"/>
        </w:rPr>
        <w:t xml:space="preserve">, R., Patrick, M., </w:t>
      </w:r>
      <w:proofErr w:type="spellStart"/>
      <w:r w:rsidRPr="00F46292">
        <w:rPr>
          <w:color w:val="000000" w:themeColor="text1"/>
          <w:lang w:val="en-IN"/>
        </w:rPr>
        <w:t>Gil-Ozoudeh</w:t>
      </w:r>
      <w:proofErr w:type="spellEnd"/>
      <w:r w:rsidRPr="00F46292">
        <w:rPr>
          <w:color w:val="000000" w:themeColor="text1"/>
          <w:lang w:val="en-IN"/>
        </w:rPr>
        <w:t xml:space="preserve">, N.I. and </w:t>
      </w:r>
      <w:proofErr w:type="spellStart"/>
      <w:r w:rsidRPr="00F46292">
        <w:rPr>
          <w:color w:val="000000" w:themeColor="text1"/>
          <w:lang w:val="en-IN"/>
        </w:rPr>
        <w:t>Iwuanyanwu</w:t>
      </w:r>
      <w:proofErr w:type="spellEnd"/>
      <w:r w:rsidRPr="00F46292">
        <w:rPr>
          <w:color w:val="000000" w:themeColor="text1"/>
          <w:lang w:val="en-IN"/>
        </w:rPr>
        <w:t xml:space="preserve">, N.O. (2024) ‘Cross-functional team dynamics in technology management: A comprehensive review of efficiency and innovation enhancement’, </w:t>
      </w:r>
      <w:r w:rsidRPr="00F46292">
        <w:rPr>
          <w:i/>
          <w:iCs/>
          <w:color w:val="000000" w:themeColor="text1"/>
          <w:lang w:val="en-IN"/>
        </w:rPr>
        <w:t>Engineering Science &amp; Technology Journal</w:t>
      </w:r>
      <w:r w:rsidRPr="00F46292">
        <w:rPr>
          <w:color w:val="000000" w:themeColor="text1"/>
          <w:lang w:val="en-IN"/>
        </w:rPr>
        <w:t>, 5(12), pp. 3248–3265.</w:t>
      </w:r>
    </w:p>
    <w:p w14:paraId="47F514BA" w14:textId="77777777" w:rsidR="008B2E2A" w:rsidRPr="00F46292" w:rsidRDefault="008B2E2A" w:rsidP="00F46292">
      <w:pPr>
        <w:spacing w:before="240"/>
        <w:rPr>
          <w:color w:val="000000" w:themeColor="text1"/>
          <w:lang w:val="en-IN"/>
        </w:rPr>
      </w:pPr>
      <w:r w:rsidRPr="00F46292">
        <w:rPr>
          <w:color w:val="000000" w:themeColor="text1"/>
          <w:lang w:val="en-IN"/>
        </w:rPr>
        <w:t xml:space="preserve">World Economic Forum (2025) </w:t>
      </w:r>
      <w:r w:rsidRPr="00F46292">
        <w:rPr>
          <w:i/>
          <w:iCs/>
          <w:color w:val="000000" w:themeColor="text1"/>
          <w:lang w:val="en-IN"/>
        </w:rPr>
        <w:t>The future of jobs report 2025</w:t>
      </w:r>
      <w:r w:rsidRPr="00F46292">
        <w:rPr>
          <w:color w:val="000000" w:themeColor="text1"/>
          <w:lang w:val="en-IN"/>
        </w:rPr>
        <w:t xml:space="preserve">, </w:t>
      </w:r>
      <w:r w:rsidRPr="00F46292">
        <w:rPr>
          <w:i/>
          <w:iCs/>
          <w:color w:val="000000" w:themeColor="text1"/>
          <w:lang w:val="en-IN"/>
        </w:rPr>
        <w:t>World Economic Forum</w:t>
      </w:r>
      <w:r w:rsidRPr="00F46292">
        <w:rPr>
          <w:color w:val="000000" w:themeColor="text1"/>
          <w:lang w:val="en-IN"/>
        </w:rPr>
        <w:t>. Available at: https://www.weforum.org/publications/the-future-of-jobs-report-2025/ (Accessed: 7 October 2026).</w:t>
      </w:r>
    </w:p>
    <w:p w14:paraId="20290A26" w14:textId="77777777" w:rsidR="008B2E2A" w:rsidRPr="00F46292" w:rsidRDefault="008B2E2A" w:rsidP="00F46292">
      <w:pPr>
        <w:spacing w:before="240"/>
        <w:rPr>
          <w:color w:val="000000" w:themeColor="text1"/>
          <w:lang w:val="en-IN"/>
        </w:rPr>
      </w:pPr>
      <w:proofErr w:type="spellStart"/>
      <w:r w:rsidRPr="00F46292">
        <w:rPr>
          <w:color w:val="000000" w:themeColor="text1"/>
          <w:lang w:val="en-IN"/>
        </w:rPr>
        <w:t>Zamiri</w:t>
      </w:r>
      <w:proofErr w:type="spellEnd"/>
      <w:r w:rsidRPr="00F46292">
        <w:rPr>
          <w:color w:val="000000" w:themeColor="text1"/>
          <w:lang w:val="en-IN"/>
        </w:rPr>
        <w:t xml:space="preserve">, M. and </w:t>
      </w:r>
      <w:proofErr w:type="spellStart"/>
      <w:r w:rsidRPr="00F46292">
        <w:rPr>
          <w:color w:val="000000" w:themeColor="text1"/>
          <w:lang w:val="en-IN"/>
        </w:rPr>
        <w:t>Esmaeili</w:t>
      </w:r>
      <w:proofErr w:type="spellEnd"/>
      <w:r w:rsidRPr="00F46292">
        <w:rPr>
          <w:color w:val="000000" w:themeColor="text1"/>
          <w:lang w:val="en-IN"/>
        </w:rPr>
        <w:t xml:space="preserve">, A. (2024) ‘Methods and technologies for supporting knowledge sharing within learning communities: A systematic literature review’, </w:t>
      </w:r>
      <w:r w:rsidRPr="00F46292">
        <w:rPr>
          <w:i/>
          <w:iCs/>
          <w:color w:val="000000" w:themeColor="text1"/>
          <w:lang w:val="en-IN"/>
        </w:rPr>
        <w:t>Administrative Sciences</w:t>
      </w:r>
      <w:r w:rsidRPr="00F46292">
        <w:rPr>
          <w:color w:val="000000" w:themeColor="text1"/>
          <w:lang w:val="en-IN"/>
        </w:rPr>
        <w:t>, 14(1), pp. 1–34.</w:t>
      </w:r>
    </w:p>
    <w:p w14:paraId="617720D4" w14:textId="77777777" w:rsidR="008B2E2A" w:rsidRPr="00F46292" w:rsidRDefault="008B2E2A" w:rsidP="00F46292">
      <w:pPr>
        <w:spacing w:before="240"/>
        <w:rPr>
          <w:color w:val="000000" w:themeColor="text1"/>
          <w:lang w:val="en-IN"/>
        </w:rPr>
      </w:pPr>
    </w:p>
    <w:p w14:paraId="32335ABB" w14:textId="77777777" w:rsidR="00B34EFB" w:rsidRPr="00F46292" w:rsidRDefault="00B34EFB" w:rsidP="00F46292">
      <w:pPr>
        <w:rPr>
          <w:color w:val="000000" w:themeColor="text1"/>
        </w:rPr>
      </w:pPr>
    </w:p>
    <w:p w14:paraId="772C791E" w14:textId="77777777" w:rsidR="00B34EFB" w:rsidRPr="00F46292" w:rsidRDefault="00B34EFB" w:rsidP="00F46292">
      <w:pPr>
        <w:rPr>
          <w:color w:val="000000" w:themeColor="text1"/>
        </w:rPr>
      </w:pPr>
    </w:p>
    <w:p w14:paraId="002F7527" w14:textId="77777777" w:rsidR="00B34EFB" w:rsidRPr="00F46292" w:rsidRDefault="00B34EFB" w:rsidP="00F46292">
      <w:pPr>
        <w:rPr>
          <w:color w:val="000000" w:themeColor="text1"/>
        </w:rPr>
      </w:pPr>
    </w:p>
    <w:sectPr w:rsidR="00B34EFB" w:rsidRPr="00F46292" w:rsidSect="00BF5876">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5B924E9" w14:textId="77777777" w:rsidR="00EF7C76" w:rsidRDefault="00EF7C76">
      <w:pPr>
        <w:spacing w:line="240" w:lineRule="auto"/>
      </w:pPr>
      <w:r>
        <w:separator/>
      </w:r>
    </w:p>
  </w:endnote>
  <w:endnote w:type="continuationSeparator" w:id="0">
    <w:p w14:paraId="152AF34D" w14:textId="77777777" w:rsidR="00EF7C76" w:rsidRDefault="00EF7C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BB891515-4CCF-4062-90E6-6E21ED17B072}"/>
  </w:font>
  <w:font w:name="Cambria">
    <w:panose1 w:val="02040503050406030204"/>
    <w:charset w:val="00"/>
    <w:family w:val="roman"/>
    <w:pitch w:val="variable"/>
    <w:sig w:usb0="E00006FF" w:usb1="420024FF" w:usb2="02000000" w:usb3="00000000" w:csb0="0000019F" w:csb1="00000000"/>
    <w:embedRegular r:id="rId2" w:fontKey="{FA76EFAE-1451-460D-AEA5-6E55BD95849E}"/>
  </w:font>
  <w:font w:name="Arial Unicode MS">
    <w:altName w:val="Arial"/>
    <w:panose1 w:val="020B0604020202020204"/>
    <w:charset w:val="00"/>
    <w:family w:val="auto"/>
    <w:pitch w:val="default"/>
  </w:font>
  <w:font w:name="Cambria Math">
    <w:panose1 w:val="02040503050406030204"/>
    <w:charset w:val="00"/>
    <w:family w:val="roman"/>
    <w:pitch w:val="variable"/>
    <w:sig w:usb0="E00006FF" w:usb1="420024FF" w:usb2="02000000" w:usb3="00000000" w:csb0="0000019F" w:csb1="00000000"/>
    <w:embedRegular r:id="rId3" w:fontKey="{1FDAE2E7-6FBD-42C4-8EEC-4B6D7B0E69F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E7E716A" w14:textId="77777777" w:rsidR="00B34EFB" w:rsidRDefault="00584795">
    <w:pPr>
      <w:jc w:val="right"/>
      <w:rPr>
        <w:sz w:val="20"/>
        <w:szCs w:val="20"/>
      </w:rPr>
    </w:pPr>
    <w:r>
      <w:rPr>
        <w:sz w:val="20"/>
        <w:szCs w:val="20"/>
      </w:rPr>
      <w:fldChar w:fldCharType="begin"/>
    </w:r>
    <w:r>
      <w:rPr>
        <w:sz w:val="20"/>
        <w:szCs w:val="20"/>
      </w:rPr>
      <w:instrText>PAGE</w:instrText>
    </w:r>
    <w:r>
      <w:rPr>
        <w:sz w:val="20"/>
        <w:szCs w:val="20"/>
      </w:rPr>
      <w:fldChar w:fldCharType="separate"/>
    </w:r>
    <w:r w:rsidR="00682626">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1488C76" w14:textId="77777777" w:rsidR="00EF7C76" w:rsidRDefault="00EF7C76">
      <w:pPr>
        <w:spacing w:line="240" w:lineRule="auto"/>
      </w:pPr>
      <w:r>
        <w:separator/>
      </w:r>
    </w:p>
  </w:footnote>
  <w:footnote w:type="continuationSeparator" w:id="0">
    <w:p w14:paraId="45116AC9" w14:textId="77777777" w:rsidR="00EF7C76" w:rsidRDefault="00EF7C76">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embedTrueTypeFonts/>
  <w:activeWritingStyle w:appName="MSWord" w:lang="en-GB" w:vendorID="64" w:dllVersion="4096" w:nlCheck="1" w:checkStyle="1"/>
  <w:activeWritingStyle w:appName="MSWord" w:lang="en-IN" w:vendorID="64" w:dllVersion="4096" w:nlCheck="1" w:checkStyle="0"/>
  <w:activeWritingStyle w:appName="MSWord" w:lang="en-US" w:vendorID="64" w:dllVersion="4096" w:nlCheck="1" w:checkStyle="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4EFB"/>
    <w:rsid w:val="003502CA"/>
    <w:rsid w:val="004E2DCB"/>
    <w:rsid w:val="00591465"/>
    <w:rsid w:val="00595A8F"/>
    <w:rsid w:val="005B09AB"/>
    <w:rsid w:val="00670E0A"/>
    <w:rsid w:val="00682626"/>
    <w:rsid w:val="00716C40"/>
    <w:rsid w:val="008505BA"/>
    <w:rsid w:val="008B2E2A"/>
    <w:rsid w:val="00916B56"/>
    <w:rsid w:val="009D3650"/>
    <w:rsid w:val="00A855F7"/>
    <w:rsid w:val="00A92C5D"/>
    <w:rsid w:val="00B34EFB"/>
    <w:rsid w:val="00BF5876"/>
    <w:rsid w:val="00C1641B"/>
    <w:rsid w:val="00D51F6D"/>
    <w:rsid w:val="00D964B2"/>
    <w:rsid w:val="00EB6597"/>
    <w:rsid w:val="00EF7C76"/>
    <w:rsid w:val="00F26E6A"/>
    <w:rsid w:val="00F46292"/>
    <w:rsid w:val="00FC3415"/>
    <w:rsid w:val="00FE3D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64A62"/>
  <w15:docId w15:val="{3744354F-82CF-4E8C-B368-4A7D6DD4B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F4629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46292"/>
    <w:pPr>
      <w:spacing w:after="100"/>
    </w:pPr>
  </w:style>
  <w:style w:type="character" w:styleId="Hyperlink">
    <w:name w:val="Hyperlink"/>
    <w:basedOn w:val="DefaultParagraphFont"/>
    <w:uiPriority w:val="99"/>
    <w:unhideWhenUsed/>
    <w:rsid w:val="00F462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3884E-674B-4294-A8AD-2D74E7836A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3816</Words>
  <Characters>21754</Characters>
  <Application>Microsoft Office Word</Application>
  <DocSecurity>0</DocSecurity>
  <Lines>181</Lines>
  <Paragraphs>51</Paragraphs>
  <ScaleCrop>false</ScaleCrop>
  <Company/>
  <LinksUpToDate>false</LinksUpToDate>
  <CharactersWithSpaces>25519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Het Sakariya</cp:lastModifiedBy>
  <cp:revision>2</cp:revision>
  <dcterms:created xsi:type="dcterms:W3CDTF">2026-10-08T18:15:00Z</dcterms:created>
  <dcterms:modified xsi:type="dcterms:W3CDTF">2026-10-08T18:15:00Z</dcterms:modified>
</cp:coreProperties>
</file>