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FBC40" w14:textId="7830DEF9" w:rsidR="00A55237" w:rsidRPr="00502034" w:rsidRDefault="00502034" w:rsidP="00502034">
      <w:pPr>
        <w:jc w:val="center"/>
        <w:rPr>
          <w:rFonts w:ascii="Arial" w:hAnsi="Arial" w:cs="Arial"/>
          <w:sz w:val="24"/>
          <w:szCs w:val="24"/>
        </w:rPr>
      </w:pPr>
      <w:r w:rsidRPr="00502034">
        <w:rPr>
          <w:rFonts w:ascii="Arial" w:hAnsi="Arial" w:cs="Arial"/>
          <w:sz w:val="24"/>
          <w:szCs w:val="24"/>
        </w:rPr>
        <w:t>Legal Research Essay</w:t>
      </w:r>
    </w:p>
    <w:p w14:paraId="04EC73D1" w14:textId="4126229C" w:rsidR="00502034" w:rsidRDefault="00502034" w:rsidP="00502034">
      <w:pPr>
        <w:rPr>
          <w:rFonts w:ascii="Arial" w:hAnsi="Arial" w:cs="Arial"/>
          <w:sz w:val="24"/>
          <w:szCs w:val="24"/>
        </w:rPr>
      </w:pPr>
      <w:r w:rsidRPr="00502034">
        <w:rPr>
          <w:rFonts w:ascii="Arial" w:hAnsi="Arial" w:cs="Arial"/>
          <w:sz w:val="24"/>
          <w:szCs w:val="24"/>
        </w:rPr>
        <w:t xml:space="preserve">In the ever-evolving landscape of legal research, the choice between electronic and non-electronic resources has become a pivotal decision for legal practitioners, scholars, and students alike. </w:t>
      </w:r>
      <w:r w:rsidR="00C872B5" w:rsidRPr="00C0520E">
        <w:rPr>
          <w:rFonts w:ascii="Arial" w:hAnsi="Arial" w:cs="Arial"/>
          <w:sz w:val="24"/>
          <w:szCs w:val="24"/>
        </w:rPr>
        <w:t xml:space="preserve">Legal research should be practised by all </w:t>
      </w:r>
      <w:r w:rsidR="00C872B5">
        <w:rPr>
          <w:rFonts w:ascii="Arial" w:hAnsi="Arial" w:cs="Arial"/>
          <w:sz w:val="24"/>
          <w:szCs w:val="24"/>
        </w:rPr>
        <w:t>legal professionals and students</w:t>
      </w:r>
      <w:r w:rsidR="00C872B5" w:rsidRPr="00C0520E">
        <w:rPr>
          <w:rFonts w:ascii="Arial" w:hAnsi="Arial" w:cs="Arial"/>
          <w:sz w:val="24"/>
          <w:szCs w:val="24"/>
        </w:rPr>
        <w:t xml:space="preserve">, regardless of </w:t>
      </w:r>
      <w:r w:rsidR="00C872B5">
        <w:rPr>
          <w:rFonts w:ascii="Arial" w:hAnsi="Arial" w:cs="Arial"/>
          <w:sz w:val="24"/>
          <w:szCs w:val="24"/>
        </w:rPr>
        <w:t>their position</w:t>
      </w:r>
      <w:r w:rsidR="00C872B5" w:rsidRPr="00C0520E">
        <w:rPr>
          <w:rFonts w:ascii="Arial" w:hAnsi="Arial" w:cs="Arial"/>
          <w:sz w:val="24"/>
          <w:szCs w:val="24"/>
        </w:rPr>
        <w:t>. The advantages are clear. Legal research provides</w:t>
      </w:r>
      <w:r w:rsidR="00C872B5">
        <w:rPr>
          <w:rFonts w:ascii="Arial" w:hAnsi="Arial" w:cs="Arial"/>
          <w:sz w:val="24"/>
          <w:szCs w:val="24"/>
        </w:rPr>
        <w:t xml:space="preserve"> </w:t>
      </w:r>
      <w:r w:rsidR="00C872B5" w:rsidRPr="00C0520E">
        <w:rPr>
          <w:rFonts w:ascii="Arial" w:hAnsi="Arial" w:cs="Arial"/>
          <w:sz w:val="24"/>
          <w:szCs w:val="24"/>
        </w:rPr>
        <w:t xml:space="preserve">the greatest information available, assists decision-making by providing access to the most recent facts and knowledge, enables </w:t>
      </w:r>
      <w:r w:rsidR="006F1126">
        <w:rPr>
          <w:rFonts w:ascii="Arial" w:hAnsi="Arial" w:cs="Arial"/>
          <w:sz w:val="24"/>
          <w:szCs w:val="24"/>
        </w:rPr>
        <w:t xml:space="preserve">the creation of </w:t>
      </w:r>
      <w:r w:rsidR="00C872B5" w:rsidRPr="00C0520E">
        <w:rPr>
          <w:rFonts w:ascii="Arial" w:hAnsi="Arial" w:cs="Arial"/>
          <w:sz w:val="24"/>
          <w:szCs w:val="24"/>
        </w:rPr>
        <w:t xml:space="preserve">persuasive arguments </w:t>
      </w:r>
      <w:r w:rsidR="006F1126">
        <w:rPr>
          <w:rFonts w:ascii="Arial" w:hAnsi="Arial" w:cs="Arial"/>
          <w:sz w:val="24"/>
          <w:szCs w:val="24"/>
        </w:rPr>
        <w:t xml:space="preserve">and </w:t>
      </w:r>
      <w:r w:rsidR="00C872B5" w:rsidRPr="00C0520E">
        <w:rPr>
          <w:rFonts w:ascii="Arial" w:hAnsi="Arial" w:cs="Arial"/>
          <w:sz w:val="24"/>
          <w:szCs w:val="24"/>
        </w:rPr>
        <w:t>workable solutions utilising the most recent data, and much more</w:t>
      </w:r>
      <w:r w:rsidR="00C872B5">
        <w:rPr>
          <w:rFonts w:ascii="Arial" w:hAnsi="Arial" w:cs="Arial"/>
          <w:sz w:val="24"/>
          <w:szCs w:val="24"/>
        </w:rPr>
        <w:t xml:space="preserve"> (Brown, 2023). </w:t>
      </w:r>
      <w:r w:rsidRPr="00502034">
        <w:rPr>
          <w:rFonts w:ascii="Arial" w:hAnsi="Arial" w:cs="Arial"/>
          <w:sz w:val="24"/>
          <w:szCs w:val="24"/>
        </w:rPr>
        <w:t>This essay aims to explore and compare the advantages and disadvantages associated with both electronic and non-electronic resources in the context of practical legal research.</w:t>
      </w:r>
      <w:r w:rsidR="00C0520E">
        <w:rPr>
          <w:rFonts w:ascii="Arial" w:hAnsi="Arial" w:cs="Arial"/>
          <w:sz w:val="24"/>
          <w:szCs w:val="24"/>
        </w:rPr>
        <w:t xml:space="preserve"> </w:t>
      </w:r>
    </w:p>
    <w:p w14:paraId="1A6D13F9" w14:textId="267C72F3" w:rsidR="00A92F0B" w:rsidRDefault="00502034" w:rsidP="00502034">
      <w:pPr>
        <w:rPr>
          <w:rFonts w:ascii="Arial" w:hAnsi="Arial" w:cs="Arial"/>
          <w:sz w:val="24"/>
          <w:szCs w:val="24"/>
        </w:rPr>
      </w:pPr>
      <w:r w:rsidRPr="00502034">
        <w:rPr>
          <w:rFonts w:ascii="Arial" w:hAnsi="Arial" w:cs="Arial"/>
          <w:sz w:val="24"/>
          <w:szCs w:val="24"/>
        </w:rPr>
        <w:t>Electronic resources offer unparalleled convenience, enabling legal researchers to access a vast array of information from anywhere with an internet connection. This accessibility is especially beneficial for those who may not have physical access to extensive law libraries.</w:t>
      </w:r>
      <w:r w:rsidR="00935EED">
        <w:rPr>
          <w:rFonts w:ascii="Arial" w:hAnsi="Arial" w:cs="Arial"/>
          <w:sz w:val="24"/>
          <w:szCs w:val="24"/>
        </w:rPr>
        <w:t xml:space="preserve"> </w:t>
      </w:r>
      <w:r w:rsidRPr="00502034">
        <w:rPr>
          <w:rFonts w:ascii="Arial" w:hAnsi="Arial" w:cs="Arial"/>
          <w:sz w:val="24"/>
          <w:szCs w:val="24"/>
        </w:rPr>
        <w:t>Electronic databases and search engines facilitate rapid retrieval of legal information. Researchers can use advanced search functionalities to pinpoint relevant cases, statutes, and articles efficiently, saving valuable time compared to manual searches through physical texts.</w:t>
      </w:r>
      <w:r w:rsidR="00935EED">
        <w:rPr>
          <w:rFonts w:ascii="Arial" w:hAnsi="Arial" w:cs="Arial"/>
          <w:sz w:val="24"/>
          <w:szCs w:val="24"/>
        </w:rPr>
        <w:t xml:space="preserve"> </w:t>
      </w:r>
      <w:r w:rsidRPr="00502034">
        <w:rPr>
          <w:rFonts w:ascii="Arial" w:hAnsi="Arial" w:cs="Arial"/>
          <w:sz w:val="24"/>
          <w:szCs w:val="24"/>
        </w:rPr>
        <w:t>Legal databases are regularly updated to reflect the latest legal developments</w:t>
      </w:r>
      <w:r w:rsidR="001C1FE9">
        <w:rPr>
          <w:rFonts w:ascii="Arial" w:hAnsi="Arial" w:cs="Arial"/>
          <w:sz w:val="24"/>
          <w:szCs w:val="24"/>
        </w:rPr>
        <w:t xml:space="preserve"> </w:t>
      </w:r>
      <w:r w:rsidRPr="00502034">
        <w:rPr>
          <w:rFonts w:ascii="Arial" w:hAnsi="Arial" w:cs="Arial"/>
          <w:sz w:val="24"/>
          <w:szCs w:val="24"/>
        </w:rPr>
        <w:t xml:space="preserve">ensures that researchers have access to the most recent cases, statutes, and scholarly articles, </w:t>
      </w:r>
      <w:r w:rsidR="001C1FE9">
        <w:rPr>
          <w:rFonts w:ascii="Arial" w:hAnsi="Arial" w:cs="Arial"/>
          <w:sz w:val="24"/>
          <w:szCs w:val="24"/>
        </w:rPr>
        <w:t xml:space="preserve">which is </w:t>
      </w:r>
      <w:r w:rsidRPr="00502034">
        <w:rPr>
          <w:rFonts w:ascii="Arial" w:hAnsi="Arial" w:cs="Arial"/>
          <w:sz w:val="24"/>
          <w:szCs w:val="24"/>
        </w:rPr>
        <w:t>crucial for staying current in the dynamic field of law.</w:t>
      </w:r>
      <w:r w:rsidR="00935EED">
        <w:rPr>
          <w:rFonts w:ascii="Arial" w:hAnsi="Arial" w:cs="Arial"/>
          <w:sz w:val="24"/>
          <w:szCs w:val="24"/>
        </w:rPr>
        <w:t xml:space="preserve"> </w:t>
      </w:r>
      <w:r w:rsidRPr="00502034">
        <w:rPr>
          <w:rFonts w:ascii="Arial" w:hAnsi="Arial" w:cs="Arial"/>
          <w:sz w:val="24"/>
          <w:szCs w:val="24"/>
        </w:rPr>
        <w:t>Electronic resources often allow for seamless cross-referencing between cases, statutes, and secondary sources. Hyperlinks enable researchers to navigate effortlessly between related materials, providing a more comprehensive understanding of the legal landscape.</w:t>
      </w:r>
      <w:r w:rsidR="005D1A5B">
        <w:rPr>
          <w:rFonts w:ascii="Arial" w:hAnsi="Arial" w:cs="Arial"/>
          <w:sz w:val="24"/>
          <w:szCs w:val="24"/>
        </w:rPr>
        <w:t xml:space="preserve"> </w:t>
      </w:r>
      <w:r w:rsidRPr="00502034">
        <w:rPr>
          <w:rFonts w:ascii="Arial" w:hAnsi="Arial" w:cs="Arial"/>
          <w:sz w:val="24"/>
          <w:szCs w:val="24"/>
        </w:rPr>
        <w:t>Electronic platforms offer sophisticated search options, allowing users to customi</w:t>
      </w:r>
      <w:r w:rsidR="00A644C7">
        <w:rPr>
          <w:rFonts w:ascii="Arial" w:hAnsi="Arial" w:cs="Arial"/>
          <w:sz w:val="24"/>
          <w:szCs w:val="24"/>
        </w:rPr>
        <w:t>s</w:t>
      </w:r>
      <w:r w:rsidRPr="00502034">
        <w:rPr>
          <w:rFonts w:ascii="Arial" w:hAnsi="Arial" w:cs="Arial"/>
          <w:sz w:val="24"/>
          <w:szCs w:val="24"/>
        </w:rPr>
        <w:t>e queries and apply filters for more precise results. This feature enhances the researcher's ability to tailor searches to specific legal issues or jurisdictions.</w:t>
      </w:r>
      <w:r w:rsidR="00D3214F">
        <w:rPr>
          <w:rFonts w:ascii="Arial" w:hAnsi="Arial" w:cs="Arial"/>
          <w:sz w:val="24"/>
          <w:szCs w:val="24"/>
        </w:rPr>
        <w:t xml:space="preserve"> </w:t>
      </w:r>
      <w:r w:rsidR="00EB7268">
        <w:rPr>
          <w:rFonts w:ascii="Arial" w:hAnsi="Arial" w:cs="Arial"/>
          <w:sz w:val="24"/>
          <w:szCs w:val="24"/>
        </w:rPr>
        <w:t xml:space="preserve">It can be argued that using online </w:t>
      </w:r>
      <w:r w:rsidR="00D3214F" w:rsidRPr="00D3214F">
        <w:rPr>
          <w:rFonts w:ascii="Arial" w:hAnsi="Arial" w:cs="Arial"/>
          <w:sz w:val="24"/>
          <w:szCs w:val="24"/>
        </w:rPr>
        <w:t>research tools greatly increases efficiency and lowers expenses</w:t>
      </w:r>
      <w:r w:rsidR="005255E9">
        <w:rPr>
          <w:rFonts w:ascii="Arial" w:hAnsi="Arial" w:cs="Arial"/>
          <w:sz w:val="24"/>
          <w:szCs w:val="24"/>
        </w:rPr>
        <w:t xml:space="preserve"> for legal firms</w:t>
      </w:r>
      <w:r w:rsidR="00D3214F" w:rsidRPr="00D3214F">
        <w:rPr>
          <w:rFonts w:ascii="Arial" w:hAnsi="Arial" w:cs="Arial"/>
          <w:sz w:val="24"/>
          <w:szCs w:val="24"/>
        </w:rPr>
        <w:t xml:space="preserve">. Studies reveal that </w:t>
      </w:r>
      <w:r w:rsidR="005255E9">
        <w:rPr>
          <w:rFonts w:ascii="Arial" w:hAnsi="Arial" w:cs="Arial"/>
          <w:sz w:val="24"/>
          <w:szCs w:val="24"/>
        </w:rPr>
        <w:t>legal professionals</w:t>
      </w:r>
      <w:r w:rsidR="00D3214F" w:rsidRPr="00D3214F">
        <w:rPr>
          <w:rFonts w:ascii="Arial" w:hAnsi="Arial" w:cs="Arial"/>
          <w:sz w:val="24"/>
          <w:szCs w:val="24"/>
        </w:rPr>
        <w:t xml:space="preserve"> who use digital research platforms instead of hard copy documents can </w:t>
      </w:r>
      <w:r w:rsidR="005255E9">
        <w:rPr>
          <w:rFonts w:ascii="Arial" w:hAnsi="Arial" w:cs="Arial"/>
          <w:sz w:val="24"/>
          <w:szCs w:val="24"/>
        </w:rPr>
        <w:t xml:space="preserve">complete tasks </w:t>
      </w:r>
      <w:r w:rsidR="00D3214F" w:rsidRPr="00D3214F">
        <w:rPr>
          <w:rFonts w:ascii="Arial" w:hAnsi="Arial" w:cs="Arial"/>
          <w:sz w:val="24"/>
          <w:szCs w:val="24"/>
        </w:rPr>
        <w:t>three times more quickly</w:t>
      </w:r>
      <w:r w:rsidR="005255E9">
        <w:rPr>
          <w:rFonts w:ascii="Arial" w:hAnsi="Arial" w:cs="Arial"/>
          <w:sz w:val="24"/>
          <w:szCs w:val="24"/>
        </w:rPr>
        <w:t xml:space="preserve"> (</w:t>
      </w:r>
      <w:r w:rsidR="0058174D">
        <w:rPr>
          <w:rFonts w:ascii="Arial" w:hAnsi="Arial" w:cs="Arial"/>
          <w:sz w:val="24"/>
          <w:szCs w:val="24"/>
        </w:rPr>
        <w:t xml:space="preserve">Rich, 2013). </w:t>
      </w:r>
      <w:r w:rsidR="00DC77EF">
        <w:rPr>
          <w:rFonts w:ascii="Arial" w:hAnsi="Arial" w:cs="Arial"/>
          <w:sz w:val="24"/>
          <w:szCs w:val="24"/>
        </w:rPr>
        <w:t xml:space="preserve">Legal research has transformed from combing through various </w:t>
      </w:r>
      <w:r w:rsidR="00A8113B">
        <w:rPr>
          <w:rFonts w:ascii="Arial" w:hAnsi="Arial" w:cs="Arial"/>
          <w:sz w:val="24"/>
          <w:szCs w:val="24"/>
        </w:rPr>
        <w:t xml:space="preserve">books and paper documents, which can be extremely time consuming, to information being readily available across </w:t>
      </w:r>
      <w:r w:rsidR="001443F5">
        <w:rPr>
          <w:rFonts w:ascii="Arial" w:hAnsi="Arial" w:cs="Arial"/>
          <w:sz w:val="24"/>
          <w:szCs w:val="24"/>
        </w:rPr>
        <w:t xml:space="preserve">a number of websites and databases (Thomson Reuters, 2022). </w:t>
      </w:r>
      <w:r w:rsidR="00144F3B" w:rsidRPr="00144F3B">
        <w:rPr>
          <w:rFonts w:ascii="Arial" w:hAnsi="Arial" w:cs="Arial"/>
          <w:sz w:val="24"/>
          <w:szCs w:val="24"/>
        </w:rPr>
        <w:t>By identifying imprecise inquiries through similar matches, natural language has made online legal research more compassionate and humane. Search filters and algorithms have also eliminated the need to clarify legal phrases that have varying meanings depending on the practise or jurisdiction</w:t>
      </w:r>
      <w:r w:rsidR="00144F3B">
        <w:rPr>
          <w:rFonts w:ascii="Arial" w:hAnsi="Arial" w:cs="Arial"/>
          <w:sz w:val="24"/>
          <w:szCs w:val="24"/>
        </w:rPr>
        <w:t xml:space="preserve"> (LexisNexis, 2022). </w:t>
      </w:r>
      <w:r w:rsidR="00A92F0B" w:rsidRPr="00A92F0B">
        <w:rPr>
          <w:rFonts w:ascii="Arial" w:hAnsi="Arial" w:cs="Arial"/>
          <w:sz w:val="24"/>
          <w:szCs w:val="24"/>
        </w:rPr>
        <w:t>Electronic resources provide exceptional convenience, allowing legal researchers to access vast information from anywhere with an internet connection. This accessibility is particularly beneficial for those without physical access to extensive law libraries. Electronic databases and search engines enable swift retrieval of legal information, offering advanced search functionalities that save valuable time compared to manual searches through physical texts. Regular updates in these databases reflect the latest legal developments, ensuring researchers have access to the most recent cases and statutes. Moreover, electronic resources facilitate seamless cross-</w:t>
      </w:r>
      <w:r w:rsidR="00A92F0B" w:rsidRPr="00A92F0B">
        <w:rPr>
          <w:rFonts w:ascii="Arial" w:hAnsi="Arial" w:cs="Arial"/>
          <w:sz w:val="24"/>
          <w:szCs w:val="24"/>
        </w:rPr>
        <w:lastRenderedPageBreak/>
        <w:t>referencing between cases, statutes, and secondary sources. Hyperlinks enable researchers to navigate effortlessly between related materials, providing a comprehensive understanding of the legal landscape. These platforms also offer sophisticated search options, allowing users to customi</w:t>
      </w:r>
      <w:r w:rsidR="008705CC">
        <w:rPr>
          <w:rFonts w:ascii="Arial" w:hAnsi="Arial" w:cs="Arial"/>
          <w:sz w:val="24"/>
          <w:szCs w:val="24"/>
        </w:rPr>
        <w:t>s</w:t>
      </w:r>
      <w:r w:rsidR="00A92F0B" w:rsidRPr="00A92F0B">
        <w:rPr>
          <w:rFonts w:ascii="Arial" w:hAnsi="Arial" w:cs="Arial"/>
          <w:sz w:val="24"/>
          <w:szCs w:val="24"/>
        </w:rPr>
        <w:t>e queries and apply filters for more precise results, ultimately increasing efficiency and reducing expenses for legal firms (Rich, 2013).</w:t>
      </w:r>
    </w:p>
    <w:p w14:paraId="08C75974" w14:textId="7B86734B" w:rsidR="000F3A3F" w:rsidRDefault="000F3A3F" w:rsidP="00502034">
      <w:pPr>
        <w:rPr>
          <w:rFonts w:ascii="Arial" w:hAnsi="Arial" w:cs="Arial"/>
          <w:sz w:val="24"/>
          <w:szCs w:val="24"/>
        </w:rPr>
      </w:pPr>
      <w:r w:rsidRPr="00502034">
        <w:rPr>
          <w:rFonts w:ascii="Arial" w:hAnsi="Arial" w:cs="Arial"/>
          <w:sz w:val="24"/>
          <w:szCs w:val="24"/>
        </w:rPr>
        <w:t>Traditional legal resources are often confined to specific physical locations, such as law libraries. This limitation may hinder the ability of researchers to access necessary materials, particularly if they are not in close proximity to a comprehensive law library.</w:t>
      </w:r>
      <w:r>
        <w:rPr>
          <w:rFonts w:ascii="Arial" w:hAnsi="Arial" w:cs="Arial"/>
          <w:sz w:val="24"/>
          <w:szCs w:val="24"/>
        </w:rPr>
        <w:t xml:space="preserve"> </w:t>
      </w:r>
      <w:r w:rsidRPr="005670FA">
        <w:rPr>
          <w:rFonts w:ascii="Arial" w:hAnsi="Arial" w:cs="Arial"/>
          <w:sz w:val="24"/>
          <w:szCs w:val="24"/>
        </w:rPr>
        <w:t>Physical libraries and archives may have limited operating hours, and access to certain resources may require a visit to specific locations. This limitation can be a barrier for researchers who are not geographically close to these facilities.</w:t>
      </w:r>
      <w:r>
        <w:rPr>
          <w:rFonts w:ascii="Arial" w:hAnsi="Arial" w:cs="Arial"/>
          <w:sz w:val="24"/>
          <w:szCs w:val="24"/>
        </w:rPr>
        <w:t xml:space="preserve"> </w:t>
      </w:r>
      <w:r w:rsidRPr="00502034">
        <w:rPr>
          <w:rFonts w:ascii="Arial" w:hAnsi="Arial" w:cs="Arial"/>
          <w:sz w:val="24"/>
          <w:szCs w:val="24"/>
        </w:rPr>
        <w:t>Manual searches through physical texts can be time-consuming, especially when compared to the speed and efficiency of electronic searches. This can be a significant drawback in situations where time is of the essence.</w:t>
      </w:r>
      <w:r>
        <w:rPr>
          <w:rFonts w:ascii="Arial" w:hAnsi="Arial" w:cs="Arial"/>
          <w:sz w:val="24"/>
          <w:szCs w:val="24"/>
        </w:rPr>
        <w:t xml:space="preserve"> </w:t>
      </w:r>
      <w:r w:rsidRPr="008B6952">
        <w:rPr>
          <w:rFonts w:ascii="Arial" w:hAnsi="Arial" w:cs="Arial"/>
          <w:sz w:val="24"/>
          <w:szCs w:val="24"/>
        </w:rPr>
        <w:t>Print materials may not be as up-to-date as online databases. Legal rules and interpretations can change, and relying on outdated information may lead to inaccuracies in research.</w:t>
      </w:r>
      <w:r>
        <w:rPr>
          <w:rFonts w:ascii="Arial" w:hAnsi="Arial" w:cs="Arial"/>
          <w:sz w:val="24"/>
          <w:szCs w:val="24"/>
        </w:rPr>
        <w:t xml:space="preserve"> </w:t>
      </w:r>
      <w:r w:rsidRPr="006106A0">
        <w:rPr>
          <w:rFonts w:ascii="Arial" w:hAnsi="Arial" w:cs="Arial"/>
          <w:sz w:val="24"/>
          <w:szCs w:val="24"/>
        </w:rPr>
        <w:t>Physical storage of extensive legal collections can be a challenge for libraries and researchers. Books, case reporters, and other materials require space, and maintaining large collections can be costly.</w:t>
      </w:r>
      <w:r>
        <w:rPr>
          <w:rFonts w:ascii="Arial" w:hAnsi="Arial" w:cs="Arial"/>
          <w:sz w:val="24"/>
          <w:szCs w:val="24"/>
        </w:rPr>
        <w:t xml:space="preserve"> </w:t>
      </w:r>
      <w:r w:rsidRPr="006106A0">
        <w:rPr>
          <w:rFonts w:ascii="Arial" w:hAnsi="Arial" w:cs="Arial"/>
          <w:sz w:val="24"/>
          <w:szCs w:val="24"/>
        </w:rPr>
        <w:t>Traditional methods offer limited search capabilities compared to digital platforms. Online databases allow for keyword searches, advanced filters, and other search features that significantly enhance research efficiency.</w:t>
      </w:r>
      <w:r>
        <w:rPr>
          <w:rFonts w:ascii="Arial" w:hAnsi="Arial" w:cs="Arial"/>
          <w:sz w:val="24"/>
          <w:szCs w:val="24"/>
        </w:rPr>
        <w:t xml:space="preserve"> </w:t>
      </w:r>
      <w:r w:rsidRPr="00572AE1">
        <w:rPr>
          <w:rFonts w:ascii="Arial" w:hAnsi="Arial" w:cs="Arial"/>
          <w:sz w:val="24"/>
          <w:szCs w:val="24"/>
        </w:rPr>
        <w:t>Acquiring a comprehensive collection of legal materials in print can be expensive. Books, treatises, and case reporters often come with substantial costs, making them less accessible to individuals or organizations with budget constraints.</w:t>
      </w:r>
      <w:r>
        <w:rPr>
          <w:rFonts w:ascii="Arial" w:hAnsi="Arial" w:cs="Arial"/>
          <w:sz w:val="24"/>
          <w:szCs w:val="24"/>
        </w:rPr>
        <w:t xml:space="preserve"> </w:t>
      </w:r>
      <w:r w:rsidRPr="00F5490D">
        <w:rPr>
          <w:rFonts w:ascii="Arial" w:hAnsi="Arial" w:cs="Arial"/>
          <w:sz w:val="24"/>
          <w:szCs w:val="24"/>
        </w:rPr>
        <w:t>Researchers relying on traditional resources may need to wait for interlibrary loans to access specific materials not available in their local libraries. This can introduce delays in the research process.</w:t>
      </w:r>
      <w:r>
        <w:rPr>
          <w:rFonts w:ascii="Arial" w:hAnsi="Arial" w:cs="Arial"/>
          <w:sz w:val="24"/>
          <w:szCs w:val="24"/>
        </w:rPr>
        <w:t xml:space="preserve"> </w:t>
      </w:r>
      <w:r w:rsidRPr="008863D7">
        <w:rPr>
          <w:rFonts w:ascii="Arial" w:hAnsi="Arial" w:cs="Arial"/>
          <w:sz w:val="24"/>
          <w:szCs w:val="24"/>
        </w:rPr>
        <w:t>The production and distribution of print materials contribute to environmental concerns. Digital resources are often considered more environmentally friendly as they reduce the need for paper and physical storage.</w:t>
      </w:r>
      <w:r>
        <w:rPr>
          <w:rFonts w:ascii="Arial" w:hAnsi="Arial" w:cs="Arial"/>
          <w:sz w:val="24"/>
          <w:szCs w:val="24"/>
        </w:rPr>
        <w:t xml:space="preserve"> </w:t>
      </w:r>
      <w:r w:rsidRPr="008E4148">
        <w:rPr>
          <w:rFonts w:ascii="Arial" w:hAnsi="Arial" w:cs="Arial"/>
          <w:sz w:val="24"/>
          <w:szCs w:val="24"/>
        </w:rPr>
        <w:t>While traditional legal research methods have certain disadvantages, it's essential to recognize that the legal research landscape has evolved, and many researchers now use a combination of traditional and digital resources to optimize their workflow. The choice between traditional and digital methods often depends on the specific research needs and preferences of the individual researcher.</w:t>
      </w:r>
    </w:p>
    <w:p w14:paraId="1610B70D" w14:textId="60A564C4" w:rsidR="00502034" w:rsidRDefault="00092A3D" w:rsidP="009C28AB">
      <w:pPr>
        <w:rPr>
          <w:rFonts w:ascii="Arial" w:hAnsi="Arial" w:cs="Arial"/>
          <w:sz w:val="24"/>
          <w:szCs w:val="24"/>
        </w:rPr>
      </w:pPr>
      <w:r w:rsidRPr="00092A3D">
        <w:rPr>
          <w:rFonts w:ascii="Arial" w:hAnsi="Arial" w:cs="Arial"/>
          <w:sz w:val="24"/>
          <w:szCs w:val="24"/>
        </w:rPr>
        <w:t xml:space="preserve">However, some contend that despite the </w:t>
      </w:r>
      <w:r w:rsidR="008D3342">
        <w:rPr>
          <w:rFonts w:ascii="Arial" w:hAnsi="Arial" w:cs="Arial"/>
          <w:sz w:val="24"/>
          <w:szCs w:val="24"/>
        </w:rPr>
        <w:t>“</w:t>
      </w:r>
      <w:r w:rsidRPr="00092A3D">
        <w:rPr>
          <w:rFonts w:ascii="Arial" w:hAnsi="Arial" w:cs="Arial"/>
          <w:sz w:val="24"/>
          <w:szCs w:val="24"/>
        </w:rPr>
        <w:t>digital jungle</w:t>
      </w:r>
      <w:r w:rsidR="008D3342">
        <w:rPr>
          <w:rFonts w:ascii="Arial" w:hAnsi="Arial" w:cs="Arial"/>
          <w:sz w:val="24"/>
          <w:szCs w:val="24"/>
        </w:rPr>
        <w:t>”</w:t>
      </w:r>
      <w:r w:rsidRPr="00092A3D">
        <w:rPr>
          <w:rFonts w:ascii="Arial" w:hAnsi="Arial" w:cs="Arial"/>
          <w:sz w:val="24"/>
          <w:szCs w:val="24"/>
        </w:rPr>
        <w:t xml:space="preserve">, hard copy resources still have a place. Many lawyers still </w:t>
      </w:r>
      <w:r w:rsidR="008D3342" w:rsidRPr="00092A3D">
        <w:rPr>
          <w:rFonts w:ascii="Arial" w:hAnsi="Arial" w:cs="Arial"/>
          <w:sz w:val="24"/>
          <w:szCs w:val="24"/>
        </w:rPr>
        <w:t>always carry a well-worn copy of their favourite textbook with them</w:t>
      </w:r>
      <w:r w:rsidRPr="00092A3D">
        <w:rPr>
          <w:rFonts w:ascii="Arial" w:hAnsi="Arial" w:cs="Arial"/>
          <w:sz w:val="24"/>
          <w:szCs w:val="24"/>
        </w:rPr>
        <w:t>. Textbooks and secondary materials are priceless resources that are frequently unavailable online. Others point out that, although if "googling" is now a recognised verb, it doesn't necessarily yield accurate or dependable legal information, and that the licencing fees connected with internet research platforms may not always be acceptable to solo practitioners or smaller companies</w:t>
      </w:r>
      <w:r>
        <w:rPr>
          <w:rFonts w:ascii="Arial" w:hAnsi="Arial" w:cs="Arial"/>
          <w:sz w:val="24"/>
          <w:szCs w:val="24"/>
        </w:rPr>
        <w:t xml:space="preserve"> (</w:t>
      </w:r>
      <w:r w:rsidR="00B07D22">
        <w:rPr>
          <w:rFonts w:ascii="Arial" w:hAnsi="Arial" w:cs="Arial"/>
          <w:sz w:val="24"/>
          <w:szCs w:val="24"/>
        </w:rPr>
        <w:t xml:space="preserve">Rich, 2013). </w:t>
      </w:r>
      <w:r w:rsidR="009C28AB" w:rsidRPr="009C28AB">
        <w:rPr>
          <w:rFonts w:ascii="Arial" w:hAnsi="Arial" w:cs="Arial"/>
          <w:sz w:val="24"/>
          <w:szCs w:val="24"/>
        </w:rPr>
        <w:t>According to the LexisNexis 2022 Bellwether survey, 74% of lawyers use Google for research</w:t>
      </w:r>
      <w:r w:rsidR="009C28AB">
        <w:rPr>
          <w:rFonts w:ascii="Arial" w:hAnsi="Arial" w:cs="Arial"/>
          <w:sz w:val="24"/>
          <w:szCs w:val="24"/>
        </w:rPr>
        <w:t xml:space="preserve">. </w:t>
      </w:r>
      <w:r w:rsidR="009C28AB" w:rsidRPr="009C28AB">
        <w:rPr>
          <w:rFonts w:ascii="Arial" w:hAnsi="Arial" w:cs="Arial"/>
          <w:sz w:val="24"/>
          <w:szCs w:val="24"/>
        </w:rPr>
        <w:t xml:space="preserve">The issue is that Google frequently offers obsolete and </w:t>
      </w:r>
      <w:r w:rsidR="009C28AB" w:rsidRPr="009C28AB">
        <w:rPr>
          <w:rFonts w:ascii="Arial" w:hAnsi="Arial" w:cs="Arial"/>
          <w:sz w:val="24"/>
          <w:szCs w:val="24"/>
        </w:rPr>
        <w:lastRenderedPageBreak/>
        <w:t xml:space="preserve">untrustworthy information. And that might be troublesome and time-consuming because attorneys and legal counsel will have to verify and cross-check the </w:t>
      </w:r>
      <w:r w:rsidR="00911C6A" w:rsidRPr="009C28AB">
        <w:rPr>
          <w:rFonts w:ascii="Arial" w:hAnsi="Arial" w:cs="Arial"/>
          <w:sz w:val="24"/>
          <w:szCs w:val="24"/>
        </w:rPr>
        <w:t>information,</w:t>
      </w:r>
      <w:r w:rsidR="009C28AB" w:rsidRPr="009C28AB">
        <w:rPr>
          <w:rFonts w:ascii="Arial" w:hAnsi="Arial" w:cs="Arial"/>
          <w:sz w:val="24"/>
          <w:szCs w:val="24"/>
        </w:rPr>
        <w:t xml:space="preserve"> they discover to make sure it is accurate or to determine that it is not</w:t>
      </w:r>
      <w:r w:rsidR="00911C6A">
        <w:rPr>
          <w:rFonts w:ascii="Arial" w:hAnsi="Arial" w:cs="Arial"/>
          <w:sz w:val="24"/>
          <w:szCs w:val="24"/>
        </w:rPr>
        <w:t xml:space="preserve"> (Brown, 2023). </w:t>
      </w:r>
      <w:r w:rsidR="005D1A5B">
        <w:rPr>
          <w:rFonts w:ascii="Arial" w:hAnsi="Arial" w:cs="Arial"/>
          <w:sz w:val="24"/>
          <w:szCs w:val="24"/>
        </w:rPr>
        <w:t xml:space="preserve">While </w:t>
      </w:r>
      <w:r w:rsidR="00502034" w:rsidRPr="00502034">
        <w:rPr>
          <w:rFonts w:ascii="Arial" w:hAnsi="Arial" w:cs="Arial"/>
          <w:sz w:val="24"/>
          <w:szCs w:val="24"/>
        </w:rPr>
        <w:t>many legal databases require subscription fees, access to some electronic resources may be restricted due to licensing agreements. This can pose financial barriers for smaller law firms or researchers with limited budgets.</w:t>
      </w:r>
      <w:r w:rsidR="005D1A5B">
        <w:rPr>
          <w:rFonts w:ascii="Arial" w:hAnsi="Arial" w:cs="Arial"/>
          <w:sz w:val="24"/>
          <w:szCs w:val="24"/>
        </w:rPr>
        <w:t xml:space="preserve"> </w:t>
      </w:r>
      <w:r w:rsidR="00502034" w:rsidRPr="00502034">
        <w:rPr>
          <w:rFonts w:ascii="Arial" w:hAnsi="Arial" w:cs="Arial"/>
          <w:sz w:val="24"/>
          <w:szCs w:val="24"/>
        </w:rPr>
        <w:t>Electronic resources are susceptible to technical issues, such as server outages, software glitches, or cybersecurity threats. Reliance on technology leaves researchers vulnerable to disruptions that may impede their ability to access critical legal information.</w:t>
      </w:r>
      <w:r w:rsidR="009B5C55">
        <w:rPr>
          <w:rFonts w:ascii="Arial" w:hAnsi="Arial" w:cs="Arial"/>
          <w:sz w:val="24"/>
          <w:szCs w:val="24"/>
        </w:rPr>
        <w:t xml:space="preserve"> </w:t>
      </w:r>
      <w:r w:rsidR="00502034" w:rsidRPr="00502034">
        <w:rPr>
          <w:rFonts w:ascii="Arial" w:hAnsi="Arial" w:cs="Arial"/>
          <w:sz w:val="24"/>
          <w:szCs w:val="24"/>
        </w:rPr>
        <w:t>The abundance of online content does not always guarantee quality. Electronic resources may include unverified or outdated information, requiring researchers to critically assess the reliability of sources.</w:t>
      </w:r>
      <w:r w:rsidR="00E86BD2">
        <w:rPr>
          <w:rFonts w:ascii="Arial" w:hAnsi="Arial" w:cs="Arial"/>
          <w:sz w:val="24"/>
          <w:szCs w:val="24"/>
        </w:rPr>
        <w:t xml:space="preserve"> </w:t>
      </w:r>
      <w:r w:rsidR="00011D14">
        <w:rPr>
          <w:rFonts w:ascii="Arial" w:hAnsi="Arial" w:cs="Arial"/>
          <w:sz w:val="24"/>
          <w:szCs w:val="24"/>
        </w:rPr>
        <w:t>There is also the issue of computer literacy</w:t>
      </w:r>
      <w:r w:rsidR="0031253B">
        <w:rPr>
          <w:rFonts w:ascii="Arial" w:hAnsi="Arial" w:cs="Arial"/>
          <w:sz w:val="24"/>
          <w:szCs w:val="24"/>
        </w:rPr>
        <w:t xml:space="preserve">, as online legal research requires </w:t>
      </w:r>
      <w:r w:rsidR="007972EC">
        <w:rPr>
          <w:rFonts w:ascii="Arial" w:hAnsi="Arial" w:cs="Arial"/>
          <w:sz w:val="24"/>
          <w:szCs w:val="24"/>
        </w:rPr>
        <w:t xml:space="preserve">a basic understanding of how to use </w:t>
      </w:r>
      <w:r w:rsidR="00695208">
        <w:rPr>
          <w:rFonts w:ascii="Arial" w:hAnsi="Arial" w:cs="Arial"/>
          <w:sz w:val="24"/>
          <w:szCs w:val="24"/>
        </w:rPr>
        <w:t>complex databases such as LexisNexis, as well as having the ability to locate resources</w:t>
      </w:r>
      <w:r w:rsidR="003A29E2">
        <w:rPr>
          <w:rFonts w:ascii="Arial" w:hAnsi="Arial" w:cs="Arial"/>
          <w:sz w:val="24"/>
          <w:szCs w:val="24"/>
        </w:rPr>
        <w:t xml:space="preserve"> within those databases (</w:t>
      </w:r>
      <w:r w:rsidR="006915FD">
        <w:rPr>
          <w:rFonts w:ascii="Arial" w:hAnsi="Arial" w:cs="Arial"/>
          <w:sz w:val="24"/>
          <w:szCs w:val="24"/>
        </w:rPr>
        <w:t xml:space="preserve">Kearsley, 2002). </w:t>
      </w:r>
      <w:r w:rsidR="00547D42" w:rsidRPr="00547D42">
        <w:rPr>
          <w:rFonts w:ascii="Arial" w:hAnsi="Arial" w:cs="Arial"/>
          <w:sz w:val="24"/>
          <w:szCs w:val="24"/>
        </w:rPr>
        <w:t xml:space="preserve">Finding sources and resources is a prerequisite to analysis. Due to the vast size of legal research databases, practitioners must conduct effective and efficient searches to guarantee accurate and comprehensive findings. In order to ensure high-quality results, lawyers, paralegals, and law librarians </w:t>
      </w:r>
      <w:r w:rsidR="00392597">
        <w:rPr>
          <w:rFonts w:ascii="Arial" w:hAnsi="Arial" w:cs="Arial"/>
          <w:sz w:val="24"/>
          <w:szCs w:val="24"/>
        </w:rPr>
        <w:t xml:space="preserve">must </w:t>
      </w:r>
      <w:r w:rsidR="00547D42" w:rsidRPr="00547D42">
        <w:rPr>
          <w:rFonts w:ascii="Arial" w:hAnsi="Arial" w:cs="Arial"/>
          <w:sz w:val="24"/>
          <w:szCs w:val="24"/>
        </w:rPr>
        <w:t>possess a thorough understanding of search principles and methodologies</w:t>
      </w:r>
      <w:r w:rsidR="00392597">
        <w:rPr>
          <w:rFonts w:ascii="Arial" w:hAnsi="Arial" w:cs="Arial"/>
          <w:sz w:val="24"/>
          <w:szCs w:val="24"/>
        </w:rPr>
        <w:t xml:space="preserve"> (LexisNexis, </w:t>
      </w:r>
      <w:r w:rsidR="00A61DA1">
        <w:rPr>
          <w:rFonts w:ascii="Arial" w:hAnsi="Arial" w:cs="Arial"/>
          <w:sz w:val="24"/>
          <w:szCs w:val="24"/>
        </w:rPr>
        <w:t xml:space="preserve">2021). </w:t>
      </w:r>
      <w:r w:rsidR="00AE023D" w:rsidRPr="00AE023D">
        <w:rPr>
          <w:rFonts w:ascii="Arial" w:hAnsi="Arial" w:cs="Arial"/>
          <w:sz w:val="24"/>
          <w:szCs w:val="24"/>
        </w:rPr>
        <w:t>While it is advantageous to have access to a broad range of legal material, if law from other jurisdictions isn't filtered out, it can become overwhelming. As a result, it's critical that attorneys and law students understand how to conduct searches within the pertinent jurisdiction. This could be challenging for someone who is not computer literate</w:t>
      </w:r>
      <w:r w:rsidR="00A27D1C">
        <w:rPr>
          <w:rFonts w:ascii="Arial" w:hAnsi="Arial" w:cs="Arial"/>
          <w:sz w:val="24"/>
          <w:szCs w:val="24"/>
        </w:rPr>
        <w:t xml:space="preserve"> (Blechner, 2023). </w:t>
      </w:r>
      <w:r w:rsidR="008E6917" w:rsidRPr="008E6917">
        <w:rPr>
          <w:rFonts w:ascii="Arial" w:hAnsi="Arial" w:cs="Arial"/>
          <w:sz w:val="24"/>
          <w:szCs w:val="24"/>
        </w:rPr>
        <w:t xml:space="preserve">The legal research resources available to </w:t>
      </w:r>
      <w:r w:rsidR="007D5744">
        <w:rPr>
          <w:rFonts w:ascii="Arial" w:hAnsi="Arial" w:cs="Arial"/>
          <w:sz w:val="24"/>
          <w:szCs w:val="24"/>
        </w:rPr>
        <w:t xml:space="preserve">a legal professional </w:t>
      </w:r>
      <w:r w:rsidR="008E6917" w:rsidRPr="008E6917">
        <w:rPr>
          <w:rFonts w:ascii="Arial" w:hAnsi="Arial" w:cs="Arial"/>
          <w:sz w:val="24"/>
          <w:szCs w:val="24"/>
        </w:rPr>
        <w:t>must provide trustworthy court documents and legal records from an up-to-date online law library.</w:t>
      </w:r>
      <w:r w:rsidR="007D5744">
        <w:rPr>
          <w:rFonts w:ascii="Arial" w:hAnsi="Arial" w:cs="Arial"/>
          <w:sz w:val="24"/>
          <w:szCs w:val="24"/>
        </w:rPr>
        <w:t xml:space="preserve"> </w:t>
      </w:r>
      <w:r w:rsidR="007D5744" w:rsidRPr="007D5744">
        <w:rPr>
          <w:rFonts w:ascii="Arial" w:hAnsi="Arial" w:cs="Arial"/>
          <w:sz w:val="24"/>
          <w:szCs w:val="24"/>
        </w:rPr>
        <w:t>Legal practitioners need to be sceptical of internet sources. This might make people doubtful of or unconfident in their research. Any effective legal practi</w:t>
      </w:r>
      <w:r w:rsidR="00103E02">
        <w:rPr>
          <w:rFonts w:ascii="Arial" w:hAnsi="Arial" w:cs="Arial"/>
          <w:sz w:val="24"/>
          <w:szCs w:val="24"/>
        </w:rPr>
        <w:t>c</w:t>
      </w:r>
      <w:r w:rsidR="007D5744" w:rsidRPr="007D5744">
        <w:rPr>
          <w:rFonts w:ascii="Arial" w:hAnsi="Arial" w:cs="Arial"/>
          <w:sz w:val="24"/>
          <w:szCs w:val="24"/>
        </w:rPr>
        <w:t>e must have a trustworthy, dependable source for legal research</w:t>
      </w:r>
      <w:r w:rsidR="00103E02">
        <w:rPr>
          <w:rFonts w:ascii="Arial" w:hAnsi="Arial" w:cs="Arial"/>
          <w:sz w:val="24"/>
          <w:szCs w:val="24"/>
        </w:rPr>
        <w:t xml:space="preserve"> (</w:t>
      </w:r>
      <w:r w:rsidR="004C749F">
        <w:rPr>
          <w:rFonts w:ascii="Arial" w:hAnsi="Arial" w:cs="Arial"/>
          <w:sz w:val="24"/>
          <w:szCs w:val="24"/>
        </w:rPr>
        <w:t xml:space="preserve">LexisNexis, 2020). </w:t>
      </w:r>
    </w:p>
    <w:p w14:paraId="122761CC" w14:textId="40B12D6E" w:rsidR="00516985" w:rsidRPr="00502034" w:rsidRDefault="00FA5E38" w:rsidP="00502034">
      <w:pPr>
        <w:rPr>
          <w:rFonts w:ascii="Arial" w:hAnsi="Arial" w:cs="Arial"/>
          <w:sz w:val="24"/>
          <w:szCs w:val="24"/>
        </w:rPr>
      </w:pPr>
      <w:r>
        <w:rPr>
          <w:rFonts w:ascii="Arial" w:hAnsi="Arial" w:cs="Arial"/>
          <w:sz w:val="24"/>
          <w:szCs w:val="24"/>
        </w:rPr>
        <w:t>I</w:t>
      </w:r>
      <w:r w:rsidRPr="00FA5E38">
        <w:rPr>
          <w:rFonts w:ascii="Arial" w:hAnsi="Arial" w:cs="Arial"/>
          <w:sz w:val="24"/>
          <w:szCs w:val="24"/>
        </w:rPr>
        <w:t>t is essential to recognize the continued relevance of traditional legal resources, such as books and print journals. These sources often provide in-depth analysis and commentary that may not be readily available in electronic formats. Some legal professionals appreciate the tactile experience of working with physical texts, finding comfort and ease in their familiarity.</w:t>
      </w:r>
      <w:r>
        <w:rPr>
          <w:rFonts w:ascii="Arial" w:hAnsi="Arial" w:cs="Arial"/>
          <w:sz w:val="24"/>
          <w:szCs w:val="24"/>
        </w:rPr>
        <w:t xml:space="preserve"> </w:t>
      </w:r>
      <w:r w:rsidR="00E216C4" w:rsidRPr="00E216C4">
        <w:rPr>
          <w:rFonts w:ascii="Arial" w:hAnsi="Arial" w:cs="Arial"/>
          <w:sz w:val="24"/>
          <w:szCs w:val="24"/>
        </w:rPr>
        <w:t xml:space="preserve">Traditional legal research refers to the process of gathering and </w:t>
      </w:r>
      <w:r w:rsidR="00E216C4" w:rsidRPr="00E216C4">
        <w:rPr>
          <w:rFonts w:ascii="Arial" w:hAnsi="Arial" w:cs="Arial"/>
          <w:sz w:val="24"/>
          <w:szCs w:val="24"/>
        </w:rPr>
        <w:t>analysing</w:t>
      </w:r>
      <w:r w:rsidR="00E216C4" w:rsidRPr="00E216C4">
        <w:rPr>
          <w:rFonts w:ascii="Arial" w:hAnsi="Arial" w:cs="Arial"/>
          <w:sz w:val="24"/>
          <w:szCs w:val="24"/>
        </w:rPr>
        <w:t xml:space="preserve"> legal information using traditional print sources, such as books, legal </w:t>
      </w:r>
      <w:r w:rsidR="00E216C4" w:rsidRPr="00E216C4">
        <w:rPr>
          <w:rFonts w:ascii="Arial" w:hAnsi="Arial" w:cs="Arial"/>
          <w:sz w:val="24"/>
          <w:szCs w:val="24"/>
        </w:rPr>
        <w:t>encyclopaedias</w:t>
      </w:r>
      <w:r w:rsidR="00E216C4" w:rsidRPr="00E216C4">
        <w:rPr>
          <w:rFonts w:ascii="Arial" w:hAnsi="Arial" w:cs="Arial"/>
          <w:sz w:val="24"/>
          <w:szCs w:val="24"/>
        </w:rPr>
        <w:t>, statutes, and case law reporters. While digital technology has transformed legal research with the advent of online databases and resources, traditional legal research still offers certain advantages.</w:t>
      </w:r>
      <w:r w:rsidR="004924A7">
        <w:rPr>
          <w:rFonts w:ascii="Arial" w:hAnsi="Arial" w:cs="Arial"/>
          <w:sz w:val="24"/>
          <w:szCs w:val="24"/>
        </w:rPr>
        <w:t xml:space="preserve"> </w:t>
      </w:r>
      <w:r w:rsidR="00502034" w:rsidRPr="00502034">
        <w:rPr>
          <w:rFonts w:ascii="Arial" w:hAnsi="Arial" w:cs="Arial"/>
          <w:sz w:val="24"/>
          <w:szCs w:val="24"/>
        </w:rPr>
        <w:t>Traditional legal resources, such as books and print journals, often provide in-depth analysis and commentary on legal issues. Researchers can delve into comprehensive discussions that may not be readily available in electronic formats.</w:t>
      </w:r>
      <w:r w:rsidR="009B5C55">
        <w:rPr>
          <w:rFonts w:ascii="Arial" w:hAnsi="Arial" w:cs="Arial"/>
          <w:sz w:val="24"/>
          <w:szCs w:val="24"/>
        </w:rPr>
        <w:t xml:space="preserve"> </w:t>
      </w:r>
      <w:r w:rsidR="00502034" w:rsidRPr="00502034">
        <w:rPr>
          <w:rFonts w:ascii="Arial" w:hAnsi="Arial" w:cs="Arial"/>
          <w:sz w:val="24"/>
          <w:szCs w:val="24"/>
        </w:rPr>
        <w:t>Some legal professionals prefer the tactile experience of working with physical texts. The familiarity of traditional resources may offer a sense of comfort and ease, particularly for those who learned and practiced law before the widespread adoption of electronic platforms.</w:t>
      </w:r>
      <w:r w:rsidR="00C33E81">
        <w:rPr>
          <w:rFonts w:ascii="Arial" w:hAnsi="Arial" w:cs="Arial"/>
          <w:sz w:val="24"/>
          <w:szCs w:val="24"/>
        </w:rPr>
        <w:t xml:space="preserve"> </w:t>
      </w:r>
      <w:r w:rsidR="00502034" w:rsidRPr="00502034">
        <w:rPr>
          <w:rFonts w:ascii="Arial" w:hAnsi="Arial" w:cs="Arial"/>
          <w:sz w:val="24"/>
          <w:szCs w:val="24"/>
        </w:rPr>
        <w:t xml:space="preserve">Non-electronic resources are not susceptible to the technical challenges that electronic platforms may face. This ensures uninterrupted access to information, </w:t>
      </w:r>
      <w:r w:rsidR="00502034" w:rsidRPr="00502034">
        <w:rPr>
          <w:rFonts w:ascii="Arial" w:hAnsi="Arial" w:cs="Arial"/>
          <w:sz w:val="24"/>
          <w:szCs w:val="24"/>
        </w:rPr>
        <w:lastRenderedPageBreak/>
        <w:t>even in the absence of electricity or internet connectivity.</w:t>
      </w:r>
      <w:r w:rsidR="00664DF6">
        <w:rPr>
          <w:rFonts w:ascii="Arial" w:hAnsi="Arial" w:cs="Arial"/>
          <w:sz w:val="24"/>
          <w:szCs w:val="24"/>
        </w:rPr>
        <w:t xml:space="preserve"> </w:t>
      </w:r>
      <w:r w:rsidR="00664DF6" w:rsidRPr="00664DF6">
        <w:rPr>
          <w:rFonts w:ascii="Arial" w:hAnsi="Arial" w:cs="Arial"/>
          <w:sz w:val="24"/>
          <w:szCs w:val="24"/>
        </w:rPr>
        <w:t>While digital platforms have become increasingly popular for legal research due to their convenience and efficiency, traditional methods remain relevant for certain aspects of legal scholarship and historical analysis. Researchers often use a combination of both traditional and online resources to conduct thorough legal research.</w:t>
      </w:r>
      <w:r w:rsidR="00F5490D">
        <w:rPr>
          <w:rFonts w:ascii="Arial" w:hAnsi="Arial" w:cs="Arial"/>
          <w:sz w:val="24"/>
          <w:szCs w:val="24"/>
        </w:rPr>
        <w:t xml:space="preserve"> </w:t>
      </w:r>
    </w:p>
    <w:p w14:paraId="7234E58D" w14:textId="720A1E3E" w:rsidR="006915FD" w:rsidRDefault="00262650" w:rsidP="00502034">
      <w:pPr>
        <w:rPr>
          <w:rFonts w:ascii="Arial" w:hAnsi="Arial" w:cs="Arial"/>
          <w:sz w:val="24"/>
          <w:szCs w:val="24"/>
        </w:rPr>
      </w:pPr>
      <w:r w:rsidRPr="00262650">
        <w:rPr>
          <w:rFonts w:ascii="Arial" w:hAnsi="Arial" w:cs="Arial"/>
          <w:sz w:val="24"/>
          <w:szCs w:val="24"/>
        </w:rPr>
        <w:t>In conclusion, the ever-evolving landscape of legal research presents legal practitioners, scholars, and students with a multifaceted choice between electronic and non-electronic resources. As highlighted by Brown (2023), legal research is an indispensable skill for professionals at every level, offering unparalleled access to information, aiding in decision-making through the incorporation of up-to-date facts, and empowering the formulation of persuasive arguments based on the latest data. Electronic resources, with their convenience and efficiency, have revolutionized the legal research process. The ability to access a vast array of information from anywhere with an internet connection is a boon, particularly for those without direct access to extensive law libraries. Advanced search functionalities, regular updates, and seamless cross-referencing between cases and statutes enhance the researcher's ability to navigate the dynamic legal landscape efficiently. However, as we navigate the digital age, traditional legal resources remain relevant, providing a depth of analysis and commentary often absent in electronic formats. The tangible experience of engaging with physical texts, such as books and print journals, can offer a sense of comfort and familiarity, especially for those whose legal education predates the widespread adoption of electronic platforms. A nuanced approach that combines the strengths of both electronic and non-electronic resources emerges as a pragmatic strategy for legal professionals. The ease of electronic access, coupled with the analytical depth of traditional resources, creates a symbiotic relationship. This balanced approach allows researchers to harness the efficiency of electronic searches while benefiting from the comprehensive insights derived from traditional materials. In navigating the complexities of legal research in the 21st century, practitioners must remain adaptable to the evolving tools at their disposal. As technology continues to shape the legal landscape, a thoughtful integration of electronic and non-electronic resources ensures a holistic and effective approach to legal research. This adaptability positions legal professionals to meet the diverse challenges of the legal field, fostering a dynamic and informed legal community that leverages the best of both worlds.</w:t>
      </w:r>
    </w:p>
    <w:p w14:paraId="71EF8240" w14:textId="77777777" w:rsidR="0037429D" w:rsidRDefault="0037429D" w:rsidP="00750DFA">
      <w:pPr>
        <w:jc w:val="center"/>
        <w:rPr>
          <w:rFonts w:ascii="Arial" w:hAnsi="Arial" w:cs="Arial"/>
          <w:sz w:val="24"/>
          <w:szCs w:val="24"/>
        </w:rPr>
      </w:pPr>
    </w:p>
    <w:p w14:paraId="12D56BA7" w14:textId="77777777" w:rsidR="0037429D" w:rsidRDefault="0037429D" w:rsidP="00750DFA">
      <w:pPr>
        <w:jc w:val="center"/>
        <w:rPr>
          <w:rFonts w:ascii="Arial" w:hAnsi="Arial" w:cs="Arial"/>
          <w:sz w:val="24"/>
          <w:szCs w:val="24"/>
        </w:rPr>
      </w:pPr>
    </w:p>
    <w:p w14:paraId="42CFF123" w14:textId="77777777" w:rsidR="0037429D" w:rsidRDefault="0037429D" w:rsidP="00750DFA">
      <w:pPr>
        <w:jc w:val="center"/>
        <w:rPr>
          <w:rFonts w:ascii="Arial" w:hAnsi="Arial" w:cs="Arial"/>
          <w:sz w:val="24"/>
          <w:szCs w:val="24"/>
        </w:rPr>
      </w:pPr>
    </w:p>
    <w:p w14:paraId="20DB5D1C" w14:textId="77777777" w:rsidR="00664DF6" w:rsidRDefault="00664DF6" w:rsidP="00750DFA">
      <w:pPr>
        <w:jc w:val="center"/>
        <w:rPr>
          <w:rFonts w:ascii="Arial" w:hAnsi="Arial" w:cs="Arial"/>
          <w:sz w:val="24"/>
          <w:szCs w:val="24"/>
        </w:rPr>
      </w:pPr>
    </w:p>
    <w:p w14:paraId="1961D77B" w14:textId="77777777" w:rsidR="00664DF6" w:rsidRDefault="00664DF6" w:rsidP="00750DFA">
      <w:pPr>
        <w:jc w:val="center"/>
        <w:rPr>
          <w:rFonts w:ascii="Arial" w:hAnsi="Arial" w:cs="Arial"/>
          <w:sz w:val="24"/>
          <w:szCs w:val="24"/>
        </w:rPr>
      </w:pPr>
    </w:p>
    <w:p w14:paraId="2B08D0E2" w14:textId="77777777" w:rsidR="00664DF6" w:rsidRDefault="00664DF6" w:rsidP="00750DFA">
      <w:pPr>
        <w:jc w:val="center"/>
        <w:rPr>
          <w:rFonts w:ascii="Arial" w:hAnsi="Arial" w:cs="Arial"/>
          <w:sz w:val="24"/>
          <w:szCs w:val="24"/>
        </w:rPr>
      </w:pPr>
    </w:p>
    <w:p w14:paraId="61428E99" w14:textId="77777777" w:rsidR="00664DF6" w:rsidRDefault="00664DF6" w:rsidP="00750DFA">
      <w:pPr>
        <w:jc w:val="center"/>
        <w:rPr>
          <w:rFonts w:ascii="Arial" w:hAnsi="Arial" w:cs="Arial"/>
          <w:sz w:val="24"/>
          <w:szCs w:val="24"/>
        </w:rPr>
      </w:pPr>
    </w:p>
    <w:p w14:paraId="5D2B8BEC" w14:textId="77777777" w:rsidR="000603DA" w:rsidRDefault="000603DA" w:rsidP="000603DA">
      <w:pPr>
        <w:rPr>
          <w:rFonts w:ascii="Arial" w:hAnsi="Arial" w:cs="Arial"/>
          <w:sz w:val="24"/>
          <w:szCs w:val="24"/>
        </w:rPr>
      </w:pPr>
    </w:p>
    <w:p w14:paraId="17CBD656" w14:textId="4014130C" w:rsidR="006915FD" w:rsidRDefault="006915FD" w:rsidP="000603DA">
      <w:pPr>
        <w:jc w:val="center"/>
        <w:rPr>
          <w:rFonts w:ascii="Arial" w:hAnsi="Arial" w:cs="Arial"/>
          <w:sz w:val="24"/>
          <w:szCs w:val="24"/>
        </w:rPr>
      </w:pPr>
      <w:r>
        <w:rPr>
          <w:rFonts w:ascii="Arial" w:hAnsi="Arial" w:cs="Arial"/>
          <w:sz w:val="24"/>
          <w:szCs w:val="24"/>
        </w:rPr>
        <w:lastRenderedPageBreak/>
        <w:t>References</w:t>
      </w:r>
    </w:p>
    <w:p w14:paraId="0E3E8B30" w14:textId="761C31AE" w:rsidR="006915FD" w:rsidRDefault="006915FD" w:rsidP="00502034">
      <w:pPr>
        <w:rPr>
          <w:rFonts w:ascii="Arial" w:hAnsi="Arial" w:cs="Arial"/>
          <w:sz w:val="24"/>
          <w:szCs w:val="24"/>
        </w:rPr>
      </w:pPr>
      <w:r>
        <w:rPr>
          <w:rFonts w:ascii="Arial" w:hAnsi="Arial" w:cs="Arial"/>
          <w:sz w:val="24"/>
          <w:szCs w:val="24"/>
        </w:rPr>
        <w:t xml:space="preserve">Kearsley, G. </w:t>
      </w:r>
      <w:r w:rsidR="00F331C9">
        <w:rPr>
          <w:rFonts w:ascii="Arial" w:hAnsi="Arial" w:cs="Arial"/>
          <w:sz w:val="24"/>
          <w:szCs w:val="24"/>
        </w:rPr>
        <w:t xml:space="preserve">(2002) </w:t>
      </w:r>
      <w:r w:rsidR="003A484E">
        <w:rPr>
          <w:rFonts w:ascii="Arial" w:hAnsi="Arial" w:cs="Arial"/>
          <w:sz w:val="24"/>
          <w:szCs w:val="24"/>
        </w:rPr>
        <w:t>‘</w:t>
      </w:r>
      <w:r w:rsidR="00F331C9">
        <w:rPr>
          <w:rFonts w:ascii="Arial" w:hAnsi="Arial" w:cs="Arial"/>
          <w:sz w:val="24"/>
          <w:szCs w:val="24"/>
        </w:rPr>
        <w:t>Is Online Learning for Everybody?</w:t>
      </w:r>
      <w:r w:rsidR="003A484E">
        <w:rPr>
          <w:rFonts w:ascii="Arial" w:hAnsi="Arial" w:cs="Arial"/>
          <w:sz w:val="24"/>
          <w:szCs w:val="24"/>
        </w:rPr>
        <w:t>’</w:t>
      </w:r>
      <w:r w:rsidR="007D7AB4">
        <w:rPr>
          <w:rFonts w:ascii="Arial" w:hAnsi="Arial" w:cs="Arial"/>
          <w:sz w:val="24"/>
          <w:szCs w:val="24"/>
        </w:rPr>
        <w:t xml:space="preserve">, </w:t>
      </w:r>
      <w:r w:rsidR="007D7AB4" w:rsidRPr="00750DFA">
        <w:rPr>
          <w:rFonts w:ascii="Arial" w:hAnsi="Arial" w:cs="Arial"/>
          <w:i/>
          <w:iCs/>
          <w:sz w:val="24"/>
          <w:szCs w:val="24"/>
        </w:rPr>
        <w:t>Educational Technology</w:t>
      </w:r>
      <w:r w:rsidR="00750DFA">
        <w:rPr>
          <w:rFonts w:ascii="Arial" w:hAnsi="Arial" w:cs="Arial"/>
          <w:sz w:val="24"/>
          <w:szCs w:val="24"/>
        </w:rPr>
        <w:t>, 42(1), pp.41-44.</w:t>
      </w:r>
    </w:p>
    <w:p w14:paraId="5DF1F0F7" w14:textId="42B4EEA6" w:rsidR="00750DFA" w:rsidRDefault="0058174D" w:rsidP="00502034">
      <w:pPr>
        <w:rPr>
          <w:rFonts w:ascii="Arial" w:hAnsi="Arial" w:cs="Arial"/>
          <w:sz w:val="24"/>
          <w:szCs w:val="24"/>
        </w:rPr>
      </w:pPr>
      <w:r>
        <w:rPr>
          <w:rFonts w:ascii="Arial" w:hAnsi="Arial" w:cs="Arial"/>
          <w:sz w:val="24"/>
          <w:szCs w:val="24"/>
        </w:rPr>
        <w:t xml:space="preserve">Rich, E. (2013) </w:t>
      </w:r>
      <w:r w:rsidR="00014D96" w:rsidRPr="001160FD">
        <w:rPr>
          <w:rFonts w:ascii="Arial" w:hAnsi="Arial" w:cs="Arial"/>
          <w:i/>
          <w:iCs/>
          <w:sz w:val="24"/>
          <w:szCs w:val="24"/>
        </w:rPr>
        <w:t>The Digital Revolution: Online vs. Hard Copy Legal Research</w:t>
      </w:r>
      <w:r w:rsidR="00014D96">
        <w:rPr>
          <w:rFonts w:ascii="Arial" w:hAnsi="Arial" w:cs="Arial"/>
          <w:sz w:val="24"/>
          <w:szCs w:val="24"/>
        </w:rPr>
        <w:t xml:space="preserve">. Available at: </w:t>
      </w:r>
      <w:hyperlink r:id="rId8" w:history="1">
        <w:r w:rsidR="00014D96" w:rsidRPr="00A55C63">
          <w:rPr>
            <w:rStyle w:val="Hyperlink"/>
            <w:rFonts w:ascii="Arial" w:hAnsi="Arial" w:cs="Arial"/>
            <w:sz w:val="24"/>
            <w:szCs w:val="24"/>
          </w:rPr>
          <w:t>https://insight.thomsonreuters.com.au/legal/posts/the-digital-revolution-online-v-hardcopy-legal-research</w:t>
        </w:r>
      </w:hyperlink>
      <w:r w:rsidR="00014D96">
        <w:rPr>
          <w:rFonts w:ascii="Arial" w:hAnsi="Arial" w:cs="Arial"/>
          <w:sz w:val="24"/>
          <w:szCs w:val="24"/>
        </w:rPr>
        <w:t xml:space="preserve"> (Accessed: 0</w:t>
      </w:r>
      <w:r w:rsidR="001160FD">
        <w:rPr>
          <w:rFonts w:ascii="Arial" w:hAnsi="Arial" w:cs="Arial"/>
          <w:sz w:val="24"/>
          <w:szCs w:val="24"/>
        </w:rPr>
        <w:t xml:space="preserve">7 December 2023). </w:t>
      </w:r>
    </w:p>
    <w:p w14:paraId="23A5607A" w14:textId="65C4BA9C" w:rsidR="001443F5" w:rsidRDefault="001443F5" w:rsidP="00502034">
      <w:pPr>
        <w:rPr>
          <w:rFonts w:ascii="Arial" w:hAnsi="Arial" w:cs="Arial"/>
          <w:sz w:val="24"/>
          <w:szCs w:val="24"/>
        </w:rPr>
      </w:pPr>
      <w:r>
        <w:rPr>
          <w:rFonts w:ascii="Arial" w:hAnsi="Arial" w:cs="Arial"/>
          <w:sz w:val="24"/>
          <w:szCs w:val="24"/>
        </w:rPr>
        <w:t>Thomson Reuters</w:t>
      </w:r>
      <w:r w:rsidR="00E319CD">
        <w:rPr>
          <w:rFonts w:ascii="Arial" w:hAnsi="Arial" w:cs="Arial"/>
          <w:sz w:val="24"/>
          <w:szCs w:val="24"/>
        </w:rPr>
        <w:t xml:space="preserve"> (2022) </w:t>
      </w:r>
      <w:r w:rsidR="001A6406" w:rsidRPr="009D7C31">
        <w:rPr>
          <w:rFonts w:ascii="Arial" w:hAnsi="Arial" w:cs="Arial"/>
          <w:i/>
          <w:iCs/>
          <w:sz w:val="24"/>
          <w:szCs w:val="24"/>
        </w:rPr>
        <w:t>The Evolution of Legal Research</w:t>
      </w:r>
      <w:r w:rsidR="001A6406">
        <w:rPr>
          <w:rFonts w:ascii="Arial" w:hAnsi="Arial" w:cs="Arial"/>
          <w:sz w:val="24"/>
          <w:szCs w:val="24"/>
        </w:rPr>
        <w:t xml:space="preserve">. </w:t>
      </w:r>
      <w:r w:rsidR="009D7C31">
        <w:rPr>
          <w:rFonts w:ascii="Arial" w:hAnsi="Arial" w:cs="Arial"/>
          <w:sz w:val="24"/>
          <w:szCs w:val="24"/>
        </w:rPr>
        <w:t xml:space="preserve">Available at: </w:t>
      </w:r>
      <w:hyperlink r:id="rId9" w:history="1">
        <w:r w:rsidR="009D7C31" w:rsidRPr="00A55C63">
          <w:rPr>
            <w:rStyle w:val="Hyperlink"/>
            <w:rFonts w:ascii="Arial" w:hAnsi="Arial" w:cs="Arial"/>
            <w:sz w:val="24"/>
            <w:szCs w:val="24"/>
          </w:rPr>
          <w:t>https://legal.thomsonreuters.com/blog/the-evolution-of-legal-research/</w:t>
        </w:r>
      </w:hyperlink>
      <w:r w:rsidR="009D7C31">
        <w:rPr>
          <w:rFonts w:ascii="Arial" w:hAnsi="Arial" w:cs="Arial"/>
          <w:sz w:val="24"/>
          <w:szCs w:val="24"/>
        </w:rPr>
        <w:t xml:space="preserve"> (Accessed: 07 December 2023). </w:t>
      </w:r>
    </w:p>
    <w:p w14:paraId="0843E690" w14:textId="4D836732" w:rsidR="00502034" w:rsidRDefault="00A61DA1">
      <w:pPr>
        <w:rPr>
          <w:rFonts w:ascii="Arial" w:hAnsi="Arial" w:cs="Arial"/>
          <w:sz w:val="24"/>
          <w:szCs w:val="24"/>
        </w:rPr>
      </w:pPr>
      <w:r>
        <w:rPr>
          <w:rFonts w:ascii="Arial" w:hAnsi="Arial" w:cs="Arial"/>
          <w:sz w:val="24"/>
          <w:szCs w:val="24"/>
        </w:rPr>
        <w:t xml:space="preserve">LexisNexis (2021) </w:t>
      </w:r>
      <w:r w:rsidR="00F8146F" w:rsidRPr="00F8146F">
        <w:rPr>
          <w:rFonts w:ascii="Arial" w:hAnsi="Arial" w:cs="Arial"/>
          <w:i/>
          <w:iCs/>
          <w:sz w:val="24"/>
          <w:szCs w:val="24"/>
        </w:rPr>
        <w:t>The Future of Online Legal Research</w:t>
      </w:r>
      <w:r w:rsidR="00F8146F">
        <w:rPr>
          <w:rFonts w:ascii="Arial" w:hAnsi="Arial" w:cs="Arial"/>
          <w:sz w:val="24"/>
          <w:szCs w:val="24"/>
        </w:rPr>
        <w:t xml:space="preserve">. Available at: </w:t>
      </w:r>
      <w:hyperlink r:id="rId10" w:history="1">
        <w:r w:rsidR="00F8146F" w:rsidRPr="00A55C63">
          <w:rPr>
            <w:rStyle w:val="Hyperlink"/>
            <w:rFonts w:ascii="Arial" w:hAnsi="Arial" w:cs="Arial"/>
            <w:sz w:val="24"/>
            <w:szCs w:val="24"/>
          </w:rPr>
          <w:t>https://www.lexisnexis.com/community/insights/legal/b/thought-leadership/posts/the-future-of-online-legal-research</w:t>
        </w:r>
      </w:hyperlink>
      <w:r w:rsidR="00F8146F">
        <w:rPr>
          <w:rFonts w:ascii="Arial" w:hAnsi="Arial" w:cs="Arial"/>
          <w:sz w:val="24"/>
          <w:szCs w:val="24"/>
        </w:rPr>
        <w:t xml:space="preserve"> (Accessed: 07 December 2023). </w:t>
      </w:r>
    </w:p>
    <w:p w14:paraId="2D0B824E" w14:textId="4C695E35" w:rsidR="00C872B5" w:rsidRDefault="00C872B5">
      <w:pPr>
        <w:rPr>
          <w:rFonts w:ascii="Arial" w:hAnsi="Arial" w:cs="Arial"/>
          <w:sz w:val="24"/>
          <w:szCs w:val="24"/>
        </w:rPr>
      </w:pPr>
      <w:r>
        <w:rPr>
          <w:rFonts w:ascii="Arial" w:hAnsi="Arial" w:cs="Arial"/>
          <w:sz w:val="24"/>
          <w:szCs w:val="24"/>
        </w:rPr>
        <w:t xml:space="preserve">Brown, D. (2023) </w:t>
      </w:r>
      <w:r w:rsidR="0037429D" w:rsidRPr="0037429D">
        <w:rPr>
          <w:rFonts w:ascii="Arial" w:hAnsi="Arial" w:cs="Arial"/>
          <w:i/>
          <w:iCs/>
          <w:sz w:val="24"/>
          <w:szCs w:val="24"/>
        </w:rPr>
        <w:t>The Ultimate Guide to Conducting Legal Research</w:t>
      </w:r>
      <w:r w:rsidR="0037429D">
        <w:rPr>
          <w:rFonts w:ascii="Arial" w:hAnsi="Arial" w:cs="Arial"/>
          <w:sz w:val="24"/>
          <w:szCs w:val="24"/>
        </w:rPr>
        <w:t xml:space="preserve">. Available at: </w:t>
      </w:r>
      <w:hyperlink r:id="rId11" w:history="1">
        <w:r w:rsidR="0037429D" w:rsidRPr="00A55C63">
          <w:rPr>
            <w:rStyle w:val="Hyperlink"/>
            <w:rFonts w:ascii="Arial" w:hAnsi="Arial" w:cs="Arial"/>
            <w:sz w:val="24"/>
            <w:szCs w:val="24"/>
          </w:rPr>
          <w:t>https://www.lexisnexis.co.uk/blog/future-of-law/the-ultimate-guide-to-conducting-legal-research</w:t>
        </w:r>
      </w:hyperlink>
      <w:r w:rsidR="0037429D">
        <w:rPr>
          <w:rFonts w:ascii="Arial" w:hAnsi="Arial" w:cs="Arial"/>
          <w:sz w:val="24"/>
          <w:szCs w:val="24"/>
        </w:rPr>
        <w:t xml:space="preserve"> (Accessed: 07 December 2023). </w:t>
      </w:r>
    </w:p>
    <w:p w14:paraId="1A405D8A" w14:textId="3E370B14" w:rsidR="007E4F79" w:rsidRDefault="007E4F79">
      <w:pPr>
        <w:rPr>
          <w:rFonts w:ascii="Arial" w:hAnsi="Arial" w:cs="Arial"/>
          <w:sz w:val="24"/>
          <w:szCs w:val="24"/>
        </w:rPr>
      </w:pPr>
      <w:r>
        <w:rPr>
          <w:rFonts w:ascii="Arial" w:hAnsi="Arial" w:cs="Arial"/>
          <w:sz w:val="24"/>
          <w:szCs w:val="24"/>
        </w:rPr>
        <w:t xml:space="preserve">LexisNexis (2022) </w:t>
      </w:r>
      <w:r w:rsidR="00575E0B" w:rsidRPr="001F6FBB">
        <w:rPr>
          <w:rFonts w:ascii="Arial" w:hAnsi="Arial" w:cs="Arial"/>
          <w:i/>
          <w:iCs/>
          <w:sz w:val="24"/>
          <w:szCs w:val="24"/>
        </w:rPr>
        <w:t>Bellwether 2022: Transformation Troubles</w:t>
      </w:r>
      <w:r w:rsidR="001F6FBB">
        <w:rPr>
          <w:rFonts w:ascii="Arial" w:hAnsi="Arial" w:cs="Arial"/>
          <w:sz w:val="24"/>
          <w:szCs w:val="24"/>
        </w:rPr>
        <w:t xml:space="preserve">. Available at: </w:t>
      </w:r>
      <w:hyperlink r:id="rId12" w:history="1">
        <w:r w:rsidR="001F6FBB" w:rsidRPr="00A55C63">
          <w:rPr>
            <w:rStyle w:val="Hyperlink"/>
            <w:rFonts w:ascii="Arial" w:hAnsi="Arial" w:cs="Arial"/>
            <w:sz w:val="24"/>
            <w:szCs w:val="24"/>
          </w:rPr>
          <w:t>https://www.lexisnexis.co.uk/research-and-reports/bellwether-2022.html</w:t>
        </w:r>
      </w:hyperlink>
      <w:r w:rsidR="001F6FBB">
        <w:rPr>
          <w:rFonts w:ascii="Arial" w:hAnsi="Arial" w:cs="Arial"/>
          <w:sz w:val="24"/>
          <w:szCs w:val="24"/>
        </w:rPr>
        <w:t xml:space="preserve"> (Accessed: 07 December 2023). </w:t>
      </w:r>
    </w:p>
    <w:p w14:paraId="3DA56FBE" w14:textId="0A2C98F5" w:rsidR="00A27D1C" w:rsidRDefault="00A27D1C">
      <w:pPr>
        <w:rPr>
          <w:rFonts w:ascii="Arial" w:hAnsi="Arial" w:cs="Arial"/>
          <w:sz w:val="24"/>
          <w:szCs w:val="24"/>
        </w:rPr>
      </w:pPr>
      <w:r>
        <w:rPr>
          <w:rFonts w:ascii="Arial" w:hAnsi="Arial" w:cs="Arial"/>
          <w:sz w:val="24"/>
          <w:szCs w:val="24"/>
        </w:rPr>
        <w:t xml:space="preserve">Blechner, </w:t>
      </w:r>
      <w:r w:rsidR="00B45ACC">
        <w:rPr>
          <w:rFonts w:ascii="Arial" w:hAnsi="Arial" w:cs="Arial"/>
          <w:sz w:val="24"/>
          <w:szCs w:val="24"/>
        </w:rPr>
        <w:t xml:space="preserve">A. (2023) </w:t>
      </w:r>
      <w:r w:rsidR="00B45ACC" w:rsidRPr="00781460">
        <w:rPr>
          <w:rFonts w:ascii="Arial" w:hAnsi="Arial" w:cs="Arial"/>
          <w:i/>
          <w:iCs/>
          <w:sz w:val="24"/>
          <w:szCs w:val="24"/>
        </w:rPr>
        <w:t>Legal Research Strategy</w:t>
      </w:r>
      <w:r w:rsidR="00B45ACC">
        <w:rPr>
          <w:rFonts w:ascii="Arial" w:hAnsi="Arial" w:cs="Arial"/>
          <w:sz w:val="24"/>
          <w:szCs w:val="24"/>
        </w:rPr>
        <w:t xml:space="preserve">. Available at: </w:t>
      </w:r>
      <w:hyperlink r:id="rId13" w:history="1">
        <w:r w:rsidR="00781460" w:rsidRPr="00A55C63">
          <w:rPr>
            <w:rStyle w:val="Hyperlink"/>
            <w:rFonts w:ascii="Arial" w:hAnsi="Arial" w:cs="Arial"/>
            <w:sz w:val="24"/>
            <w:szCs w:val="24"/>
          </w:rPr>
          <w:t>https://guides.library.harvard.edu/law/researchstrategy</w:t>
        </w:r>
      </w:hyperlink>
      <w:r w:rsidR="00781460">
        <w:rPr>
          <w:rFonts w:ascii="Arial" w:hAnsi="Arial" w:cs="Arial"/>
          <w:sz w:val="24"/>
          <w:szCs w:val="24"/>
        </w:rPr>
        <w:t xml:space="preserve"> (Accessed: 07 December 2023). </w:t>
      </w:r>
    </w:p>
    <w:p w14:paraId="5B86F73F" w14:textId="3C3D63D2" w:rsidR="004C749F" w:rsidRPr="00C872B5" w:rsidRDefault="004C749F">
      <w:pPr>
        <w:rPr>
          <w:rFonts w:ascii="Arial" w:hAnsi="Arial" w:cs="Arial"/>
          <w:sz w:val="24"/>
          <w:szCs w:val="24"/>
        </w:rPr>
      </w:pPr>
      <w:r>
        <w:rPr>
          <w:rFonts w:ascii="Arial" w:hAnsi="Arial" w:cs="Arial"/>
          <w:sz w:val="24"/>
          <w:szCs w:val="24"/>
        </w:rPr>
        <w:t xml:space="preserve">LexisNexis (2020) </w:t>
      </w:r>
      <w:r w:rsidR="003563B1" w:rsidRPr="00DF59A5">
        <w:rPr>
          <w:rFonts w:ascii="Arial" w:hAnsi="Arial" w:cs="Arial"/>
          <w:i/>
          <w:iCs/>
          <w:sz w:val="24"/>
          <w:szCs w:val="24"/>
        </w:rPr>
        <w:t>Why Attorneys Shouldn’t Use Internet Search Engines for Legal Research</w:t>
      </w:r>
      <w:r w:rsidR="003563B1">
        <w:rPr>
          <w:rFonts w:ascii="Arial" w:hAnsi="Arial" w:cs="Arial"/>
          <w:sz w:val="24"/>
          <w:szCs w:val="24"/>
        </w:rPr>
        <w:t xml:space="preserve">. Available at: </w:t>
      </w:r>
      <w:hyperlink r:id="rId14" w:history="1">
        <w:r w:rsidR="003563B1" w:rsidRPr="00A55C63">
          <w:rPr>
            <w:rStyle w:val="Hyperlink"/>
            <w:rFonts w:ascii="Arial" w:hAnsi="Arial" w:cs="Arial"/>
            <w:sz w:val="24"/>
            <w:szCs w:val="24"/>
          </w:rPr>
          <w:t>https://www.lexisnexis.com/community/insights/legal/b/thought-leadership/posts/why-attorneys-shouldnt-use-internet-search-engines-research</w:t>
        </w:r>
      </w:hyperlink>
      <w:r w:rsidR="003563B1">
        <w:rPr>
          <w:rFonts w:ascii="Arial" w:hAnsi="Arial" w:cs="Arial"/>
          <w:sz w:val="24"/>
          <w:szCs w:val="24"/>
        </w:rPr>
        <w:t xml:space="preserve"> (Accessed: </w:t>
      </w:r>
      <w:r w:rsidR="00DF59A5">
        <w:rPr>
          <w:rFonts w:ascii="Arial" w:hAnsi="Arial" w:cs="Arial"/>
          <w:sz w:val="24"/>
          <w:szCs w:val="24"/>
        </w:rPr>
        <w:t xml:space="preserve">07 December 2023). </w:t>
      </w:r>
    </w:p>
    <w:sectPr w:rsidR="004C749F" w:rsidRPr="00C87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E1AE3"/>
    <w:multiLevelType w:val="multilevel"/>
    <w:tmpl w:val="79B46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CA5E66"/>
    <w:multiLevelType w:val="multilevel"/>
    <w:tmpl w:val="7CCC2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5F200A"/>
    <w:multiLevelType w:val="multilevel"/>
    <w:tmpl w:val="A524E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7165BB"/>
    <w:multiLevelType w:val="multilevel"/>
    <w:tmpl w:val="E2100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0812461">
    <w:abstractNumId w:val="1"/>
  </w:num>
  <w:num w:numId="2" w16cid:durableId="99573211">
    <w:abstractNumId w:val="0"/>
  </w:num>
  <w:num w:numId="3" w16cid:durableId="1650866977">
    <w:abstractNumId w:val="3"/>
  </w:num>
  <w:num w:numId="4" w16cid:durableId="19662340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034"/>
    <w:rsid w:val="00011D14"/>
    <w:rsid w:val="00014D96"/>
    <w:rsid w:val="000603DA"/>
    <w:rsid w:val="00092A3D"/>
    <w:rsid w:val="000F3A3F"/>
    <w:rsid w:val="00103E02"/>
    <w:rsid w:val="001160FD"/>
    <w:rsid w:val="001443F5"/>
    <w:rsid w:val="00144F3B"/>
    <w:rsid w:val="001A6406"/>
    <w:rsid w:val="001C1FE9"/>
    <w:rsid w:val="001F6FBB"/>
    <w:rsid w:val="00262650"/>
    <w:rsid w:val="00273895"/>
    <w:rsid w:val="0031253B"/>
    <w:rsid w:val="00346283"/>
    <w:rsid w:val="003563B1"/>
    <w:rsid w:val="0037429D"/>
    <w:rsid w:val="00392597"/>
    <w:rsid w:val="003A29E2"/>
    <w:rsid w:val="003A484E"/>
    <w:rsid w:val="003F5863"/>
    <w:rsid w:val="004354AB"/>
    <w:rsid w:val="004924A7"/>
    <w:rsid w:val="004A11A2"/>
    <w:rsid w:val="004C749F"/>
    <w:rsid w:val="00502034"/>
    <w:rsid w:val="00516985"/>
    <w:rsid w:val="005255E9"/>
    <w:rsid w:val="00547D42"/>
    <w:rsid w:val="005670FA"/>
    <w:rsid w:val="00572AE1"/>
    <w:rsid w:val="00575E0B"/>
    <w:rsid w:val="0058174D"/>
    <w:rsid w:val="005D1A5B"/>
    <w:rsid w:val="006106A0"/>
    <w:rsid w:val="00664DF6"/>
    <w:rsid w:val="006915FD"/>
    <w:rsid w:val="0069332D"/>
    <w:rsid w:val="00695208"/>
    <w:rsid w:val="006F1126"/>
    <w:rsid w:val="00750DFA"/>
    <w:rsid w:val="00781460"/>
    <w:rsid w:val="007972EC"/>
    <w:rsid w:val="007D5744"/>
    <w:rsid w:val="007D7AB4"/>
    <w:rsid w:val="007E4F79"/>
    <w:rsid w:val="008705CC"/>
    <w:rsid w:val="008863D7"/>
    <w:rsid w:val="008B6952"/>
    <w:rsid w:val="008D3342"/>
    <w:rsid w:val="008E4148"/>
    <w:rsid w:val="008E6917"/>
    <w:rsid w:val="00911C6A"/>
    <w:rsid w:val="00935EED"/>
    <w:rsid w:val="00945B8C"/>
    <w:rsid w:val="009B5C55"/>
    <w:rsid w:val="009C28AB"/>
    <w:rsid w:val="009D7C31"/>
    <w:rsid w:val="00A27D1C"/>
    <w:rsid w:val="00A55237"/>
    <w:rsid w:val="00A61DA1"/>
    <w:rsid w:val="00A644C7"/>
    <w:rsid w:val="00A8113B"/>
    <w:rsid w:val="00A92F0B"/>
    <w:rsid w:val="00A93B14"/>
    <w:rsid w:val="00AE023D"/>
    <w:rsid w:val="00B07D22"/>
    <w:rsid w:val="00B45ACC"/>
    <w:rsid w:val="00BE4D35"/>
    <w:rsid w:val="00C0520E"/>
    <w:rsid w:val="00C33E81"/>
    <w:rsid w:val="00C872B5"/>
    <w:rsid w:val="00D3214F"/>
    <w:rsid w:val="00DC77EF"/>
    <w:rsid w:val="00DF59A5"/>
    <w:rsid w:val="00E216C4"/>
    <w:rsid w:val="00E319CD"/>
    <w:rsid w:val="00E86BD2"/>
    <w:rsid w:val="00EB7268"/>
    <w:rsid w:val="00EF05E1"/>
    <w:rsid w:val="00F331C9"/>
    <w:rsid w:val="00F5490D"/>
    <w:rsid w:val="00F8146F"/>
    <w:rsid w:val="00FA5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7B4E0"/>
  <w15:chartTrackingRefBased/>
  <w15:docId w15:val="{75CDDDFA-78D5-4458-9537-99ABD7AF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20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02034"/>
    <w:rPr>
      <w:b/>
      <w:bCs/>
    </w:rPr>
  </w:style>
  <w:style w:type="character" w:styleId="Hyperlink">
    <w:name w:val="Hyperlink"/>
    <w:basedOn w:val="DefaultParagraphFont"/>
    <w:uiPriority w:val="99"/>
    <w:unhideWhenUsed/>
    <w:rsid w:val="00014D96"/>
    <w:rPr>
      <w:color w:val="0563C1" w:themeColor="hyperlink"/>
      <w:u w:val="single"/>
    </w:rPr>
  </w:style>
  <w:style w:type="character" w:styleId="UnresolvedMention">
    <w:name w:val="Unresolved Mention"/>
    <w:basedOn w:val="DefaultParagraphFont"/>
    <w:uiPriority w:val="99"/>
    <w:semiHidden/>
    <w:unhideWhenUsed/>
    <w:rsid w:val="00014D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27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ight.thomsonreuters.com.au/legal/posts/the-digital-revolution-online-v-hardcopy-legal-research" TargetMode="External"/><Relationship Id="rId13" Type="http://schemas.openxmlformats.org/officeDocument/2006/relationships/hyperlink" Target="https://guides.library.harvard.edu/law/researchstrateg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xisnexis.co.uk/research-and-reports/bellwether-2022.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xisnexis.co.uk/blog/future-of-law/the-ultimate-guide-to-conducting-legal-research"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lexisnexis.com/community/insights/legal/b/thought-leadership/posts/the-future-of-online-legal-research" TargetMode="External"/><Relationship Id="rId4" Type="http://schemas.openxmlformats.org/officeDocument/2006/relationships/numbering" Target="numbering.xml"/><Relationship Id="rId9" Type="http://schemas.openxmlformats.org/officeDocument/2006/relationships/hyperlink" Target="https://legal.thomsonreuters.com/blog/the-evolution-of-legal-research/" TargetMode="External"/><Relationship Id="rId14" Type="http://schemas.openxmlformats.org/officeDocument/2006/relationships/hyperlink" Target="https://www.lexisnexis.com/community/insights/legal/b/thought-leadership/posts/why-attorneys-shouldnt-use-internet-search-engines-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04bba224e801cc79edef9b5eadcd5ab1">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085440466e69737d27e99520925057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7895FB2-F803-4A98-8132-27565D48B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C481B8-2F41-4A11-80A5-F6BCD330BC1A}">
  <ds:schemaRefs>
    <ds:schemaRef ds:uri="http://schemas.microsoft.com/sharepoint/v3/contenttype/forms"/>
  </ds:schemaRefs>
</ds:datastoreItem>
</file>

<file path=customXml/itemProps3.xml><?xml version="1.0" encoding="utf-8"?>
<ds:datastoreItem xmlns:ds="http://schemas.openxmlformats.org/officeDocument/2006/customXml" ds:itemID="{095C598A-734D-49A1-A410-9D68F095BBAF}">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6995</TotalTime>
  <Pages>5</Pages>
  <Words>2381</Words>
  <Characters>13573</Characters>
  <Application>Microsoft Office Word</Application>
  <DocSecurity>0</DocSecurity>
  <Lines>113</Lines>
  <Paragraphs>31</Paragraphs>
  <ScaleCrop>false</ScaleCrop>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Alexandra Olivia Emery (2224078)</dc:creator>
  <cp:keywords/>
  <dc:description/>
  <cp:lastModifiedBy>Phoebe Alexandra Olivia Emery (2224078)</cp:lastModifiedBy>
  <cp:revision>83</cp:revision>
  <dcterms:created xsi:type="dcterms:W3CDTF">2023-11-30T17:09:00Z</dcterms:created>
  <dcterms:modified xsi:type="dcterms:W3CDTF">2023-12-07T12:15:00Z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