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B88B7" w14:textId="77777777" w:rsidR="009E5ECC" w:rsidRPr="009E2403" w:rsidRDefault="009E5ECC" w:rsidP="007F7024">
      <w:pPr>
        <w:jc w:val="center"/>
        <w:rPr>
          <w:rFonts w:ascii="Arial" w:eastAsia="Times New Roman" w:hAnsi="Arial" w:cs="Arial"/>
          <w:b/>
          <w:bCs/>
          <w:sz w:val="32"/>
          <w:szCs w:val="36"/>
        </w:rPr>
      </w:pPr>
      <w:r w:rsidRPr="009E2403">
        <w:rPr>
          <w:rFonts w:ascii="Arial" w:hAnsi="Arial" w:cs="Arial"/>
          <w:noProof/>
          <w:lang w:val="en-US"/>
        </w:rPr>
        <w:t xml:space="preserve"> </w:t>
      </w:r>
      <w:r w:rsidR="007F7024" w:rsidRPr="009E2403">
        <w:rPr>
          <w:rFonts w:ascii="Arial" w:eastAsia="Times New Roman" w:hAnsi="Arial" w:cs="Arial"/>
          <w:b/>
          <w:bCs/>
          <w:sz w:val="32"/>
          <w:szCs w:val="36"/>
        </w:rPr>
        <w:t>University of Wales Trinity Saint David</w:t>
      </w:r>
    </w:p>
    <w:p w14:paraId="66F8B6EF" w14:textId="77777777" w:rsidR="007F7024" w:rsidRPr="009E2403" w:rsidRDefault="007F7024" w:rsidP="000E3733">
      <w:pPr>
        <w:spacing w:line="360" w:lineRule="auto"/>
        <w:jc w:val="center"/>
        <w:rPr>
          <w:rFonts w:ascii="Arial" w:eastAsia="Times New Roman" w:hAnsi="Arial" w:cs="Arial"/>
          <w:b/>
          <w:bCs/>
          <w:sz w:val="32"/>
          <w:szCs w:val="36"/>
        </w:rPr>
      </w:pPr>
      <w:r w:rsidRPr="009E2403">
        <w:rPr>
          <w:rFonts w:ascii="Arial" w:hAnsi="Arial" w:cs="Arial"/>
          <w:noProof/>
          <w:lang w:val="en-US"/>
        </w:rPr>
        <w:drawing>
          <wp:anchor distT="0" distB="0" distL="114300" distR="114300" simplePos="0" relativeHeight="251664384" behindDoc="0" locked="0" layoutInCell="1" allowOverlap="1" wp14:anchorId="11F6EF21" wp14:editId="49407C70">
            <wp:simplePos x="0" y="0"/>
            <wp:positionH relativeFrom="column">
              <wp:posOffset>1718310</wp:posOffset>
            </wp:positionH>
            <wp:positionV relativeFrom="paragraph">
              <wp:posOffset>75565</wp:posOffset>
            </wp:positionV>
            <wp:extent cx="2633345" cy="10572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33345" cy="1057275"/>
                    </a:xfrm>
                    <a:prstGeom prst="rect">
                      <a:avLst/>
                    </a:prstGeom>
                  </pic:spPr>
                </pic:pic>
              </a:graphicData>
            </a:graphic>
            <wp14:sizeRelH relativeFrom="page">
              <wp14:pctWidth>0</wp14:pctWidth>
            </wp14:sizeRelH>
            <wp14:sizeRelV relativeFrom="page">
              <wp14:pctHeight>0</wp14:pctHeight>
            </wp14:sizeRelV>
          </wp:anchor>
        </w:drawing>
      </w:r>
    </w:p>
    <w:p w14:paraId="6E8EE296" w14:textId="77777777" w:rsidR="007F7024" w:rsidRPr="009E2403" w:rsidRDefault="007F7024" w:rsidP="0065412B">
      <w:pPr>
        <w:spacing w:line="360" w:lineRule="auto"/>
        <w:jc w:val="center"/>
        <w:rPr>
          <w:rFonts w:ascii="Arial" w:eastAsia="Times New Roman" w:hAnsi="Arial" w:cs="Arial"/>
          <w:b/>
          <w:bCs/>
          <w:sz w:val="28"/>
          <w:szCs w:val="24"/>
        </w:rPr>
      </w:pPr>
    </w:p>
    <w:p w14:paraId="7A9786AE" w14:textId="77777777" w:rsidR="007F7024" w:rsidRPr="009E2403" w:rsidRDefault="007F7024" w:rsidP="0065412B">
      <w:pPr>
        <w:spacing w:line="360" w:lineRule="auto"/>
        <w:jc w:val="center"/>
        <w:rPr>
          <w:rFonts w:ascii="Arial" w:eastAsia="Times New Roman" w:hAnsi="Arial" w:cs="Arial"/>
          <w:b/>
          <w:bCs/>
          <w:sz w:val="28"/>
          <w:szCs w:val="24"/>
        </w:rPr>
      </w:pPr>
    </w:p>
    <w:p w14:paraId="2216BA86" w14:textId="77777777" w:rsidR="0065412B" w:rsidRPr="009E2403" w:rsidRDefault="0065412B" w:rsidP="0065412B">
      <w:pPr>
        <w:spacing w:line="360" w:lineRule="auto"/>
        <w:jc w:val="center"/>
        <w:rPr>
          <w:rFonts w:ascii="Arial" w:hAnsi="Arial" w:cs="Arial"/>
          <w:b/>
          <w:sz w:val="28"/>
          <w:szCs w:val="24"/>
        </w:rPr>
      </w:pPr>
      <w:r w:rsidRPr="009E2403">
        <w:rPr>
          <w:rFonts w:ascii="Arial" w:eastAsia="Times New Roman" w:hAnsi="Arial" w:cs="Arial"/>
          <w:b/>
          <w:bCs/>
          <w:sz w:val="28"/>
          <w:szCs w:val="24"/>
        </w:rPr>
        <w:t xml:space="preserve">Title: </w:t>
      </w:r>
      <w:r w:rsidR="006738CC" w:rsidRPr="009E2403">
        <w:rPr>
          <w:rFonts w:ascii="Arial" w:hAnsi="Arial" w:cs="Arial"/>
          <w:b/>
          <w:sz w:val="28"/>
          <w:szCs w:val="24"/>
        </w:rPr>
        <w:t>Assessment component: Financial performance and management</w:t>
      </w:r>
    </w:p>
    <w:p w14:paraId="5CFE5D27" w14:textId="77777777" w:rsidR="008B0C25" w:rsidRPr="009E2403" w:rsidRDefault="008B0C25" w:rsidP="0065412B">
      <w:pPr>
        <w:spacing w:line="360" w:lineRule="auto"/>
        <w:jc w:val="center"/>
        <w:rPr>
          <w:rFonts w:ascii="Arial" w:hAnsi="Arial" w:cs="Arial"/>
          <w:b/>
          <w:sz w:val="28"/>
          <w:szCs w:val="24"/>
        </w:rPr>
      </w:pPr>
      <w:r w:rsidRPr="009E2403">
        <w:rPr>
          <w:rFonts w:ascii="Arial" w:hAnsi="Arial" w:cs="Arial"/>
          <w:b/>
          <w:sz w:val="28"/>
          <w:szCs w:val="24"/>
        </w:rPr>
        <w:t>Name</w:t>
      </w:r>
      <w:r w:rsidRPr="009E2403">
        <w:rPr>
          <w:rFonts w:ascii="Arial" w:eastAsia="Times New Roman" w:hAnsi="Arial" w:cs="Arial"/>
          <w:b/>
          <w:bCs/>
          <w:sz w:val="28"/>
          <w:szCs w:val="28"/>
        </w:rPr>
        <w:t>:</w:t>
      </w:r>
    </w:p>
    <w:p w14:paraId="25487D08" w14:textId="77777777" w:rsidR="008B0C25" w:rsidRPr="009E2403" w:rsidRDefault="008B0C25" w:rsidP="0065412B">
      <w:pPr>
        <w:spacing w:line="360" w:lineRule="auto"/>
        <w:jc w:val="center"/>
        <w:rPr>
          <w:rFonts w:ascii="Arial" w:eastAsia="Times New Roman" w:hAnsi="Arial" w:cs="Arial"/>
          <w:bCs/>
          <w:sz w:val="28"/>
          <w:szCs w:val="24"/>
        </w:rPr>
      </w:pPr>
      <w:r w:rsidRPr="009E2403">
        <w:rPr>
          <w:rFonts w:ascii="Arial" w:eastAsia="Times New Roman" w:hAnsi="Arial" w:cs="Arial"/>
          <w:bCs/>
          <w:sz w:val="28"/>
          <w:szCs w:val="24"/>
        </w:rPr>
        <w:t xml:space="preserve">Zahra </w:t>
      </w:r>
      <w:proofErr w:type="spellStart"/>
      <w:r w:rsidRPr="009E2403">
        <w:rPr>
          <w:rFonts w:ascii="Arial" w:eastAsia="Times New Roman" w:hAnsi="Arial" w:cs="Arial"/>
          <w:bCs/>
          <w:sz w:val="28"/>
          <w:szCs w:val="24"/>
        </w:rPr>
        <w:t>Aaraf</w:t>
      </w:r>
      <w:proofErr w:type="spellEnd"/>
    </w:p>
    <w:p w14:paraId="68F169E8" w14:textId="77777777" w:rsidR="008B0C25" w:rsidRPr="009E2403" w:rsidRDefault="008B0C25" w:rsidP="0065412B">
      <w:pPr>
        <w:spacing w:line="360" w:lineRule="auto"/>
        <w:jc w:val="center"/>
        <w:rPr>
          <w:rFonts w:ascii="Arial" w:eastAsia="Times New Roman" w:hAnsi="Arial" w:cs="Arial"/>
          <w:b/>
          <w:bCs/>
          <w:sz w:val="28"/>
          <w:szCs w:val="24"/>
        </w:rPr>
      </w:pPr>
      <w:r w:rsidRPr="009E2403">
        <w:rPr>
          <w:rFonts w:ascii="Arial" w:eastAsia="Times New Roman" w:hAnsi="Arial" w:cs="Arial"/>
          <w:b/>
          <w:bCs/>
          <w:sz w:val="28"/>
          <w:szCs w:val="24"/>
        </w:rPr>
        <w:t>ID</w:t>
      </w:r>
      <w:r w:rsidRPr="009E2403">
        <w:rPr>
          <w:rFonts w:ascii="Arial" w:eastAsia="Times New Roman" w:hAnsi="Arial" w:cs="Arial"/>
          <w:b/>
          <w:bCs/>
          <w:sz w:val="28"/>
          <w:szCs w:val="28"/>
        </w:rPr>
        <w:t>:</w:t>
      </w:r>
    </w:p>
    <w:p w14:paraId="1078C67F" w14:textId="77777777" w:rsidR="008B0C25" w:rsidRPr="009E2403" w:rsidRDefault="008B0C25" w:rsidP="008B0C25">
      <w:pPr>
        <w:spacing w:line="360" w:lineRule="auto"/>
        <w:jc w:val="center"/>
        <w:rPr>
          <w:rFonts w:ascii="Arial" w:eastAsia="Times New Roman" w:hAnsi="Arial" w:cs="Arial"/>
          <w:bCs/>
          <w:sz w:val="32"/>
          <w:szCs w:val="36"/>
        </w:rPr>
      </w:pPr>
      <w:r w:rsidRPr="009E2403">
        <w:rPr>
          <w:rFonts w:ascii="Arial" w:eastAsia="Times New Roman" w:hAnsi="Arial" w:cs="Arial"/>
          <w:bCs/>
          <w:sz w:val="32"/>
          <w:szCs w:val="36"/>
        </w:rPr>
        <w:t>2211190</w:t>
      </w:r>
    </w:p>
    <w:p w14:paraId="0463A81E" w14:textId="77777777" w:rsidR="008B0C25" w:rsidRPr="009E2403" w:rsidRDefault="008B0C25" w:rsidP="0065412B">
      <w:pPr>
        <w:spacing w:line="360" w:lineRule="auto"/>
        <w:jc w:val="center"/>
        <w:rPr>
          <w:rFonts w:ascii="Arial" w:eastAsia="Times New Roman" w:hAnsi="Arial" w:cs="Arial"/>
          <w:b/>
          <w:bCs/>
          <w:sz w:val="32"/>
          <w:szCs w:val="36"/>
        </w:rPr>
      </w:pPr>
      <w:r w:rsidRPr="009E2403">
        <w:rPr>
          <w:rFonts w:ascii="Arial" w:eastAsia="Times New Roman" w:hAnsi="Arial" w:cs="Arial"/>
          <w:b/>
          <w:bCs/>
          <w:sz w:val="32"/>
          <w:szCs w:val="36"/>
        </w:rPr>
        <w:t>Module</w:t>
      </w:r>
      <w:r w:rsidRPr="009E2403">
        <w:rPr>
          <w:rFonts w:ascii="Arial" w:eastAsia="Times New Roman" w:hAnsi="Arial" w:cs="Arial"/>
          <w:b/>
          <w:bCs/>
          <w:sz w:val="28"/>
          <w:szCs w:val="28"/>
        </w:rPr>
        <w:t>:</w:t>
      </w:r>
    </w:p>
    <w:p w14:paraId="3F62561C" w14:textId="77777777" w:rsidR="00550897" w:rsidRDefault="00AB1A37" w:rsidP="0065412B">
      <w:pPr>
        <w:spacing w:line="360" w:lineRule="auto"/>
        <w:jc w:val="center"/>
        <w:rPr>
          <w:rFonts w:ascii="Arial" w:eastAsia="Times New Roman" w:hAnsi="Arial" w:cs="Arial"/>
          <w:bCs/>
          <w:sz w:val="28"/>
          <w:szCs w:val="28"/>
        </w:rPr>
      </w:pPr>
      <w:r>
        <w:rPr>
          <w:rFonts w:ascii="Arial" w:eastAsia="Times New Roman" w:hAnsi="Arial" w:cs="Arial"/>
          <w:bCs/>
          <w:sz w:val="28"/>
          <w:szCs w:val="28"/>
        </w:rPr>
        <w:t>LCMB7002</w:t>
      </w:r>
    </w:p>
    <w:p w14:paraId="7E35404A" w14:textId="3130FCE3" w:rsidR="008B0C25" w:rsidRPr="009E2403" w:rsidRDefault="008B0C25" w:rsidP="0065412B">
      <w:pPr>
        <w:spacing w:line="360" w:lineRule="auto"/>
        <w:jc w:val="center"/>
        <w:rPr>
          <w:rFonts w:ascii="Arial" w:hAnsi="Arial" w:cs="Arial"/>
          <w:sz w:val="28"/>
          <w:szCs w:val="28"/>
        </w:rPr>
      </w:pPr>
      <w:r w:rsidRPr="009E2403">
        <w:rPr>
          <w:rFonts w:ascii="Arial" w:eastAsia="Times New Roman" w:hAnsi="Arial" w:cs="Arial"/>
          <w:bCs/>
          <w:sz w:val="28"/>
          <w:szCs w:val="28"/>
        </w:rPr>
        <w:t xml:space="preserve"> </w:t>
      </w:r>
      <w:r w:rsidRPr="009E2403">
        <w:rPr>
          <w:rFonts w:ascii="Arial" w:hAnsi="Arial" w:cs="Arial"/>
          <w:sz w:val="28"/>
          <w:szCs w:val="28"/>
        </w:rPr>
        <w:t>Financial Management</w:t>
      </w:r>
    </w:p>
    <w:p w14:paraId="5BF05C54" w14:textId="77777777" w:rsidR="008B0C25" w:rsidRPr="009E2403" w:rsidRDefault="008B0C25" w:rsidP="0065412B">
      <w:pPr>
        <w:spacing w:line="360" w:lineRule="auto"/>
        <w:jc w:val="center"/>
        <w:rPr>
          <w:rFonts w:ascii="Arial" w:eastAsia="Times New Roman" w:hAnsi="Arial" w:cs="Arial"/>
          <w:b/>
          <w:bCs/>
          <w:sz w:val="28"/>
          <w:szCs w:val="28"/>
        </w:rPr>
      </w:pPr>
      <w:r w:rsidRPr="009E2403">
        <w:rPr>
          <w:rFonts w:ascii="Arial" w:eastAsia="Times New Roman" w:hAnsi="Arial" w:cs="Arial"/>
          <w:b/>
          <w:bCs/>
          <w:sz w:val="28"/>
          <w:szCs w:val="28"/>
        </w:rPr>
        <w:t>Lecturer:</w:t>
      </w:r>
    </w:p>
    <w:p w14:paraId="2F12EFB0" w14:textId="77777777" w:rsidR="008B0C25" w:rsidRPr="009E2403" w:rsidRDefault="008B0C25" w:rsidP="0065412B">
      <w:pPr>
        <w:spacing w:line="360" w:lineRule="auto"/>
        <w:jc w:val="center"/>
        <w:rPr>
          <w:rFonts w:ascii="Arial" w:eastAsia="Times New Roman" w:hAnsi="Arial" w:cs="Arial"/>
          <w:bCs/>
          <w:sz w:val="28"/>
          <w:szCs w:val="28"/>
        </w:rPr>
      </w:pPr>
      <w:r w:rsidRPr="009E2403">
        <w:rPr>
          <w:rFonts w:ascii="Arial" w:hAnsi="Arial" w:cs="Arial"/>
          <w:sz w:val="28"/>
          <w:szCs w:val="28"/>
        </w:rPr>
        <w:t>Patrick Yeboah (Birmingham)</w:t>
      </w:r>
    </w:p>
    <w:p w14:paraId="0481FF5E" w14:textId="77777777" w:rsidR="008B0C25" w:rsidRPr="009E2403" w:rsidRDefault="008B0C25" w:rsidP="0065412B">
      <w:pPr>
        <w:spacing w:line="360" w:lineRule="auto"/>
        <w:jc w:val="center"/>
        <w:rPr>
          <w:rFonts w:ascii="Arial" w:eastAsia="Times New Roman" w:hAnsi="Arial" w:cs="Arial"/>
          <w:b/>
          <w:bCs/>
          <w:sz w:val="28"/>
          <w:szCs w:val="28"/>
        </w:rPr>
      </w:pPr>
      <w:r w:rsidRPr="009E2403">
        <w:rPr>
          <w:rFonts w:ascii="Arial" w:eastAsia="Times New Roman" w:hAnsi="Arial" w:cs="Arial"/>
          <w:b/>
          <w:bCs/>
          <w:sz w:val="28"/>
          <w:szCs w:val="28"/>
        </w:rPr>
        <w:t>Internal Verifier:</w:t>
      </w:r>
    </w:p>
    <w:p w14:paraId="0A2E771E" w14:textId="77777777" w:rsidR="008B0C25" w:rsidRPr="009E2403" w:rsidRDefault="008B0C25" w:rsidP="0065412B">
      <w:pPr>
        <w:spacing w:line="360" w:lineRule="auto"/>
        <w:jc w:val="center"/>
        <w:rPr>
          <w:rFonts w:ascii="Arial" w:hAnsi="Arial" w:cs="Arial"/>
          <w:sz w:val="28"/>
          <w:szCs w:val="28"/>
        </w:rPr>
      </w:pPr>
      <w:proofErr w:type="spellStart"/>
      <w:r w:rsidRPr="009E2403">
        <w:rPr>
          <w:rFonts w:ascii="Arial" w:hAnsi="Arial" w:cs="Arial"/>
          <w:sz w:val="28"/>
          <w:szCs w:val="28"/>
        </w:rPr>
        <w:t>Vasilios</w:t>
      </w:r>
      <w:proofErr w:type="spellEnd"/>
      <w:r w:rsidRPr="009E2403">
        <w:rPr>
          <w:rFonts w:ascii="Arial" w:hAnsi="Arial" w:cs="Arial"/>
          <w:sz w:val="28"/>
          <w:szCs w:val="28"/>
        </w:rPr>
        <w:t xml:space="preserve"> </w:t>
      </w:r>
      <w:proofErr w:type="spellStart"/>
      <w:r w:rsidRPr="009E2403">
        <w:rPr>
          <w:rFonts w:ascii="Arial" w:hAnsi="Arial" w:cs="Arial"/>
          <w:sz w:val="28"/>
          <w:szCs w:val="28"/>
        </w:rPr>
        <w:t>Tavlaridis</w:t>
      </w:r>
      <w:proofErr w:type="spellEnd"/>
      <w:r w:rsidRPr="009E2403">
        <w:rPr>
          <w:rFonts w:ascii="Arial" w:hAnsi="Arial" w:cs="Arial"/>
          <w:sz w:val="28"/>
          <w:szCs w:val="28"/>
        </w:rPr>
        <w:t xml:space="preserve"> and </w:t>
      </w:r>
      <w:proofErr w:type="spellStart"/>
      <w:r w:rsidRPr="009E2403">
        <w:rPr>
          <w:rFonts w:ascii="Arial" w:hAnsi="Arial" w:cs="Arial"/>
          <w:sz w:val="28"/>
          <w:szCs w:val="28"/>
        </w:rPr>
        <w:t>Hoang</w:t>
      </w:r>
      <w:proofErr w:type="spellEnd"/>
      <w:r w:rsidRPr="009E2403">
        <w:rPr>
          <w:rFonts w:ascii="Arial" w:hAnsi="Arial" w:cs="Arial"/>
          <w:sz w:val="28"/>
          <w:szCs w:val="28"/>
        </w:rPr>
        <w:t xml:space="preserve"> Nguyen</w:t>
      </w:r>
    </w:p>
    <w:p w14:paraId="339C75B1" w14:textId="77777777" w:rsidR="008B0C25" w:rsidRPr="009E2403" w:rsidRDefault="008B0C25" w:rsidP="0065412B">
      <w:pPr>
        <w:spacing w:line="360" w:lineRule="auto"/>
        <w:jc w:val="center"/>
        <w:rPr>
          <w:rFonts w:ascii="Arial" w:eastAsia="Times New Roman" w:hAnsi="Arial" w:cs="Arial"/>
          <w:b/>
          <w:bCs/>
          <w:sz w:val="28"/>
          <w:szCs w:val="28"/>
        </w:rPr>
      </w:pPr>
      <w:r w:rsidRPr="009E2403">
        <w:rPr>
          <w:rFonts w:ascii="Arial" w:eastAsia="Times New Roman" w:hAnsi="Arial" w:cs="Arial"/>
          <w:b/>
          <w:bCs/>
          <w:sz w:val="28"/>
          <w:szCs w:val="28"/>
        </w:rPr>
        <w:t>Date:</w:t>
      </w:r>
    </w:p>
    <w:p w14:paraId="145BDF32" w14:textId="77777777" w:rsidR="008B0C25" w:rsidRPr="009E2403" w:rsidRDefault="008B0C25" w:rsidP="0065412B">
      <w:pPr>
        <w:spacing w:line="360" w:lineRule="auto"/>
        <w:jc w:val="center"/>
        <w:rPr>
          <w:rFonts w:ascii="Arial" w:eastAsia="Times New Roman" w:hAnsi="Arial" w:cs="Arial"/>
          <w:bCs/>
          <w:sz w:val="28"/>
          <w:szCs w:val="28"/>
        </w:rPr>
      </w:pPr>
      <w:r w:rsidRPr="009E2403">
        <w:rPr>
          <w:rFonts w:ascii="Arial" w:eastAsia="Times New Roman" w:hAnsi="Arial" w:cs="Arial"/>
          <w:bCs/>
          <w:sz w:val="28"/>
          <w:szCs w:val="28"/>
        </w:rPr>
        <w:t>22 November 2025</w:t>
      </w:r>
    </w:p>
    <w:p w14:paraId="238E371D" w14:textId="77777777" w:rsidR="008B0C25" w:rsidRPr="009E2403" w:rsidRDefault="008B0C25" w:rsidP="0065412B">
      <w:pPr>
        <w:spacing w:line="360" w:lineRule="auto"/>
        <w:jc w:val="center"/>
        <w:rPr>
          <w:rFonts w:ascii="Arial" w:eastAsia="Times New Roman" w:hAnsi="Arial" w:cs="Arial"/>
          <w:b/>
          <w:bCs/>
          <w:sz w:val="28"/>
          <w:szCs w:val="28"/>
        </w:rPr>
      </w:pPr>
      <w:r w:rsidRPr="009E2403">
        <w:rPr>
          <w:rFonts w:ascii="Arial" w:eastAsia="Times New Roman" w:hAnsi="Arial" w:cs="Arial"/>
          <w:b/>
          <w:bCs/>
          <w:sz w:val="28"/>
          <w:szCs w:val="28"/>
        </w:rPr>
        <w:t>Word count:</w:t>
      </w:r>
    </w:p>
    <w:p w14:paraId="21E524FC" w14:textId="77777777" w:rsidR="008B0C25" w:rsidRPr="009E2403" w:rsidRDefault="004D428A" w:rsidP="0065412B">
      <w:pPr>
        <w:spacing w:line="360" w:lineRule="auto"/>
        <w:jc w:val="center"/>
        <w:rPr>
          <w:rFonts w:ascii="Arial" w:hAnsi="Arial" w:cs="Arial"/>
          <w:sz w:val="28"/>
          <w:szCs w:val="28"/>
        </w:rPr>
      </w:pPr>
      <w:r>
        <w:rPr>
          <w:rFonts w:ascii="Arial" w:hAnsi="Arial" w:cs="Arial"/>
          <w:sz w:val="28"/>
          <w:szCs w:val="28"/>
        </w:rPr>
        <w:t>5142</w:t>
      </w:r>
    </w:p>
    <w:p w14:paraId="6EC89C07" w14:textId="77777777" w:rsidR="008B0C25" w:rsidRPr="009E2403" w:rsidRDefault="008B0C25" w:rsidP="0065412B">
      <w:pPr>
        <w:spacing w:line="360" w:lineRule="auto"/>
        <w:jc w:val="center"/>
        <w:rPr>
          <w:rFonts w:ascii="Arial" w:eastAsia="Times New Roman" w:hAnsi="Arial" w:cs="Arial"/>
          <w:b/>
          <w:bCs/>
          <w:sz w:val="28"/>
          <w:szCs w:val="24"/>
        </w:rPr>
      </w:pPr>
    </w:p>
    <w:p w14:paraId="2116B97F" w14:textId="77777777" w:rsidR="00216B03" w:rsidRPr="009E2403" w:rsidRDefault="00FD0388">
      <w:pPr>
        <w:rPr>
          <w:rFonts w:ascii="Arial" w:hAnsi="Arial" w:cs="Arial"/>
          <w:b/>
          <w:sz w:val="24"/>
        </w:rPr>
      </w:pPr>
      <w:r w:rsidRPr="009E2403">
        <w:rPr>
          <w:rFonts w:ascii="Arial" w:hAnsi="Arial" w:cs="Arial"/>
          <w:b/>
          <w:sz w:val="24"/>
        </w:rPr>
        <w:br w:type="page"/>
      </w:r>
    </w:p>
    <w:sdt>
      <w:sdtPr>
        <w:rPr>
          <w:rFonts w:ascii="Arial" w:eastAsiaTheme="minorHAnsi" w:hAnsi="Arial" w:cs="Arial"/>
          <w:b w:val="0"/>
          <w:bCs w:val="0"/>
          <w:color w:val="auto"/>
          <w:sz w:val="22"/>
          <w:szCs w:val="22"/>
          <w:lang w:val="en-GB" w:eastAsia="en-US"/>
        </w:rPr>
        <w:id w:val="1720093859"/>
        <w:docPartObj>
          <w:docPartGallery w:val="Table of Contents"/>
          <w:docPartUnique/>
        </w:docPartObj>
      </w:sdtPr>
      <w:sdtEndPr>
        <w:rPr>
          <w:noProof/>
        </w:rPr>
      </w:sdtEndPr>
      <w:sdtContent>
        <w:p w14:paraId="7FD707D6" w14:textId="77777777" w:rsidR="00FD0388" w:rsidRPr="009E2403" w:rsidRDefault="00FD0388" w:rsidP="00135C1B">
          <w:pPr>
            <w:pStyle w:val="TOCHeading"/>
            <w:jc w:val="both"/>
            <w:rPr>
              <w:rFonts w:ascii="Arial" w:hAnsi="Arial" w:cs="Arial"/>
            </w:rPr>
          </w:pPr>
          <w:r w:rsidRPr="009E2403">
            <w:rPr>
              <w:rFonts w:ascii="Arial" w:hAnsi="Arial" w:cs="Arial"/>
            </w:rPr>
            <w:t>Contents</w:t>
          </w:r>
        </w:p>
        <w:p w14:paraId="7754A09D" w14:textId="77777777" w:rsidR="00762FD7" w:rsidRDefault="00FD0388">
          <w:pPr>
            <w:pStyle w:val="TOC1"/>
            <w:tabs>
              <w:tab w:val="right" w:leader="dot" w:pos="9016"/>
            </w:tabs>
            <w:rPr>
              <w:rFonts w:eastAsiaTheme="minorEastAsia"/>
              <w:noProof/>
              <w:lang w:val="en-US"/>
            </w:rPr>
          </w:pPr>
          <w:r w:rsidRPr="009E2403">
            <w:rPr>
              <w:rFonts w:ascii="Arial" w:hAnsi="Arial" w:cs="Arial"/>
            </w:rPr>
            <w:fldChar w:fldCharType="begin"/>
          </w:r>
          <w:r w:rsidRPr="009E2403">
            <w:rPr>
              <w:rFonts w:ascii="Arial" w:hAnsi="Arial" w:cs="Arial"/>
            </w:rPr>
            <w:instrText xml:space="preserve"> TOC \o "1-3" \h \z \u </w:instrText>
          </w:r>
          <w:r w:rsidRPr="009E2403">
            <w:rPr>
              <w:rFonts w:ascii="Arial" w:hAnsi="Arial" w:cs="Arial"/>
            </w:rPr>
            <w:fldChar w:fldCharType="separate"/>
          </w:r>
          <w:hyperlink w:anchor="_Toc214745395" w:history="1">
            <w:r w:rsidR="00762FD7" w:rsidRPr="005E5714">
              <w:rPr>
                <w:rStyle w:val="Hyperlink"/>
                <w:rFonts w:ascii="Arial" w:hAnsi="Arial" w:cs="Arial"/>
                <w:noProof/>
              </w:rPr>
              <w:t>1.0 Introduction</w:t>
            </w:r>
            <w:r w:rsidR="00762FD7">
              <w:rPr>
                <w:noProof/>
                <w:webHidden/>
              </w:rPr>
              <w:tab/>
            </w:r>
            <w:r w:rsidR="00762FD7">
              <w:rPr>
                <w:noProof/>
                <w:webHidden/>
              </w:rPr>
              <w:fldChar w:fldCharType="begin"/>
            </w:r>
            <w:r w:rsidR="00762FD7">
              <w:rPr>
                <w:noProof/>
                <w:webHidden/>
              </w:rPr>
              <w:instrText xml:space="preserve"> PAGEREF _Toc214745395 \h </w:instrText>
            </w:r>
            <w:r w:rsidR="00762FD7">
              <w:rPr>
                <w:noProof/>
                <w:webHidden/>
              </w:rPr>
            </w:r>
            <w:r w:rsidR="00762FD7">
              <w:rPr>
                <w:noProof/>
                <w:webHidden/>
              </w:rPr>
              <w:fldChar w:fldCharType="separate"/>
            </w:r>
            <w:r w:rsidR="00762FD7">
              <w:rPr>
                <w:noProof/>
                <w:webHidden/>
              </w:rPr>
              <w:t>4</w:t>
            </w:r>
            <w:r w:rsidR="00762FD7">
              <w:rPr>
                <w:noProof/>
                <w:webHidden/>
              </w:rPr>
              <w:fldChar w:fldCharType="end"/>
            </w:r>
          </w:hyperlink>
        </w:p>
        <w:p w14:paraId="04A29B41" w14:textId="77777777" w:rsidR="00762FD7" w:rsidRDefault="00762FD7">
          <w:pPr>
            <w:pStyle w:val="TOC2"/>
            <w:tabs>
              <w:tab w:val="left" w:pos="660"/>
              <w:tab w:val="right" w:leader="dot" w:pos="9016"/>
            </w:tabs>
            <w:rPr>
              <w:rFonts w:eastAsiaTheme="minorEastAsia"/>
              <w:noProof/>
              <w:lang w:val="en-US"/>
            </w:rPr>
          </w:pPr>
          <w:hyperlink w:anchor="_Toc214745396" w:history="1">
            <w:r w:rsidRPr="005E5714">
              <w:rPr>
                <w:rStyle w:val="Hyperlink"/>
                <w:rFonts w:ascii="Arial" w:hAnsi="Arial" w:cs="Arial"/>
                <w:noProof/>
                <w:lang w:val="en-US"/>
              </w:rPr>
              <w:t>1.</w:t>
            </w:r>
            <w:r>
              <w:rPr>
                <w:rFonts w:eastAsiaTheme="minorEastAsia"/>
                <w:noProof/>
                <w:lang w:val="en-US"/>
              </w:rPr>
              <w:tab/>
            </w:r>
            <w:r w:rsidRPr="005E5714">
              <w:rPr>
                <w:rStyle w:val="Hyperlink"/>
                <w:rFonts w:ascii="Arial" w:hAnsi="Arial" w:cs="Arial"/>
                <w:noProof/>
                <w:lang w:val="en-US"/>
              </w:rPr>
              <w:t>Financial Health Check</w:t>
            </w:r>
            <w:r>
              <w:rPr>
                <w:noProof/>
                <w:webHidden/>
              </w:rPr>
              <w:tab/>
            </w:r>
            <w:r>
              <w:rPr>
                <w:noProof/>
                <w:webHidden/>
              </w:rPr>
              <w:fldChar w:fldCharType="begin"/>
            </w:r>
            <w:r>
              <w:rPr>
                <w:noProof/>
                <w:webHidden/>
              </w:rPr>
              <w:instrText xml:space="preserve"> PAGEREF _Toc214745396 \h </w:instrText>
            </w:r>
            <w:r>
              <w:rPr>
                <w:noProof/>
                <w:webHidden/>
              </w:rPr>
            </w:r>
            <w:r>
              <w:rPr>
                <w:noProof/>
                <w:webHidden/>
              </w:rPr>
              <w:fldChar w:fldCharType="separate"/>
            </w:r>
            <w:r>
              <w:rPr>
                <w:noProof/>
                <w:webHidden/>
              </w:rPr>
              <w:t>4</w:t>
            </w:r>
            <w:r>
              <w:rPr>
                <w:noProof/>
                <w:webHidden/>
              </w:rPr>
              <w:fldChar w:fldCharType="end"/>
            </w:r>
          </w:hyperlink>
        </w:p>
        <w:p w14:paraId="6D2AB599" w14:textId="77777777" w:rsidR="00762FD7" w:rsidRDefault="00762FD7">
          <w:pPr>
            <w:pStyle w:val="TOC3"/>
            <w:tabs>
              <w:tab w:val="right" w:leader="dot" w:pos="9016"/>
            </w:tabs>
            <w:rPr>
              <w:rFonts w:eastAsiaTheme="minorEastAsia"/>
              <w:noProof/>
              <w:lang w:val="en-US"/>
            </w:rPr>
          </w:pPr>
          <w:hyperlink w:anchor="_Toc214745397" w:history="1">
            <w:r w:rsidRPr="005E5714">
              <w:rPr>
                <w:rStyle w:val="Hyperlink"/>
                <w:rFonts w:ascii="Arial" w:hAnsi="Arial" w:cs="Arial"/>
                <w:noProof/>
              </w:rPr>
              <w:t>1.1 Financial Statements Analysis</w:t>
            </w:r>
            <w:r>
              <w:rPr>
                <w:noProof/>
                <w:webHidden/>
              </w:rPr>
              <w:tab/>
            </w:r>
            <w:r>
              <w:rPr>
                <w:noProof/>
                <w:webHidden/>
              </w:rPr>
              <w:fldChar w:fldCharType="begin"/>
            </w:r>
            <w:r>
              <w:rPr>
                <w:noProof/>
                <w:webHidden/>
              </w:rPr>
              <w:instrText xml:space="preserve"> PAGEREF _Toc214745397 \h </w:instrText>
            </w:r>
            <w:r>
              <w:rPr>
                <w:noProof/>
                <w:webHidden/>
              </w:rPr>
            </w:r>
            <w:r>
              <w:rPr>
                <w:noProof/>
                <w:webHidden/>
              </w:rPr>
              <w:fldChar w:fldCharType="separate"/>
            </w:r>
            <w:r>
              <w:rPr>
                <w:noProof/>
                <w:webHidden/>
              </w:rPr>
              <w:t>4</w:t>
            </w:r>
            <w:r>
              <w:rPr>
                <w:noProof/>
                <w:webHidden/>
              </w:rPr>
              <w:fldChar w:fldCharType="end"/>
            </w:r>
          </w:hyperlink>
        </w:p>
        <w:p w14:paraId="1A859623" w14:textId="77777777" w:rsidR="00762FD7" w:rsidRDefault="00762FD7">
          <w:pPr>
            <w:pStyle w:val="TOC3"/>
            <w:tabs>
              <w:tab w:val="right" w:leader="dot" w:pos="9016"/>
            </w:tabs>
            <w:rPr>
              <w:rFonts w:eastAsiaTheme="minorEastAsia"/>
              <w:noProof/>
              <w:lang w:val="en-US"/>
            </w:rPr>
          </w:pPr>
          <w:hyperlink w:anchor="_Toc214745398" w:history="1">
            <w:r w:rsidRPr="005E5714">
              <w:rPr>
                <w:rStyle w:val="Hyperlink"/>
                <w:rFonts w:ascii="Arial" w:hAnsi="Arial" w:cs="Arial"/>
                <w:noProof/>
              </w:rPr>
              <w:t>1.2 Ratio Analysis</w:t>
            </w:r>
            <w:r>
              <w:rPr>
                <w:noProof/>
                <w:webHidden/>
              </w:rPr>
              <w:tab/>
            </w:r>
            <w:r>
              <w:rPr>
                <w:noProof/>
                <w:webHidden/>
              </w:rPr>
              <w:fldChar w:fldCharType="begin"/>
            </w:r>
            <w:r>
              <w:rPr>
                <w:noProof/>
                <w:webHidden/>
              </w:rPr>
              <w:instrText xml:space="preserve"> PAGEREF _Toc214745398 \h </w:instrText>
            </w:r>
            <w:r>
              <w:rPr>
                <w:noProof/>
                <w:webHidden/>
              </w:rPr>
            </w:r>
            <w:r>
              <w:rPr>
                <w:noProof/>
                <w:webHidden/>
              </w:rPr>
              <w:fldChar w:fldCharType="separate"/>
            </w:r>
            <w:r>
              <w:rPr>
                <w:noProof/>
                <w:webHidden/>
              </w:rPr>
              <w:t>4</w:t>
            </w:r>
            <w:r>
              <w:rPr>
                <w:noProof/>
                <w:webHidden/>
              </w:rPr>
              <w:fldChar w:fldCharType="end"/>
            </w:r>
          </w:hyperlink>
        </w:p>
        <w:p w14:paraId="11DD713E" w14:textId="77777777" w:rsidR="00762FD7" w:rsidRDefault="00762FD7">
          <w:pPr>
            <w:pStyle w:val="TOC3"/>
            <w:tabs>
              <w:tab w:val="right" w:leader="dot" w:pos="9016"/>
            </w:tabs>
            <w:rPr>
              <w:rFonts w:eastAsiaTheme="minorEastAsia"/>
              <w:noProof/>
              <w:lang w:val="en-US"/>
            </w:rPr>
          </w:pPr>
          <w:hyperlink w:anchor="_Toc214745399" w:history="1">
            <w:r w:rsidRPr="005E5714">
              <w:rPr>
                <w:rStyle w:val="Hyperlink"/>
                <w:rFonts w:ascii="Arial" w:hAnsi="Arial" w:cs="Arial"/>
                <w:noProof/>
                <w:lang w:val="en-US"/>
              </w:rPr>
              <w:t>1.3 Trend, strengths and threats</w:t>
            </w:r>
            <w:r>
              <w:rPr>
                <w:noProof/>
                <w:webHidden/>
              </w:rPr>
              <w:tab/>
            </w:r>
            <w:r>
              <w:rPr>
                <w:noProof/>
                <w:webHidden/>
              </w:rPr>
              <w:fldChar w:fldCharType="begin"/>
            </w:r>
            <w:r>
              <w:rPr>
                <w:noProof/>
                <w:webHidden/>
              </w:rPr>
              <w:instrText xml:space="preserve"> PAGEREF _Toc214745399 \h </w:instrText>
            </w:r>
            <w:r>
              <w:rPr>
                <w:noProof/>
                <w:webHidden/>
              </w:rPr>
            </w:r>
            <w:r>
              <w:rPr>
                <w:noProof/>
                <w:webHidden/>
              </w:rPr>
              <w:fldChar w:fldCharType="separate"/>
            </w:r>
            <w:r>
              <w:rPr>
                <w:noProof/>
                <w:webHidden/>
              </w:rPr>
              <w:t>5</w:t>
            </w:r>
            <w:r>
              <w:rPr>
                <w:noProof/>
                <w:webHidden/>
              </w:rPr>
              <w:fldChar w:fldCharType="end"/>
            </w:r>
          </w:hyperlink>
        </w:p>
        <w:p w14:paraId="774E17A9" w14:textId="77777777" w:rsidR="00762FD7" w:rsidRDefault="00762FD7">
          <w:pPr>
            <w:pStyle w:val="TOC3"/>
            <w:tabs>
              <w:tab w:val="right" w:leader="dot" w:pos="9016"/>
            </w:tabs>
            <w:rPr>
              <w:rFonts w:eastAsiaTheme="minorEastAsia"/>
              <w:noProof/>
              <w:lang w:val="en-US"/>
            </w:rPr>
          </w:pPr>
          <w:hyperlink w:anchor="_Toc214745400" w:history="1">
            <w:r w:rsidRPr="005E5714">
              <w:rPr>
                <w:rStyle w:val="Hyperlink"/>
                <w:rFonts w:ascii="Arial" w:hAnsi="Arial" w:cs="Arial"/>
                <w:noProof/>
              </w:rPr>
              <w:t>1.4 Corporate Failure Prediction Model- Altman Z-Score model</w:t>
            </w:r>
            <w:r>
              <w:rPr>
                <w:noProof/>
                <w:webHidden/>
              </w:rPr>
              <w:tab/>
            </w:r>
            <w:r>
              <w:rPr>
                <w:noProof/>
                <w:webHidden/>
              </w:rPr>
              <w:fldChar w:fldCharType="begin"/>
            </w:r>
            <w:r>
              <w:rPr>
                <w:noProof/>
                <w:webHidden/>
              </w:rPr>
              <w:instrText xml:space="preserve"> PAGEREF _Toc214745400 \h </w:instrText>
            </w:r>
            <w:r>
              <w:rPr>
                <w:noProof/>
                <w:webHidden/>
              </w:rPr>
            </w:r>
            <w:r>
              <w:rPr>
                <w:noProof/>
                <w:webHidden/>
              </w:rPr>
              <w:fldChar w:fldCharType="separate"/>
            </w:r>
            <w:r>
              <w:rPr>
                <w:noProof/>
                <w:webHidden/>
              </w:rPr>
              <w:t>6</w:t>
            </w:r>
            <w:r>
              <w:rPr>
                <w:noProof/>
                <w:webHidden/>
              </w:rPr>
              <w:fldChar w:fldCharType="end"/>
            </w:r>
          </w:hyperlink>
        </w:p>
        <w:p w14:paraId="09EE9AD2" w14:textId="77777777" w:rsidR="00762FD7" w:rsidRDefault="00762FD7">
          <w:pPr>
            <w:pStyle w:val="TOC1"/>
            <w:tabs>
              <w:tab w:val="right" w:leader="dot" w:pos="9016"/>
            </w:tabs>
            <w:rPr>
              <w:rFonts w:eastAsiaTheme="minorEastAsia"/>
              <w:noProof/>
              <w:lang w:val="en-US"/>
            </w:rPr>
          </w:pPr>
          <w:hyperlink w:anchor="_Toc214745401" w:history="1">
            <w:r w:rsidRPr="005E5714">
              <w:rPr>
                <w:rStyle w:val="Hyperlink"/>
                <w:rFonts w:ascii="Arial" w:hAnsi="Arial" w:cs="Arial"/>
                <w:noProof/>
                <w:lang w:val="en-US"/>
              </w:rPr>
              <w:t>2 Working Capital Management</w:t>
            </w:r>
            <w:r>
              <w:rPr>
                <w:noProof/>
                <w:webHidden/>
              </w:rPr>
              <w:tab/>
            </w:r>
            <w:r>
              <w:rPr>
                <w:noProof/>
                <w:webHidden/>
              </w:rPr>
              <w:fldChar w:fldCharType="begin"/>
            </w:r>
            <w:r>
              <w:rPr>
                <w:noProof/>
                <w:webHidden/>
              </w:rPr>
              <w:instrText xml:space="preserve"> PAGEREF _Toc214745401 \h </w:instrText>
            </w:r>
            <w:r>
              <w:rPr>
                <w:noProof/>
                <w:webHidden/>
              </w:rPr>
            </w:r>
            <w:r>
              <w:rPr>
                <w:noProof/>
                <w:webHidden/>
              </w:rPr>
              <w:fldChar w:fldCharType="separate"/>
            </w:r>
            <w:r>
              <w:rPr>
                <w:noProof/>
                <w:webHidden/>
              </w:rPr>
              <w:t>8</w:t>
            </w:r>
            <w:r>
              <w:rPr>
                <w:noProof/>
                <w:webHidden/>
              </w:rPr>
              <w:fldChar w:fldCharType="end"/>
            </w:r>
          </w:hyperlink>
        </w:p>
        <w:p w14:paraId="21B61779" w14:textId="77777777" w:rsidR="00762FD7" w:rsidRDefault="00762FD7">
          <w:pPr>
            <w:pStyle w:val="TOC2"/>
            <w:tabs>
              <w:tab w:val="right" w:leader="dot" w:pos="9016"/>
            </w:tabs>
            <w:rPr>
              <w:rFonts w:eastAsiaTheme="minorEastAsia"/>
              <w:noProof/>
              <w:lang w:val="en-US"/>
            </w:rPr>
          </w:pPr>
          <w:hyperlink w:anchor="_Toc214745402" w:history="1">
            <w:r w:rsidRPr="005E5714">
              <w:rPr>
                <w:rStyle w:val="Hyperlink"/>
                <w:rFonts w:ascii="Arial" w:hAnsi="Arial" w:cs="Arial"/>
                <w:noProof/>
                <w:lang w:val="en-US"/>
              </w:rPr>
              <w:t>2.1 Cash Operating Cycle (COC)</w:t>
            </w:r>
            <w:r>
              <w:rPr>
                <w:noProof/>
                <w:webHidden/>
              </w:rPr>
              <w:tab/>
            </w:r>
            <w:r>
              <w:rPr>
                <w:noProof/>
                <w:webHidden/>
              </w:rPr>
              <w:fldChar w:fldCharType="begin"/>
            </w:r>
            <w:r>
              <w:rPr>
                <w:noProof/>
                <w:webHidden/>
              </w:rPr>
              <w:instrText xml:space="preserve"> PAGEREF _Toc214745402 \h </w:instrText>
            </w:r>
            <w:r>
              <w:rPr>
                <w:noProof/>
                <w:webHidden/>
              </w:rPr>
            </w:r>
            <w:r>
              <w:rPr>
                <w:noProof/>
                <w:webHidden/>
              </w:rPr>
              <w:fldChar w:fldCharType="separate"/>
            </w:r>
            <w:r>
              <w:rPr>
                <w:noProof/>
                <w:webHidden/>
              </w:rPr>
              <w:t>8</w:t>
            </w:r>
            <w:r>
              <w:rPr>
                <w:noProof/>
                <w:webHidden/>
              </w:rPr>
              <w:fldChar w:fldCharType="end"/>
            </w:r>
          </w:hyperlink>
        </w:p>
        <w:p w14:paraId="61AF44BD" w14:textId="77777777" w:rsidR="00762FD7" w:rsidRDefault="00762FD7">
          <w:pPr>
            <w:pStyle w:val="TOC2"/>
            <w:tabs>
              <w:tab w:val="right" w:leader="dot" w:pos="9016"/>
            </w:tabs>
            <w:rPr>
              <w:rFonts w:eastAsiaTheme="minorEastAsia"/>
              <w:noProof/>
              <w:lang w:val="en-US"/>
            </w:rPr>
          </w:pPr>
          <w:hyperlink w:anchor="_Toc214745403" w:history="1">
            <w:r w:rsidRPr="005E5714">
              <w:rPr>
                <w:rStyle w:val="Hyperlink"/>
                <w:rFonts w:ascii="Arial" w:hAnsi="Arial" w:cs="Arial"/>
                <w:noProof/>
                <w:lang w:val="en-US"/>
              </w:rPr>
              <w:t>2.2 Strategies to improve Working Capital</w:t>
            </w:r>
            <w:r>
              <w:rPr>
                <w:noProof/>
                <w:webHidden/>
              </w:rPr>
              <w:tab/>
            </w:r>
            <w:r>
              <w:rPr>
                <w:noProof/>
                <w:webHidden/>
              </w:rPr>
              <w:fldChar w:fldCharType="begin"/>
            </w:r>
            <w:r>
              <w:rPr>
                <w:noProof/>
                <w:webHidden/>
              </w:rPr>
              <w:instrText xml:space="preserve"> PAGEREF _Toc214745403 \h </w:instrText>
            </w:r>
            <w:r>
              <w:rPr>
                <w:noProof/>
                <w:webHidden/>
              </w:rPr>
            </w:r>
            <w:r>
              <w:rPr>
                <w:noProof/>
                <w:webHidden/>
              </w:rPr>
              <w:fldChar w:fldCharType="separate"/>
            </w:r>
            <w:r>
              <w:rPr>
                <w:noProof/>
                <w:webHidden/>
              </w:rPr>
              <w:t>9</w:t>
            </w:r>
            <w:r>
              <w:rPr>
                <w:noProof/>
                <w:webHidden/>
              </w:rPr>
              <w:fldChar w:fldCharType="end"/>
            </w:r>
          </w:hyperlink>
        </w:p>
        <w:p w14:paraId="1BECE0F4" w14:textId="77777777" w:rsidR="00762FD7" w:rsidRDefault="00762FD7">
          <w:pPr>
            <w:pStyle w:val="TOC2"/>
            <w:tabs>
              <w:tab w:val="right" w:leader="dot" w:pos="9016"/>
            </w:tabs>
            <w:rPr>
              <w:rFonts w:eastAsiaTheme="minorEastAsia"/>
              <w:noProof/>
              <w:lang w:val="en-US"/>
            </w:rPr>
          </w:pPr>
          <w:hyperlink w:anchor="_Toc214745404" w:history="1">
            <w:r w:rsidRPr="005E5714">
              <w:rPr>
                <w:rStyle w:val="Hyperlink"/>
                <w:rFonts w:ascii="Arial" w:hAnsi="Arial" w:cs="Arial"/>
                <w:noProof/>
                <w:lang w:val="en-US"/>
              </w:rPr>
              <w:t>2.3 Comparison of Short-term vs Long-term Financing Options</w:t>
            </w:r>
            <w:r>
              <w:rPr>
                <w:noProof/>
                <w:webHidden/>
              </w:rPr>
              <w:tab/>
            </w:r>
            <w:r>
              <w:rPr>
                <w:noProof/>
                <w:webHidden/>
              </w:rPr>
              <w:fldChar w:fldCharType="begin"/>
            </w:r>
            <w:r>
              <w:rPr>
                <w:noProof/>
                <w:webHidden/>
              </w:rPr>
              <w:instrText xml:space="preserve"> PAGEREF _Toc214745404 \h </w:instrText>
            </w:r>
            <w:r>
              <w:rPr>
                <w:noProof/>
                <w:webHidden/>
              </w:rPr>
            </w:r>
            <w:r>
              <w:rPr>
                <w:noProof/>
                <w:webHidden/>
              </w:rPr>
              <w:fldChar w:fldCharType="separate"/>
            </w:r>
            <w:r>
              <w:rPr>
                <w:noProof/>
                <w:webHidden/>
              </w:rPr>
              <w:t>9</w:t>
            </w:r>
            <w:r>
              <w:rPr>
                <w:noProof/>
                <w:webHidden/>
              </w:rPr>
              <w:fldChar w:fldCharType="end"/>
            </w:r>
          </w:hyperlink>
        </w:p>
        <w:p w14:paraId="697E9F65" w14:textId="77777777" w:rsidR="00762FD7" w:rsidRDefault="00762FD7">
          <w:pPr>
            <w:pStyle w:val="TOC1"/>
            <w:tabs>
              <w:tab w:val="right" w:leader="dot" w:pos="9016"/>
            </w:tabs>
            <w:rPr>
              <w:rFonts w:eastAsiaTheme="minorEastAsia"/>
              <w:noProof/>
              <w:lang w:val="en-US"/>
            </w:rPr>
          </w:pPr>
          <w:hyperlink w:anchor="_Toc214745405" w:history="1">
            <w:r w:rsidRPr="005E5714">
              <w:rPr>
                <w:rStyle w:val="Hyperlink"/>
                <w:rFonts w:ascii="Arial" w:hAnsi="Arial" w:cs="Arial"/>
                <w:noProof/>
              </w:rPr>
              <w:t>3. Strategic Financial Restructuring Plan</w:t>
            </w:r>
            <w:r>
              <w:rPr>
                <w:noProof/>
                <w:webHidden/>
              </w:rPr>
              <w:tab/>
            </w:r>
            <w:r>
              <w:rPr>
                <w:noProof/>
                <w:webHidden/>
              </w:rPr>
              <w:fldChar w:fldCharType="begin"/>
            </w:r>
            <w:r>
              <w:rPr>
                <w:noProof/>
                <w:webHidden/>
              </w:rPr>
              <w:instrText xml:space="preserve"> PAGEREF _Toc214745405 \h </w:instrText>
            </w:r>
            <w:r>
              <w:rPr>
                <w:noProof/>
                <w:webHidden/>
              </w:rPr>
            </w:r>
            <w:r>
              <w:rPr>
                <w:noProof/>
                <w:webHidden/>
              </w:rPr>
              <w:fldChar w:fldCharType="separate"/>
            </w:r>
            <w:r>
              <w:rPr>
                <w:noProof/>
                <w:webHidden/>
              </w:rPr>
              <w:t>10</w:t>
            </w:r>
            <w:r>
              <w:rPr>
                <w:noProof/>
                <w:webHidden/>
              </w:rPr>
              <w:fldChar w:fldCharType="end"/>
            </w:r>
          </w:hyperlink>
        </w:p>
        <w:p w14:paraId="39B5CCB8" w14:textId="77777777" w:rsidR="00762FD7" w:rsidRDefault="00762FD7">
          <w:pPr>
            <w:pStyle w:val="TOC2"/>
            <w:tabs>
              <w:tab w:val="right" w:leader="dot" w:pos="9016"/>
            </w:tabs>
            <w:rPr>
              <w:rFonts w:eastAsiaTheme="minorEastAsia"/>
              <w:noProof/>
              <w:lang w:val="en-US"/>
            </w:rPr>
          </w:pPr>
          <w:hyperlink w:anchor="_Toc214745406" w:history="1">
            <w:r w:rsidRPr="005E5714">
              <w:rPr>
                <w:rStyle w:val="Hyperlink"/>
                <w:rFonts w:ascii="Arial" w:hAnsi="Arial" w:cs="Arial"/>
                <w:noProof/>
                <w:lang w:val="en-US"/>
              </w:rPr>
              <w:t>3.1 Financial Restructuring Options</w:t>
            </w:r>
            <w:r>
              <w:rPr>
                <w:noProof/>
                <w:webHidden/>
              </w:rPr>
              <w:tab/>
            </w:r>
            <w:r>
              <w:rPr>
                <w:noProof/>
                <w:webHidden/>
              </w:rPr>
              <w:fldChar w:fldCharType="begin"/>
            </w:r>
            <w:r>
              <w:rPr>
                <w:noProof/>
                <w:webHidden/>
              </w:rPr>
              <w:instrText xml:space="preserve"> PAGEREF _Toc214745406 \h </w:instrText>
            </w:r>
            <w:r>
              <w:rPr>
                <w:noProof/>
                <w:webHidden/>
              </w:rPr>
            </w:r>
            <w:r>
              <w:rPr>
                <w:noProof/>
                <w:webHidden/>
              </w:rPr>
              <w:fldChar w:fldCharType="separate"/>
            </w:r>
            <w:r>
              <w:rPr>
                <w:noProof/>
                <w:webHidden/>
              </w:rPr>
              <w:t>10</w:t>
            </w:r>
            <w:r>
              <w:rPr>
                <w:noProof/>
                <w:webHidden/>
              </w:rPr>
              <w:fldChar w:fldCharType="end"/>
            </w:r>
          </w:hyperlink>
        </w:p>
        <w:p w14:paraId="0E7B7F52" w14:textId="77777777" w:rsidR="00762FD7" w:rsidRDefault="00762FD7">
          <w:pPr>
            <w:pStyle w:val="TOC2"/>
            <w:tabs>
              <w:tab w:val="right" w:leader="dot" w:pos="9016"/>
            </w:tabs>
            <w:rPr>
              <w:rFonts w:eastAsiaTheme="minorEastAsia"/>
              <w:noProof/>
              <w:lang w:val="en-US"/>
            </w:rPr>
          </w:pPr>
          <w:hyperlink w:anchor="_Toc214745407" w:history="1">
            <w:r w:rsidRPr="005E5714">
              <w:rPr>
                <w:rStyle w:val="Hyperlink"/>
                <w:rFonts w:ascii="Arial" w:hAnsi="Arial" w:cs="Arial"/>
                <w:noProof/>
                <w:lang w:val="en-US"/>
              </w:rPr>
              <w:t>3.2 Impact on Shareholders value</w:t>
            </w:r>
            <w:r>
              <w:rPr>
                <w:noProof/>
                <w:webHidden/>
              </w:rPr>
              <w:tab/>
            </w:r>
            <w:r>
              <w:rPr>
                <w:noProof/>
                <w:webHidden/>
              </w:rPr>
              <w:fldChar w:fldCharType="begin"/>
            </w:r>
            <w:r>
              <w:rPr>
                <w:noProof/>
                <w:webHidden/>
              </w:rPr>
              <w:instrText xml:space="preserve"> PAGEREF _Toc214745407 \h </w:instrText>
            </w:r>
            <w:r>
              <w:rPr>
                <w:noProof/>
                <w:webHidden/>
              </w:rPr>
            </w:r>
            <w:r>
              <w:rPr>
                <w:noProof/>
                <w:webHidden/>
              </w:rPr>
              <w:fldChar w:fldCharType="separate"/>
            </w:r>
            <w:r>
              <w:rPr>
                <w:noProof/>
                <w:webHidden/>
              </w:rPr>
              <w:t>11</w:t>
            </w:r>
            <w:r>
              <w:rPr>
                <w:noProof/>
                <w:webHidden/>
              </w:rPr>
              <w:fldChar w:fldCharType="end"/>
            </w:r>
          </w:hyperlink>
        </w:p>
        <w:p w14:paraId="32D0236A" w14:textId="77777777" w:rsidR="00762FD7" w:rsidRDefault="00762FD7">
          <w:pPr>
            <w:pStyle w:val="TOC2"/>
            <w:tabs>
              <w:tab w:val="right" w:leader="dot" w:pos="9016"/>
            </w:tabs>
            <w:rPr>
              <w:rFonts w:eastAsiaTheme="minorEastAsia"/>
              <w:noProof/>
              <w:lang w:val="en-US"/>
            </w:rPr>
          </w:pPr>
          <w:hyperlink w:anchor="_Toc214745408" w:history="1">
            <w:r w:rsidRPr="005E5714">
              <w:rPr>
                <w:rStyle w:val="Hyperlink"/>
                <w:rFonts w:ascii="Arial" w:hAnsi="Arial" w:cs="Arial"/>
                <w:noProof/>
                <w:lang w:val="en-US"/>
              </w:rPr>
              <w:t>3.3 International and Ethical Considerations</w:t>
            </w:r>
            <w:r>
              <w:rPr>
                <w:noProof/>
                <w:webHidden/>
              </w:rPr>
              <w:tab/>
            </w:r>
            <w:r>
              <w:rPr>
                <w:noProof/>
                <w:webHidden/>
              </w:rPr>
              <w:fldChar w:fldCharType="begin"/>
            </w:r>
            <w:r>
              <w:rPr>
                <w:noProof/>
                <w:webHidden/>
              </w:rPr>
              <w:instrText xml:space="preserve"> PAGEREF _Toc214745408 \h </w:instrText>
            </w:r>
            <w:r>
              <w:rPr>
                <w:noProof/>
                <w:webHidden/>
              </w:rPr>
            </w:r>
            <w:r>
              <w:rPr>
                <w:noProof/>
                <w:webHidden/>
              </w:rPr>
              <w:fldChar w:fldCharType="separate"/>
            </w:r>
            <w:r>
              <w:rPr>
                <w:noProof/>
                <w:webHidden/>
              </w:rPr>
              <w:t>12</w:t>
            </w:r>
            <w:r>
              <w:rPr>
                <w:noProof/>
                <w:webHidden/>
              </w:rPr>
              <w:fldChar w:fldCharType="end"/>
            </w:r>
          </w:hyperlink>
        </w:p>
        <w:p w14:paraId="75EB5CF1" w14:textId="77777777" w:rsidR="00762FD7" w:rsidRDefault="00762FD7">
          <w:pPr>
            <w:pStyle w:val="TOC1"/>
            <w:tabs>
              <w:tab w:val="right" w:leader="dot" w:pos="9016"/>
            </w:tabs>
            <w:rPr>
              <w:rFonts w:eastAsiaTheme="minorEastAsia"/>
              <w:noProof/>
              <w:lang w:val="en-US"/>
            </w:rPr>
          </w:pPr>
          <w:hyperlink w:anchor="_Toc214745409" w:history="1">
            <w:r w:rsidRPr="005E5714">
              <w:rPr>
                <w:rStyle w:val="Hyperlink"/>
                <w:rFonts w:ascii="Arial" w:hAnsi="Arial" w:cs="Arial"/>
                <w:noProof/>
                <w:lang w:val="en-US"/>
              </w:rPr>
              <w:t>4. Investment Appraisal and Capital Budgeting</w:t>
            </w:r>
            <w:r>
              <w:rPr>
                <w:noProof/>
                <w:webHidden/>
              </w:rPr>
              <w:tab/>
            </w:r>
            <w:r>
              <w:rPr>
                <w:noProof/>
                <w:webHidden/>
              </w:rPr>
              <w:fldChar w:fldCharType="begin"/>
            </w:r>
            <w:r>
              <w:rPr>
                <w:noProof/>
                <w:webHidden/>
              </w:rPr>
              <w:instrText xml:space="preserve"> PAGEREF _Toc214745409 \h </w:instrText>
            </w:r>
            <w:r>
              <w:rPr>
                <w:noProof/>
                <w:webHidden/>
              </w:rPr>
            </w:r>
            <w:r>
              <w:rPr>
                <w:noProof/>
                <w:webHidden/>
              </w:rPr>
              <w:fldChar w:fldCharType="separate"/>
            </w:r>
            <w:r>
              <w:rPr>
                <w:noProof/>
                <w:webHidden/>
              </w:rPr>
              <w:t>13</w:t>
            </w:r>
            <w:r>
              <w:rPr>
                <w:noProof/>
                <w:webHidden/>
              </w:rPr>
              <w:fldChar w:fldCharType="end"/>
            </w:r>
          </w:hyperlink>
        </w:p>
        <w:p w14:paraId="615975AC" w14:textId="77777777" w:rsidR="00762FD7" w:rsidRDefault="00762FD7">
          <w:pPr>
            <w:pStyle w:val="TOC2"/>
            <w:tabs>
              <w:tab w:val="right" w:leader="dot" w:pos="9016"/>
            </w:tabs>
            <w:rPr>
              <w:rFonts w:eastAsiaTheme="minorEastAsia"/>
              <w:noProof/>
              <w:lang w:val="en-US"/>
            </w:rPr>
          </w:pPr>
          <w:hyperlink w:anchor="_Toc214745410" w:history="1">
            <w:r w:rsidRPr="005E5714">
              <w:rPr>
                <w:rStyle w:val="Hyperlink"/>
                <w:rFonts w:ascii="Arial" w:hAnsi="Arial" w:cs="Arial"/>
                <w:noProof/>
                <w:lang w:val="en-US"/>
              </w:rPr>
              <w:t>4.1 Payback Period</w:t>
            </w:r>
            <w:r>
              <w:rPr>
                <w:noProof/>
                <w:webHidden/>
              </w:rPr>
              <w:tab/>
            </w:r>
            <w:r>
              <w:rPr>
                <w:noProof/>
                <w:webHidden/>
              </w:rPr>
              <w:fldChar w:fldCharType="begin"/>
            </w:r>
            <w:r>
              <w:rPr>
                <w:noProof/>
                <w:webHidden/>
              </w:rPr>
              <w:instrText xml:space="preserve"> PAGEREF _Toc214745410 \h </w:instrText>
            </w:r>
            <w:r>
              <w:rPr>
                <w:noProof/>
                <w:webHidden/>
              </w:rPr>
            </w:r>
            <w:r>
              <w:rPr>
                <w:noProof/>
                <w:webHidden/>
              </w:rPr>
              <w:fldChar w:fldCharType="separate"/>
            </w:r>
            <w:r>
              <w:rPr>
                <w:noProof/>
                <w:webHidden/>
              </w:rPr>
              <w:t>13</w:t>
            </w:r>
            <w:r>
              <w:rPr>
                <w:noProof/>
                <w:webHidden/>
              </w:rPr>
              <w:fldChar w:fldCharType="end"/>
            </w:r>
          </w:hyperlink>
        </w:p>
        <w:p w14:paraId="40042585" w14:textId="77777777" w:rsidR="00762FD7" w:rsidRDefault="00762FD7">
          <w:pPr>
            <w:pStyle w:val="TOC2"/>
            <w:tabs>
              <w:tab w:val="right" w:leader="dot" w:pos="9016"/>
            </w:tabs>
            <w:rPr>
              <w:rFonts w:eastAsiaTheme="minorEastAsia"/>
              <w:noProof/>
              <w:lang w:val="en-US"/>
            </w:rPr>
          </w:pPr>
          <w:hyperlink w:anchor="_Toc214745411" w:history="1">
            <w:r w:rsidRPr="005E5714">
              <w:rPr>
                <w:rStyle w:val="Hyperlink"/>
                <w:rFonts w:ascii="Arial" w:hAnsi="Arial" w:cs="Arial"/>
                <w:noProof/>
                <w:lang w:val="en-US"/>
              </w:rPr>
              <w:t>4.2 Accounting Rate of Return</w:t>
            </w:r>
            <w:r>
              <w:rPr>
                <w:noProof/>
                <w:webHidden/>
              </w:rPr>
              <w:tab/>
            </w:r>
            <w:r>
              <w:rPr>
                <w:noProof/>
                <w:webHidden/>
              </w:rPr>
              <w:fldChar w:fldCharType="begin"/>
            </w:r>
            <w:r>
              <w:rPr>
                <w:noProof/>
                <w:webHidden/>
              </w:rPr>
              <w:instrText xml:space="preserve"> PAGEREF _Toc214745411 \h </w:instrText>
            </w:r>
            <w:r>
              <w:rPr>
                <w:noProof/>
                <w:webHidden/>
              </w:rPr>
            </w:r>
            <w:r>
              <w:rPr>
                <w:noProof/>
                <w:webHidden/>
              </w:rPr>
              <w:fldChar w:fldCharType="separate"/>
            </w:r>
            <w:r>
              <w:rPr>
                <w:noProof/>
                <w:webHidden/>
              </w:rPr>
              <w:t>13</w:t>
            </w:r>
            <w:r>
              <w:rPr>
                <w:noProof/>
                <w:webHidden/>
              </w:rPr>
              <w:fldChar w:fldCharType="end"/>
            </w:r>
          </w:hyperlink>
        </w:p>
        <w:p w14:paraId="7A203794" w14:textId="77777777" w:rsidR="00762FD7" w:rsidRDefault="00762FD7">
          <w:pPr>
            <w:pStyle w:val="TOC2"/>
            <w:tabs>
              <w:tab w:val="right" w:leader="dot" w:pos="9016"/>
            </w:tabs>
            <w:rPr>
              <w:rFonts w:eastAsiaTheme="minorEastAsia"/>
              <w:noProof/>
              <w:lang w:val="en-US"/>
            </w:rPr>
          </w:pPr>
          <w:hyperlink w:anchor="_Toc214745412" w:history="1">
            <w:r w:rsidRPr="005E5714">
              <w:rPr>
                <w:rStyle w:val="Hyperlink"/>
                <w:rFonts w:ascii="Arial" w:hAnsi="Arial" w:cs="Arial"/>
                <w:noProof/>
                <w:lang w:val="en-US"/>
              </w:rPr>
              <w:t>4.3 Net Present Value</w:t>
            </w:r>
            <w:r>
              <w:rPr>
                <w:noProof/>
                <w:webHidden/>
              </w:rPr>
              <w:tab/>
            </w:r>
            <w:r>
              <w:rPr>
                <w:noProof/>
                <w:webHidden/>
              </w:rPr>
              <w:fldChar w:fldCharType="begin"/>
            </w:r>
            <w:r>
              <w:rPr>
                <w:noProof/>
                <w:webHidden/>
              </w:rPr>
              <w:instrText xml:space="preserve"> PAGEREF _Toc214745412 \h </w:instrText>
            </w:r>
            <w:r>
              <w:rPr>
                <w:noProof/>
                <w:webHidden/>
              </w:rPr>
            </w:r>
            <w:r>
              <w:rPr>
                <w:noProof/>
                <w:webHidden/>
              </w:rPr>
              <w:fldChar w:fldCharType="separate"/>
            </w:r>
            <w:r>
              <w:rPr>
                <w:noProof/>
                <w:webHidden/>
              </w:rPr>
              <w:t>14</w:t>
            </w:r>
            <w:r>
              <w:rPr>
                <w:noProof/>
                <w:webHidden/>
              </w:rPr>
              <w:fldChar w:fldCharType="end"/>
            </w:r>
          </w:hyperlink>
        </w:p>
        <w:p w14:paraId="410127EB" w14:textId="77777777" w:rsidR="00762FD7" w:rsidRDefault="00762FD7">
          <w:pPr>
            <w:pStyle w:val="TOC2"/>
            <w:tabs>
              <w:tab w:val="right" w:leader="dot" w:pos="9016"/>
            </w:tabs>
            <w:rPr>
              <w:rFonts w:eastAsiaTheme="minorEastAsia"/>
              <w:noProof/>
              <w:lang w:val="en-US"/>
            </w:rPr>
          </w:pPr>
          <w:hyperlink w:anchor="_Toc214745413" w:history="1">
            <w:r w:rsidRPr="005E5714">
              <w:rPr>
                <w:rStyle w:val="Hyperlink"/>
                <w:rFonts w:ascii="Arial" w:hAnsi="Arial" w:cs="Arial"/>
                <w:noProof/>
              </w:rPr>
              <w:t>4.4 Profitability Index</w:t>
            </w:r>
            <w:r>
              <w:rPr>
                <w:noProof/>
                <w:webHidden/>
              </w:rPr>
              <w:tab/>
            </w:r>
            <w:r>
              <w:rPr>
                <w:noProof/>
                <w:webHidden/>
              </w:rPr>
              <w:fldChar w:fldCharType="begin"/>
            </w:r>
            <w:r>
              <w:rPr>
                <w:noProof/>
                <w:webHidden/>
              </w:rPr>
              <w:instrText xml:space="preserve"> PAGEREF _Toc214745413 \h </w:instrText>
            </w:r>
            <w:r>
              <w:rPr>
                <w:noProof/>
                <w:webHidden/>
              </w:rPr>
            </w:r>
            <w:r>
              <w:rPr>
                <w:noProof/>
                <w:webHidden/>
              </w:rPr>
              <w:fldChar w:fldCharType="separate"/>
            </w:r>
            <w:r>
              <w:rPr>
                <w:noProof/>
                <w:webHidden/>
              </w:rPr>
              <w:t>14</w:t>
            </w:r>
            <w:r>
              <w:rPr>
                <w:noProof/>
                <w:webHidden/>
              </w:rPr>
              <w:fldChar w:fldCharType="end"/>
            </w:r>
          </w:hyperlink>
        </w:p>
        <w:p w14:paraId="646545A6" w14:textId="77777777" w:rsidR="00762FD7" w:rsidRDefault="00762FD7">
          <w:pPr>
            <w:pStyle w:val="TOC2"/>
            <w:tabs>
              <w:tab w:val="right" w:leader="dot" w:pos="9016"/>
            </w:tabs>
            <w:rPr>
              <w:rFonts w:eastAsiaTheme="minorEastAsia"/>
              <w:noProof/>
              <w:lang w:val="en-US"/>
            </w:rPr>
          </w:pPr>
          <w:hyperlink w:anchor="_Toc214745414" w:history="1">
            <w:r w:rsidRPr="005E5714">
              <w:rPr>
                <w:rStyle w:val="Hyperlink"/>
                <w:rFonts w:ascii="Arial" w:hAnsi="Arial" w:cs="Arial"/>
                <w:noProof/>
              </w:rPr>
              <w:t>4.5 Internal Rate of Return-IRR</w:t>
            </w:r>
            <w:r>
              <w:rPr>
                <w:noProof/>
                <w:webHidden/>
              </w:rPr>
              <w:tab/>
            </w:r>
            <w:r>
              <w:rPr>
                <w:noProof/>
                <w:webHidden/>
              </w:rPr>
              <w:fldChar w:fldCharType="begin"/>
            </w:r>
            <w:r>
              <w:rPr>
                <w:noProof/>
                <w:webHidden/>
              </w:rPr>
              <w:instrText xml:space="preserve"> PAGEREF _Toc214745414 \h </w:instrText>
            </w:r>
            <w:r>
              <w:rPr>
                <w:noProof/>
                <w:webHidden/>
              </w:rPr>
            </w:r>
            <w:r>
              <w:rPr>
                <w:noProof/>
                <w:webHidden/>
              </w:rPr>
              <w:fldChar w:fldCharType="separate"/>
            </w:r>
            <w:r>
              <w:rPr>
                <w:noProof/>
                <w:webHidden/>
              </w:rPr>
              <w:t>14</w:t>
            </w:r>
            <w:r>
              <w:rPr>
                <w:noProof/>
                <w:webHidden/>
              </w:rPr>
              <w:fldChar w:fldCharType="end"/>
            </w:r>
          </w:hyperlink>
        </w:p>
        <w:p w14:paraId="1C2DE4FF" w14:textId="77777777" w:rsidR="00762FD7" w:rsidRDefault="00762FD7">
          <w:pPr>
            <w:pStyle w:val="TOC2"/>
            <w:tabs>
              <w:tab w:val="right" w:leader="dot" w:pos="9016"/>
            </w:tabs>
            <w:rPr>
              <w:rFonts w:eastAsiaTheme="minorEastAsia"/>
              <w:noProof/>
              <w:lang w:val="en-US"/>
            </w:rPr>
          </w:pPr>
          <w:hyperlink w:anchor="_Toc214745415" w:history="1">
            <w:r w:rsidRPr="005E5714">
              <w:rPr>
                <w:rStyle w:val="Hyperlink"/>
                <w:rFonts w:ascii="Arial" w:hAnsi="Arial" w:cs="Arial"/>
                <w:noProof/>
              </w:rPr>
              <w:t>4.6 Capital Rationing</w:t>
            </w:r>
            <w:r>
              <w:rPr>
                <w:noProof/>
                <w:webHidden/>
              </w:rPr>
              <w:tab/>
            </w:r>
            <w:r>
              <w:rPr>
                <w:noProof/>
                <w:webHidden/>
              </w:rPr>
              <w:fldChar w:fldCharType="begin"/>
            </w:r>
            <w:r>
              <w:rPr>
                <w:noProof/>
                <w:webHidden/>
              </w:rPr>
              <w:instrText xml:space="preserve"> PAGEREF _Toc214745415 \h </w:instrText>
            </w:r>
            <w:r>
              <w:rPr>
                <w:noProof/>
                <w:webHidden/>
              </w:rPr>
            </w:r>
            <w:r>
              <w:rPr>
                <w:noProof/>
                <w:webHidden/>
              </w:rPr>
              <w:fldChar w:fldCharType="separate"/>
            </w:r>
            <w:r>
              <w:rPr>
                <w:noProof/>
                <w:webHidden/>
              </w:rPr>
              <w:t>15</w:t>
            </w:r>
            <w:r>
              <w:rPr>
                <w:noProof/>
                <w:webHidden/>
              </w:rPr>
              <w:fldChar w:fldCharType="end"/>
            </w:r>
          </w:hyperlink>
        </w:p>
        <w:p w14:paraId="27B6CF7F" w14:textId="77777777" w:rsidR="00762FD7" w:rsidRDefault="00762FD7">
          <w:pPr>
            <w:pStyle w:val="TOC1"/>
            <w:tabs>
              <w:tab w:val="right" w:leader="dot" w:pos="9016"/>
            </w:tabs>
            <w:rPr>
              <w:rFonts w:eastAsiaTheme="minorEastAsia"/>
              <w:noProof/>
              <w:lang w:val="en-US"/>
            </w:rPr>
          </w:pPr>
          <w:hyperlink w:anchor="_Toc214745416" w:history="1">
            <w:r w:rsidRPr="005E5714">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_Toc214745416 \h </w:instrText>
            </w:r>
            <w:r>
              <w:rPr>
                <w:noProof/>
                <w:webHidden/>
              </w:rPr>
            </w:r>
            <w:r>
              <w:rPr>
                <w:noProof/>
                <w:webHidden/>
              </w:rPr>
              <w:fldChar w:fldCharType="separate"/>
            </w:r>
            <w:r>
              <w:rPr>
                <w:noProof/>
                <w:webHidden/>
              </w:rPr>
              <w:t>15</w:t>
            </w:r>
            <w:r>
              <w:rPr>
                <w:noProof/>
                <w:webHidden/>
              </w:rPr>
              <w:fldChar w:fldCharType="end"/>
            </w:r>
          </w:hyperlink>
        </w:p>
        <w:p w14:paraId="2B431234" w14:textId="77777777" w:rsidR="00762FD7" w:rsidRDefault="00762FD7">
          <w:pPr>
            <w:pStyle w:val="TOC1"/>
            <w:tabs>
              <w:tab w:val="right" w:leader="dot" w:pos="9016"/>
            </w:tabs>
            <w:rPr>
              <w:rFonts w:eastAsiaTheme="minorEastAsia"/>
              <w:noProof/>
              <w:lang w:val="en-US"/>
            </w:rPr>
          </w:pPr>
          <w:hyperlink w:anchor="_Toc214745417" w:history="1">
            <w:r w:rsidRPr="005E571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_Toc214745417 \h </w:instrText>
            </w:r>
            <w:r>
              <w:rPr>
                <w:noProof/>
                <w:webHidden/>
              </w:rPr>
            </w:r>
            <w:r>
              <w:rPr>
                <w:noProof/>
                <w:webHidden/>
              </w:rPr>
              <w:fldChar w:fldCharType="separate"/>
            </w:r>
            <w:r>
              <w:rPr>
                <w:noProof/>
                <w:webHidden/>
              </w:rPr>
              <w:t>17</w:t>
            </w:r>
            <w:r>
              <w:rPr>
                <w:noProof/>
                <w:webHidden/>
              </w:rPr>
              <w:fldChar w:fldCharType="end"/>
            </w:r>
          </w:hyperlink>
        </w:p>
        <w:p w14:paraId="471E3147" w14:textId="77777777" w:rsidR="00762FD7" w:rsidRDefault="00762FD7">
          <w:pPr>
            <w:pStyle w:val="TOC1"/>
            <w:tabs>
              <w:tab w:val="right" w:leader="dot" w:pos="9016"/>
            </w:tabs>
            <w:rPr>
              <w:rFonts w:eastAsiaTheme="minorEastAsia"/>
              <w:noProof/>
              <w:lang w:val="en-US"/>
            </w:rPr>
          </w:pPr>
          <w:hyperlink w:anchor="_Toc214745418" w:history="1">
            <w:r w:rsidRPr="005E5714">
              <w:rPr>
                <w:rStyle w:val="Hyperlink"/>
                <w:rFonts w:ascii="Arial" w:eastAsia="Times New Roman" w:hAnsi="Arial" w:cs="Arial"/>
                <w:noProof/>
                <w:lang w:val="en-US"/>
              </w:rPr>
              <w:t>Appendix-I Financial Statements</w:t>
            </w:r>
            <w:r>
              <w:rPr>
                <w:noProof/>
                <w:webHidden/>
              </w:rPr>
              <w:tab/>
            </w:r>
            <w:r>
              <w:rPr>
                <w:noProof/>
                <w:webHidden/>
              </w:rPr>
              <w:fldChar w:fldCharType="begin"/>
            </w:r>
            <w:r>
              <w:rPr>
                <w:noProof/>
                <w:webHidden/>
              </w:rPr>
              <w:instrText xml:space="preserve"> PAGEREF _Toc214745418 \h </w:instrText>
            </w:r>
            <w:r>
              <w:rPr>
                <w:noProof/>
                <w:webHidden/>
              </w:rPr>
            </w:r>
            <w:r>
              <w:rPr>
                <w:noProof/>
                <w:webHidden/>
              </w:rPr>
              <w:fldChar w:fldCharType="separate"/>
            </w:r>
            <w:r>
              <w:rPr>
                <w:noProof/>
                <w:webHidden/>
              </w:rPr>
              <w:t>1</w:t>
            </w:r>
            <w:r>
              <w:rPr>
                <w:noProof/>
                <w:webHidden/>
              </w:rPr>
              <w:fldChar w:fldCharType="end"/>
            </w:r>
          </w:hyperlink>
        </w:p>
        <w:p w14:paraId="6C554935" w14:textId="77777777" w:rsidR="00762FD7" w:rsidRDefault="00762FD7">
          <w:pPr>
            <w:pStyle w:val="TOC1"/>
            <w:tabs>
              <w:tab w:val="right" w:leader="dot" w:pos="9016"/>
            </w:tabs>
            <w:rPr>
              <w:rFonts w:eastAsiaTheme="minorEastAsia"/>
              <w:noProof/>
              <w:lang w:val="en-US"/>
            </w:rPr>
          </w:pPr>
          <w:hyperlink w:anchor="_Toc214745419" w:history="1">
            <w:r w:rsidRPr="005E5714">
              <w:rPr>
                <w:rStyle w:val="Hyperlink"/>
                <w:rFonts w:ascii="Arial" w:hAnsi="Arial" w:cs="Arial"/>
                <w:noProof/>
              </w:rPr>
              <w:t>Appendix-II Ratios</w:t>
            </w:r>
            <w:r>
              <w:rPr>
                <w:noProof/>
                <w:webHidden/>
              </w:rPr>
              <w:tab/>
            </w:r>
            <w:r>
              <w:rPr>
                <w:noProof/>
                <w:webHidden/>
              </w:rPr>
              <w:fldChar w:fldCharType="begin"/>
            </w:r>
            <w:r>
              <w:rPr>
                <w:noProof/>
                <w:webHidden/>
              </w:rPr>
              <w:instrText xml:space="preserve"> PAGEREF _Toc214745419 \h </w:instrText>
            </w:r>
            <w:r>
              <w:rPr>
                <w:noProof/>
                <w:webHidden/>
              </w:rPr>
            </w:r>
            <w:r>
              <w:rPr>
                <w:noProof/>
                <w:webHidden/>
              </w:rPr>
              <w:fldChar w:fldCharType="separate"/>
            </w:r>
            <w:r>
              <w:rPr>
                <w:noProof/>
                <w:webHidden/>
              </w:rPr>
              <w:t>4</w:t>
            </w:r>
            <w:r>
              <w:rPr>
                <w:noProof/>
                <w:webHidden/>
              </w:rPr>
              <w:fldChar w:fldCharType="end"/>
            </w:r>
          </w:hyperlink>
        </w:p>
        <w:p w14:paraId="1EE65CFC" w14:textId="77777777" w:rsidR="00762FD7" w:rsidRDefault="00762FD7">
          <w:pPr>
            <w:pStyle w:val="TOC2"/>
            <w:tabs>
              <w:tab w:val="right" w:leader="dot" w:pos="9016"/>
            </w:tabs>
            <w:rPr>
              <w:rFonts w:eastAsiaTheme="minorEastAsia"/>
              <w:noProof/>
              <w:lang w:val="en-US"/>
            </w:rPr>
          </w:pPr>
          <w:hyperlink w:anchor="_Toc214745420" w:history="1">
            <w:r w:rsidRPr="005E5714">
              <w:rPr>
                <w:rStyle w:val="Hyperlink"/>
                <w:rFonts w:ascii="Arial" w:hAnsi="Arial" w:cs="Arial"/>
                <w:noProof/>
              </w:rPr>
              <w:t>Result</w:t>
            </w:r>
            <w:r>
              <w:rPr>
                <w:noProof/>
                <w:webHidden/>
              </w:rPr>
              <w:tab/>
            </w:r>
            <w:r>
              <w:rPr>
                <w:noProof/>
                <w:webHidden/>
              </w:rPr>
              <w:fldChar w:fldCharType="begin"/>
            </w:r>
            <w:r>
              <w:rPr>
                <w:noProof/>
                <w:webHidden/>
              </w:rPr>
              <w:instrText xml:space="preserve"> PAGEREF _Toc214745420 \h </w:instrText>
            </w:r>
            <w:r>
              <w:rPr>
                <w:noProof/>
                <w:webHidden/>
              </w:rPr>
            </w:r>
            <w:r>
              <w:rPr>
                <w:noProof/>
                <w:webHidden/>
              </w:rPr>
              <w:fldChar w:fldCharType="separate"/>
            </w:r>
            <w:r>
              <w:rPr>
                <w:noProof/>
                <w:webHidden/>
              </w:rPr>
              <w:t>5</w:t>
            </w:r>
            <w:r>
              <w:rPr>
                <w:noProof/>
                <w:webHidden/>
              </w:rPr>
              <w:fldChar w:fldCharType="end"/>
            </w:r>
          </w:hyperlink>
        </w:p>
        <w:p w14:paraId="0689E43A" w14:textId="77777777" w:rsidR="00762FD7" w:rsidRDefault="00762FD7">
          <w:pPr>
            <w:pStyle w:val="TOC1"/>
            <w:tabs>
              <w:tab w:val="right" w:leader="dot" w:pos="9016"/>
            </w:tabs>
            <w:rPr>
              <w:rFonts w:eastAsiaTheme="minorEastAsia"/>
              <w:noProof/>
              <w:lang w:val="en-US"/>
            </w:rPr>
          </w:pPr>
          <w:hyperlink w:anchor="_Toc214745421" w:history="1">
            <w:r w:rsidRPr="005E5714">
              <w:rPr>
                <w:rStyle w:val="Hyperlink"/>
                <w:rFonts w:ascii="Arial" w:hAnsi="Arial" w:cs="Arial"/>
                <w:noProof/>
              </w:rPr>
              <w:t>Appendix-III Trends in Ratios</w:t>
            </w:r>
            <w:r>
              <w:rPr>
                <w:noProof/>
                <w:webHidden/>
              </w:rPr>
              <w:tab/>
            </w:r>
            <w:r>
              <w:rPr>
                <w:noProof/>
                <w:webHidden/>
              </w:rPr>
              <w:fldChar w:fldCharType="begin"/>
            </w:r>
            <w:r>
              <w:rPr>
                <w:noProof/>
                <w:webHidden/>
              </w:rPr>
              <w:instrText xml:space="preserve"> PAGEREF _Toc214745421 \h </w:instrText>
            </w:r>
            <w:r>
              <w:rPr>
                <w:noProof/>
                <w:webHidden/>
              </w:rPr>
            </w:r>
            <w:r>
              <w:rPr>
                <w:noProof/>
                <w:webHidden/>
              </w:rPr>
              <w:fldChar w:fldCharType="separate"/>
            </w:r>
            <w:r>
              <w:rPr>
                <w:noProof/>
                <w:webHidden/>
              </w:rPr>
              <w:t>1</w:t>
            </w:r>
            <w:r>
              <w:rPr>
                <w:noProof/>
                <w:webHidden/>
              </w:rPr>
              <w:fldChar w:fldCharType="end"/>
            </w:r>
          </w:hyperlink>
        </w:p>
        <w:p w14:paraId="73052CC8" w14:textId="77777777" w:rsidR="00762FD7" w:rsidRDefault="00762FD7">
          <w:pPr>
            <w:pStyle w:val="TOC3"/>
            <w:tabs>
              <w:tab w:val="right" w:leader="dot" w:pos="9016"/>
            </w:tabs>
            <w:rPr>
              <w:rFonts w:eastAsiaTheme="minorEastAsia"/>
              <w:noProof/>
              <w:lang w:val="en-US"/>
            </w:rPr>
          </w:pPr>
          <w:hyperlink w:anchor="_Toc214745422" w:history="1">
            <w:r w:rsidRPr="005E5714">
              <w:rPr>
                <w:rStyle w:val="Hyperlink"/>
                <w:rFonts w:ascii="Arial" w:hAnsi="Arial" w:cs="Arial"/>
                <w:noProof/>
              </w:rPr>
              <w:t>Liquidity Ratio</w:t>
            </w:r>
            <w:r>
              <w:rPr>
                <w:noProof/>
                <w:webHidden/>
              </w:rPr>
              <w:tab/>
            </w:r>
            <w:r>
              <w:rPr>
                <w:noProof/>
                <w:webHidden/>
              </w:rPr>
              <w:fldChar w:fldCharType="begin"/>
            </w:r>
            <w:r>
              <w:rPr>
                <w:noProof/>
                <w:webHidden/>
              </w:rPr>
              <w:instrText xml:space="preserve"> PAGEREF _Toc214745422 \h </w:instrText>
            </w:r>
            <w:r>
              <w:rPr>
                <w:noProof/>
                <w:webHidden/>
              </w:rPr>
            </w:r>
            <w:r>
              <w:rPr>
                <w:noProof/>
                <w:webHidden/>
              </w:rPr>
              <w:fldChar w:fldCharType="separate"/>
            </w:r>
            <w:r>
              <w:rPr>
                <w:noProof/>
                <w:webHidden/>
              </w:rPr>
              <w:t>3</w:t>
            </w:r>
            <w:r>
              <w:rPr>
                <w:noProof/>
                <w:webHidden/>
              </w:rPr>
              <w:fldChar w:fldCharType="end"/>
            </w:r>
          </w:hyperlink>
        </w:p>
        <w:p w14:paraId="2893D8D6" w14:textId="77777777" w:rsidR="00762FD7" w:rsidRDefault="00762FD7">
          <w:pPr>
            <w:pStyle w:val="TOC3"/>
            <w:tabs>
              <w:tab w:val="right" w:leader="dot" w:pos="9016"/>
            </w:tabs>
            <w:rPr>
              <w:rFonts w:eastAsiaTheme="minorEastAsia"/>
              <w:noProof/>
              <w:lang w:val="en-US"/>
            </w:rPr>
          </w:pPr>
          <w:hyperlink w:anchor="_Toc214745423" w:history="1">
            <w:r w:rsidRPr="005E5714">
              <w:rPr>
                <w:rStyle w:val="Hyperlink"/>
                <w:rFonts w:ascii="Arial" w:hAnsi="Arial" w:cs="Arial"/>
                <w:noProof/>
              </w:rPr>
              <w:t>Efficiency Ratios</w:t>
            </w:r>
            <w:r>
              <w:rPr>
                <w:noProof/>
                <w:webHidden/>
              </w:rPr>
              <w:tab/>
            </w:r>
            <w:r>
              <w:rPr>
                <w:noProof/>
                <w:webHidden/>
              </w:rPr>
              <w:fldChar w:fldCharType="begin"/>
            </w:r>
            <w:r>
              <w:rPr>
                <w:noProof/>
                <w:webHidden/>
              </w:rPr>
              <w:instrText xml:space="preserve"> PAGEREF _Toc214745423 \h </w:instrText>
            </w:r>
            <w:r>
              <w:rPr>
                <w:noProof/>
                <w:webHidden/>
              </w:rPr>
            </w:r>
            <w:r>
              <w:rPr>
                <w:noProof/>
                <w:webHidden/>
              </w:rPr>
              <w:fldChar w:fldCharType="separate"/>
            </w:r>
            <w:r>
              <w:rPr>
                <w:noProof/>
                <w:webHidden/>
              </w:rPr>
              <w:t>4</w:t>
            </w:r>
            <w:r>
              <w:rPr>
                <w:noProof/>
                <w:webHidden/>
              </w:rPr>
              <w:fldChar w:fldCharType="end"/>
            </w:r>
          </w:hyperlink>
        </w:p>
        <w:p w14:paraId="4AF25E09" w14:textId="77777777" w:rsidR="00762FD7" w:rsidRDefault="00762FD7">
          <w:pPr>
            <w:pStyle w:val="TOC3"/>
            <w:tabs>
              <w:tab w:val="right" w:leader="dot" w:pos="9016"/>
            </w:tabs>
            <w:rPr>
              <w:rFonts w:eastAsiaTheme="minorEastAsia"/>
              <w:noProof/>
              <w:lang w:val="en-US"/>
            </w:rPr>
          </w:pPr>
          <w:hyperlink w:anchor="_Toc214745424" w:history="1">
            <w:r w:rsidRPr="005E5714">
              <w:rPr>
                <w:rStyle w:val="Hyperlink"/>
                <w:rFonts w:ascii="Arial" w:hAnsi="Arial" w:cs="Arial"/>
                <w:noProof/>
              </w:rPr>
              <w:t>Investment Ratio</w:t>
            </w:r>
            <w:r>
              <w:rPr>
                <w:noProof/>
                <w:webHidden/>
              </w:rPr>
              <w:tab/>
            </w:r>
            <w:r>
              <w:rPr>
                <w:noProof/>
                <w:webHidden/>
              </w:rPr>
              <w:fldChar w:fldCharType="begin"/>
            </w:r>
            <w:r>
              <w:rPr>
                <w:noProof/>
                <w:webHidden/>
              </w:rPr>
              <w:instrText xml:space="preserve"> PAGEREF _Toc214745424 \h </w:instrText>
            </w:r>
            <w:r>
              <w:rPr>
                <w:noProof/>
                <w:webHidden/>
              </w:rPr>
            </w:r>
            <w:r>
              <w:rPr>
                <w:noProof/>
                <w:webHidden/>
              </w:rPr>
              <w:fldChar w:fldCharType="separate"/>
            </w:r>
            <w:r>
              <w:rPr>
                <w:noProof/>
                <w:webHidden/>
              </w:rPr>
              <w:t>6</w:t>
            </w:r>
            <w:r>
              <w:rPr>
                <w:noProof/>
                <w:webHidden/>
              </w:rPr>
              <w:fldChar w:fldCharType="end"/>
            </w:r>
          </w:hyperlink>
        </w:p>
        <w:p w14:paraId="4F0E665F" w14:textId="77777777" w:rsidR="00762FD7" w:rsidRDefault="00762FD7">
          <w:pPr>
            <w:pStyle w:val="TOC2"/>
            <w:tabs>
              <w:tab w:val="right" w:leader="dot" w:pos="9016"/>
            </w:tabs>
            <w:rPr>
              <w:rFonts w:eastAsiaTheme="minorEastAsia"/>
              <w:noProof/>
              <w:lang w:val="en-US"/>
            </w:rPr>
          </w:pPr>
          <w:hyperlink w:anchor="_Toc214745425" w:history="1">
            <w:r w:rsidRPr="005E5714">
              <w:rPr>
                <w:rStyle w:val="Hyperlink"/>
                <w:rFonts w:ascii="Arial" w:hAnsi="Arial" w:cs="Arial"/>
                <w:noProof/>
              </w:rPr>
              <w:t xml:space="preserve">Appendix-IV </w:t>
            </w:r>
            <w:r w:rsidRPr="005E5714">
              <w:rPr>
                <w:rStyle w:val="Hyperlink"/>
                <w:rFonts w:ascii="Arial" w:hAnsi="Arial" w:cs="Arial"/>
                <w:noProof/>
                <w:lang w:val="en-US"/>
              </w:rPr>
              <w:t>Corporate failure prediction models (Altman Z-Score)</w:t>
            </w:r>
            <w:r>
              <w:rPr>
                <w:noProof/>
                <w:webHidden/>
              </w:rPr>
              <w:tab/>
            </w:r>
            <w:r>
              <w:rPr>
                <w:noProof/>
                <w:webHidden/>
              </w:rPr>
              <w:fldChar w:fldCharType="begin"/>
            </w:r>
            <w:r>
              <w:rPr>
                <w:noProof/>
                <w:webHidden/>
              </w:rPr>
              <w:instrText xml:space="preserve"> PAGEREF _Toc214745425 \h </w:instrText>
            </w:r>
            <w:r>
              <w:rPr>
                <w:noProof/>
                <w:webHidden/>
              </w:rPr>
            </w:r>
            <w:r>
              <w:rPr>
                <w:noProof/>
                <w:webHidden/>
              </w:rPr>
              <w:fldChar w:fldCharType="separate"/>
            </w:r>
            <w:r>
              <w:rPr>
                <w:noProof/>
                <w:webHidden/>
              </w:rPr>
              <w:t>1</w:t>
            </w:r>
            <w:r>
              <w:rPr>
                <w:noProof/>
                <w:webHidden/>
              </w:rPr>
              <w:fldChar w:fldCharType="end"/>
            </w:r>
          </w:hyperlink>
        </w:p>
        <w:p w14:paraId="767A21F3" w14:textId="77777777" w:rsidR="00762FD7" w:rsidRDefault="00762FD7">
          <w:pPr>
            <w:pStyle w:val="TOC1"/>
            <w:tabs>
              <w:tab w:val="right" w:leader="dot" w:pos="9016"/>
            </w:tabs>
            <w:rPr>
              <w:rFonts w:eastAsiaTheme="minorEastAsia"/>
              <w:noProof/>
              <w:lang w:val="en-US"/>
            </w:rPr>
          </w:pPr>
          <w:hyperlink w:anchor="_Toc214745426" w:history="1">
            <w:r w:rsidRPr="005E5714">
              <w:rPr>
                <w:rStyle w:val="Hyperlink"/>
                <w:noProof/>
              </w:rPr>
              <w:t>Appendix-V Capital Budgeting and investment appraisal’</w:t>
            </w:r>
            <w:r>
              <w:rPr>
                <w:noProof/>
                <w:webHidden/>
              </w:rPr>
              <w:tab/>
            </w:r>
            <w:r>
              <w:rPr>
                <w:noProof/>
                <w:webHidden/>
              </w:rPr>
              <w:fldChar w:fldCharType="begin"/>
            </w:r>
            <w:r>
              <w:rPr>
                <w:noProof/>
                <w:webHidden/>
              </w:rPr>
              <w:instrText xml:space="preserve"> PAGEREF _Toc214745426 \h </w:instrText>
            </w:r>
            <w:r>
              <w:rPr>
                <w:noProof/>
                <w:webHidden/>
              </w:rPr>
            </w:r>
            <w:r>
              <w:rPr>
                <w:noProof/>
                <w:webHidden/>
              </w:rPr>
              <w:fldChar w:fldCharType="separate"/>
            </w:r>
            <w:r>
              <w:rPr>
                <w:noProof/>
                <w:webHidden/>
              </w:rPr>
              <w:t>2</w:t>
            </w:r>
            <w:r>
              <w:rPr>
                <w:noProof/>
                <w:webHidden/>
              </w:rPr>
              <w:fldChar w:fldCharType="end"/>
            </w:r>
          </w:hyperlink>
        </w:p>
        <w:p w14:paraId="46756681" w14:textId="77777777" w:rsidR="00762FD7" w:rsidRDefault="00762FD7">
          <w:pPr>
            <w:pStyle w:val="TOC2"/>
            <w:tabs>
              <w:tab w:val="right" w:leader="dot" w:pos="9016"/>
            </w:tabs>
            <w:rPr>
              <w:rFonts w:eastAsiaTheme="minorEastAsia"/>
              <w:noProof/>
              <w:lang w:val="en-US"/>
            </w:rPr>
          </w:pPr>
          <w:hyperlink w:anchor="_Toc214745427" w:history="1">
            <w:r w:rsidRPr="005E5714">
              <w:rPr>
                <w:rStyle w:val="Hyperlink"/>
                <w:noProof/>
                <w:lang w:val="en-US"/>
              </w:rPr>
              <w:t>Payback Period</w:t>
            </w:r>
            <w:r>
              <w:rPr>
                <w:noProof/>
                <w:webHidden/>
              </w:rPr>
              <w:tab/>
            </w:r>
            <w:r>
              <w:rPr>
                <w:noProof/>
                <w:webHidden/>
              </w:rPr>
              <w:fldChar w:fldCharType="begin"/>
            </w:r>
            <w:r>
              <w:rPr>
                <w:noProof/>
                <w:webHidden/>
              </w:rPr>
              <w:instrText xml:space="preserve"> PAGEREF _Toc214745427 \h </w:instrText>
            </w:r>
            <w:r>
              <w:rPr>
                <w:noProof/>
                <w:webHidden/>
              </w:rPr>
            </w:r>
            <w:r>
              <w:rPr>
                <w:noProof/>
                <w:webHidden/>
              </w:rPr>
              <w:fldChar w:fldCharType="separate"/>
            </w:r>
            <w:r>
              <w:rPr>
                <w:noProof/>
                <w:webHidden/>
              </w:rPr>
              <w:t>2</w:t>
            </w:r>
            <w:r>
              <w:rPr>
                <w:noProof/>
                <w:webHidden/>
              </w:rPr>
              <w:fldChar w:fldCharType="end"/>
            </w:r>
          </w:hyperlink>
        </w:p>
        <w:p w14:paraId="20EA4D0A" w14:textId="77777777" w:rsidR="00FD0388" w:rsidRPr="009E2403" w:rsidRDefault="00FD0388" w:rsidP="00135C1B">
          <w:pPr>
            <w:jc w:val="both"/>
            <w:rPr>
              <w:rFonts w:ascii="Arial" w:hAnsi="Arial" w:cs="Arial"/>
            </w:rPr>
          </w:pPr>
          <w:r w:rsidRPr="009E2403">
            <w:rPr>
              <w:rFonts w:ascii="Arial" w:hAnsi="Arial" w:cs="Arial"/>
              <w:b/>
              <w:bCs/>
              <w:noProof/>
            </w:rPr>
            <w:fldChar w:fldCharType="end"/>
          </w:r>
        </w:p>
      </w:sdtContent>
    </w:sdt>
    <w:p w14:paraId="579A3ADE" w14:textId="77777777" w:rsidR="00EC03CF" w:rsidRPr="009E2403" w:rsidRDefault="009922AE" w:rsidP="00EC03CF">
      <w:pPr>
        <w:rPr>
          <w:rFonts w:ascii="Arial" w:hAnsi="Arial" w:cs="Arial"/>
          <w:b/>
          <w:bCs/>
          <w:sz w:val="24"/>
        </w:rPr>
      </w:pPr>
      <w:r w:rsidRPr="009E2403">
        <w:rPr>
          <w:rFonts w:ascii="Arial" w:hAnsi="Arial" w:cs="Arial"/>
          <w:b/>
          <w:bCs/>
          <w:sz w:val="24"/>
        </w:rPr>
        <w:br w:type="page"/>
        <w:t>L</w:t>
      </w:r>
      <w:r w:rsidR="009D7A3D" w:rsidRPr="009E2403">
        <w:rPr>
          <w:rFonts w:ascii="Arial" w:hAnsi="Arial" w:cs="Arial"/>
          <w:b/>
          <w:bCs/>
          <w:sz w:val="24"/>
        </w:rPr>
        <w:t>ist of Tables</w:t>
      </w:r>
    </w:p>
    <w:p w14:paraId="52D1465E" w14:textId="77777777" w:rsidR="00762FD7" w:rsidRDefault="00EC03CF">
      <w:pPr>
        <w:pStyle w:val="TableofFigures"/>
        <w:tabs>
          <w:tab w:val="right" w:leader="dot" w:pos="9016"/>
        </w:tabs>
        <w:rPr>
          <w:rFonts w:eastAsiaTheme="minorEastAsia"/>
          <w:noProof/>
          <w:lang w:val="en-US"/>
        </w:rPr>
      </w:pPr>
      <w:r w:rsidRPr="009E2403">
        <w:rPr>
          <w:rFonts w:ascii="Arial" w:hAnsi="Arial" w:cs="Arial"/>
          <w:b/>
          <w:bCs/>
          <w:sz w:val="24"/>
        </w:rPr>
        <w:fldChar w:fldCharType="begin"/>
      </w:r>
      <w:r w:rsidRPr="009E2403">
        <w:rPr>
          <w:rFonts w:ascii="Arial" w:hAnsi="Arial" w:cs="Arial"/>
          <w:b/>
          <w:bCs/>
          <w:sz w:val="24"/>
        </w:rPr>
        <w:instrText xml:space="preserve"> TOC \h \z \c "Table" </w:instrText>
      </w:r>
      <w:r w:rsidRPr="009E2403">
        <w:rPr>
          <w:rFonts w:ascii="Arial" w:hAnsi="Arial" w:cs="Arial"/>
          <w:b/>
          <w:bCs/>
          <w:sz w:val="24"/>
        </w:rPr>
        <w:fldChar w:fldCharType="separate"/>
      </w:r>
      <w:hyperlink w:anchor="_Toc214745428" w:history="1">
        <w:r w:rsidR="00762FD7" w:rsidRPr="00A747F6">
          <w:rPr>
            <w:rStyle w:val="Hyperlink"/>
            <w:rFonts w:ascii="Arial" w:hAnsi="Arial" w:cs="Arial"/>
            <w:noProof/>
          </w:rPr>
          <w:t>Table 1 Corporate Failure Prediction Model- Altman Z-Score model</w:t>
        </w:r>
        <w:r w:rsidR="00762FD7">
          <w:rPr>
            <w:noProof/>
            <w:webHidden/>
          </w:rPr>
          <w:tab/>
        </w:r>
        <w:r w:rsidR="00762FD7">
          <w:rPr>
            <w:noProof/>
            <w:webHidden/>
          </w:rPr>
          <w:fldChar w:fldCharType="begin"/>
        </w:r>
        <w:r w:rsidR="00762FD7">
          <w:rPr>
            <w:noProof/>
            <w:webHidden/>
          </w:rPr>
          <w:instrText xml:space="preserve"> PAGEREF _Toc214745428 \h </w:instrText>
        </w:r>
        <w:r w:rsidR="00762FD7">
          <w:rPr>
            <w:noProof/>
            <w:webHidden/>
          </w:rPr>
        </w:r>
        <w:r w:rsidR="00762FD7">
          <w:rPr>
            <w:noProof/>
            <w:webHidden/>
          </w:rPr>
          <w:fldChar w:fldCharType="separate"/>
        </w:r>
        <w:r w:rsidR="00762FD7">
          <w:rPr>
            <w:noProof/>
            <w:webHidden/>
          </w:rPr>
          <w:t>7</w:t>
        </w:r>
        <w:r w:rsidR="00762FD7">
          <w:rPr>
            <w:noProof/>
            <w:webHidden/>
          </w:rPr>
          <w:fldChar w:fldCharType="end"/>
        </w:r>
      </w:hyperlink>
    </w:p>
    <w:p w14:paraId="41855752" w14:textId="77777777" w:rsidR="00762FD7" w:rsidRDefault="00762FD7">
      <w:pPr>
        <w:pStyle w:val="TableofFigures"/>
        <w:tabs>
          <w:tab w:val="right" w:leader="dot" w:pos="9016"/>
        </w:tabs>
        <w:rPr>
          <w:rFonts w:eastAsiaTheme="minorEastAsia"/>
          <w:noProof/>
          <w:lang w:val="en-US"/>
        </w:rPr>
      </w:pPr>
      <w:hyperlink w:anchor="_Toc214745429" w:history="1">
        <w:r w:rsidRPr="00A747F6">
          <w:rPr>
            <w:rStyle w:val="Hyperlink"/>
            <w:rFonts w:ascii="Arial" w:hAnsi="Arial" w:cs="Arial"/>
            <w:noProof/>
          </w:rPr>
          <w:t>Table 2 Altman Z-Scores</w:t>
        </w:r>
        <w:r>
          <w:rPr>
            <w:noProof/>
            <w:webHidden/>
          </w:rPr>
          <w:tab/>
        </w:r>
        <w:r>
          <w:rPr>
            <w:noProof/>
            <w:webHidden/>
          </w:rPr>
          <w:fldChar w:fldCharType="begin"/>
        </w:r>
        <w:r>
          <w:rPr>
            <w:noProof/>
            <w:webHidden/>
          </w:rPr>
          <w:instrText xml:space="preserve"> PAGEREF _Toc214745429 \h </w:instrText>
        </w:r>
        <w:r>
          <w:rPr>
            <w:noProof/>
            <w:webHidden/>
          </w:rPr>
        </w:r>
        <w:r>
          <w:rPr>
            <w:noProof/>
            <w:webHidden/>
          </w:rPr>
          <w:fldChar w:fldCharType="separate"/>
        </w:r>
        <w:r>
          <w:rPr>
            <w:noProof/>
            <w:webHidden/>
          </w:rPr>
          <w:t>7</w:t>
        </w:r>
        <w:r>
          <w:rPr>
            <w:noProof/>
            <w:webHidden/>
          </w:rPr>
          <w:fldChar w:fldCharType="end"/>
        </w:r>
      </w:hyperlink>
    </w:p>
    <w:p w14:paraId="3373B018" w14:textId="77777777" w:rsidR="00762FD7" w:rsidRDefault="00762FD7">
      <w:pPr>
        <w:pStyle w:val="TableofFigures"/>
        <w:tabs>
          <w:tab w:val="right" w:leader="dot" w:pos="9016"/>
        </w:tabs>
        <w:rPr>
          <w:rFonts w:eastAsiaTheme="minorEastAsia"/>
          <w:noProof/>
          <w:lang w:val="en-US"/>
        </w:rPr>
      </w:pPr>
      <w:hyperlink w:anchor="_Toc214745430" w:history="1">
        <w:r w:rsidRPr="00A747F6">
          <w:rPr>
            <w:rStyle w:val="Hyperlink"/>
            <w:rFonts w:ascii="Arial" w:hAnsi="Arial" w:cs="Arial"/>
            <w:noProof/>
          </w:rPr>
          <w:t>Table 3 Cash Operating Cycle (COC)</w:t>
        </w:r>
        <w:r>
          <w:rPr>
            <w:noProof/>
            <w:webHidden/>
          </w:rPr>
          <w:tab/>
        </w:r>
        <w:r>
          <w:rPr>
            <w:noProof/>
            <w:webHidden/>
          </w:rPr>
          <w:fldChar w:fldCharType="begin"/>
        </w:r>
        <w:r>
          <w:rPr>
            <w:noProof/>
            <w:webHidden/>
          </w:rPr>
          <w:instrText xml:space="preserve"> PAGEREF _Toc214745430 \h </w:instrText>
        </w:r>
        <w:r>
          <w:rPr>
            <w:noProof/>
            <w:webHidden/>
          </w:rPr>
        </w:r>
        <w:r>
          <w:rPr>
            <w:noProof/>
            <w:webHidden/>
          </w:rPr>
          <w:fldChar w:fldCharType="separate"/>
        </w:r>
        <w:r>
          <w:rPr>
            <w:noProof/>
            <w:webHidden/>
          </w:rPr>
          <w:t>8</w:t>
        </w:r>
        <w:r>
          <w:rPr>
            <w:noProof/>
            <w:webHidden/>
          </w:rPr>
          <w:fldChar w:fldCharType="end"/>
        </w:r>
      </w:hyperlink>
    </w:p>
    <w:p w14:paraId="7837513F" w14:textId="77777777" w:rsidR="00762FD7" w:rsidRDefault="00762FD7">
      <w:pPr>
        <w:pStyle w:val="TableofFigures"/>
        <w:tabs>
          <w:tab w:val="right" w:leader="dot" w:pos="9016"/>
        </w:tabs>
        <w:rPr>
          <w:rFonts w:eastAsiaTheme="minorEastAsia"/>
          <w:noProof/>
          <w:lang w:val="en-US"/>
        </w:rPr>
      </w:pPr>
      <w:hyperlink w:anchor="_Toc214745431" w:history="1">
        <w:r w:rsidRPr="00A747F6">
          <w:rPr>
            <w:rStyle w:val="Hyperlink"/>
            <w:rFonts w:ascii="Arial" w:hAnsi="Arial" w:cs="Arial"/>
            <w:noProof/>
          </w:rPr>
          <w:t>Table 4 Ratios of General Electronics</w:t>
        </w:r>
        <w:r>
          <w:rPr>
            <w:noProof/>
            <w:webHidden/>
          </w:rPr>
          <w:tab/>
        </w:r>
        <w:r>
          <w:rPr>
            <w:noProof/>
            <w:webHidden/>
          </w:rPr>
          <w:fldChar w:fldCharType="begin"/>
        </w:r>
        <w:r>
          <w:rPr>
            <w:noProof/>
            <w:webHidden/>
          </w:rPr>
          <w:instrText xml:space="preserve"> PAGEREF _Toc214745431 \h </w:instrText>
        </w:r>
        <w:r>
          <w:rPr>
            <w:noProof/>
            <w:webHidden/>
          </w:rPr>
        </w:r>
        <w:r>
          <w:rPr>
            <w:noProof/>
            <w:webHidden/>
          </w:rPr>
          <w:fldChar w:fldCharType="separate"/>
        </w:r>
        <w:r>
          <w:rPr>
            <w:noProof/>
            <w:webHidden/>
          </w:rPr>
          <w:t>6</w:t>
        </w:r>
        <w:r>
          <w:rPr>
            <w:noProof/>
            <w:webHidden/>
          </w:rPr>
          <w:fldChar w:fldCharType="end"/>
        </w:r>
      </w:hyperlink>
    </w:p>
    <w:p w14:paraId="7D34D77E" w14:textId="77777777" w:rsidR="00762FD7" w:rsidRDefault="00762FD7">
      <w:pPr>
        <w:pStyle w:val="TableofFigures"/>
        <w:tabs>
          <w:tab w:val="right" w:leader="dot" w:pos="9016"/>
        </w:tabs>
        <w:rPr>
          <w:rFonts w:eastAsiaTheme="minorEastAsia"/>
          <w:noProof/>
          <w:lang w:val="en-US"/>
        </w:rPr>
      </w:pPr>
      <w:hyperlink w:anchor="_Toc214745432" w:history="1">
        <w:r w:rsidRPr="00A747F6">
          <w:rPr>
            <w:rStyle w:val="Hyperlink"/>
            <w:rFonts w:ascii="Arial" w:hAnsi="Arial" w:cs="Arial"/>
            <w:noProof/>
          </w:rPr>
          <w:t>Table 5 Altman Z-Score Analysis</w:t>
        </w:r>
        <w:r>
          <w:rPr>
            <w:noProof/>
            <w:webHidden/>
          </w:rPr>
          <w:tab/>
        </w:r>
        <w:r>
          <w:rPr>
            <w:noProof/>
            <w:webHidden/>
          </w:rPr>
          <w:fldChar w:fldCharType="begin"/>
        </w:r>
        <w:r>
          <w:rPr>
            <w:noProof/>
            <w:webHidden/>
          </w:rPr>
          <w:instrText xml:space="preserve"> PAGEREF _Toc214745432 \h </w:instrText>
        </w:r>
        <w:r>
          <w:rPr>
            <w:noProof/>
            <w:webHidden/>
          </w:rPr>
        </w:r>
        <w:r>
          <w:rPr>
            <w:noProof/>
            <w:webHidden/>
          </w:rPr>
          <w:fldChar w:fldCharType="separate"/>
        </w:r>
        <w:r>
          <w:rPr>
            <w:noProof/>
            <w:webHidden/>
          </w:rPr>
          <w:t>2</w:t>
        </w:r>
        <w:r>
          <w:rPr>
            <w:noProof/>
            <w:webHidden/>
          </w:rPr>
          <w:fldChar w:fldCharType="end"/>
        </w:r>
      </w:hyperlink>
    </w:p>
    <w:p w14:paraId="6F3BF57B" w14:textId="77777777" w:rsidR="00762FD7" w:rsidRDefault="00762FD7">
      <w:pPr>
        <w:pStyle w:val="TableofFigures"/>
        <w:tabs>
          <w:tab w:val="right" w:leader="dot" w:pos="9016"/>
        </w:tabs>
        <w:rPr>
          <w:rFonts w:eastAsiaTheme="minorEastAsia"/>
          <w:noProof/>
          <w:lang w:val="en-US"/>
        </w:rPr>
      </w:pPr>
      <w:hyperlink w:anchor="_Toc214745433" w:history="1">
        <w:r w:rsidRPr="00A747F6">
          <w:rPr>
            <w:rStyle w:val="Hyperlink"/>
            <w:noProof/>
          </w:rPr>
          <w:t>Table 6 Payback Period</w:t>
        </w:r>
        <w:r>
          <w:rPr>
            <w:noProof/>
            <w:webHidden/>
          </w:rPr>
          <w:tab/>
        </w:r>
        <w:r>
          <w:rPr>
            <w:noProof/>
            <w:webHidden/>
          </w:rPr>
          <w:fldChar w:fldCharType="begin"/>
        </w:r>
        <w:r>
          <w:rPr>
            <w:noProof/>
            <w:webHidden/>
          </w:rPr>
          <w:instrText xml:space="preserve"> PAGEREF _Toc214745433 \h </w:instrText>
        </w:r>
        <w:r>
          <w:rPr>
            <w:noProof/>
            <w:webHidden/>
          </w:rPr>
        </w:r>
        <w:r>
          <w:rPr>
            <w:noProof/>
            <w:webHidden/>
          </w:rPr>
          <w:fldChar w:fldCharType="separate"/>
        </w:r>
        <w:r>
          <w:rPr>
            <w:noProof/>
            <w:webHidden/>
          </w:rPr>
          <w:t>3</w:t>
        </w:r>
        <w:r>
          <w:rPr>
            <w:noProof/>
            <w:webHidden/>
          </w:rPr>
          <w:fldChar w:fldCharType="end"/>
        </w:r>
      </w:hyperlink>
    </w:p>
    <w:p w14:paraId="6A45617F" w14:textId="77777777" w:rsidR="00762FD7" w:rsidRDefault="00762FD7">
      <w:pPr>
        <w:pStyle w:val="TableofFigures"/>
        <w:tabs>
          <w:tab w:val="right" w:leader="dot" w:pos="9016"/>
        </w:tabs>
        <w:rPr>
          <w:rFonts w:eastAsiaTheme="minorEastAsia"/>
          <w:noProof/>
          <w:lang w:val="en-US"/>
        </w:rPr>
      </w:pPr>
      <w:hyperlink w:anchor="_Toc214745434" w:history="1">
        <w:r w:rsidRPr="00A747F6">
          <w:rPr>
            <w:rStyle w:val="Hyperlink"/>
            <w:noProof/>
          </w:rPr>
          <w:t>Table 7 ARR</w:t>
        </w:r>
        <w:r>
          <w:rPr>
            <w:noProof/>
            <w:webHidden/>
          </w:rPr>
          <w:tab/>
        </w:r>
        <w:r>
          <w:rPr>
            <w:noProof/>
            <w:webHidden/>
          </w:rPr>
          <w:fldChar w:fldCharType="begin"/>
        </w:r>
        <w:r>
          <w:rPr>
            <w:noProof/>
            <w:webHidden/>
          </w:rPr>
          <w:instrText xml:space="preserve"> PAGEREF _Toc214745434 \h </w:instrText>
        </w:r>
        <w:r>
          <w:rPr>
            <w:noProof/>
            <w:webHidden/>
          </w:rPr>
        </w:r>
        <w:r>
          <w:rPr>
            <w:noProof/>
            <w:webHidden/>
          </w:rPr>
          <w:fldChar w:fldCharType="separate"/>
        </w:r>
        <w:r>
          <w:rPr>
            <w:noProof/>
            <w:webHidden/>
          </w:rPr>
          <w:t>5</w:t>
        </w:r>
        <w:r>
          <w:rPr>
            <w:noProof/>
            <w:webHidden/>
          </w:rPr>
          <w:fldChar w:fldCharType="end"/>
        </w:r>
      </w:hyperlink>
    </w:p>
    <w:p w14:paraId="02BA420C" w14:textId="77777777" w:rsidR="00762FD7" w:rsidRDefault="00762FD7">
      <w:pPr>
        <w:pStyle w:val="TableofFigures"/>
        <w:tabs>
          <w:tab w:val="right" w:leader="dot" w:pos="9016"/>
        </w:tabs>
        <w:rPr>
          <w:rFonts w:eastAsiaTheme="minorEastAsia"/>
          <w:noProof/>
          <w:lang w:val="en-US"/>
        </w:rPr>
      </w:pPr>
      <w:hyperlink w:anchor="_Toc214745435" w:history="1">
        <w:r w:rsidRPr="00A747F6">
          <w:rPr>
            <w:rStyle w:val="Hyperlink"/>
            <w:noProof/>
          </w:rPr>
          <w:t>Table 8 PI</w:t>
        </w:r>
        <w:r>
          <w:rPr>
            <w:noProof/>
            <w:webHidden/>
          </w:rPr>
          <w:tab/>
        </w:r>
        <w:r>
          <w:rPr>
            <w:noProof/>
            <w:webHidden/>
          </w:rPr>
          <w:fldChar w:fldCharType="begin"/>
        </w:r>
        <w:r>
          <w:rPr>
            <w:noProof/>
            <w:webHidden/>
          </w:rPr>
          <w:instrText xml:space="preserve"> PAGEREF _Toc214745435 \h </w:instrText>
        </w:r>
        <w:r>
          <w:rPr>
            <w:noProof/>
            <w:webHidden/>
          </w:rPr>
        </w:r>
        <w:r>
          <w:rPr>
            <w:noProof/>
            <w:webHidden/>
          </w:rPr>
          <w:fldChar w:fldCharType="separate"/>
        </w:r>
        <w:r>
          <w:rPr>
            <w:noProof/>
            <w:webHidden/>
          </w:rPr>
          <w:t>5</w:t>
        </w:r>
        <w:r>
          <w:rPr>
            <w:noProof/>
            <w:webHidden/>
          </w:rPr>
          <w:fldChar w:fldCharType="end"/>
        </w:r>
      </w:hyperlink>
    </w:p>
    <w:p w14:paraId="3E8471F8" w14:textId="77777777" w:rsidR="00762FD7" w:rsidRDefault="00762FD7">
      <w:pPr>
        <w:pStyle w:val="TableofFigures"/>
        <w:tabs>
          <w:tab w:val="right" w:leader="dot" w:pos="9016"/>
        </w:tabs>
        <w:rPr>
          <w:rFonts w:eastAsiaTheme="minorEastAsia"/>
          <w:noProof/>
          <w:lang w:val="en-US"/>
        </w:rPr>
      </w:pPr>
      <w:hyperlink w:anchor="_Toc214745436" w:history="1">
        <w:r w:rsidRPr="00A747F6">
          <w:rPr>
            <w:rStyle w:val="Hyperlink"/>
            <w:noProof/>
          </w:rPr>
          <w:t>Table 9 NPV</w:t>
        </w:r>
        <w:r>
          <w:rPr>
            <w:noProof/>
            <w:webHidden/>
          </w:rPr>
          <w:tab/>
        </w:r>
        <w:r>
          <w:rPr>
            <w:noProof/>
            <w:webHidden/>
          </w:rPr>
          <w:fldChar w:fldCharType="begin"/>
        </w:r>
        <w:r>
          <w:rPr>
            <w:noProof/>
            <w:webHidden/>
          </w:rPr>
          <w:instrText xml:space="preserve"> PAGEREF _Toc214745436 \h </w:instrText>
        </w:r>
        <w:r>
          <w:rPr>
            <w:noProof/>
            <w:webHidden/>
          </w:rPr>
        </w:r>
        <w:r>
          <w:rPr>
            <w:noProof/>
            <w:webHidden/>
          </w:rPr>
          <w:fldChar w:fldCharType="separate"/>
        </w:r>
        <w:r>
          <w:rPr>
            <w:noProof/>
            <w:webHidden/>
          </w:rPr>
          <w:t>6</w:t>
        </w:r>
        <w:r>
          <w:rPr>
            <w:noProof/>
            <w:webHidden/>
          </w:rPr>
          <w:fldChar w:fldCharType="end"/>
        </w:r>
      </w:hyperlink>
    </w:p>
    <w:p w14:paraId="7A1505FE" w14:textId="77777777" w:rsidR="00762FD7" w:rsidRDefault="00762FD7">
      <w:pPr>
        <w:pStyle w:val="TableofFigures"/>
        <w:tabs>
          <w:tab w:val="right" w:leader="dot" w:pos="9016"/>
        </w:tabs>
        <w:rPr>
          <w:rFonts w:eastAsiaTheme="minorEastAsia"/>
          <w:noProof/>
          <w:lang w:val="en-US"/>
        </w:rPr>
      </w:pPr>
      <w:hyperlink w:anchor="_Toc214745437" w:history="1">
        <w:r w:rsidRPr="00A747F6">
          <w:rPr>
            <w:rStyle w:val="Hyperlink"/>
            <w:noProof/>
          </w:rPr>
          <w:t>Table 10 IRR of General Electronics</w:t>
        </w:r>
        <w:r>
          <w:rPr>
            <w:noProof/>
            <w:webHidden/>
          </w:rPr>
          <w:tab/>
        </w:r>
        <w:r>
          <w:rPr>
            <w:noProof/>
            <w:webHidden/>
          </w:rPr>
          <w:fldChar w:fldCharType="begin"/>
        </w:r>
        <w:r>
          <w:rPr>
            <w:noProof/>
            <w:webHidden/>
          </w:rPr>
          <w:instrText xml:space="preserve"> PAGEREF _Toc214745437 \h </w:instrText>
        </w:r>
        <w:r>
          <w:rPr>
            <w:noProof/>
            <w:webHidden/>
          </w:rPr>
        </w:r>
        <w:r>
          <w:rPr>
            <w:noProof/>
            <w:webHidden/>
          </w:rPr>
          <w:fldChar w:fldCharType="separate"/>
        </w:r>
        <w:r>
          <w:rPr>
            <w:noProof/>
            <w:webHidden/>
          </w:rPr>
          <w:t>9</w:t>
        </w:r>
        <w:r>
          <w:rPr>
            <w:noProof/>
            <w:webHidden/>
          </w:rPr>
          <w:fldChar w:fldCharType="end"/>
        </w:r>
      </w:hyperlink>
    </w:p>
    <w:p w14:paraId="1393DC62" w14:textId="77777777" w:rsidR="00EC03CF" w:rsidRPr="009E2403" w:rsidRDefault="00EC03CF" w:rsidP="00EC03CF">
      <w:pPr>
        <w:rPr>
          <w:rFonts w:ascii="Arial" w:hAnsi="Arial" w:cs="Arial"/>
          <w:b/>
          <w:bCs/>
          <w:sz w:val="24"/>
        </w:rPr>
      </w:pPr>
      <w:r w:rsidRPr="009E2403">
        <w:rPr>
          <w:rFonts w:ascii="Arial" w:hAnsi="Arial" w:cs="Arial"/>
          <w:b/>
          <w:bCs/>
          <w:sz w:val="24"/>
        </w:rPr>
        <w:fldChar w:fldCharType="end"/>
      </w:r>
    </w:p>
    <w:p w14:paraId="2A7A5FDD" w14:textId="77777777" w:rsidR="00762FD7" w:rsidRDefault="00762FD7">
      <w:pPr>
        <w:rPr>
          <w:rFonts w:ascii="Arial" w:hAnsi="Arial" w:cs="Arial"/>
          <w:b/>
          <w:bCs/>
        </w:rPr>
      </w:pPr>
      <w:r>
        <w:rPr>
          <w:rFonts w:ascii="Arial" w:hAnsi="Arial" w:cs="Arial"/>
          <w:b/>
          <w:bCs/>
        </w:rPr>
        <w:t>List of figures</w:t>
      </w:r>
    </w:p>
    <w:p w14:paraId="33BC66F8" w14:textId="77777777" w:rsidR="00762FD7" w:rsidRDefault="00762FD7">
      <w:pPr>
        <w:pStyle w:val="TableofFigures"/>
        <w:tabs>
          <w:tab w:val="right" w:leader="dot" w:pos="9016"/>
        </w:tabs>
        <w:rPr>
          <w:rFonts w:eastAsiaTheme="minorEastAsia"/>
          <w:noProof/>
          <w:lang w:val="en-US"/>
        </w:rPr>
      </w:pPr>
      <w:r>
        <w:rPr>
          <w:rFonts w:ascii="Arial" w:hAnsi="Arial" w:cs="Arial"/>
          <w:b/>
          <w:bCs/>
        </w:rPr>
        <w:fldChar w:fldCharType="begin"/>
      </w:r>
      <w:r>
        <w:rPr>
          <w:rFonts w:ascii="Arial" w:hAnsi="Arial" w:cs="Arial"/>
          <w:b/>
          <w:bCs/>
        </w:rPr>
        <w:instrText xml:space="preserve"> TOC \h \z \c "Figure" </w:instrText>
      </w:r>
      <w:r>
        <w:rPr>
          <w:rFonts w:ascii="Arial" w:hAnsi="Arial" w:cs="Arial"/>
          <w:b/>
          <w:bCs/>
        </w:rPr>
        <w:fldChar w:fldCharType="separate"/>
      </w:r>
      <w:hyperlink w:anchor="_Toc214745438" w:history="1">
        <w:r w:rsidRPr="00D757F0">
          <w:rPr>
            <w:rStyle w:val="Hyperlink"/>
            <w:rFonts w:ascii="Arial" w:hAnsi="Arial" w:cs="Arial"/>
            <w:noProof/>
          </w:rPr>
          <w:t>Figure 1 Financial Statements</w:t>
        </w:r>
        <w:r>
          <w:rPr>
            <w:noProof/>
            <w:webHidden/>
          </w:rPr>
          <w:tab/>
        </w:r>
        <w:r>
          <w:rPr>
            <w:noProof/>
            <w:webHidden/>
          </w:rPr>
          <w:fldChar w:fldCharType="begin"/>
        </w:r>
        <w:r>
          <w:rPr>
            <w:noProof/>
            <w:webHidden/>
          </w:rPr>
          <w:instrText xml:space="preserve"> PAGEREF _Toc214745438 \h </w:instrText>
        </w:r>
        <w:r>
          <w:rPr>
            <w:noProof/>
            <w:webHidden/>
          </w:rPr>
        </w:r>
        <w:r>
          <w:rPr>
            <w:noProof/>
            <w:webHidden/>
          </w:rPr>
          <w:fldChar w:fldCharType="separate"/>
        </w:r>
        <w:r>
          <w:rPr>
            <w:noProof/>
            <w:webHidden/>
          </w:rPr>
          <w:t>3</w:t>
        </w:r>
        <w:r>
          <w:rPr>
            <w:noProof/>
            <w:webHidden/>
          </w:rPr>
          <w:fldChar w:fldCharType="end"/>
        </w:r>
      </w:hyperlink>
    </w:p>
    <w:p w14:paraId="5DC70F16" w14:textId="77777777" w:rsidR="00762FD7" w:rsidRDefault="00762FD7">
      <w:pPr>
        <w:pStyle w:val="TableofFigures"/>
        <w:tabs>
          <w:tab w:val="right" w:leader="dot" w:pos="9016"/>
        </w:tabs>
        <w:rPr>
          <w:rFonts w:eastAsiaTheme="minorEastAsia"/>
          <w:noProof/>
          <w:lang w:val="en-US"/>
        </w:rPr>
      </w:pPr>
      <w:hyperlink w:anchor="_Toc214745439" w:history="1">
        <w:r w:rsidRPr="00D757F0">
          <w:rPr>
            <w:rStyle w:val="Hyperlink"/>
            <w:rFonts w:ascii="Arial" w:hAnsi="Arial" w:cs="Arial"/>
            <w:noProof/>
          </w:rPr>
          <w:t>Figure 2 Trends in Ratios of General Electronics</w:t>
        </w:r>
        <w:r>
          <w:rPr>
            <w:noProof/>
            <w:webHidden/>
          </w:rPr>
          <w:tab/>
        </w:r>
        <w:r>
          <w:rPr>
            <w:noProof/>
            <w:webHidden/>
          </w:rPr>
          <w:fldChar w:fldCharType="begin"/>
        </w:r>
        <w:r>
          <w:rPr>
            <w:noProof/>
            <w:webHidden/>
          </w:rPr>
          <w:instrText xml:space="preserve"> PAGEREF _Toc214745439 \h </w:instrText>
        </w:r>
        <w:r>
          <w:rPr>
            <w:noProof/>
            <w:webHidden/>
          </w:rPr>
        </w:r>
        <w:r>
          <w:rPr>
            <w:noProof/>
            <w:webHidden/>
          </w:rPr>
          <w:fldChar w:fldCharType="separate"/>
        </w:r>
        <w:r>
          <w:rPr>
            <w:noProof/>
            <w:webHidden/>
          </w:rPr>
          <w:t>6</w:t>
        </w:r>
        <w:r>
          <w:rPr>
            <w:noProof/>
            <w:webHidden/>
          </w:rPr>
          <w:fldChar w:fldCharType="end"/>
        </w:r>
      </w:hyperlink>
    </w:p>
    <w:p w14:paraId="389A9469" w14:textId="77777777" w:rsidR="007C1235" w:rsidRDefault="00762FD7">
      <w:pPr>
        <w:rPr>
          <w:rFonts w:ascii="Arial" w:hAnsi="Arial" w:cs="Arial"/>
          <w:b/>
          <w:bCs/>
        </w:rPr>
        <w:sectPr w:rsidR="007C1235" w:rsidSect="007C123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fmt="upperRoman" w:start="1"/>
          <w:cols w:space="708"/>
          <w:docGrid w:linePitch="360"/>
        </w:sectPr>
      </w:pPr>
      <w:r>
        <w:rPr>
          <w:rFonts w:ascii="Arial" w:hAnsi="Arial" w:cs="Arial"/>
          <w:b/>
          <w:bCs/>
        </w:rPr>
        <w:fldChar w:fldCharType="end"/>
      </w:r>
      <w:r w:rsidR="00093EE9" w:rsidRPr="009E2403">
        <w:rPr>
          <w:rFonts w:ascii="Arial" w:hAnsi="Arial" w:cs="Arial"/>
          <w:b/>
          <w:bCs/>
        </w:rPr>
        <w:br w:type="page"/>
      </w:r>
    </w:p>
    <w:p w14:paraId="1D3C5CAF" w14:textId="77777777" w:rsidR="00093EE9" w:rsidRPr="009E2403" w:rsidRDefault="00093EE9">
      <w:pPr>
        <w:rPr>
          <w:rFonts w:ascii="Arial" w:hAnsi="Arial" w:cs="Arial"/>
          <w:b/>
          <w:bCs/>
        </w:rPr>
      </w:pPr>
    </w:p>
    <w:p w14:paraId="2FBC6590" w14:textId="77777777" w:rsidR="005347DF" w:rsidRPr="009E2403" w:rsidRDefault="005347DF" w:rsidP="005347DF">
      <w:pPr>
        <w:spacing w:line="360" w:lineRule="auto"/>
        <w:rPr>
          <w:rFonts w:ascii="Arial" w:hAnsi="Arial" w:cs="Arial"/>
        </w:rPr>
      </w:pPr>
      <w:r w:rsidRPr="009E2403">
        <w:rPr>
          <w:rFonts w:ascii="Arial" w:hAnsi="Arial" w:cs="Arial"/>
          <w:b/>
          <w:bCs/>
        </w:rPr>
        <w:t>To:</w:t>
      </w:r>
      <w:r w:rsidRPr="009E2403">
        <w:rPr>
          <w:rFonts w:ascii="Arial" w:hAnsi="Arial" w:cs="Arial"/>
        </w:rPr>
        <w:t> </w:t>
      </w:r>
      <w:r w:rsidR="0029431B" w:rsidRPr="009E2403">
        <w:rPr>
          <w:rFonts w:ascii="Arial" w:hAnsi="Arial" w:cs="Arial"/>
        </w:rPr>
        <w:t xml:space="preserve">       </w:t>
      </w:r>
      <w:r w:rsidRPr="009E2403">
        <w:rPr>
          <w:rFonts w:ascii="Arial" w:hAnsi="Arial" w:cs="Arial"/>
        </w:rPr>
        <w:t>The Board of Directors, General Electronics</w:t>
      </w:r>
      <w:r w:rsidRPr="009E2403">
        <w:rPr>
          <w:rFonts w:ascii="Arial" w:hAnsi="Arial" w:cs="Arial"/>
        </w:rPr>
        <w:br/>
      </w:r>
      <w:r w:rsidRPr="009E2403">
        <w:rPr>
          <w:rFonts w:ascii="Arial" w:hAnsi="Arial" w:cs="Arial"/>
          <w:b/>
          <w:bCs/>
        </w:rPr>
        <w:t>From:</w:t>
      </w:r>
      <w:r w:rsidRPr="009E2403">
        <w:rPr>
          <w:rFonts w:ascii="Arial" w:hAnsi="Arial" w:cs="Arial"/>
        </w:rPr>
        <w:t> </w:t>
      </w:r>
      <w:r w:rsidR="0029431B" w:rsidRPr="009E2403">
        <w:rPr>
          <w:rFonts w:ascii="Arial" w:hAnsi="Arial" w:cs="Arial"/>
        </w:rPr>
        <w:t xml:space="preserve">   </w:t>
      </w:r>
      <w:r w:rsidRPr="009E2403">
        <w:rPr>
          <w:rFonts w:ascii="Arial" w:hAnsi="Arial" w:cs="Arial"/>
        </w:rPr>
        <w:t>Chief Financial Officer</w:t>
      </w:r>
      <w:r w:rsidR="006D5224" w:rsidRPr="009E2403">
        <w:rPr>
          <w:rFonts w:ascii="Arial" w:hAnsi="Arial" w:cs="Arial"/>
        </w:rPr>
        <w:t>-CFO</w:t>
      </w:r>
      <w:r w:rsidRPr="009E2403">
        <w:rPr>
          <w:rFonts w:ascii="Arial" w:hAnsi="Arial" w:cs="Arial"/>
        </w:rPr>
        <w:br/>
      </w:r>
      <w:r w:rsidRPr="009E2403">
        <w:rPr>
          <w:rFonts w:ascii="Arial" w:hAnsi="Arial" w:cs="Arial"/>
          <w:b/>
          <w:bCs/>
        </w:rPr>
        <w:t>Date:</w:t>
      </w:r>
      <w:r w:rsidRPr="009E2403">
        <w:rPr>
          <w:rFonts w:ascii="Arial" w:hAnsi="Arial" w:cs="Arial"/>
        </w:rPr>
        <w:t> </w:t>
      </w:r>
      <w:r w:rsidR="0029431B" w:rsidRPr="009E2403">
        <w:rPr>
          <w:rFonts w:ascii="Arial" w:hAnsi="Arial" w:cs="Arial"/>
        </w:rPr>
        <w:t xml:space="preserve">    </w:t>
      </w:r>
      <w:r w:rsidR="00772C05" w:rsidRPr="009E2403">
        <w:rPr>
          <w:rFonts w:ascii="Arial" w:hAnsi="Arial" w:cs="Arial"/>
        </w:rPr>
        <w:t>2</w:t>
      </w:r>
      <w:r w:rsidR="00885EC9" w:rsidRPr="009E2403">
        <w:rPr>
          <w:rFonts w:ascii="Arial" w:hAnsi="Arial" w:cs="Arial"/>
        </w:rPr>
        <w:t>3</w:t>
      </w:r>
      <w:r w:rsidRPr="009E2403">
        <w:rPr>
          <w:rFonts w:ascii="Arial" w:hAnsi="Arial" w:cs="Arial"/>
        </w:rPr>
        <w:t xml:space="preserve"> </w:t>
      </w:r>
      <w:r w:rsidR="008011DB" w:rsidRPr="009E2403">
        <w:rPr>
          <w:rFonts w:ascii="Arial" w:hAnsi="Arial" w:cs="Arial"/>
        </w:rPr>
        <w:t>November</w:t>
      </w:r>
      <w:r w:rsidRPr="009E2403">
        <w:rPr>
          <w:rFonts w:ascii="Arial" w:hAnsi="Arial" w:cs="Arial"/>
        </w:rPr>
        <w:t xml:space="preserve"> 2025</w:t>
      </w:r>
      <w:r w:rsidRPr="009E2403">
        <w:rPr>
          <w:rFonts w:ascii="Arial" w:hAnsi="Arial" w:cs="Arial"/>
        </w:rPr>
        <w:br/>
      </w:r>
      <w:r w:rsidRPr="009E2403">
        <w:rPr>
          <w:rFonts w:ascii="Arial" w:hAnsi="Arial" w:cs="Arial"/>
          <w:b/>
          <w:bCs/>
        </w:rPr>
        <w:t>Subject:</w:t>
      </w:r>
      <w:r w:rsidRPr="009E2403">
        <w:rPr>
          <w:rFonts w:ascii="Arial" w:hAnsi="Arial" w:cs="Arial"/>
        </w:rPr>
        <w:t> Financial Health Check and Preliminary Turnaround Strategy</w:t>
      </w:r>
    </w:p>
    <w:p w14:paraId="699123CB" w14:textId="77777777" w:rsidR="00FD0388" w:rsidRPr="009E2403" w:rsidRDefault="00103AD8" w:rsidP="00135C1B">
      <w:pPr>
        <w:pStyle w:val="Heading1"/>
        <w:jc w:val="both"/>
        <w:rPr>
          <w:rFonts w:ascii="Arial" w:hAnsi="Arial" w:cs="Arial"/>
        </w:rPr>
      </w:pPr>
      <w:bookmarkStart w:id="0" w:name="_Toc214745395"/>
      <w:r w:rsidRPr="009E2403">
        <w:rPr>
          <w:rFonts w:ascii="Arial" w:hAnsi="Arial" w:cs="Arial"/>
        </w:rPr>
        <w:t xml:space="preserve">1.0 </w:t>
      </w:r>
      <w:r w:rsidR="00FD0388" w:rsidRPr="009E2403">
        <w:rPr>
          <w:rFonts w:ascii="Arial" w:hAnsi="Arial" w:cs="Arial"/>
        </w:rPr>
        <w:t>Introduction</w:t>
      </w:r>
      <w:bookmarkEnd w:id="0"/>
    </w:p>
    <w:p w14:paraId="001724D3" w14:textId="77777777" w:rsidR="009E7F8E" w:rsidRPr="009E2403" w:rsidRDefault="00546BEB" w:rsidP="00807E6F">
      <w:pPr>
        <w:spacing w:line="360" w:lineRule="auto"/>
        <w:jc w:val="both"/>
        <w:rPr>
          <w:rFonts w:ascii="Arial" w:hAnsi="Arial" w:cs="Arial"/>
          <w:szCs w:val="24"/>
        </w:rPr>
      </w:pPr>
      <w:r w:rsidRPr="009E2403">
        <w:rPr>
          <w:rFonts w:ascii="Arial" w:hAnsi="Arial" w:cs="Arial"/>
          <w:szCs w:val="24"/>
        </w:rPr>
        <w:t>This</w:t>
      </w:r>
      <w:r w:rsidR="001B1536" w:rsidRPr="009E2403">
        <w:rPr>
          <w:rFonts w:ascii="Arial" w:hAnsi="Arial" w:cs="Arial"/>
          <w:szCs w:val="24"/>
        </w:rPr>
        <w:t xml:space="preserve"> study analyses the financial health of the General Electronics, the case company over a period of five years from 2020 to 20204. The analysis will help management take corrective actions to improve the financial performance of the General Electronics.</w:t>
      </w:r>
    </w:p>
    <w:p w14:paraId="12EC72B8" w14:textId="77777777" w:rsidR="009E7F8E" w:rsidRPr="009E2403" w:rsidRDefault="009E7F8E" w:rsidP="00CE2CA0">
      <w:pPr>
        <w:pStyle w:val="Heading2"/>
        <w:numPr>
          <w:ilvl w:val="0"/>
          <w:numId w:val="7"/>
        </w:numPr>
        <w:rPr>
          <w:rFonts w:ascii="Arial" w:hAnsi="Arial" w:cs="Arial"/>
          <w:lang w:val="en-US"/>
        </w:rPr>
      </w:pPr>
      <w:bookmarkStart w:id="1" w:name="_Toc214745396"/>
      <w:r w:rsidRPr="009E2403">
        <w:rPr>
          <w:rFonts w:ascii="Arial" w:hAnsi="Arial" w:cs="Arial"/>
          <w:lang w:val="en-US"/>
        </w:rPr>
        <w:t>Financial Health Check</w:t>
      </w:r>
      <w:bookmarkEnd w:id="1"/>
      <w:r w:rsidRPr="009E2403">
        <w:rPr>
          <w:rFonts w:ascii="Arial" w:hAnsi="Arial" w:cs="Arial"/>
          <w:lang w:val="en-US"/>
        </w:rPr>
        <w:t xml:space="preserve"> </w:t>
      </w:r>
    </w:p>
    <w:p w14:paraId="13F9BBF0" w14:textId="77777777" w:rsidR="00772C05" w:rsidRPr="009E2403" w:rsidRDefault="00103AD8" w:rsidP="00772C05">
      <w:pPr>
        <w:pStyle w:val="Heading3"/>
        <w:rPr>
          <w:rFonts w:ascii="Arial" w:hAnsi="Arial" w:cs="Arial"/>
        </w:rPr>
      </w:pPr>
      <w:bookmarkStart w:id="2" w:name="_Toc214745397"/>
      <w:r w:rsidRPr="009E2403">
        <w:rPr>
          <w:rFonts w:ascii="Arial" w:hAnsi="Arial" w:cs="Arial"/>
        </w:rPr>
        <w:t xml:space="preserve">1.1 </w:t>
      </w:r>
      <w:r w:rsidR="00772C05" w:rsidRPr="009E2403">
        <w:rPr>
          <w:rFonts w:ascii="Arial" w:hAnsi="Arial" w:cs="Arial"/>
        </w:rPr>
        <w:t>Financial Statements Analysis</w:t>
      </w:r>
      <w:bookmarkEnd w:id="2"/>
    </w:p>
    <w:p w14:paraId="6EABA512" w14:textId="77777777" w:rsidR="00E5434A" w:rsidRPr="009E2403" w:rsidRDefault="006C001A" w:rsidP="00772C05">
      <w:pPr>
        <w:spacing w:line="360" w:lineRule="auto"/>
        <w:jc w:val="both"/>
        <w:rPr>
          <w:rFonts w:ascii="Arial" w:hAnsi="Arial" w:cs="Arial"/>
          <w:szCs w:val="24"/>
        </w:rPr>
      </w:pPr>
      <w:r w:rsidRPr="009E2403">
        <w:rPr>
          <w:rFonts w:ascii="Arial" w:hAnsi="Arial" w:cs="Arial"/>
          <w:szCs w:val="24"/>
        </w:rPr>
        <w:t xml:space="preserve">General Electronics Financial statements as shown in </w:t>
      </w:r>
      <w:r w:rsidRPr="009E2403">
        <w:rPr>
          <w:rFonts w:ascii="Arial" w:hAnsi="Arial" w:cs="Arial"/>
          <w:b/>
          <w:i/>
          <w:szCs w:val="24"/>
        </w:rPr>
        <w:t>Appendix-I</w:t>
      </w:r>
      <w:r w:rsidRPr="009E2403">
        <w:rPr>
          <w:rFonts w:ascii="Arial" w:hAnsi="Arial" w:cs="Arial"/>
          <w:szCs w:val="24"/>
        </w:rPr>
        <w:t xml:space="preserve"> show considerable numbers that indicate the worsening financial status of the firm. An in-depth analysis of the financial health shows that General Electronics is in serious distress, indicating itself by a steady and alarming decline in profitability and liquidity during the last five years. The net sales stood at £394,879m in 2024, downgraded by £614,680m of 2020, which means that there was a radical failure in the ability to maintain market share and relevance (Penman, 2013). This upper level erosion, combined with the rising operation cost, reaching £182,861m in 2023, has destroyed operating income, with the last two fiscal years recording huge losses of £15,297m and £85,301m. As a result of this, net income has decreased by a significant margin, turning the firm into an unprofitable business with a profit of £38,572m in 2020 but a loss of £24,029m in 2024. Another important issue is liquidity, with the cash and cash equivalents reduced by 62 percent since 2022 to £26,783m in 2024, leaving it extremely limited to flexibility in the operations (</w:t>
      </w:r>
      <w:proofErr w:type="spellStart"/>
      <w:r w:rsidRPr="009E2403">
        <w:rPr>
          <w:rFonts w:ascii="Arial" w:hAnsi="Arial" w:cs="Arial"/>
          <w:szCs w:val="24"/>
        </w:rPr>
        <w:t>Damodaran</w:t>
      </w:r>
      <w:proofErr w:type="spellEnd"/>
      <w:r w:rsidRPr="009E2403">
        <w:rPr>
          <w:rFonts w:ascii="Arial" w:hAnsi="Arial" w:cs="Arial"/>
          <w:szCs w:val="24"/>
        </w:rPr>
        <w:t xml:space="preserve">, 2012). This drainage of cash is further compounded by poor management of working capital as is seen in high inventories of £79,355m and accounts receivable of £114,182m which occupy the much-needed capital. </w:t>
      </w:r>
    </w:p>
    <w:p w14:paraId="49E884BD" w14:textId="77777777" w:rsidR="00103AD8" w:rsidRPr="009E2403" w:rsidRDefault="00103AD8" w:rsidP="00CE2CA0">
      <w:pPr>
        <w:pStyle w:val="Heading3"/>
        <w:rPr>
          <w:rFonts w:ascii="Arial" w:hAnsi="Arial" w:cs="Arial"/>
        </w:rPr>
      </w:pPr>
      <w:bookmarkStart w:id="3" w:name="_Toc214745398"/>
      <w:r w:rsidRPr="009E2403">
        <w:rPr>
          <w:rFonts w:ascii="Arial" w:hAnsi="Arial" w:cs="Arial"/>
        </w:rPr>
        <w:t>1.2 Ratio Analysis</w:t>
      </w:r>
      <w:bookmarkEnd w:id="3"/>
    </w:p>
    <w:p w14:paraId="78392F2F" w14:textId="77777777" w:rsidR="006C001A" w:rsidRPr="009E2403" w:rsidRDefault="006C001A" w:rsidP="00C8601E">
      <w:pPr>
        <w:spacing w:line="360" w:lineRule="auto"/>
        <w:jc w:val="both"/>
        <w:rPr>
          <w:rFonts w:ascii="Arial" w:hAnsi="Arial" w:cs="Arial"/>
        </w:rPr>
      </w:pPr>
      <w:r w:rsidRPr="009E2403">
        <w:rPr>
          <w:rFonts w:ascii="Arial" w:hAnsi="Arial" w:cs="Arial"/>
        </w:rPr>
        <w:t xml:space="preserve">The ratios presented in case of General Electronics represent a company that is in a critical and rapidly developing financial crisis, which has fundamental weaknesses in profitability, liquidity, and operational efficiency. </w:t>
      </w:r>
      <w:r w:rsidR="005622B7" w:rsidRPr="009E2403">
        <w:rPr>
          <w:rFonts w:ascii="Arial" w:hAnsi="Arial" w:cs="Arial"/>
        </w:rPr>
        <w:t xml:space="preserve">All the ratios are calculated in </w:t>
      </w:r>
      <w:r w:rsidR="005622B7" w:rsidRPr="009E2403">
        <w:rPr>
          <w:rFonts w:ascii="Arial" w:hAnsi="Arial" w:cs="Arial"/>
          <w:b/>
        </w:rPr>
        <w:t xml:space="preserve">Appendix-II </w:t>
      </w:r>
      <w:r w:rsidR="005622B7" w:rsidRPr="009E2403">
        <w:rPr>
          <w:rFonts w:ascii="Arial" w:hAnsi="Arial" w:cs="Arial"/>
        </w:rPr>
        <w:t xml:space="preserve">of this report. </w:t>
      </w:r>
      <w:r w:rsidRPr="009E2403">
        <w:rPr>
          <w:rFonts w:ascii="Arial" w:hAnsi="Arial" w:cs="Arial"/>
        </w:rPr>
        <w:t>The profitability is disastrous, and the Return on Capital Employed (ROCE) has dropped by 11 per cent to -9 per cent in 2020 and 2024 respectively, which means that the shareholder value is being eroded (</w:t>
      </w:r>
      <w:proofErr w:type="spellStart"/>
      <w:r w:rsidRPr="009E2403">
        <w:rPr>
          <w:rFonts w:ascii="Arial" w:hAnsi="Arial" w:cs="Arial"/>
        </w:rPr>
        <w:t>Brealey</w:t>
      </w:r>
      <w:proofErr w:type="spellEnd"/>
      <w:r w:rsidRPr="009E2403">
        <w:rPr>
          <w:rFonts w:ascii="Arial" w:hAnsi="Arial" w:cs="Arial"/>
        </w:rPr>
        <w:t>, Myers, and Allen, 2020). Equally, the Return on Equity (ROE), which represents the profit realised on the investments made by the common shareholders, went down to a disastrous -55% in 2023, making the equity base useless (Penman, 2013). Although the Gross Profit Ratio is relatively constant with a value of about 29%, the Operating Profit Ratio, however, plummeted in 2023 to reach the value of -20, which clearly indicates that the core operation costs are entirely exceeding the company in terms of the capacity to generate any gross profit (</w:t>
      </w:r>
      <w:proofErr w:type="spellStart"/>
      <w:r w:rsidRPr="009E2403">
        <w:rPr>
          <w:rFonts w:ascii="Arial" w:hAnsi="Arial" w:cs="Arial"/>
        </w:rPr>
        <w:t>Damodaran</w:t>
      </w:r>
      <w:proofErr w:type="spellEnd"/>
      <w:r w:rsidRPr="009E2403">
        <w:rPr>
          <w:rFonts w:ascii="Arial" w:hAnsi="Arial" w:cs="Arial"/>
        </w:rPr>
        <w:t xml:space="preserve">, 2012). </w:t>
      </w:r>
    </w:p>
    <w:p w14:paraId="44D406D3" w14:textId="77777777" w:rsidR="006C001A" w:rsidRPr="009E2403" w:rsidRDefault="006C001A" w:rsidP="00C8601E">
      <w:pPr>
        <w:spacing w:line="360" w:lineRule="auto"/>
        <w:jc w:val="both"/>
        <w:rPr>
          <w:rFonts w:ascii="Arial" w:hAnsi="Arial" w:cs="Arial"/>
        </w:rPr>
      </w:pPr>
      <w:r w:rsidRPr="009E2403">
        <w:rPr>
          <w:rFonts w:ascii="Arial" w:hAnsi="Arial" w:cs="Arial"/>
        </w:rPr>
        <w:t>The liquidity poses a false alarm; the Current Ratio, which gauges the ability to meet short-term debts, seems to be sufficient, namely, 1.53 in 2024, but this is the deceiver (Ross, Westerfield, and Jaffe, 2019). Its liquidity, assessed by a more conservative measure of Quick Ratio (excluding inventory) is even more dire, at -1.03, and it indicates that the company will be unable to meet its current liabilities even without selling all inventory, thus representing a highly important solvency risk (</w:t>
      </w:r>
      <w:proofErr w:type="spellStart"/>
      <w:r w:rsidRPr="009E2403">
        <w:rPr>
          <w:rFonts w:ascii="Arial" w:hAnsi="Arial" w:cs="Arial"/>
        </w:rPr>
        <w:t>Gitman</w:t>
      </w:r>
      <w:proofErr w:type="spellEnd"/>
      <w:r w:rsidRPr="009E2403">
        <w:rPr>
          <w:rFonts w:ascii="Arial" w:hAnsi="Arial" w:cs="Arial"/>
        </w:rPr>
        <w:t xml:space="preserve"> and </w:t>
      </w:r>
      <w:proofErr w:type="spellStart"/>
      <w:r w:rsidRPr="009E2403">
        <w:rPr>
          <w:rFonts w:ascii="Arial" w:hAnsi="Arial" w:cs="Arial"/>
        </w:rPr>
        <w:t>Zutter</w:t>
      </w:r>
      <w:proofErr w:type="spellEnd"/>
      <w:r w:rsidRPr="009E2403">
        <w:rPr>
          <w:rFonts w:ascii="Arial" w:hAnsi="Arial" w:cs="Arial"/>
        </w:rPr>
        <w:t xml:space="preserve">, 2015). </w:t>
      </w:r>
    </w:p>
    <w:p w14:paraId="1516A3F2" w14:textId="77777777" w:rsidR="006C001A" w:rsidRPr="009E2403" w:rsidRDefault="006C001A" w:rsidP="00C8601E">
      <w:pPr>
        <w:spacing w:line="360" w:lineRule="auto"/>
        <w:jc w:val="both"/>
        <w:rPr>
          <w:rFonts w:ascii="Arial" w:hAnsi="Arial" w:cs="Arial"/>
        </w:rPr>
      </w:pPr>
      <w:r w:rsidRPr="009E2403">
        <w:rPr>
          <w:rFonts w:ascii="Arial" w:hAnsi="Arial" w:cs="Arial"/>
        </w:rPr>
        <w:t xml:space="preserve">The case company is also full of operational inefficiencies as the Assets Turnover Ratio decreased to 2.49, meaning that each pound of capital is earning less sales revenue as time goes on (Brigham &amp; </w:t>
      </w:r>
      <w:proofErr w:type="spellStart"/>
      <w:r w:rsidRPr="009E2403">
        <w:rPr>
          <w:rFonts w:ascii="Arial" w:hAnsi="Arial" w:cs="Arial"/>
        </w:rPr>
        <w:t>Ehrhardt</w:t>
      </w:r>
      <w:proofErr w:type="spellEnd"/>
      <w:r w:rsidRPr="009E2403">
        <w:rPr>
          <w:rFonts w:ascii="Arial" w:hAnsi="Arial" w:cs="Arial"/>
        </w:rPr>
        <w:t xml:space="preserve">, 2021). Besides, management of working capital is alarmingly inefficient; the Stock Holding Period has risen to 103 days in 2024, which depicts that the capital is lost in slow moving inventory whereas the Average Settlement Period of Receivables has expanded to 106 days, which indicates poor credit control, and the increased risk of bad debts (Pandey, 2015). This is complemented by unstable Creditors Payment Period that hit a peak of 94 days in 2024 and this may cause strains with suppliers (Atkinson et al., 2012). </w:t>
      </w:r>
    </w:p>
    <w:p w14:paraId="209C45D8" w14:textId="77777777" w:rsidR="006C001A" w:rsidRPr="009E2403" w:rsidRDefault="006C001A" w:rsidP="00C8601E">
      <w:pPr>
        <w:spacing w:line="360" w:lineRule="auto"/>
        <w:jc w:val="both"/>
        <w:rPr>
          <w:rFonts w:ascii="Arial" w:hAnsi="Arial" w:cs="Arial"/>
        </w:rPr>
      </w:pPr>
      <w:r w:rsidRPr="009E2403">
        <w:rPr>
          <w:rFonts w:ascii="Arial" w:hAnsi="Arial" w:cs="Arial"/>
        </w:rPr>
        <w:t>Despite the low level of its Gearing Ratio of 4 % that shows that the company is not highly dependent on long-term debt, the continuously negative level of its Interest Coverage Ratio confirms the fact that operating losses are so high that the company is unable to maintain its current interest payments at the expense of its core earnings, which is a significant warning sign to the creditors (</w:t>
      </w:r>
      <w:proofErr w:type="spellStart"/>
      <w:r w:rsidRPr="009E2403">
        <w:rPr>
          <w:rFonts w:ascii="Arial" w:hAnsi="Arial" w:cs="Arial"/>
        </w:rPr>
        <w:t>Peirson</w:t>
      </w:r>
      <w:proofErr w:type="spellEnd"/>
      <w:r w:rsidRPr="009E2403">
        <w:rPr>
          <w:rFonts w:ascii="Arial" w:hAnsi="Arial" w:cs="Arial"/>
        </w:rPr>
        <w:t xml:space="preserve"> et al., 2015). </w:t>
      </w:r>
    </w:p>
    <w:p w14:paraId="26303B86" w14:textId="77777777" w:rsidR="00C8601E" w:rsidRPr="009E2403" w:rsidRDefault="006C001A" w:rsidP="00C8601E">
      <w:pPr>
        <w:spacing w:line="360" w:lineRule="auto"/>
        <w:jc w:val="both"/>
        <w:rPr>
          <w:rFonts w:ascii="Arial" w:hAnsi="Arial" w:cs="Arial"/>
          <w:lang w:val="en-US"/>
        </w:rPr>
      </w:pPr>
      <w:r w:rsidRPr="009E2403">
        <w:rPr>
          <w:rFonts w:ascii="Arial" w:hAnsi="Arial" w:cs="Arial"/>
        </w:rPr>
        <w:t>Lastly, this overall operation failure is directly reflected in the dramatic decline of Earni</w:t>
      </w:r>
      <w:r w:rsidR="00606968" w:rsidRPr="009E2403">
        <w:rPr>
          <w:rFonts w:ascii="Arial" w:hAnsi="Arial" w:cs="Arial"/>
        </w:rPr>
        <w:t>ngs Per Share (EPS) of £2.78 to £</w:t>
      </w:r>
      <w:r w:rsidRPr="009E2403">
        <w:rPr>
          <w:rFonts w:ascii="Arial" w:hAnsi="Arial" w:cs="Arial"/>
        </w:rPr>
        <w:t>-1.85 that sorely harms the shareholder trust (Bodie, Kane, and Marcus, 2014). To restore, the company needs to act swiftly by reorganising itself through the shedding of operating expenses by drastically reducing its inventory and receivables management system to free the cash and possibly selling off the non-core assets to enhance its liquidity status and invest in a strategic shift to more lucrative product lines</w:t>
      </w:r>
      <w:r w:rsidR="00C8601E" w:rsidRPr="009E2403">
        <w:rPr>
          <w:rFonts w:ascii="Arial" w:hAnsi="Arial" w:cs="Arial"/>
          <w:lang w:val="en-US"/>
        </w:rPr>
        <w:t>.</w:t>
      </w:r>
    </w:p>
    <w:p w14:paraId="2368452B" w14:textId="77777777" w:rsidR="00910A45" w:rsidRPr="009E2403" w:rsidRDefault="004C3E0D" w:rsidP="004C3E0D">
      <w:pPr>
        <w:pStyle w:val="Heading3"/>
        <w:rPr>
          <w:rFonts w:ascii="Arial" w:hAnsi="Arial" w:cs="Arial"/>
          <w:lang w:val="en-US"/>
        </w:rPr>
      </w:pPr>
      <w:bookmarkStart w:id="4" w:name="_Toc214745399"/>
      <w:r w:rsidRPr="009E2403">
        <w:rPr>
          <w:rFonts w:ascii="Arial" w:hAnsi="Arial" w:cs="Arial"/>
          <w:lang w:val="en-US"/>
        </w:rPr>
        <w:t xml:space="preserve">1.3 </w:t>
      </w:r>
      <w:r w:rsidR="00910A45" w:rsidRPr="009E2403">
        <w:rPr>
          <w:rFonts w:ascii="Arial" w:hAnsi="Arial" w:cs="Arial"/>
          <w:lang w:val="en-US"/>
        </w:rPr>
        <w:t>Trend, strengths and threats</w:t>
      </w:r>
      <w:bookmarkEnd w:id="4"/>
    </w:p>
    <w:p w14:paraId="72325304" w14:textId="77777777" w:rsidR="00606968" w:rsidRPr="009E2403" w:rsidRDefault="004C3E0D" w:rsidP="00C8601E">
      <w:pPr>
        <w:spacing w:line="360" w:lineRule="auto"/>
        <w:jc w:val="both"/>
        <w:rPr>
          <w:rFonts w:ascii="Arial" w:hAnsi="Arial" w:cs="Arial"/>
        </w:rPr>
      </w:pPr>
      <w:r w:rsidRPr="009E2403">
        <w:rPr>
          <w:rFonts w:ascii="Arial" w:hAnsi="Arial" w:cs="Arial"/>
        </w:rPr>
        <w:t xml:space="preserve">The trend in the financial performance of the General Electronics is shown in </w:t>
      </w:r>
      <w:r w:rsidRPr="009E2403">
        <w:rPr>
          <w:rFonts w:ascii="Arial" w:hAnsi="Arial" w:cs="Arial"/>
          <w:b/>
        </w:rPr>
        <w:t>Appendix-III</w:t>
      </w:r>
      <w:r w:rsidRPr="009E2403">
        <w:rPr>
          <w:rFonts w:ascii="Arial" w:hAnsi="Arial" w:cs="Arial"/>
        </w:rPr>
        <w:t xml:space="preserve"> to this report via charts. </w:t>
      </w:r>
      <w:r w:rsidR="006C001A" w:rsidRPr="009E2403">
        <w:rPr>
          <w:rFonts w:ascii="Arial" w:hAnsi="Arial" w:cs="Arial"/>
        </w:rPr>
        <w:t>The General Electronics ratio analysis shows a dangerous financial trend that is marked by a devastating trend in profitability that poses the greatest threat to the firm survival. The Return on Equity (ROE) has been worsening as in 2020 it was positive, with -55 being the disastrous number in 2023, a sign of an inability to serve the shareholders and losing investor trust (Penman, 2013). This failure can be directly traced to the operating profit ratio that has sunk down to -20% meaning that the core operations of the company are absorbing instead of creating capital which is a major sign of core business model failure (</w:t>
      </w:r>
      <w:proofErr w:type="spellStart"/>
      <w:r w:rsidR="006C001A" w:rsidRPr="009E2403">
        <w:rPr>
          <w:rFonts w:ascii="Arial" w:hAnsi="Arial" w:cs="Arial"/>
        </w:rPr>
        <w:t>Damodaran</w:t>
      </w:r>
      <w:proofErr w:type="spellEnd"/>
      <w:r w:rsidR="006C001A" w:rsidRPr="009E2403">
        <w:rPr>
          <w:rFonts w:ascii="Arial" w:hAnsi="Arial" w:cs="Arial"/>
        </w:rPr>
        <w:t>, 2012). A misleading strength can be seen in the stable Gross Profit Ratio of about 29</w:t>
      </w:r>
      <w:r w:rsidR="006C001A" w:rsidRPr="009E2403">
        <w:rPr>
          <w:rFonts w:ascii="Segoe UI Symbol" w:hAnsi="Segoe UI Symbol" w:cs="Segoe UI Symbol"/>
        </w:rPr>
        <w:t>⠻</w:t>
      </w:r>
      <w:r w:rsidR="006C001A" w:rsidRPr="009E2403">
        <w:rPr>
          <w:rFonts w:ascii="Arial" w:hAnsi="Arial" w:cs="Arial"/>
        </w:rPr>
        <w:t xml:space="preserve"> which indicates that the initial pricing and production cost control is partially effective in the company; however, it is completely cancelled by inflated operating expenses (</w:t>
      </w:r>
      <w:proofErr w:type="spellStart"/>
      <w:r w:rsidR="006C001A" w:rsidRPr="009E2403">
        <w:rPr>
          <w:rFonts w:ascii="Arial" w:hAnsi="Arial" w:cs="Arial"/>
        </w:rPr>
        <w:t>Brealey</w:t>
      </w:r>
      <w:proofErr w:type="spellEnd"/>
      <w:r w:rsidR="006C001A" w:rsidRPr="009E2403">
        <w:rPr>
          <w:rFonts w:ascii="Arial" w:hAnsi="Arial" w:cs="Arial"/>
        </w:rPr>
        <w:t xml:space="preserve">, Myers, and Allen, 2020). </w:t>
      </w:r>
    </w:p>
    <w:p w14:paraId="0FA7BCD6" w14:textId="77777777" w:rsidR="00606968" w:rsidRPr="009E2403" w:rsidRDefault="00606968" w:rsidP="00C8601E">
      <w:pPr>
        <w:spacing w:line="360" w:lineRule="auto"/>
        <w:jc w:val="both"/>
        <w:rPr>
          <w:rFonts w:ascii="Arial" w:hAnsi="Arial" w:cs="Arial"/>
        </w:rPr>
      </w:pPr>
      <w:r w:rsidRPr="009E2403">
        <w:rPr>
          <w:rFonts w:ascii="Arial" w:hAnsi="Arial" w:cs="Arial"/>
        </w:rPr>
        <w:t>T</w:t>
      </w:r>
      <w:r w:rsidR="006C001A" w:rsidRPr="009E2403">
        <w:rPr>
          <w:rFonts w:ascii="Arial" w:hAnsi="Arial" w:cs="Arial"/>
        </w:rPr>
        <w:t>here is an immediate risk of liquidity position as the Quick Ratio is deeply negative, dropping to -1.03, which means that the company is on the edge of solvency and indicates that in case of not liquidating the inventory, the company will not be able to cover its immediate liabilities (</w:t>
      </w:r>
      <w:proofErr w:type="spellStart"/>
      <w:r w:rsidR="006C001A" w:rsidRPr="009E2403">
        <w:rPr>
          <w:rFonts w:ascii="Arial" w:hAnsi="Arial" w:cs="Arial"/>
        </w:rPr>
        <w:t>Gitman</w:t>
      </w:r>
      <w:proofErr w:type="spellEnd"/>
      <w:r w:rsidR="006C001A" w:rsidRPr="009E2403">
        <w:rPr>
          <w:rFonts w:ascii="Arial" w:hAnsi="Arial" w:cs="Arial"/>
        </w:rPr>
        <w:t xml:space="preserve"> and </w:t>
      </w:r>
      <w:proofErr w:type="spellStart"/>
      <w:r w:rsidR="006C001A" w:rsidRPr="009E2403">
        <w:rPr>
          <w:rFonts w:ascii="Arial" w:hAnsi="Arial" w:cs="Arial"/>
        </w:rPr>
        <w:t>Zutter</w:t>
      </w:r>
      <w:proofErr w:type="spellEnd"/>
      <w:r w:rsidR="006C001A" w:rsidRPr="009E2403">
        <w:rPr>
          <w:rFonts w:ascii="Arial" w:hAnsi="Arial" w:cs="Arial"/>
        </w:rPr>
        <w:t xml:space="preserve">, 2015). Severe operating inefficiencies are also contributing to this liquidity crisis as the Stock Holding Period of 103 days and the Average Settlement Period of Receivables of 106 days are swelling, which is severely limiting cash flow (Pandey, 2015). The decreasing Assets Turnover Ratio of 2.49 confirms that the company is realising less revenue per pound of asset invested meaning that it may be overinvesting in non-productive capacity or the declining demand of its assets in the market (Brigham and </w:t>
      </w:r>
      <w:proofErr w:type="spellStart"/>
      <w:r w:rsidR="006C001A" w:rsidRPr="009E2403">
        <w:rPr>
          <w:rFonts w:ascii="Arial" w:hAnsi="Arial" w:cs="Arial"/>
        </w:rPr>
        <w:t>Ehrhardt</w:t>
      </w:r>
      <w:proofErr w:type="spellEnd"/>
      <w:r w:rsidR="006C001A" w:rsidRPr="009E2403">
        <w:rPr>
          <w:rFonts w:ascii="Arial" w:hAnsi="Arial" w:cs="Arial"/>
        </w:rPr>
        <w:t>, 2021</w:t>
      </w:r>
      <w:r w:rsidR="00910A45" w:rsidRPr="009E2403">
        <w:rPr>
          <w:rFonts w:ascii="Arial" w:hAnsi="Arial" w:cs="Arial"/>
        </w:rPr>
        <w:t xml:space="preserve">). </w:t>
      </w:r>
    </w:p>
    <w:p w14:paraId="3104254D" w14:textId="77777777" w:rsidR="00910A45" w:rsidRPr="009E2403" w:rsidRDefault="00910A45" w:rsidP="00C8601E">
      <w:pPr>
        <w:spacing w:line="360" w:lineRule="auto"/>
        <w:jc w:val="both"/>
        <w:rPr>
          <w:rFonts w:ascii="Arial" w:hAnsi="Arial" w:cs="Arial"/>
        </w:rPr>
      </w:pPr>
      <w:r w:rsidRPr="009E2403">
        <w:rPr>
          <w:rFonts w:ascii="Arial" w:hAnsi="Arial" w:cs="Arial"/>
        </w:rPr>
        <w:t xml:space="preserve">To improve this dire situation, </w:t>
      </w:r>
      <w:r w:rsidR="006C001A" w:rsidRPr="009E2403">
        <w:rPr>
          <w:rFonts w:ascii="Arial" w:hAnsi="Arial" w:cs="Arial"/>
        </w:rPr>
        <w:t xml:space="preserve">urgent and radical corporate reengineering is </w:t>
      </w:r>
      <w:r w:rsidR="00606968" w:rsidRPr="009E2403">
        <w:rPr>
          <w:rFonts w:ascii="Arial" w:hAnsi="Arial" w:cs="Arial"/>
        </w:rPr>
        <w:t>required</w:t>
      </w:r>
      <w:r w:rsidR="006C001A" w:rsidRPr="009E2403">
        <w:rPr>
          <w:rFonts w:ascii="Arial" w:hAnsi="Arial" w:cs="Arial"/>
        </w:rPr>
        <w:t xml:space="preserve">, and it revolves around radical reduction of operational expenses to revert to positive operating margin since sustainable profitability is the backbone of financial recovery (Ross, Westerfield, and Jaffe, 2019). At the same time, aggressive management of working capital is to be practised </w:t>
      </w:r>
      <w:r w:rsidRPr="009E2403">
        <w:rPr>
          <w:rFonts w:ascii="Arial" w:hAnsi="Arial" w:cs="Arial"/>
        </w:rPr>
        <w:t xml:space="preserve">including just-in-time inventory systems to slash the holding period and stringent credit control to accelerate receivables collection, thereby freeing up critically needed cash (Atkinson et al., 2012). </w:t>
      </w:r>
    </w:p>
    <w:p w14:paraId="0717C05C" w14:textId="77777777" w:rsidR="009E7D78" w:rsidRPr="009E2403" w:rsidRDefault="00F93762" w:rsidP="00211D77">
      <w:pPr>
        <w:pStyle w:val="Heading3"/>
        <w:rPr>
          <w:rFonts w:ascii="Arial" w:hAnsi="Arial" w:cs="Arial"/>
        </w:rPr>
      </w:pPr>
      <w:bookmarkStart w:id="5" w:name="_Toc214745400"/>
      <w:r w:rsidRPr="009E2403">
        <w:rPr>
          <w:rFonts w:ascii="Arial" w:hAnsi="Arial" w:cs="Arial"/>
        </w:rPr>
        <w:t>1.</w:t>
      </w:r>
      <w:r w:rsidR="00211D77" w:rsidRPr="009E2403">
        <w:rPr>
          <w:rFonts w:ascii="Arial" w:hAnsi="Arial" w:cs="Arial"/>
        </w:rPr>
        <w:t>4</w:t>
      </w:r>
      <w:r w:rsidRPr="009E2403">
        <w:rPr>
          <w:rFonts w:ascii="Arial" w:hAnsi="Arial" w:cs="Arial"/>
        </w:rPr>
        <w:t xml:space="preserve"> </w:t>
      </w:r>
      <w:r w:rsidR="00C51641" w:rsidRPr="009E2403">
        <w:rPr>
          <w:rFonts w:ascii="Arial" w:hAnsi="Arial" w:cs="Arial"/>
        </w:rPr>
        <w:t xml:space="preserve">Corporate Failure Prediction Model- </w:t>
      </w:r>
      <w:r w:rsidR="00CE2CA0" w:rsidRPr="009E2403">
        <w:rPr>
          <w:rFonts w:ascii="Arial" w:hAnsi="Arial" w:cs="Arial"/>
        </w:rPr>
        <w:t>Altman Z-Score model</w:t>
      </w:r>
      <w:bookmarkEnd w:id="5"/>
    </w:p>
    <w:p w14:paraId="353B448B" w14:textId="77777777" w:rsidR="00BD03D0" w:rsidRPr="009E2403" w:rsidRDefault="00351353" w:rsidP="00BD03D0">
      <w:pPr>
        <w:spacing w:line="360" w:lineRule="auto"/>
        <w:jc w:val="both"/>
        <w:rPr>
          <w:rFonts w:ascii="Arial" w:hAnsi="Arial" w:cs="Arial"/>
          <w:lang w:val="en-US"/>
        </w:rPr>
      </w:pPr>
      <w:r w:rsidRPr="009E2403">
        <w:rPr>
          <w:rFonts w:ascii="Arial" w:hAnsi="Arial" w:cs="Arial"/>
          <w:lang w:val="en-US"/>
        </w:rPr>
        <w:t>Corporate Failure Prediction Model</w:t>
      </w:r>
      <w:r w:rsidRPr="009E2403">
        <w:rPr>
          <w:rFonts w:ascii="Arial" w:hAnsi="Arial" w:cs="Arial"/>
        </w:rPr>
        <w:t xml:space="preserve"> shown/calculated in </w:t>
      </w:r>
      <w:r w:rsidRPr="009E2403">
        <w:rPr>
          <w:rFonts w:ascii="Arial" w:hAnsi="Arial" w:cs="Arial"/>
          <w:b/>
        </w:rPr>
        <w:t>Appendix-IV</w:t>
      </w:r>
      <w:r w:rsidRPr="009E2403">
        <w:rPr>
          <w:rFonts w:ascii="Arial" w:hAnsi="Arial" w:cs="Arial"/>
        </w:rPr>
        <w:t xml:space="preserve"> of this report. </w:t>
      </w:r>
      <w:r w:rsidR="00C024E4" w:rsidRPr="009E2403">
        <w:rPr>
          <w:rFonts w:ascii="Arial" w:hAnsi="Arial" w:cs="Arial"/>
        </w:rPr>
        <w:t xml:space="preserve">Based on the model of </w:t>
      </w:r>
      <w:r w:rsidR="00C024E4" w:rsidRPr="009E2403">
        <w:rPr>
          <w:rFonts w:ascii="Arial" w:hAnsi="Arial" w:cs="Arial"/>
          <w:b/>
          <w:i/>
        </w:rPr>
        <w:t>Altman Z -score</w:t>
      </w:r>
      <w:r w:rsidR="00C024E4" w:rsidRPr="009E2403">
        <w:rPr>
          <w:rFonts w:ascii="Arial" w:hAnsi="Arial" w:cs="Arial"/>
        </w:rPr>
        <w:t>, the analysis uses this model to measure quantitatively the risk of default of General Electronics during the years 2020 and 2024. Z-Score is a strong foretelling tool of corporate breakdown (Altman, 1968)</w:t>
      </w:r>
      <w:r w:rsidR="00BD03D0" w:rsidRPr="009E2403">
        <w:rPr>
          <w:rFonts w:ascii="Arial" w:hAnsi="Arial" w:cs="Arial"/>
          <w:lang w:val="en-US"/>
        </w:rPr>
        <w:t>.</w:t>
      </w:r>
    </w:p>
    <w:p w14:paraId="3DC14809" w14:textId="77777777" w:rsidR="00BD03D0" w:rsidRPr="009E2403" w:rsidRDefault="00BD03D0" w:rsidP="00BD03D0">
      <w:pPr>
        <w:spacing w:line="360" w:lineRule="auto"/>
        <w:jc w:val="both"/>
        <w:rPr>
          <w:rFonts w:ascii="Arial" w:hAnsi="Arial" w:cs="Arial"/>
          <w:b/>
          <w:bCs/>
          <w:sz w:val="20"/>
          <w:lang w:val="en-US"/>
        </w:rPr>
      </w:pPr>
      <w:r w:rsidRPr="009E2403">
        <w:rPr>
          <w:rFonts w:ascii="Arial" w:hAnsi="Arial" w:cs="Arial"/>
          <w:b/>
          <w:bCs/>
          <w:sz w:val="20"/>
          <w:lang w:val="en-US"/>
        </w:rPr>
        <w:t>Model Framework and Risk Zones</w:t>
      </w:r>
    </w:p>
    <w:p w14:paraId="3AF55C4F" w14:textId="77777777" w:rsidR="00BD03D0" w:rsidRPr="009E2403" w:rsidRDefault="00BD03D0" w:rsidP="00BD03D0">
      <w:pPr>
        <w:spacing w:line="360" w:lineRule="auto"/>
        <w:jc w:val="both"/>
        <w:rPr>
          <w:rFonts w:ascii="Arial" w:hAnsi="Arial" w:cs="Arial"/>
          <w:sz w:val="20"/>
          <w:lang w:val="en-US"/>
        </w:rPr>
      </w:pPr>
      <w:r w:rsidRPr="009E2403">
        <w:rPr>
          <w:rFonts w:ascii="Arial" w:hAnsi="Arial" w:cs="Arial"/>
          <w:sz w:val="20"/>
          <w:lang w:val="en-US"/>
        </w:rPr>
        <w:t>The Z-Score is calculated using five weighted financial ratios that capture aspects of liquidity, profitability, leverage, solvency, and efficiency (Altman, 1968).</w:t>
      </w:r>
    </w:p>
    <w:p w14:paraId="71E310C6" w14:textId="77777777" w:rsidR="00A94A5B" w:rsidRPr="009E2403" w:rsidRDefault="00A94A5B" w:rsidP="00A94A5B">
      <w:pPr>
        <w:spacing w:line="360" w:lineRule="auto"/>
        <w:jc w:val="both"/>
        <w:rPr>
          <w:rFonts w:ascii="Arial" w:hAnsi="Arial" w:cs="Arial"/>
          <w:b/>
          <w:bCs/>
          <w:sz w:val="24"/>
          <w:szCs w:val="24"/>
          <w:lang w:val="en-US"/>
        </w:rPr>
      </w:pPr>
      <w:r w:rsidRPr="009E2403">
        <w:rPr>
          <w:rFonts w:ascii="Arial" w:hAnsi="Arial" w:cs="Arial"/>
          <w:b/>
          <w:bCs/>
          <w:sz w:val="24"/>
          <w:szCs w:val="24"/>
          <w:lang w:val="en-US"/>
        </w:rPr>
        <w:t>Z-Score = 1.2A + 1.4B + 3.3C + 0.6D + 1.0E</w:t>
      </w:r>
    </w:p>
    <w:tbl>
      <w:tblPr>
        <w:tblW w:w="6820" w:type="dxa"/>
        <w:tblCellMar>
          <w:left w:w="0" w:type="dxa"/>
          <w:right w:w="0" w:type="dxa"/>
        </w:tblCellMar>
        <w:tblLook w:val="04A0" w:firstRow="1" w:lastRow="0" w:firstColumn="1" w:lastColumn="0" w:noHBand="0" w:noVBand="1"/>
      </w:tblPr>
      <w:tblGrid>
        <w:gridCol w:w="707"/>
        <w:gridCol w:w="3671"/>
        <w:gridCol w:w="2442"/>
      </w:tblGrid>
      <w:tr w:rsidR="00A94A5B" w:rsidRPr="009E2403" w14:paraId="1F1C7653" w14:textId="77777777" w:rsidTr="00A94A5B">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2F07601C"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Ratio</w:t>
            </w:r>
          </w:p>
        </w:tc>
        <w:tc>
          <w:tcPr>
            <w:tcW w:w="0" w:type="auto"/>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48FEE677"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Description</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75DC4A54"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Formula</w:t>
            </w:r>
          </w:p>
        </w:tc>
      </w:tr>
      <w:tr w:rsidR="00A94A5B" w:rsidRPr="009E2403" w14:paraId="5D56494F" w14:textId="77777777" w:rsidTr="00A94A5B">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1F400BB"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A</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8CCD0B7"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Working Capital/Total Assets</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546FBA98"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Liquidity</w:t>
            </w:r>
          </w:p>
        </w:tc>
      </w:tr>
      <w:tr w:rsidR="00A94A5B" w:rsidRPr="009E2403" w14:paraId="0438E38A" w14:textId="77777777" w:rsidTr="00A94A5B">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524751B6"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B</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1516902E"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Retained Earnings/Total Assets</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1DA5FF1E"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Cumulative Profitability</w:t>
            </w:r>
          </w:p>
        </w:tc>
      </w:tr>
      <w:tr w:rsidR="00A94A5B" w:rsidRPr="009E2403" w14:paraId="315322D0" w14:textId="77777777" w:rsidTr="00A94A5B">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157DDD1B"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C</w:t>
            </w:r>
          </w:p>
        </w:tc>
        <w:tc>
          <w:tcPr>
            <w:tcW w:w="0" w:type="auto"/>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18982296"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EBIT/Total Assets</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1F739CCD"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Operating Profitability</w:t>
            </w:r>
          </w:p>
        </w:tc>
      </w:tr>
      <w:tr w:rsidR="00A94A5B" w:rsidRPr="009E2403" w14:paraId="54C79DAA" w14:textId="77777777" w:rsidTr="00A94A5B">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5D6B6432"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D</w:t>
            </w:r>
          </w:p>
        </w:tc>
        <w:tc>
          <w:tcPr>
            <w:tcW w:w="0" w:type="auto"/>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7BEFBBCF"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Equity/Total Liabilities (Book Value Proxy)</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3704F8C0"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Solvency/Leverage</w:t>
            </w:r>
          </w:p>
        </w:tc>
      </w:tr>
      <w:tr w:rsidR="00A94A5B" w:rsidRPr="009E2403" w14:paraId="233BDC4E" w14:textId="77777777" w:rsidTr="00A94A5B">
        <w:trPr>
          <w:trHeight w:val="315"/>
        </w:trPr>
        <w:tc>
          <w:tcPr>
            <w:tcW w:w="0" w:type="auto"/>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08F85A47"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E</w:t>
            </w:r>
          </w:p>
        </w:tc>
        <w:tc>
          <w:tcPr>
            <w:tcW w:w="0" w:type="auto"/>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3AAC0F43"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Sales/Total Assets</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75D26364"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Asset Turnover Efficiency</w:t>
            </w:r>
          </w:p>
        </w:tc>
      </w:tr>
    </w:tbl>
    <w:p w14:paraId="4A7F623E" w14:textId="77777777" w:rsidR="00A94A5B" w:rsidRPr="009E2403" w:rsidRDefault="00A94A5B" w:rsidP="00A94A5B">
      <w:pPr>
        <w:spacing w:line="360" w:lineRule="auto"/>
        <w:jc w:val="both"/>
        <w:rPr>
          <w:rFonts w:ascii="Arial" w:hAnsi="Arial" w:cs="Arial"/>
          <w:sz w:val="20"/>
          <w:lang w:val="en-US"/>
        </w:rPr>
      </w:pPr>
    </w:p>
    <w:p w14:paraId="13E8D06C" w14:textId="77777777" w:rsidR="00A94A5B" w:rsidRPr="009E2403" w:rsidRDefault="00A94A5B" w:rsidP="00A94A5B">
      <w:pPr>
        <w:spacing w:line="360" w:lineRule="auto"/>
        <w:jc w:val="both"/>
        <w:rPr>
          <w:rFonts w:ascii="Arial" w:hAnsi="Arial" w:cs="Arial"/>
          <w:sz w:val="20"/>
          <w:lang w:val="en-US"/>
        </w:rPr>
      </w:pPr>
      <w:r w:rsidRPr="009E2403">
        <w:rPr>
          <w:rFonts w:ascii="Arial" w:hAnsi="Arial" w:cs="Arial"/>
          <w:sz w:val="20"/>
          <w:lang w:val="en-US"/>
        </w:rPr>
        <w:t>The resulting score places the company into one of three predefined risk categories:</w:t>
      </w:r>
    </w:p>
    <w:tbl>
      <w:tblPr>
        <w:tblW w:w="0" w:type="dxa"/>
        <w:tblCellMar>
          <w:left w:w="0" w:type="dxa"/>
          <w:right w:w="0" w:type="dxa"/>
        </w:tblCellMar>
        <w:tblLook w:val="04A0" w:firstRow="1" w:lastRow="0" w:firstColumn="1" w:lastColumn="0" w:noHBand="0" w:noVBand="1"/>
      </w:tblPr>
      <w:tblGrid>
        <w:gridCol w:w="1141"/>
        <w:gridCol w:w="1519"/>
        <w:gridCol w:w="5321"/>
      </w:tblGrid>
      <w:tr w:rsidR="00A94A5B" w:rsidRPr="009E2403" w14:paraId="7579E3A0" w14:textId="77777777" w:rsidTr="00A94A5B">
        <w:trPr>
          <w:trHeight w:val="315"/>
        </w:trPr>
        <w:tc>
          <w:tcPr>
            <w:tcW w:w="0" w:type="auto"/>
            <w:tcBorders>
              <w:top w:val="single" w:sz="6" w:space="0" w:color="284E3F"/>
              <w:left w:val="single" w:sz="6" w:space="0" w:color="284E3F"/>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6590884A"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Risk Zone</w:t>
            </w:r>
          </w:p>
        </w:tc>
        <w:tc>
          <w:tcPr>
            <w:tcW w:w="0" w:type="auto"/>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74C95C8A"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Z-Score Value</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6BF01C48"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Implication</w:t>
            </w:r>
          </w:p>
        </w:tc>
      </w:tr>
      <w:tr w:rsidR="00A94A5B" w:rsidRPr="009E2403" w14:paraId="2D05DBA7" w14:textId="77777777" w:rsidTr="00A94A5B">
        <w:trPr>
          <w:trHeight w:val="315"/>
        </w:trPr>
        <w:tc>
          <w:tcPr>
            <w:tcW w:w="0" w:type="auto"/>
            <w:tcBorders>
              <w:top w:val="single" w:sz="6" w:space="0" w:color="CCCCCC"/>
              <w:left w:val="single" w:sz="6" w:space="0" w:color="284E3F"/>
              <w:bottom w:val="single" w:sz="6" w:space="0" w:color="F6F8F9"/>
              <w:right w:val="single" w:sz="6" w:space="0" w:color="FFFFFF"/>
            </w:tcBorders>
            <w:shd w:val="clear" w:color="auto" w:fill="92D050"/>
            <w:tcMar>
              <w:top w:w="30" w:type="dxa"/>
              <w:left w:w="120" w:type="dxa"/>
              <w:bottom w:w="30" w:type="dxa"/>
              <w:right w:w="120" w:type="dxa"/>
            </w:tcMar>
            <w:vAlign w:val="center"/>
            <w:hideMark/>
          </w:tcPr>
          <w:p w14:paraId="601E5980"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Safe</w:t>
            </w:r>
          </w:p>
        </w:tc>
        <w:tc>
          <w:tcPr>
            <w:tcW w:w="0" w:type="auto"/>
            <w:tcBorders>
              <w:top w:val="single" w:sz="6" w:space="0" w:color="CCCCCC"/>
              <w:left w:val="single" w:sz="6" w:space="0" w:color="CCCCCC"/>
              <w:bottom w:val="single" w:sz="6" w:space="0" w:color="F6F8F9"/>
              <w:right w:val="single" w:sz="6" w:space="0" w:color="FFFFFF"/>
            </w:tcBorders>
            <w:shd w:val="clear" w:color="auto" w:fill="92D050"/>
            <w:tcMar>
              <w:top w:w="30" w:type="dxa"/>
              <w:left w:w="120" w:type="dxa"/>
              <w:bottom w:w="30" w:type="dxa"/>
              <w:right w:w="120" w:type="dxa"/>
            </w:tcMar>
            <w:vAlign w:val="center"/>
            <w:hideMark/>
          </w:tcPr>
          <w:p w14:paraId="075C5E64"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&gt;2.99</w:t>
            </w:r>
          </w:p>
        </w:tc>
        <w:tc>
          <w:tcPr>
            <w:tcW w:w="0" w:type="auto"/>
            <w:tcBorders>
              <w:top w:val="single" w:sz="6" w:space="0" w:color="CCCCCC"/>
              <w:left w:val="single" w:sz="6" w:space="0" w:color="CCCCCC"/>
              <w:bottom w:val="single" w:sz="6" w:space="0" w:color="F6F8F9"/>
              <w:right w:val="single" w:sz="6" w:space="0" w:color="284E3F"/>
            </w:tcBorders>
            <w:shd w:val="clear" w:color="auto" w:fill="92D050"/>
            <w:tcMar>
              <w:top w:w="30" w:type="dxa"/>
              <w:left w:w="120" w:type="dxa"/>
              <w:bottom w:w="30" w:type="dxa"/>
              <w:right w:w="120" w:type="dxa"/>
            </w:tcMar>
            <w:vAlign w:val="center"/>
            <w:hideMark/>
          </w:tcPr>
          <w:p w14:paraId="7D9DE277"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Low probability of bankruptcy.</w:t>
            </w:r>
          </w:p>
        </w:tc>
      </w:tr>
      <w:tr w:rsidR="00A94A5B" w:rsidRPr="009E2403" w14:paraId="0050A81C" w14:textId="77777777" w:rsidTr="00A94A5B">
        <w:trPr>
          <w:trHeight w:val="315"/>
        </w:trPr>
        <w:tc>
          <w:tcPr>
            <w:tcW w:w="0" w:type="auto"/>
            <w:tcBorders>
              <w:top w:val="single" w:sz="6" w:space="0" w:color="CCCCCC"/>
              <w:left w:val="single" w:sz="6" w:space="0" w:color="284E3F"/>
              <w:bottom w:val="single" w:sz="6" w:space="0" w:color="F6F8F9"/>
              <w:right w:val="single" w:sz="6" w:space="0" w:color="F6F8F9"/>
            </w:tcBorders>
            <w:shd w:val="clear" w:color="auto" w:fill="767171" w:themeFill="background2" w:themeFillShade="80"/>
            <w:tcMar>
              <w:top w:w="30" w:type="dxa"/>
              <w:left w:w="120" w:type="dxa"/>
              <w:bottom w:w="30" w:type="dxa"/>
              <w:right w:w="120" w:type="dxa"/>
            </w:tcMar>
            <w:vAlign w:val="center"/>
            <w:hideMark/>
          </w:tcPr>
          <w:p w14:paraId="54C86936"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Gray</w:t>
            </w:r>
          </w:p>
        </w:tc>
        <w:tc>
          <w:tcPr>
            <w:tcW w:w="0" w:type="auto"/>
            <w:tcBorders>
              <w:top w:val="single" w:sz="6" w:space="0" w:color="CCCCCC"/>
              <w:left w:val="single" w:sz="6" w:space="0" w:color="CCCCCC"/>
              <w:bottom w:val="single" w:sz="6" w:space="0" w:color="F6F8F9"/>
              <w:right w:val="single" w:sz="6" w:space="0" w:color="F6F8F9"/>
            </w:tcBorders>
            <w:shd w:val="clear" w:color="auto" w:fill="767171" w:themeFill="background2" w:themeFillShade="80"/>
            <w:tcMar>
              <w:top w:w="30" w:type="dxa"/>
              <w:left w:w="120" w:type="dxa"/>
              <w:bottom w:w="30" w:type="dxa"/>
              <w:right w:w="120" w:type="dxa"/>
            </w:tcMar>
            <w:vAlign w:val="center"/>
            <w:hideMark/>
          </w:tcPr>
          <w:p w14:paraId="27792AC3"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1.81 to 2.99</w:t>
            </w:r>
          </w:p>
        </w:tc>
        <w:tc>
          <w:tcPr>
            <w:tcW w:w="0" w:type="auto"/>
            <w:tcBorders>
              <w:top w:val="single" w:sz="6" w:space="0" w:color="CCCCCC"/>
              <w:left w:val="single" w:sz="6" w:space="0" w:color="CCCCCC"/>
              <w:bottom w:val="single" w:sz="6" w:space="0" w:color="F6F8F9"/>
              <w:right w:val="single" w:sz="6" w:space="0" w:color="284E3F"/>
            </w:tcBorders>
            <w:shd w:val="clear" w:color="auto" w:fill="767171" w:themeFill="background2" w:themeFillShade="80"/>
            <w:tcMar>
              <w:top w:w="30" w:type="dxa"/>
              <w:left w:w="120" w:type="dxa"/>
              <w:bottom w:w="30" w:type="dxa"/>
              <w:right w:w="120" w:type="dxa"/>
            </w:tcMar>
            <w:vAlign w:val="center"/>
            <w:hideMark/>
          </w:tcPr>
          <w:p w14:paraId="6E6A5520"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Caution zone; susceptible to bankruptcy within two years.</w:t>
            </w:r>
          </w:p>
        </w:tc>
      </w:tr>
      <w:tr w:rsidR="00A94A5B" w:rsidRPr="009E2403" w14:paraId="1CCD9AB3" w14:textId="77777777" w:rsidTr="00A94A5B">
        <w:trPr>
          <w:trHeight w:val="315"/>
        </w:trPr>
        <w:tc>
          <w:tcPr>
            <w:tcW w:w="0" w:type="auto"/>
            <w:tcBorders>
              <w:top w:val="single" w:sz="6" w:space="0" w:color="CCCCCC"/>
              <w:left w:val="single" w:sz="6" w:space="0" w:color="284E3F"/>
              <w:bottom w:val="single" w:sz="6" w:space="0" w:color="284E3F"/>
              <w:right w:val="single" w:sz="6" w:space="0" w:color="FFFFFF"/>
            </w:tcBorders>
            <w:shd w:val="clear" w:color="auto" w:fill="BF8F00" w:themeFill="accent4" w:themeFillShade="BF"/>
            <w:tcMar>
              <w:top w:w="30" w:type="dxa"/>
              <w:left w:w="120" w:type="dxa"/>
              <w:bottom w:w="30" w:type="dxa"/>
              <w:right w:w="120" w:type="dxa"/>
            </w:tcMar>
            <w:vAlign w:val="center"/>
            <w:hideMark/>
          </w:tcPr>
          <w:p w14:paraId="314DFAD6"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Distress</w:t>
            </w:r>
          </w:p>
        </w:tc>
        <w:tc>
          <w:tcPr>
            <w:tcW w:w="0" w:type="auto"/>
            <w:tcBorders>
              <w:top w:val="single" w:sz="6" w:space="0" w:color="CCCCCC"/>
              <w:left w:val="single" w:sz="6" w:space="0" w:color="CCCCCC"/>
              <w:bottom w:val="single" w:sz="6" w:space="0" w:color="284E3F"/>
              <w:right w:val="single" w:sz="6" w:space="0" w:color="FFFFFF"/>
            </w:tcBorders>
            <w:shd w:val="clear" w:color="auto" w:fill="BF8F00" w:themeFill="accent4" w:themeFillShade="BF"/>
            <w:tcMar>
              <w:top w:w="30" w:type="dxa"/>
              <w:left w:w="120" w:type="dxa"/>
              <w:bottom w:w="30" w:type="dxa"/>
              <w:right w:w="120" w:type="dxa"/>
            </w:tcMar>
            <w:vAlign w:val="center"/>
            <w:hideMark/>
          </w:tcPr>
          <w:p w14:paraId="179CB438"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&lt;1.81</w:t>
            </w:r>
          </w:p>
        </w:tc>
        <w:tc>
          <w:tcPr>
            <w:tcW w:w="0" w:type="auto"/>
            <w:tcBorders>
              <w:top w:val="single" w:sz="6" w:space="0" w:color="CCCCCC"/>
              <w:left w:val="single" w:sz="6" w:space="0" w:color="CCCCCC"/>
              <w:bottom w:val="single" w:sz="6" w:space="0" w:color="284E3F"/>
              <w:right w:val="single" w:sz="6" w:space="0" w:color="284E3F"/>
            </w:tcBorders>
            <w:shd w:val="clear" w:color="auto" w:fill="BF8F00" w:themeFill="accent4" w:themeFillShade="BF"/>
            <w:tcMar>
              <w:top w:w="30" w:type="dxa"/>
              <w:left w:w="120" w:type="dxa"/>
              <w:bottom w:w="30" w:type="dxa"/>
              <w:right w:w="120" w:type="dxa"/>
            </w:tcMar>
            <w:vAlign w:val="center"/>
            <w:hideMark/>
          </w:tcPr>
          <w:p w14:paraId="71BA8D5A"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High probability of corporate failure.</w:t>
            </w:r>
          </w:p>
        </w:tc>
      </w:tr>
    </w:tbl>
    <w:p w14:paraId="16B4992D" w14:textId="77777777" w:rsidR="00A94A5B" w:rsidRPr="009E2403" w:rsidRDefault="00A94A5B" w:rsidP="00BA7E6D">
      <w:pPr>
        <w:spacing w:line="360" w:lineRule="auto"/>
        <w:jc w:val="both"/>
        <w:rPr>
          <w:rFonts w:ascii="Arial" w:hAnsi="Arial" w:cs="Arial"/>
          <w:sz w:val="20"/>
        </w:rPr>
      </w:pPr>
    </w:p>
    <w:p w14:paraId="29650627" w14:textId="77777777" w:rsidR="00AE5C3B" w:rsidRPr="009E2403" w:rsidRDefault="00FF4535" w:rsidP="00FF4535">
      <w:pPr>
        <w:pStyle w:val="Caption"/>
        <w:jc w:val="center"/>
        <w:rPr>
          <w:rFonts w:ascii="Arial" w:hAnsi="Arial" w:cs="Arial"/>
          <w:b w:val="0"/>
          <w:bCs w:val="0"/>
          <w:sz w:val="24"/>
          <w:szCs w:val="24"/>
          <w:lang w:val="en-US"/>
        </w:rPr>
      </w:pPr>
      <w:bookmarkStart w:id="6" w:name="_Toc214745428"/>
      <w:r w:rsidRPr="009E2403">
        <w:rPr>
          <w:rFonts w:ascii="Arial" w:hAnsi="Arial" w:cs="Arial"/>
        </w:rPr>
        <w:t xml:space="preserve">Table </w:t>
      </w:r>
      <w:r w:rsidRPr="009E2403">
        <w:rPr>
          <w:rFonts w:ascii="Arial" w:hAnsi="Arial" w:cs="Arial"/>
        </w:rPr>
        <w:fldChar w:fldCharType="begin"/>
      </w:r>
      <w:r w:rsidRPr="009E2403">
        <w:rPr>
          <w:rFonts w:ascii="Arial" w:hAnsi="Arial" w:cs="Arial"/>
        </w:rPr>
        <w:instrText xml:space="preserve"> SEQ Table \* ARABIC </w:instrText>
      </w:r>
      <w:r w:rsidRPr="009E2403">
        <w:rPr>
          <w:rFonts w:ascii="Arial" w:hAnsi="Arial" w:cs="Arial"/>
        </w:rPr>
        <w:fldChar w:fldCharType="separate"/>
      </w:r>
      <w:r w:rsidR="004471DE">
        <w:rPr>
          <w:rFonts w:ascii="Arial" w:hAnsi="Arial" w:cs="Arial"/>
          <w:noProof/>
        </w:rPr>
        <w:t>1</w:t>
      </w:r>
      <w:r w:rsidRPr="009E2403">
        <w:rPr>
          <w:rFonts w:ascii="Arial" w:hAnsi="Arial" w:cs="Arial"/>
        </w:rPr>
        <w:fldChar w:fldCharType="end"/>
      </w:r>
      <w:r w:rsidR="00E44D02" w:rsidRPr="009E2403">
        <w:rPr>
          <w:rFonts w:ascii="Arial" w:hAnsi="Arial" w:cs="Arial"/>
        </w:rPr>
        <w:t xml:space="preserve"> </w:t>
      </w:r>
      <w:r w:rsidRPr="009E2403">
        <w:rPr>
          <w:rFonts w:ascii="Arial" w:hAnsi="Arial" w:cs="Arial"/>
        </w:rPr>
        <w:t>Corporate Failure Prediction Model- Altman Z-Score model</w:t>
      </w:r>
      <w:bookmarkEnd w:id="6"/>
    </w:p>
    <w:p w14:paraId="23A9BF7D" w14:textId="77777777" w:rsidR="00D618DD" w:rsidRPr="009E2403" w:rsidRDefault="00D618DD" w:rsidP="00211D77">
      <w:pPr>
        <w:rPr>
          <w:rFonts w:ascii="Arial" w:hAnsi="Arial" w:cs="Arial"/>
          <w:b/>
          <w:bCs/>
          <w:szCs w:val="24"/>
          <w:lang w:val="en-US"/>
        </w:rPr>
      </w:pPr>
      <w:r w:rsidRPr="009E2403">
        <w:rPr>
          <w:rFonts w:ascii="Arial" w:hAnsi="Arial" w:cs="Arial"/>
          <w:b/>
          <w:bCs/>
          <w:szCs w:val="24"/>
          <w:lang w:val="en-US"/>
        </w:rPr>
        <w:t>Calculated Altman Z-Scores</w:t>
      </w:r>
    </w:p>
    <w:tbl>
      <w:tblPr>
        <w:tblW w:w="7308" w:type="dxa"/>
        <w:tblCellMar>
          <w:left w:w="0" w:type="dxa"/>
          <w:right w:w="0" w:type="dxa"/>
        </w:tblCellMar>
        <w:tblLook w:val="04A0" w:firstRow="1" w:lastRow="0" w:firstColumn="1" w:lastColumn="0" w:noHBand="0" w:noVBand="1"/>
      </w:tblPr>
      <w:tblGrid>
        <w:gridCol w:w="2244"/>
        <w:gridCol w:w="1012"/>
        <w:gridCol w:w="1013"/>
        <w:gridCol w:w="1013"/>
        <w:gridCol w:w="1013"/>
        <w:gridCol w:w="1013"/>
      </w:tblGrid>
      <w:tr w:rsidR="00A94A5B" w:rsidRPr="009E2403" w14:paraId="456D02F1" w14:textId="77777777" w:rsidTr="00C024E4">
        <w:trPr>
          <w:trHeight w:val="380"/>
        </w:trPr>
        <w:tc>
          <w:tcPr>
            <w:tcW w:w="0" w:type="auto"/>
            <w:tcBorders>
              <w:top w:val="single" w:sz="6" w:space="0" w:color="284E3F"/>
              <w:left w:val="single" w:sz="6" w:space="0" w:color="284E3F"/>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4223F687"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Item</w:t>
            </w:r>
          </w:p>
        </w:tc>
        <w:tc>
          <w:tcPr>
            <w:tcW w:w="0" w:type="auto"/>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78B563E5"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2020</w:t>
            </w:r>
          </w:p>
        </w:tc>
        <w:tc>
          <w:tcPr>
            <w:tcW w:w="0" w:type="auto"/>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61C633A3"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2021</w:t>
            </w:r>
          </w:p>
        </w:tc>
        <w:tc>
          <w:tcPr>
            <w:tcW w:w="0" w:type="auto"/>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0BB7E031"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2022</w:t>
            </w:r>
          </w:p>
        </w:tc>
        <w:tc>
          <w:tcPr>
            <w:tcW w:w="0" w:type="auto"/>
            <w:tcBorders>
              <w:top w:val="single" w:sz="6" w:space="0" w:color="284E3F"/>
              <w:left w:val="single" w:sz="6" w:space="0" w:color="CCCCCC"/>
              <w:bottom w:val="single" w:sz="6" w:space="0" w:color="284E3F"/>
              <w:right w:val="single" w:sz="6" w:space="0" w:color="356854"/>
            </w:tcBorders>
            <w:shd w:val="clear" w:color="auto" w:fill="356854"/>
            <w:tcMar>
              <w:top w:w="30" w:type="dxa"/>
              <w:left w:w="120" w:type="dxa"/>
              <w:bottom w:w="30" w:type="dxa"/>
              <w:right w:w="120" w:type="dxa"/>
            </w:tcMar>
            <w:vAlign w:val="center"/>
            <w:hideMark/>
          </w:tcPr>
          <w:p w14:paraId="28206176"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2023</w:t>
            </w:r>
          </w:p>
        </w:tc>
        <w:tc>
          <w:tcPr>
            <w:tcW w:w="0" w:type="auto"/>
            <w:tcBorders>
              <w:top w:val="single" w:sz="6" w:space="0" w:color="284E3F"/>
              <w:left w:val="single" w:sz="6" w:space="0" w:color="CCCCCC"/>
              <w:bottom w:val="single" w:sz="6" w:space="0" w:color="284E3F"/>
              <w:right w:val="single" w:sz="6" w:space="0" w:color="284E3F"/>
            </w:tcBorders>
            <w:shd w:val="clear" w:color="auto" w:fill="356854"/>
            <w:tcMar>
              <w:top w:w="30" w:type="dxa"/>
              <w:left w:w="120" w:type="dxa"/>
              <w:bottom w:w="30" w:type="dxa"/>
              <w:right w:w="120" w:type="dxa"/>
            </w:tcMar>
            <w:vAlign w:val="center"/>
            <w:hideMark/>
          </w:tcPr>
          <w:p w14:paraId="7D47C567" w14:textId="77777777" w:rsidR="00A94A5B" w:rsidRPr="009E2403" w:rsidRDefault="00A94A5B" w:rsidP="00A94A5B">
            <w:pPr>
              <w:spacing w:after="0" w:line="240" w:lineRule="auto"/>
              <w:rPr>
                <w:rFonts w:ascii="Arial" w:eastAsia="Times New Roman" w:hAnsi="Arial" w:cs="Arial"/>
                <w:color w:val="FFFFFF"/>
                <w:sz w:val="20"/>
                <w:szCs w:val="20"/>
                <w:lang w:val="en-US"/>
              </w:rPr>
            </w:pPr>
            <w:r w:rsidRPr="009E2403">
              <w:rPr>
                <w:rFonts w:ascii="Arial" w:eastAsia="Times New Roman" w:hAnsi="Arial" w:cs="Arial"/>
                <w:color w:val="FFFFFF"/>
                <w:sz w:val="20"/>
                <w:szCs w:val="20"/>
                <w:lang w:val="en-US"/>
              </w:rPr>
              <w:t>2024</w:t>
            </w:r>
          </w:p>
        </w:tc>
      </w:tr>
      <w:tr w:rsidR="00A94A5B" w:rsidRPr="009E2403" w14:paraId="00FC6A52" w14:textId="77777777" w:rsidTr="00C024E4">
        <w:trPr>
          <w:trHeight w:val="380"/>
        </w:trPr>
        <w:tc>
          <w:tcPr>
            <w:tcW w:w="0" w:type="auto"/>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0216C16E"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Z-Score Value</w:t>
            </w:r>
          </w:p>
        </w:tc>
        <w:tc>
          <w:tcPr>
            <w:tcW w:w="0" w:type="auto"/>
            <w:tcBorders>
              <w:top w:val="single" w:sz="6" w:space="0" w:color="CCCCCC"/>
              <w:left w:val="single" w:sz="6" w:space="0" w:color="CCCCCC"/>
              <w:bottom w:val="single" w:sz="6" w:space="0" w:color="F6F8F9"/>
              <w:right w:val="single" w:sz="6" w:space="0" w:color="FFFFFF"/>
            </w:tcBorders>
            <w:shd w:val="clear" w:color="auto" w:fill="92D050"/>
            <w:tcMar>
              <w:top w:w="30" w:type="dxa"/>
              <w:left w:w="120" w:type="dxa"/>
              <w:bottom w:w="30" w:type="dxa"/>
              <w:right w:w="120" w:type="dxa"/>
            </w:tcMar>
            <w:vAlign w:val="center"/>
            <w:hideMark/>
          </w:tcPr>
          <w:p w14:paraId="3E073F53" w14:textId="77777777" w:rsidR="00A94A5B" w:rsidRPr="009E2403" w:rsidRDefault="00A94A5B" w:rsidP="00A94A5B">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3.64</w:t>
            </w:r>
          </w:p>
        </w:tc>
        <w:tc>
          <w:tcPr>
            <w:tcW w:w="0" w:type="auto"/>
            <w:tcBorders>
              <w:top w:val="single" w:sz="6" w:space="0" w:color="CCCCCC"/>
              <w:left w:val="single" w:sz="6" w:space="0" w:color="CCCCCC"/>
              <w:bottom w:val="single" w:sz="6" w:space="0" w:color="F6F8F9"/>
              <w:right w:val="single" w:sz="6" w:space="0" w:color="FFFFFF"/>
            </w:tcBorders>
            <w:shd w:val="clear" w:color="auto" w:fill="92D050"/>
            <w:tcMar>
              <w:top w:w="30" w:type="dxa"/>
              <w:left w:w="120" w:type="dxa"/>
              <w:bottom w:w="30" w:type="dxa"/>
              <w:right w:w="120" w:type="dxa"/>
            </w:tcMar>
            <w:vAlign w:val="center"/>
            <w:hideMark/>
          </w:tcPr>
          <w:p w14:paraId="37152CFF" w14:textId="77777777" w:rsidR="00A94A5B" w:rsidRPr="009E2403" w:rsidRDefault="00A94A5B" w:rsidP="00A94A5B">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3.22</w:t>
            </w:r>
          </w:p>
        </w:tc>
        <w:tc>
          <w:tcPr>
            <w:tcW w:w="0" w:type="auto"/>
            <w:tcBorders>
              <w:top w:val="single" w:sz="6" w:space="0" w:color="CCCCCC"/>
              <w:left w:val="single" w:sz="6" w:space="0" w:color="CCCCCC"/>
              <w:bottom w:val="single" w:sz="6" w:space="0" w:color="F6F8F9"/>
              <w:right w:val="single" w:sz="6" w:space="0" w:color="FFFFFF"/>
            </w:tcBorders>
            <w:shd w:val="clear" w:color="auto" w:fill="92D050"/>
            <w:tcMar>
              <w:top w:w="30" w:type="dxa"/>
              <w:left w:w="120" w:type="dxa"/>
              <w:bottom w:w="30" w:type="dxa"/>
              <w:right w:w="120" w:type="dxa"/>
            </w:tcMar>
            <w:vAlign w:val="center"/>
            <w:hideMark/>
          </w:tcPr>
          <w:p w14:paraId="426BF4F3" w14:textId="77777777" w:rsidR="00A94A5B" w:rsidRPr="009E2403" w:rsidRDefault="00A94A5B" w:rsidP="00A94A5B">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3.06</w:t>
            </w:r>
          </w:p>
        </w:tc>
        <w:tc>
          <w:tcPr>
            <w:tcW w:w="0" w:type="auto"/>
            <w:tcBorders>
              <w:top w:val="single" w:sz="6" w:space="0" w:color="CCCCCC"/>
              <w:left w:val="single" w:sz="6" w:space="0" w:color="CCCCCC"/>
              <w:bottom w:val="single" w:sz="6" w:space="0" w:color="F6F8F9"/>
              <w:right w:val="single" w:sz="6" w:space="0" w:color="FFFFFF"/>
            </w:tcBorders>
            <w:shd w:val="clear" w:color="auto" w:fill="767171" w:themeFill="background2" w:themeFillShade="80"/>
            <w:tcMar>
              <w:top w:w="30" w:type="dxa"/>
              <w:left w:w="120" w:type="dxa"/>
              <w:bottom w:w="30" w:type="dxa"/>
              <w:right w:w="120" w:type="dxa"/>
            </w:tcMar>
            <w:vAlign w:val="center"/>
            <w:hideMark/>
          </w:tcPr>
          <w:p w14:paraId="42A0DE9A" w14:textId="77777777" w:rsidR="00A94A5B" w:rsidRPr="009E2403" w:rsidRDefault="00A94A5B" w:rsidP="00A94A5B">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2.24</w:t>
            </w:r>
          </w:p>
        </w:tc>
        <w:tc>
          <w:tcPr>
            <w:tcW w:w="0" w:type="auto"/>
            <w:tcBorders>
              <w:top w:val="single" w:sz="6" w:space="0" w:color="CCCCCC"/>
              <w:left w:val="single" w:sz="6" w:space="0" w:color="CCCCCC"/>
              <w:bottom w:val="single" w:sz="6" w:space="0" w:color="F6F8F9"/>
              <w:right w:val="single" w:sz="6" w:space="0" w:color="284E3F"/>
            </w:tcBorders>
            <w:shd w:val="clear" w:color="auto" w:fill="767171" w:themeFill="background2" w:themeFillShade="80"/>
            <w:tcMar>
              <w:top w:w="30" w:type="dxa"/>
              <w:left w:w="120" w:type="dxa"/>
              <w:bottom w:w="30" w:type="dxa"/>
              <w:right w:w="120" w:type="dxa"/>
            </w:tcMar>
            <w:vAlign w:val="center"/>
            <w:hideMark/>
          </w:tcPr>
          <w:p w14:paraId="308888FF" w14:textId="77777777" w:rsidR="00A94A5B" w:rsidRPr="009E2403" w:rsidRDefault="00A94A5B" w:rsidP="00A94A5B">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2.82</w:t>
            </w:r>
          </w:p>
        </w:tc>
      </w:tr>
      <w:tr w:rsidR="00A94A5B" w:rsidRPr="009E2403" w14:paraId="310299C6" w14:textId="77777777" w:rsidTr="00C024E4">
        <w:trPr>
          <w:trHeight w:val="380"/>
        </w:trPr>
        <w:tc>
          <w:tcPr>
            <w:tcW w:w="0" w:type="auto"/>
            <w:tcBorders>
              <w:top w:val="single" w:sz="6" w:space="0" w:color="CCCCCC"/>
              <w:left w:val="single" w:sz="6" w:space="0" w:color="284E3F"/>
              <w:bottom w:val="single" w:sz="6" w:space="0" w:color="284E3F"/>
              <w:right w:val="single" w:sz="6" w:space="0" w:color="F6F8F9"/>
            </w:tcBorders>
            <w:shd w:val="clear" w:color="auto" w:fill="F6F8F9"/>
            <w:tcMar>
              <w:top w:w="30" w:type="dxa"/>
              <w:left w:w="120" w:type="dxa"/>
              <w:bottom w:w="30" w:type="dxa"/>
              <w:right w:w="120" w:type="dxa"/>
            </w:tcMar>
            <w:vAlign w:val="center"/>
            <w:hideMark/>
          </w:tcPr>
          <w:p w14:paraId="6E876A6F"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Risk Zone</w:t>
            </w:r>
          </w:p>
        </w:tc>
        <w:tc>
          <w:tcPr>
            <w:tcW w:w="0" w:type="auto"/>
            <w:tcBorders>
              <w:top w:val="single" w:sz="6" w:space="0" w:color="CCCCCC"/>
              <w:left w:val="single" w:sz="6" w:space="0" w:color="CCCCCC"/>
              <w:bottom w:val="single" w:sz="6" w:space="0" w:color="284E3F"/>
              <w:right w:val="single" w:sz="6" w:space="0" w:color="F6F8F9"/>
            </w:tcBorders>
            <w:shd w:val="clear" w:color="auto" w:fill="92D050"/>
            <w:tcMar>
              <w:top w:w="30" w:type="dxa"/>
              <w:left w:w="120" w:type="dxa"/>
              <w:bottom w:w="30" w:type="dxa"/>
              <w:right w:w="120" w:type="dxa"/>
            </w:tcMar>
            <w:vAlign w:val="center"/>
            <w:hideMark/>
          </w:tcPr>
          <w:p w14:paraId="5C0B0954"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Safe</w:t>
            </w:r>
          </w:p>
        </w:tc>
        <w:tc>
          <w:tcPr>
            <w:tcW w:w="0" w:type="auto"/>
            <w:tcBorders>
              <w:top w:val="single" w:sz="6" w:space="0" w:color="CCCCCC"/>
              <w:left w:val="single" w:sz="6" w:space="0" w:color="CCCCCC"/>
              <w:bottom w:val="single" w:sz="6" w:space="0" w:color="284E3F"/>
              <w:right w:val="single" w:sz="6" w:space="0" w:color="F6F8F9"/>
            </w:tcBorders>
            <w:shd w:val="clear" w:color="auto" w:fill="92D050"/>
            <w:tcMar>
              <w:top w:w="30" w:type="dxa"/>
              <w:left w:w="120" w:type="dxa"/>
              <w:bottom w:w="30" w:type="dxa"/>
              <w:right w:w="120" w:type="dxa"/>
            </w:tcMar>
            <w:vAlign w:val="center"/>
            <w:hideMark/>
          </w:tcPr>
          <w:p w14:paraId="2E71BB33"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Safe</w:t>
            </w:r>
          </w:p>
        </w:tc>
        <w:tc>
          <w:tcPr>
            <w:tcW w:w="0" w:type="auto"/>
            <w:tcBorders>
              <w:top w:val="single" w:sz="6" w:space="0" w:color="CCCCCC"/>
              <w:left w:val="single" w:sz="6" w:space="0" w:color="CCCCCC"/>
              <w:bottom w:val="single" w:sz="6" w:space="0" w:color="284E3F"/>
              <w:right w:val="single" w:sz="6" w:space="0" w:color="F6F8F9"/>
            </w:tcBorders>
            <w:shd w:val="clear" w:color="auto" w:fill="92D050"/>
            <w:tcMar>
              <w:top w:w="30" w:type="dxa"/>
              <w:left w:w="120" w:type="dxa"/>
              <w:bottom w:w="30" w:type="dxa"/>
              <w:right w:w="120" w:type="dxa"/>
            </w:tcMar>
            <w:vAlign w:val="center"/>
            <w:hideMark/>
          </w:tcPr>
          <w:p w14:paraId="5C276BA4"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Safe</w:t>
            </w:r>
          </w:p>
        </w:tc>
        <w:tc>
          <w:tcPr>
            <w:tcW w:w="0" w:type="auto"/>
            <w:tcBorders>
              <w:top w:val="single" w:sz="6" w:space="0" w:color="CCCCCC"/>
              <w:left w:val="single" w:sz="6" w:space="0" w:color="CCCCCC"/>
              <w:bottom w:val="single" w:sz="6" w:space="0" w:color="284E3F"/>
              <w:right w:val="single" w:sz="6" w:space="0" w:color="F6F8F9"/>
            </w:tcBorders>
            <w:shd w:val="clear" w:color="auto" w:fill="767171" w:themeFill="background2" w:themeFillShade="80"/>
            <w:tcMar>
              <w:top w:w="30" w:type="dxa"/>
              <w:left w:w="120" w:type="dxa"/>
              <w:bottom w:w="30" w:type="dxa"/>
              <w:right w:w="120" w:type="dxa"/>
            </w:tcMar>
            <w:vAlign w:val="center"/>
            <w:hideMark/>
          </w:tcPr>
          <w:p w14:paraId="6F5963CB"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Gray</w:t>
            </w:r>
          </w:p>
        </w:tc>
        <w:tc>
          <w:tcPr>
            <w:tcW w:w="0" w:type="auto"/>
            <w:tcBorders>
              <w:top w:val="single" w:sz="6" w:space="0" w:color="CCCCCC"/>
              <w:left w:val="single" w:sz="6" w:space="0" w:color="CCCCCC"/>
              <w:bottom w:val="single" w:sz="6" w:space="0" w:color="284E3F"/>
              <w:right w:val="single" w:sz="6" w:space="0" w:color="284E3F"/>
            </w:tcBorders>
            <w:shd w:val="clear" w:color="auto" w:fill="767171" w:themeFill="background2" w:themeFillShade="80"/>
            <w:tcMar>
              <w:top w:w="30" w:type="dxa"/>
              <w:left w:w="120" w:type="dxa"/>
              <w:bottom w:w="30" w:type="dxa"/>
              <w:right w:w="120" w:type="dxa"/>
            </w:tcMar>
            <w:vAlign w:val="center"/>
            <w:hideMark/>
          </w:tcPr>
          <w:p w14:paraId="53564E31" w14:textId="77777777" w:rsidR="00A94A5B" w:rsidRPr="009E2403" w:rsidRDefault="00A94A5B" w:rsidP="00A94A5B">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Gray</w:t>
            </w:r>
          </w:p>
        </w:tc>
      </w:tr>
    </w:tbl>
    <w:p w14:paraId="4BD210F4" w14:textId="77777777" w:rsidR="00D618DD" w:rsidRPr="009E2403" w:rsidRDefault="00D618DD" w:rsidP="00D618DD">
      <w:pPr>
        <w:spacing w:line="360" w:lineRule="auto"/>
        <w:jc w:val="center"/>
        <w:rPr>
          <w:rFonts w:ascii="Arial" w:hAnsi="Arial" w:cs="Arial"/>
          <w:b/>
          <w:bCs/>
          <w:sz w:val="24"/>
          <w:szCs w:val="24"/>
          <w:lang w:val="en-US"/>
        </w:rPr>
      </w:pPr>
    </w:p>
    <w:p w14:paraId="54E13A2E" w14:textId="77777777" w:rsidR="00D618DD" w:rsidRPr="009E2403" w:rsidRDefault="00D618DD" w:rsidP="00D618DD">
      <w:pPr>
        <w:pStyle w:val="Caption"/>
        <w:jc w:val="center"/>
        <w:rPr>
          <w:rFonts w:ascii="Arial" w:hAnsi="Arial" w:cs="Arial"/>
          <w:b w:val="0"/>
          <w:bCs w:val="0"/>
          <w:sz w:val="24"/>
          <w:szCs w:val="24"/>
          <w:lang w:val="en-US"/>
        </w:rPr>
      </w:pPr>
      <w:bookmarkStart w:id="7" w:name="_Toc214745429"/>
      <w:r w:rsidRPr="009E2403">
        <w:rPr>
          <w:rFonts w:ascii="Arial" w:hAnsi="Arial" w:cs="Arial"/>
        </w:rPr>
        <w:t xml:space="preserve">Table </w:t>
      </w:r>
      <w:r w:rsidRPr="009E2403">
        <w:rPr>
          <w:rFonts w:ascii="Arial" w:hAnsi="Arial" w:cs="Arial"/>
        </w:rPr>
        <w:fldChar w:fldCharType="begin"/>
      </w:r>
      <w:r w:rsidRPr="009E2403">
        <w:rPr>
          <w:rFonts w:ascii="Arial" w:hAnsi="Arial" w:cs="Arial"/>
        </w:rPr>
        <w:instrText xml:space="preserve"> SEQ Table \* ARABIC </w:instrText>
      </w:r>
      <w:r w:rsidRPr="009E2403">
        <w:rPr>
          <w:rFonts w:ascii="Arial" w:hAnsi="Arial" w:cs="Arial"/>
        </w:rPr>
        <w:fldChar w:fldCharType="separate"/>
      </w:r>
      <w:r w:rsidR="004471DE">
        <w:rPr>
          <w:rFonts w:ascii="Arial" w:hAnsi="Arial" w:cs="Arial"/>
          <w:noProof/>
        </w:rPr>
        <w:t>2</w:t>
      </w:r>
      <w:r w:rsidRPr="009E2403">
        <w:rPr>
          <w:rFonts w:ascii="Arial" w:hAnsi="Arial" w:cs="Arial"/>
        </w:rPr>
        <w:fldChar w:fldCharType="end"/>
      </w:r>
      <w:r w:rsidRPr="009E2403">
        <w:rPr>
          <w:rFonts w:ascii="Arial" w:hAnsi="Arial" w:cs="Arial"/>
        </w:rPr>
        <w:t xml:space="preserve"> Altman Z-Scores</w:t>
      </w:r>
      <w:bookmarkEnd w:id="7"/>
    </w:p>
    <w:p w14:paraId="5F81D2DF" w14:textId="77777777" w:rsidR="00C3563D" w:rsidRPr="009E2403" w:rsidRDefault="00D618DD" w:rsidP="00C3563D">
      <w:pPr>
        <w:jc w:val="center"/>
        <w:rPr>
          <w:rFonts w:ascii="Arial" w:hAnsi="Arial" w:cs="Arial"/>
          <w:i/>
        </w:rPr>
      </w:pPr>
      <w:r w:rsidRPr="009E2403">
        <w:rPr>
          <w:rFonts w:ascii="Arial" w:hAnsi="Arial" w:cs="Arial"/>
          <w:b/>
          <w:i/>
        </w:rPr>
        <w:t>Source</w:t>
      </w:r>
      <w:r w:rsidRPr="009E2403">
        <w:rPr>
          <w:rFonts w:ascii="Arial" w:hAnsi="Arial" w:cs="Arial"/>
          <w:i/>
        </w:rPr>
        <w:t>: Author</w:t>
      </w:r>
      <w:r w:rsidR="0036677F" w:rsidRPr="009E2403">
        <w:rPr>
          <w:rFonts w:ascii="Arial" w:hAnsi="Arial" w:cs="Arial"/>
          <w:i/>
        </w:rPr>
        <w:t>’</w:t>
      </w:r>
      <w:r w:rsidRPr="009E2403">
        <w:rPr>
          <w:rFonts w:ascii="Arial" w:hAnsi="Arial" w:cs="Arial"/>
          <w:i/>
        </w:rPr>
        <w:t xml:space="preserve">s </w:t>
      </w:r>
      <w:r w:rsidR="0036677F" w:rsidRPr="009E2403">
        <w:rPr>
          <w:rFonts w:ascii="Arial" w:hAnsi="Arial" w:cs="Arial"/>
          <w:i/>
        </w:rPr>
        <w:t xml:space="preserve">own </w:t>
      </w:r>
      <w:r w:rsidR="00C3563D" w:rsidRPr="009E2403">
        <w:rPr>
          <w:rFonts w:ascii="Arial" w:hAnsi="Arial" w:cs="Arial"/>
          <w:i/>
        </w:rPr>
        <w:t>work in Ms Excel</w:t>
      </w:r>
    </w:p>
    <w:p w14:paraId="12839EE3" w14:textId="77777777" w:rsidR="00C3563D" w:rsidRPr="009E2403" w:rsidRDefault="00C3563D" w:rsidP="00C3563D">
      <w:pPr>
        <w:rPr>
          <w:rFonts w:ascii="Arial" w:hAnsi="Arial" w:cs="Arial"/>
          <w:b/>
          <w:i/>
        </w:rPr>
      </w:pPr>
      <w:r w:rsidRPr="009E2403">
        <w:rPr>
          <w:rFonts w:ascii="Arial" w:hAnsi="Arial" w:cs="Arial"/>
          <w:b/>
          <w:lang w:val="en-US"/>
        </w:rPr>
        <w:t>Assessment of Default Risk</w:t>
      </w:r>
    </w:p>
    <w:p w14:paraId="5E733731" w14:textId="77777777" w:rsidR="0063028D" w:rsidRPr="009E2403" w:rsidRDefault="00C024E4" w:rsidP="0063028D">
      <w:pPr>
        <w:spacing w:line="360" w:lineRule="auto"/>
        <w:jc w:val="both"/>
        <w:rPr>
          <w:rFonts w:ascii="Arial" w:hAnsi="Arial" w:cs="Arial"/>
          <w:bCs/>
          <w:szCs w:val="24"/>
          <w:lang w:val="en-US"/>
        </w:rPr>
      </w:pPr>
      <w:r w:rsidRPr="009E2403">
        <w:rPr>
          <w:rFonts w:ascii="Arial" w:hAnsi="Arial" w:cs="Arial"/>
          <w:bCs/>
          <w:szCs w:val="24"/>
        </w:rPr>
        <w:t>In the analysis, it can be seen that the risk profile of General Electronics has improved significantly. The Z-score of the firm that was located safely in the safe zone between 2020 and 2022 moved to the Grey zone since 2023 and indicated a major rise of financial vulnerability</w:t>
      </w:r>
      <w:r w:rsidR="0063028D" w:rsidRPr="009E2403">
        <w:rPr>
          <w:rFonts w:ascii="Arial" w:hAnsi="Arial" w:cs="Arial"/>
          <w:bCs/>
          <w:szCs w:val="24"/>
          <w:lang w:val="en-US"/>
        </w:rPr>
        <w:t>.</w:t>
      </w:r>
    </w:p>
    <w:p w14:paraId="05192CA5" w14:textId="77777777" w:rsidR="0063028D" w:rsidRPr="009E2403" w:rsidRDefault="00C024E4" w:rsidP="0063028D">
      <w:pPr>
        <w:spacing w:line="360" w:lineRule="auto"/>
        <w:jc w:val="both"/>
        <w:rPr>
          <w:rFonts w:ascii="Arial" w:hAnsi="Arial" w:cs="Arial"/>
          <w:bCs/>
          <w:szCs w:val="24"/>
          <w:lang w:val="en-US"/>
        </w:rPr>
      </w:pPr>
      <w:r w:rsidRPr="009E2403">
        <w:rPr>
          <w:rFonts w:ascii="Arial" w:hAnsi="Arial" w:cs="Arial"/>
          <w:bCs/>
          <w:szCs w:val="24"/>
        </w:rPr>
        <w:t>The above negative change can be majorly explained by two determinates</w:t>
      </w:r>
      <w:r w:rsidR="0063028D" w:rsidRPr="009E2403">
        <w:rPr>
          <w:rFonts w:ascii="Arial" w:hAnsi="Arial" w:cs="Arial"/>
          <w:bCs/>
          <w:szCs w:val="24"/>
          <w:lang w:val="en-US"/>
        </w:rPr>
        <w:t>:</w:t>
      </w:r>
    </w:p>
    <w:p w14:paraId="31D26140" w14:textId="77777777" w:rsidR="0063028D" w:rsidRPr="009E2403" w:rsidRDefault="0063028D" w:rsidP="0063028D">
      <w:pPr>
        <w:numPr>
          <w:ilvl w:val="0"/>
          <w:numId w:val="12"/>
        </w:numPr>
        <w:spacing w:line="360" w:lineRule="auto"/>
        <w:jc w:val="both"/>
        <w:rPr>
          <w:rFonts w:ascii="Arial" w:hAnsi="Arial" w:cs="Arial"/>
          <w:bCs/>
          <w:szCs w:val="24"/>
          <w:lang w:val="en-US"/>
        </w:rPr>
      </w:pPr>
      <w:r w:rsidRPr="009E2403">
        <w:rPr>
          <w:rFonts w:ascii="Arial" w:hAnsi="Arial" w:cs="Arial"/>
          <w:b/>
          <w:bCs/>
          <w:szCs w:val="24"/>
          <w:lang w:val="en-US"/>
        </w:rPr>
        <w:t>Extreme Adverse Profitability (EBIT Component, C):</w:t>
      </w:r>
      <w:r w:rsidRPr="009E2403">
        <w:rPr>
          <w:rFonts w:ascii="Arial" w:hAnsi="Arial" w:cs="Arial"/>
          <w:bCs/>
          <w:szCs w:val="24"/>
          <w:lang w:val="en-US"/>
        </w:rPr>
        <w:t xml:space="preserve"> A </w:t>
      </w:r>
      <w:r w:rsidR="00C024E4" w:rsidRPr="009E2403">
        <w:rPr>
          <w:rFonts w:ascii="Arial" w:hAnsi="Arial" w:cs="Arial"/>
          <w:bCs/>
          <w:szCs w:val="24"/>
        </w:rPr>
        <w:t>significant decline in operating earnings in comparison with assets is the most significant factor that affects the decreased score</w:t>
      </w:r>
      <w:r w:rsidRPr="009E2403">
        <w:rPr>
          <w:rFonts w:ascii="Arial" w:hAnsi="Arial" w:cs="Arial"/>
          <w:bCs/>
          <w:szCs w:val="24"/>
          <w:lang w:val="en-US"/>
        </w:rPr>
        <w:t>.</w:t>
      </w:r>
    </w:p>
    <w:p w14:paraId="6EE9ADA3" w14:textId="77777777" w:rsidR="0063028D" w:rsidRPr="009E2403" w:rsidRDefault="0063028D" w:rsidP="0063028D">
      <w:pPr>
        <w:numPr>
          <w:ilvl w:val="0"/>
          <w:numId w:val="12"/>
        </w:numPr>
        <w:spacing w:line="360" w:lineRule="auto"/>
        <w:jc w:val="both"/>
        <w:rPr>
          <w:rFonts w:ascii="Arial" w:hAnsi="Arial" w:cs="Arial"/>
          <w:bCs/>
          <w:szCs w:val="24"/>
          <w:lang w:val="en-US"/>
        </w:rPr>
      </w:pPr>
      <w:r w:rsidRPr="009E2403">
        <w:rPr>
          <w:rFonts w:ascii="Arial" w:hAnsi="Arial" w:cs="Arial"/>
          <w:b/>
          <w:bCs/>
          <w:szCs w:val="24"/>
          <w:lang w:val="en-US"/>
        </w:rPr>
        <w:t>Deteriorating Capital Structure (Equity/Liabilities Ratio, D):</w:t>
      </w:r>
      <w:r w:rsidRPr="009E2403">
        <w:rPr>
          <w:rFonts w:ascii="Arial" w:hAnsi="Arial" w:cs="Arial"/>
          <w:bCs/>
          <w:szCs w:val="24"/>
          <w:lang w:val="en-US"/>
        </w:rPr>
        <w:t xml:space="preserve"> </w:t>
      </w:r>
      <w:r w:rsidR="00C024E4" w:rsidRPr="009E2403">
        <w:rPr>
          <w:rFonts w:ascii="Arial" w:hAnsi="Arial" w:cs="Arial"/>
          <w:bCs/>
          <w:szCs w:val="24"/>
        </w:rPr>
        <w:t>The equity to liabilities ratio has been falling downward and that means it is becoming more dependent on debt financing and its solvency position is also diminishing</w:t>
      </w:r>
      <w:r w:rsidRPr="009E2403">
        <w:rPr>
          <w:rFonts w:ascii="Arial" w:hAnsi="Arial" w:cs="Arial"/>
          <w:bCs/>
          <w:szCs w:val="24"/>
          <w:lang w:val="en-US"/>
        </w:rPr>
        <w:t>.</w:t>
      </w:r>
    </w:p>
    <w:p w14:paraId="15B73ACE" w14:textId="77777777" w:rsidR="00AA2744" w:rsidRPr="009E2403" w:rsidRDefault="00C024E4" w:rsidP="00211D77">
      <w:pPr>
        <w:spacing w:line="360" w:lineRule="auto"/>
        <w:jc w:val="both"/>
        <w:rPr>
          <w:rFonts w:ascii="Arial" w:hAnsi="Arial" w:cs="Arial"/>
          <w:bCs/>
          <w:szCs w:val="24"/>
          <w:lang w:val="en-US"/>
        </w:rPr>
      </w:pPr>
      <w:r w:rsidRPr="009E2403">
        <w:rPr>
          <w:rFonts w:ascii="Arial" w:hAnsi="Arial" w:cs="Arial"/>
          <w:bCs/>
          <w:szCs w:val="24"/>
        </w:rPr>
        <w:t>The Grey zone score of 2023 and 2024 (2.24 and 2.82, respectively) means that the corporation can collapse without serious and effective management action to change the trend of negative financial performance as it is</w:t>
      </w:r>
      <w:r w:rsidR="00C3563D" w:rsidRPr="009E2403">
        <w:rPr>
          <w:rFonts w:ascii="Arial" w:hAnsi="Arial" w:cs="Arial"/>
          <w:bCs/>
          <w:szCs w:val="24"/>
        </w:rPr>
        <w:t xml:space="preserve">. </w:t>
      </w:r>
    </w:p>
    <w:p w14:paraId="3157BC97" w14:textId="77777777" w:rsidR="00807E6F" w:rsidRPr="009E2403" w:rsidRDefault="00836AC1" w:rsidP="00836AC1">
      <w:pPr>
        <w:pStyle w:val="Heading1"/>
        <w:rPr>
          <w:rFonts w:ascii="Arial" w:hAnsi="Arial" w:cs="Arial"/>
          <w:lang w:val="en-US"/>
        </w:rPr>
      </w:pPr>
      <w:bookmarkStart w:id="8" w:name="_Toc214745401"/>
      <w:r w:rsidRPr="009E2403">
        <w:rPr>
          <w:rFonts w:ascii="Arial" w:hAnsi="Arial" w:cs="Arial"/>
          <w:lang w:val="en-US"/>
        </w:rPr>
        <w:t xml:space="preserve">2 </w:t>
      </w:r>
      <w:r w:rsidR="009E7F8E" w:rsidRPr="009E2403">
        <w:rPr>
          <w:rFonts w:ascii="Arial" w:hAnsi="Arial" w:cs="Arial"/>
          <w:lang w:val="en-US"/>
        </w:rPr>
        <w:t>Working Capital Management</w:t>
      </w:r>
      <w:bookmarkEnd w:id="8"/>
    </w:p>
    <w:p w14:paraId="0DEAB8D6" w14:textId="77777777" w:rsidR="009E7F8E" w:rsidRPr="009E2403" w:rsidRDefault="00836AC1" w:rsidP="00D328C2">
      <w:pPr>
        <w:pStyle w:val="Heading2"/>
        <w:rPr>
          <w:rFonts w:ascii="Arial" w:hAnsi="Arial" w:cs="Arial"/>
          <w:lang w:val="en-US"/>
        </w:rPr>
      </w:pPr>
      <w:bookmarkStart w:id="9" w:name="_Toc214745402"/>
      <w:r w:rsidRPr="009E2403">
        <w:rPr>
          <w:rFonts w:ascii="Arial" w:hAnsi="Arial" w:cs="Arial"/>
          <w:lang w:val="en-US"/>
        </w:rPr>
        <w:t xml:space="preserve">2.1 </w:t>
      </w:r>
      <w:r w:rsidR="00B35B5D" w:rsidRPr="009E2403">
        <w:rPr>
          <w:rFonts w:ascii="Arial" w:hAnsi="Arial" w:cs="Arial"/>
          <w:lang w:val="en-US"/>
        </w:rPr>
        <w:t>Cash Operating Cycle (COC)</w:t>
      </w:r>
      <w:bookmarkEnd w:id="9"/>
    </w:p>
    <w:p w14:paraId="00C1A444" w14:textId="77777777" w:rsidR="007F2CDB" w:rsidRPr="009E2403" w:rsidRDefault="007F2CDB" w:rsidP="007F2CDB">
      <w:pPr>
        <w:spacing w:after="0" w:line="240" w:lineRule="auto"/>
        <w:rPr>
          <w:rFonts w:ascii="Arial" w:eastAsia="Times New Roman" w:hAnsi="Arial" w:cs="Arial"/>
          <w:sz w:val="24"/>
          <w:szCs w:val="24"/>
          <w:lang w:val="en-US"/>
        </w:rPr>
      </w:pPr>
      <w:r w:rsidRPr="009E2403">
        <w:rPr>
          <w:rFonts w:ascii="Arial" w:eastAsia="Times New Roman" w:hAnsi="Arial" w:cs="Arial"/>
          <w:sz w:val="24"/>
          <w:szCs w:val="24"/>
          <w:lang w:val="en-US"/>
        </w:rPr>
        <w:t>COC = Inventory Days + Receivable Days - Payable Days</w:t>
      </w:r>
    </w:p>
    <w:p w14:paraId="1FC772DC" w14:textId="77777777" w:rsidR="007F2CDB" w:rsidRPr="009E2403" w:rsidRDefault="007F2CDB" w:rsidP="007F2CDB">
      <w:pPr>
        <w:rPr>
          <w:rFonts w:ascii="Arial" w:hAnsi="Arial" w:cs="Arial"/>
          <w:lang w:val="en-US"/>
        </w:rPr>
      </w:pPr>
    </w:p>
    <w:tbl>
      <w:tblPr>
        <w:tblW w:w="7588" w:type="dxa"/>
        <w:jc w:val="center"/>
        <w:tblLook w:val="04A0" w:firstRow="1" w:lastRow="0" w:firstColumn="1" w:lastColumn="0" w:noHBand="0" w:noVBand="1"/>
      </w:tblPr>
      <w:tblGrid>
        <w:gridCol w:w="763"/>
        <w:gridCol w:w="1340"/>
        <w:gridCol w:w="1461"/>
        <w:gridCol w:w="1139"/>
        <w:gridCol w:w="1508"/>
        <w:gridCol w:w="1377"/>
      </w:tblGrid>
      <w:tr w:rsidR="00AA5DF6" w:rsidRPr="009E2403" w14:paraId="13ABCF77" w14:textId="77777777" w:rsidTr="001C382A">
        <w:trPr>
          <w:trHeight w:hRule="exact" w:val="1107"/>
          <w:jc w:val="center"/>
        </w:trPr>
        <w:tc>
          <w:tcPr>
            <w:tcW w:w="763" w:type="dxa"/>
            <w:tcBorders>
              <w:top w:val="nil"/>
              <w:left w:val="nil"/>
              <w:bottom w:val="nil"/>
              <w:right w:val="nil"/>
            </w:tcBorders>
            <w:shd w:val="clear" w:color="000000" w:fill="EEECE1"/>
            <w:vAlign w:val="center"/>
            <w:hideMark/>
          </w:tcPr>
          <w:p w14:paraId="418E3791" w14:textId="77777777" w:rsidR="00096218" w:rsidRPr="00096218" w:rsidRDefault="00096218" w:rsidP="00096218">
            <w:pPr>
              <w:spacing w:after="0" w:line="240" w:lineRule="auto"/>
              <w:jc w:val="center"/>
              <w:rPr>
                <w:rFonts w:ascii="Arial" w:eastAsia="Times New Roman" w:hAnsi="Arial" w:cs="Arial"/>
                <w:b/>
                <w:bCs/>
                <w:color w:val="FF0000"/>
                <w:lang w:val="en-US"/>
              </w:rPr>
            </w:pPr>
            <w:r w:rsidRPr="00096218">
              <w:rPr>
                <w:rFonts w:ascii="Arial" w:eastAsia="Times New Roman" w:hAnsi="Arial" w:cs="Arial"/>
                <w:b/>
                <w:bCs/>
                <w:color w:val="FF0000"/>
                <w:lang w:val="en-US"/>
              </w:rPr>
              <w:t>Year</w:t>
            </w:r>
          </w:p>
        </w:tc>
        <w:tc>
          <w:tcPr>
            <w:tcW w:w="1340" w:type="dxa"/>
            <w:tcBorders>
              <w:top w:val="nil"/>
              <w:left w:val="nil"/>
              <w:bottom w:val="nil"/>
              <w:right w:val="nil"/>
            </w:tcBorders>
            <w:shd w:val="clear" w:color="000000" w:fill="EEECE1"/>
            <w:vAlign w:val="center"/>
            <w:hideMark/>
          </w:tcPr>
          <w:p w14:paraId="07F68C42" w14:textId="77777777" w:rsidR="00096218" w:rsidRPr="00096218" w:rsidRDefault="00096218" w:rsidP="00096218">
            <w:pPr>
              <w:spacing w:after="0" w:line="240" w:lineRule="auto"/>
              <w:jc w:val="center"/>
              <w:rPr>
                <w:rFonts w:ascii="Arial" w:eastAsia="Times New Roman" w:hAnsi="Arial" w:cs="Arial"/>
                <w:b/>
                <w:bCs/>
                <w:color w:val="FF0000"/>
                <w:lang w:val="en-US"/>
              </w:rPr>
            </w:pPr>
            <w:r w:rsidRPr="00096218">
              <w:rPr>
                <w:rFonts w:ascii="Arial" w:eastAsia="Times New Roman" w:hAnsi="Arial" w:cs="Arial"/>
                <w:b/>
                <w:bCs/>
                <w:color w:val="FF0000"/>
                <w:lang w:val="en-US"/>
              </w:rPr>
              <w:t>Inventory Days (A)</w:t>
            </w:r>
          </w:p>
        </w:tc>
        <w:tc>
          <w:tcPr>
            <w:tcW w:w="1461" w:type="dxa"/>
            <w:tcBorders>
              <w:top w:val="nil"/>
              <w:left w:val="nil"/>
              <w:bottom w:val="nil"/>
              <w:right w:val="nil"/>
            </w:tcBorders>
            <w:shd w:val="clear" w:color="000000" w:fill="EEECE1"/>
            <w:vAlign w:val="center"/>
            <w:hideMark/>
          </w:tcPr>
          <w:p w14:paraId="186F824A" w14:textId="77777777" w:rsidR="00096218" w:rsidRPr="00096218" w:rsidRDefault="00096218" w:rsidP="00096218">
            <w:pPr>
              <w:spacing w:after="0" w:line="240" w:lineRule="auto"/>
              <w:jc w:val="center"/>
              <w:rPr>
                <w:rFonts w:ascii="Arial" w:eastAsia="Times New Roman" w:hAnsi="Arial" w:cs="Arial"/>
                <w:b/>
                <w:bCs/>
                <w:color w:val="FF0000"/>
                <w:lang w:val="en-US"/>
              </w:rPr>
            </w:pPr>
            <w:r w:rsidRPr="00096218">
              <w:rPr>
                <w:rFonts w:ascii="Arial" w:eastAsia="Times New Roman" w:hAnsi="Arial" w:cs="Arial"/>
                <w:b/>
                <w:bCs/>
                <w:color w:val="FF0000"/>
                <w:lang w:val="en-US"/>
              </w:rPr>
              <w:t>Receivable Days (B)</w:t>
            </w:r>
          </w:p>
        </w:tc>
        <w:tc>
          <w:tcPr>
            <w:tcW w:w="1139" w:type="dxa"/>
            <w:tcBorders>
              <w:top w:val="nil"/>
              <w:left w:val="nil"/>
              <w:bottom w:val="nil"/>
              <w:right w:val="nil"/>
            </w:tcBorders>
            <w:shd w:val="clear" w:color="000000" w:fill="EEECE1"/>
            <w:vAlign w:val="center"/>
            <w:hideMark/>
          </w:tcPr>
          <w:p w14:paraId="08E62136" w14:textId="77777777" w:rsidR="00096218" w:rsidRPr="00096218" w:rsidRDefault="00096218" w:rsidP="00096218">
            <w:pPr>
              <w:spacing w:after="0" w:line="240" w:lineRule="auto"/>
              <w:jc w:val="center"/>
              <w:rPr>
                <w:rFonts w:ascii="Arial" w:eastAsia="Times New Roman" w:hAnsi="Arial" w:cs="Arial"/>
                <w:b/>
                <w:bCs/>
                <w:color w:val="FF0000"/>
                <w:lang w:val="en-US"/>
              </w:rPr>
            </w:pPr>
            <w:r w:rsidRPr="00096218">
              <w:rPr>
                <w:rFonts w:ascii="Arial" w:eastAsia="Times New Roman" w:hAnsi="Arial" w:cs="Arial"/>
                <w:b/>
                <w:bCs/>
                <w:color w:val="FF0000"/>
                <w:lang w:val="en-US"/>
              </w:rPr>
              <w:t>Payable Days (C)</w:t>
            </w:r>
          </w:p>
        </w:tc>
        <w:tc>
          <w:tcPr>
            <w:tcW w:w="1508" w:type="dxa"/>
            <w:tcBorders>
              <w:top w:val="nil"/>
              <w:left w:val="nil"/>
              <w:bottom w:val="nil"/>
              <w:right w:val="nil"/>
            </w:tcBorders>
            <w:shd w:val="clear" w:color="000000" w:fill="EEECE1"/>
            <w:vAlign w:val="center"/>
            <w:hideMark/>
          </w:tcPr>
          <w:p w14:paraId="7F94BD4D" w14:textId="77777777" w:rsidR="00096218" w:rsidRPr="00096218" w:rsidRDefault="00096218" w:rsidP="00096218">
            <w:pPr>
              <w:spacing w:after="0" w:line="240" w:lineRule="auto"/>
              <w:jc w:val="center"/>
              <w:rPr>
                <w:rFonts w:ascii="Arial" w:eastAsia="Times New Roman" w:hAnsi="Arial" w:cs="Arial"/>
                <w:b/>
                <w:bCs/>
                <w:color w:val="FF0000"/>
                <w:lang w:val="en-US"/>
              </w:rPr>
            </w:pPr>
            <w:r w:rsidRPr="00096218">
              <w:rPr>
                <w:rFonts w:ascii="Arial" w:eastAsia="Times New Roman" w:hAnsi="Arial" w:cs="Arial"/>
                <w:b/>
                <w:bCs/>
                <w:color w:val="FF0000"/>
                <w:lang w:val="en-US"/>
              </w:rPr>
              <w:t>COC Calculation (A+B−C)</w:t>
            </w:r>
          </w:p>
        </w:tc>
        <w:tc>
          <w:tcPr>
            <w:tcW w:w="1377" w:type="dxa"/>
            <w:tcBorders>
              <w:top w:val="nil"/>
              <w:left w:val="nil"/>
              <w:bottom w:val="nil"/>
              <w:right w:val="nil"/>
            </w:tcBorders>
            <w:shd w:val="clear" w:color="000000" w:fill="EEECE1"/>
            <w:vAlign w:val="center"/>
            <w:hideMark/>
          </w:tcPr>
          <w:p w14:paraId="082F2504" w14:textId="77777777" w:rsidR="00096218" w:rsidRPr="00096218" w:rsidRDefault="00096218" w:rsidP="00096218">
            <w:pPr>
              <w:spacing w:after="0" w:line="240" w:lineRule="auto"/>
              <w:jc w:val="center"/>
              <w:rPr>
                <w:rFonts w:ascii="Arial" w:eastAsia="Times New Roman" w:hAnsi="Arial" w:cs="Arial"/>
                <w:b/>
                <w:bCs/>
                <w:color w:val="FF0000"/>
                <w:lang w:val="en-US"/>
              </w:rPr>
            </w:pPr>
            <w:r w:rsidRPr="00096218">
              <w:rPr>
                <w:rFonts w:ascii="Arial" w:eastAsia="Times New Roman" w:hAnsi="Arial" w:cs="Arial"/>
                <w:b/>
                <w:bCs/>
                <w:color w:val="FF0000"/>
                <w:lang w:val="en-US"/>
              </w:rPr>
              <w:t>Cash Operating Cycle (COC)</w:t>
            </w:r>
          </w:p>
        </w:tc>
      </w:tr>
      <w:tr w:rsidR="00AA5DF6" w:rsidRPr="009E2403" w14:paraId="39D42D28" w14:textId="77777777" w:rsidTr="005A3E6F">
        <w:trPr>
          <w:trHeight w:hRule="exact" w:val="315"/>
          <w:jc w:val="center"/>
        </w:trPr>
        <w:tc>
          <w:tcPr>
            <w:tcW w:w="7588" w:type="dxa"/>
            <w:gridSpan w:val="6"/>
            <w:tcBorders>
              <w:top w:val="nil"/>
              <w:left w:val="nil"/>
              <w:bottom w:val="nil"/>
              <w:right w:val="nil"/>
            </w:tcBorders>
            <w:shd w:val="clear" w:color="000000" w:fill="EEECE1"/>
            <w:vAlign w:val="center"/>
          </w:tcPr>
          <w:p w14:paraId="4142C6DF" w14:textId="77777777" w:rsidR="00AA5DF6" w:rsidRPr="009E2403" w:rsidRDefault="00AA5DF6" w:rsidP="00096218">
            <w:pPr>
              <w:spacing w:after="0" w:line="240" w:lineRule="auto"/>
              <w:jc w:val="center"/>
              <w:rPr>
                <w:rFonts w:ascii="Arial" w:eastAsia="Times New Roman" w:hAnsi="Arial" w:cs="Arial"/>
                <w:b/>
                <w:bCs/>
                <w:color w:val="FF0000"/>
                <w:lang w:val="en-US"/>
              </w:rPr>
            </w:pPr>
            <w:r w:rsidRPr="009E2403">
              <w:rPr>
                <w:rFonts w:ascii="Arial" w:eastAsia="Times New Roman" w:hAnsi="Arial" w:cs="Arial"/>
                <w:b/>
                <w:bCs/>
                <w:color w:val="FF0000"/>
                <w:lang w:val="en-US"/>
              </w:rPr>
              <w:t>--------------------------------------------------------------------------------------------------</w:t>
            </w:r>
          </w:p>
        </w:tc>
      </w:tr>
      <w:tr w:rsidR="00AA5DF6" w:rsidRPr="009E2403" w14:paraId="22624923" w14:textId="77777777" w:rsidTr="00AA5DF6">
        <w:trPr>
          <w:trHeight w:val="534"/>
          <w:jc w:val="center"/>
        </w:trPr>
        <w:tc>
          <w:tcPr>
            <w:tcW w:w="763" w:type="dxa"/>
            <w:tcBorders>
              <w:top w:val="nil"/>
              <w:left w:val="nil"/>
              <w:bottom w:val="nil"/>
              <w:right w:val="nil"/>
            </w:tcBorders>
            <w:shd w:val="clear" w:color="000000" w:fill="EEECE1"/>
            <w:vAlign w:val="center"/>
            <w:hideMark/>
          </w:tcPr>
          <w:p w14:paraId="1BD530B3"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2024</w:t>
            </w:r>
          </w:p>
        </w:tc>
        <w:tc>
          <w:tcPr>
            <w:tcW w:w="1340" w:type="dxa"/>
            <w:tcBorders>
              <w:top w:val="nil"/>
              <w:left w:val="nil"/>
              <w:bottom w:val="nil"/>
              <w:right w:val="nil"/>
            </w:tcBorders>
            <w:shd w:val="clear" w:color="000000" w:fill="EEECE1"/>
            <w:vAlign w:val="center"/>
            <w:hideMark/>
          </w:tcPr>
          <w:p w14:paraId="5CB9FC59"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103</w:t>
            </w:r>
          </w:p>
        </w:tc>
        <w:tc>
          <w:tcPr>
            <w:tcW w:w="1461" w:type="dxa"/>
            <w:tcBorders>
              <w:top w:val="nil"/>
              <w:left w:val="nil"/>
              <w:bottom w:val="nil"/>
              <w:right w:val="nil"/>
            </w:tcBorders>
            <w:shd w:val="clear" w:color="000000" w:fill="EEECE1"/>
            <w:vAlign w:val="center"/>
            <w:hideMark/>
          </w:tcPr>
          <w:p w14:paraId="6612BA72"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106</w:t>
            </w:r>
          </w:p>
        </w:tc>
        <w:tc>
          <w:tcPr>
            <w:tcW w:w="1139" w:type="dxa"/>
            <w:tcBorders>
              <w:top w:val="nil"/>
              <w:left w:val="nil"/>
              <w:bottom w:val="nil"/>
              <w:right w:val="nil"/>
            </w:tcBorders>
            <w:shd w:val="clear" w:color="000000" w:fill="EEECE1"/>
            <w:vAlign w:val="center"/>
            <w:hideMark/>
          </w:tcPr>
          <w:p w14:paraId="778798A1"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94</w:t>
            </w:r>
          </w:p>
        </w:tc>
        <w:tc>
          <w:tcPr>
            <w:tcW w:w="1508" w:type="dxa"/>
            <w:tcBorders>
              <w:top w:val="nil"/>
              <w:left w:val="nil"/>
              <w:bottom w:val="nil"/>
              <w:right w:val="nil"/>
            </w:tcBorders>
            <w:shd w:val="clear" w:color="000000" w:fill="EEECE1"/>
            <w:vAlign w:val="center"/>
            <w:hideMark/>
          </w:tcPr>
          <w:p w14:paraId="27F743F0" w14:textId="77777777" w:rsidR="00096218" w:rsidRPr="00096218" w:rsidRDefault="00096218" w:rsidP="00096218">
            <w:pPr>
              <w:spacing w:after="0" w:line="240" w:lineRule="auto"/>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103+106−94</w:t>
            </w:r>
          </w:p>
        </w:tc>
        <w:tc>
          <w:tcPr>
            <w:tcW w:w="1377" w:type="dxa"/>
            <w:tcBorders>
              <w:top w:val="nil"/>
              <w:left w:val="nil"/>
              <w:bottom w:val="nil"/>
              <w:right w:val="nil"/>
            </w:tcBorders>
            <w:shd w:val="clear" w:color="000000" w:fill="EEECE1"/>
            <w:vAlign w:val="center"/>
            <w:hideMark/>
          </w:tcPr>
          <w:p w14:paraId="53F613CC"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115</w:t>
            </w:r>
          </w:p>
        </w:tc>
      </w:tr>
      <w:tr w:rsidR="00AA5DF6" w:rsidRPr="009E2403" w14:paraId="7F175B5B" w14:textId="77777777" w:rsidTr="00AA5DF6">
        <w:trPr>
          <w:trHeight w:val="314"/>
          <w:jc w:val="center"/>
        </w:trPr>
        <w:tc>
          <w:tcPr>
            <w:tcW w:w="763" w:type="dxa"/>
            <w:tcBorders>
              <w:top w:val="nil"/>
              <w:left w:val="nil"/>
              <w:bottom w:val="nil"/>
              <w:right w:val="nil"/>
            </w:tcBorders>
            <w:shd w:val="clear" w:color="000000" w:fill="EEECE1"/>
            <w:vAlign w:val="center"/>
            <w:hideMark/>
          </w:tcPr>
          <w:p w14:paraId="2F9C76E4"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2023</w:t>
            </w:r>
          </w:p>
        </w:tc>
        <w:tc>
          <w:tcPr>
            <w:tcW w:w="1340" w:type="dxa"/>
            <w:tcBorders>
              <w:top w:val="nil"/>
              <w:left w:val="nil"/>
              <w:bottom w:val="nil"/>
              <w:right w:val="nil"/>
            </w:tcBorders>
            <w:shd w:val="clear" w:color="000000" w:fill="EEECE1"/>
            <w:vAlign w:val="center"/>
            <w:hideMark/>
          </w:tcPr>
          <w:p w14:paraId="2089E4FE"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100</w:t>
            </w:r>
          </w:p>
        </w:tc>
        <w:tc>
          <w:tcPr>
            <w:tcW w:w="1461" w:type="dxa"/>
            <w:tcBorders>
              <w:top w:val="nil"/>
              <w:left w:val="nil"/>
              <w:bottom w:val="nil"/>
              <w:right w:val="nil"/>
            </w:tcBorders>
            <w:shd w:val="clear" w:color="000000" w:fill="EEECE1"/>
            <w:vAlign w:val="center"/>
            <w:hideMark/>
          </w:tcPr>
          <w:p w14:paraId="6522A7C8"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98</w:t>
            </w:r>
          </w:p>
        </w:tc>
        <w:tc>
          <w:tcPr>
            <w:tcW w:w="1139" w:type="dxa"/>
            <w:tcBorders>
              <w:top w:val="nil"/>
              <w:left w:val="nil"/>
              <w:bottom w:val="nil"/>
              <w:right w:val="nil"/>
            </w:tcBorders>
            <w:shd w:val="clear" w:color="000000" w:fill="EEECE1"/>
            <w:vAlign w:val="center"/>
            <w:hideMark/>
          </w:tcPr>
          <w:p w14:paraId="7D8B96BE"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64</w:t>
            </w:r>
          </w:p>
        </w:tc>
        <w:tc>
          <w:tcPr>
            <w:tcW w:w="1508" w:type="dxa"/>
            <w:tcBorders>
              <w:top w:val="nil"/>
              <w:left w:val="nil"/>
              <w:bottom w:val="nil"/>
              <w:right w:val="nil"/>
            </w:tcBorders>
            <w:shd w:val="clear" w:color="000000" w:fill="EEECE1"/>
            <w:vAlign w:val="center"/>
            <w:hideMark/>
          </w:tcPr>
          <w:p w14:paraId="6F22F739" w14:textId="77777777" w:rsidR="00096218" w:rsidRPr="00096218" w:rsidRDefault="00096218" w:rsidP="00096218">
            <w:pPr>
              <w:spacing w:after="0" w:line="240" w:lineRule="auto"/>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100+98−64</w:t>
            </w:r>
          </w:p>
        </w:tc>
        <w:tc>
          <w:tcPr>
            <w:tcW w:w="1377" w:type="dxa"/>
            <w:tcBorders>
              <w:top w:val="nil"/>
              <w:left w:val="nil"/>
              <w:bottom w:val="nil"/>
              <w:right w:val="nil"/>
            </w:tcBorders>
            <w:shd w:val="clear" w:color="000000" w:fill="EEECE1"/>
            <w:vAlign w:val="center"/>
            <w:hideMark/>
          </w:tcPr>
          <w:p w14:paraId="2B733DD2"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134</w:t>
            </w:r>
          </w:p>
        </w:tc>
      </w:tr>
      <w:tr w:rsidR="00AA5DF6" w:rsidRPr="009E2403" w14:paraId="0D660ECC" w14:textId="77777777" w:rsidTr="00AA5DF6">
        <w:trPr>
          <w:trHeight w:val="314"/>
          <w:jc w:val="center"/>
        </w:trPr>
        <w:tc>
          <w:tcPr>
            <w:tcW w:w="763" w:type="dxa"/>
            <w:tcBorders>
              <w:top w:val="nil"/>
              <w:left w:val="nil"/>
              <w:bottom w:val="nil"/>
              <w:right w:val="nil"/>
            </w:tcBorders>
            <w:shd w:val="clear" w:color="000000" w:fill="EEECE1"/>
            <w:vAlign w:val="center"/>
            <w:hideMark/>
          </w:tcPr>
          <w:p w14:paraId="3E18A97F"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2022</w:t>
            </w:r>
          </w:p>
        </w:tc>
        <w:tc>
          <w:tcPr>
            <w:tcW w:w="1340" w:type="dxa"/>
            <w:tcBorders>
              <w:top w:val="nil"/>
              <w:left w:val="nil"/>
              <w:bottom w:val="nil"/>
              <w:right w:val="nil"/>
            </w:tcBorders>
            <w:shd w:val="clear" w:color="000000" w:fill="EEECE1"/>
            <w:vAlign w:val="center"/>
            <w:hideMark/>
          </w:tcPr>
          <w:p w14:paraId="532B3524"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131</w:t>
            </w:r>
          </w:p>
        </w:tc>
        <w:tc>
          <w:tcPr>
            <w:tcW w:w="1461" w:type="dxa"/>
            <w:tcBorders>
              <w:top w:val="nil"/>
              <w:left w:val="nil"/>
              <w:bottom w:val="nil"/>
              <w:right w:val="nil"/>
            </w:tcBorders>
            <w:shd w:val="clear" w:color="000000" w:fill="EEECE1"/>
            <w:vAlign w:val="center"/>
            <w:hideMark/>
          </w:tcPr>
          <w:p w14:paraId="3BA29546"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76</w:t>
            </w:r>
          </w:p>
        </w:tc>
        <w:tc>
          <w:tcPr>
            <w:tcW w:w="1139" w:type="dxa"/>
            <w:tcBorders>
              <w:top w:val="nil"/>
              <w:left w:val="nil"/>
              <w:bottom w:val="nil"/>
              <w:right w:val="nil"/>
            </w:tcBorders>
            <w:shd w:val="clear" w:color="000000" w:fill="EEECE1"/>
            <w:vAlign w:val="center"/>
            <w:hideMark/>
          </w:tcPr>
          <w:p w14:paraId="6745672F"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67</w:t>
            </w:r>
          </w:p>
        </w:tc>
        <w:tc>
          <w:tcPr>
            <w:tcW w:w="1508" w:type="dxa"/>
            <w:tcBorders>
              <w:top w:val="nil"/>
              <w:left w:val="nil"/>
              <w:bottom w:val="nil"/>
              <w:right w:val="nil"/>
            </w:tcBorders>
            <w:shd w:val="clear" w:color="000000" w:fill="EEECE1"/>
            <w:vAlign w:val="center"/>
            <w:hideMark/>
          </w:tcPr>
          <w:p w14:paraId="6C945E39" w14:textId="77777777" w:rsidR="00096218" w:rsidRPr="00096218" w:rsidRDefault="00096218" w:rsidP="00096218">
            <w:pPr>
              <w:spacing w:after="0" w:line="240" w:lineRule="auto"/>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131+76−67</w:t>
            </w:r>
          </w:p>
        </w:tc>
        <w:tc>
          <w:tcPr>
            <w:tcW w:w="1377" w:type="dxa"/>
            <w:tcBorders>
              <w:top w:val="nil"/>
              <w:left w:val="nil"/>
              <w:bottom w:val="nil"/>
              <w:right w:val="nil"/>
            </w:tcBorders>
            <w:shd w:val="clear" w:color="000000" w:fill="EEECE1"/>
            <w:vAlign w:val="center"/>
            <w:hideMark/>
          </w:tcPr>
          <w:p w14:paraId="12EF9CFB"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140</w:t>
            </w:r>
          </w:p>
        </w:tc>
      </w:tr>
      <w:tr w:rsidR="00AA5DF6" w:rsidRPr="009E2403" w14:paraId="469785A9" w14:textId="77777777" w:rsidTr="00AA5DF6">
        <w:trPr>
          <w:trHeight w:val="314"/>
          <w:jc w:val="center"/>
        </w:trPr>
        <w:tc>
          <w:tcPr>
            <w:tcW w:w="763" w:type="dxa"/>
            <w:tcBorders>
              <w:top w:val="nil"/>
              <w:left w:val="nil"/>
              <w:bottom w:val="nil"/>
              <w:right w:val="nil"/>
            </w:tcBorders>
            <w:shd w:val="clear" w:color="000000" w:fill="EEECE1"/>
            <w:vAlign w:val="center"/>
            <w:hideMark/>
          </w:tcPr>
          <w:p w14:paraId="1F5251C6"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2021</w:t>
            </w:r>
          </w:p>
        </w:tc>
        <w:tc>
          <w:tcPr>
            <w:tcW w:w="1340" w:type="dxa"/>
            <w:tcBorders>
              <w:top w:val="nil"/>
              <w:left w:val="nil"/>
              <w:bottom w:val="nil"/>
              <w:right w:val="nil"/>
            </w:tcBorders>
            <w:shd w:val="clear" w:color="000000" w:fill="EEECE1"/>
            <w:vAlign w:val="center"/>
            <w:hideMark/>
          </w:tcPr>
          <w:p w14:paraId="3417CC1B"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115</w:t>
            </w:r>
          </w:p>
        </w:tc>
        <w:tc>
          <w:tcPr>
            <w:tcW w:w="1461" w:type="dxa"/>
            <w:tcBorders>
              <w:top w:val="nil"/>
              <w:left w:val="nil"/>
              <w:bottom w:val="nil"/>
              <w:right w:val="nil"/>
            </w:tcBorders>
            <w:shd w:val="clear" w:color="000000" w:fill="EEECE1"/>
            <w:vAlign w:val="center"/>
            <w:hideMark/>
          </w:tcPr>
          <w:p w14:paraId="0FFE03F9"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78</w:t>
            </w:r>
          </w:p>
        </w:tc>
        <w:tc>
          <w:tcPr>
            <w:tcW w:w="1139" w:type="dxa"/>
            <w:tcBorders>
              <w:top w:val="nil"/>
              <w:left w:val="nil"/>
              <w:bottom w:val="nil"/>
              <w:right w:val="nil"/>
            </w:tcBorders>
            <w:shd w:val="clear" w:color="000000" w:fill="EEECE1"/>
            <w:vAlign w:val="center"/>
            <w:hideMark/>
          </w:tcPr>
          <w:p w14:paraId="1EEB2AF8"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79</w:t>
            </w:r>
          </w:p>
        </w:tc>
        <w:tc>
          <w:tcPr>
            <w:tcW w:w="1508" w:type="dxa"/>
            <w:tcBorders>
              <w:top w:val="nil"/>
              <w:left w:val="nil"/>
              <w:bottom w:val="nil"/>
              <w:right w:val="nil"/>
            </w:tcBorders>
            <w:shd w:val="clear" w:color="000000" w:fill="EEECE1"/>
            <w:vAlign w:val="center"/>
            <w:hideMark/>
          </w:tcPr>
          <w:p w14:paraId="3EDC38D2" w14:textId="77777777" w:rsidR="00096218" w:rsidRPr="00096218" w:rsidRDefault="00096218" w:rsidP="00096218">
            <w:pPr>
              <w:spacing w:after="0" w:line="240" w:lineRule="auto"/>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115+78−79</w:t>
            </w:r>
          </w:p>
        </w:tc>
        <w:tc>
          <w:tcPr>
            <w:tcW w:w="1377" w:type="dxa"/>
            <w:tcBorders>
              <w:top w:val="nil"/>
              <w:left w:val="nil"/>
              <w:bottom w:val="nil"/>
              <w:right w:val="nil"/>
            </w:tcBorders>
            <w:shd w:val="clear" w:color="000000" w:fill="EEECE1"/>
            <w:vAlign w:val="center"/>
            <w:hideMark/>
          </w:tcPr>
          <w:p w14:paraId="217CAA21"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114</w:t>
            </w:r>
          </w:p>
        </w:tc>
      </w:tr>
      <w:tr w:rsidR="00AA5DF6" w:rsidRPr="009E2403" w14:paraId="51797B0C" w14:textId="77777777" w:rsidTr="00AA5DF6">
        <w:trPr>
          <w:trHeight w:val="314"/>
          <w:jc w:val="center"/>
        </w:trPr>
        <w:tc>
          <w:tcPr>
            <w:tcW w:w="763" w:type="dxa"/>
            <w:tcBorders>
              <w:top w:val="nil"/>
              <w:left w:val="nil"/>
              <w:bottom w:val="nil"/>
              <w:right w:val="nil"/>
            </w:tcBorders>
            <w:shd w:val="clear" w:color="000000" w:fill="EEECE1"/>
            <w:vAlign w:val="center"/>
            <w:hideMark/>
          </w:tcPr>
          <w:p w14:paraId="3DEF7DC9"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2020</w:t>
            </w:r>
          </w:p>
        </w:tc>
        <w:tc>
          <w:tcPr>
            <w:tcW w:w="1340" w:type="dxa"/>
            <w:tcBorders>
              <w:top w:val="nil"/>
              <w:left w:val="nil"/>
              <w:bottom w:val="nil"/>
              <w:right w:val="nil"/>
            </w:tcBorders>
            <w:shd w:val="clear" w:color="000000" w:fill="EEECE1"/>
            <w:vAlign w:val="center"/>
            <w:hideMark/>
          </w:tcPr>
          <w:p w14:paraId="27B9563F"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100</w:t>
            </w:r>
          </w:p>
        </w:tc>
        <w:tc>
          <w:tcPr>
            <w:tcW w:w="1461" w:type="dxa"/>
            <w:tcBorders>
              <w:top w:val="nil"/>
              <w:left w:val="nil"/>
              <w:bottom w:val="nil"/>
              <w:right w:val="nil"/>
            </w:tcBorders>
            <w:shd w:val="clear" w:color="000000" w:fill="EEECE1"/>
            <w:vAlign w:val="center"/>
            <w:hideMark/>
          </w:tcPr>
          <w:p w14:paraId="0C2E7AA5"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77</w:t>
            </w:r>
          </w:p>
        </w:tc>
        <w:tc>
          <w:tcPr>
            <w:tcW w:w="1139" w:type="dxa"/>
            <w:tcBorders>
              <w:top w:val="nil"/>
              <w:left w:val="nil"/>
              <w:bottom w:val="nil"/>
              <w:right w:val="nil"/>
            </w:tcBorders>
            <w:shd w:val="clear" w:color="000000" w:fill="EEECE1"/>
            <w:vAlign w:val="center"/>
            <w:hideMark/>
          </w:tcPr>
          <w:p w14:paraId="6E23B18E"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69</w:t>
            </w:r>
          </w:p>
        </w:tc>
        <w:tc>
          <w:tcPr>
            <w:tcW w:w="1508" w:type="dxa"/>
            <w:tcBorders>
              <w:top w:val="nil"/>
              <w:left w:val="nil"/>
              <w:bottom w:val="nil"/>
              <w:right w:val="nil"/>
            </w:tcBorders>
            <w:shd w:val="clear" w:color="000000" w:fill="EEECE1"/>
            <w:vAlign w:val="center"/>
            <w:hideMark/>
          </w:tcPr>
          <w:p w14:paraId="6A5F7577" w14:textId="77777777" w:rsidR="00096218" w:rsidRPr="00096218" w:rsidRDefault="00096218" w:rsidP="00096218">
            <w:pPr>
              <w:spacing w:after="0" w:line="240" w:lineRule="auto"/>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100+77−69</w:t>
            </w:r>
          </w:p>
        </w:tc>
        <w:tc>
          <w:tcPr>
            <w:tcW w:w="1377" w:type="dxa"/>
            <w:tcBorders>
              <w:top w:val="nil"/>
              <w:left w:val="nil"/>
              <w:bottom w:val="nil"/>
              <w:right w:val="nil"/>
            </w:tcBorders>
            <w:shd w:val="clear" w:color="000000" w:fill="EEECE1"/>
            <w:vAlign w:val="center"/>
            <w:hideMark/>
          </w:tcPr>
          <w:p w14:paraId="6B2A512F" w14:textId="77777777" w:rsidR="00096218" w:rsidRPr="00096218" w:rsidRDefault="00096218" w:rsidP="00096218">
            <w:pPr>
              <w:spacing w:after="0" w:line="240" w:lineRule="auto"/>
              <w:jc w:val="right"/>
              <w:rPr>
                <w:rFonts w:ascii="Arial" w:eastAsia="Times New Roman" w:hAnsi="Arial" w:cs="Arial"/>
                <w:color w:val="434343"/>
                <w:sz w:val="20"/>
                <w:szCs w:val="20"/>
                <w:lang w:val="en-US"/>
              </w:rPr>
            </w:pPr>
            <w:r w:rsidRPr="00096218">
              <w:rPr>
                <w:rFonts w:ascii="Arial" w:eastAsia="Times New Roman" w:hAnsi="Arial" w:cs="Arial"/>
                <w:color w:val="434343"/>
                <w:sz w:val="20"/>
                <w:szCs w:val="20"/>
                <w:lang w:val="en-US"/>
              </w:rPr>
              <w:t>108</w:t>
            </w:r>
          </w:p>
        </w:tc>
      </w:tr>
    </w:tbl>
    <w:p w14:paraId="3C7268AE" w14:textId="77777777" w:rsidR="007F2CDB" w:rsidRPr="009E2403" w:rsidRDefault="00AA5DF6" w:rsidP="007F2CDB">
      <w:pPr>
        <w:rPr>
          <w:rFonts w:ascii="Arial" w:hAnsi="Arial" w:cs="Arial"/>
          <w:lang w:val="en-US"/>
        </w:rPr>
      </w:pPr>
      <w:r w:rsidRPr="009E2403">
        <w:rPr>
          <w:rFonts w:ascii="Arial" w:hAnsi="Arial" w:cs="Arial"/>
          <w:lang w:val="en-US"/>
        </w:rPr>
        <w:t xml:space="preserve"> </w:t>
      </w:r>
    </w:p>
    <w:p w14:paraId="0C26B594" w14:textId="77777777" w:rsidR="0072476B" w:rsidRPr="009E2403" w:rsidRDefault="00C37550" w:rsidP="0072476B">
      <w:pPr>
        <w:pStyle w:val="Caption"/>
        <w:jc w:val="center"/>
        <w:rPr>
          <w:rFonts w:ascii="Arial" w:hAnsi="Arial" w:cs="Arial"/>
        </w:rPr>
      </w:pPr>
      <w:bookmarkStart w:id="10" w:name="_Toc214745430"/>
      <w:r w:rsidRPr="009E2403">
        <w:rPr>
          <w:rFonts w:ascii="Arial" w:hAnsi="Arial" w:cs="Arial"/>
        </w:rPr>
        <w:t xml:space="preserve">Table </w:t>
      </w:r>
      <w:r w:rsidRPr="009E2403">
        <w:rPr>
          <w:rFonts w:ascii="Arial" w:hAnsi="Arial" w:cs="Arial"/>
        </w:rPr>
        <w:fldChar w:fldCharType="begin"/>
      </w:r>
      <w:r w:rsidRPr="009E2403">
        <w:rPr>
          <w:rFonts w:ascii="Arial" w:hAnsi="Arial" w:cs="Arial"/>
        </w:rPr>
        <w:instrText xml:space="preserve"> SEQ Table \* ARABIC </w:instrText>
      </w:r>
      <w:r w:rsidRPr="009E2403">
        <w:rPr>
          <w:rFonts w:ascii="Arial" w:hAnsi="Arial" w:cs="Arial"/>
        </w:rPr>
        <w:fldChar w:fldCharType="separate"/>
      </w:r>
      <w:r w:rsidR="004471DE">
        <w:rPr>
          <w:rFonts w:ascii="Arial" w:hAnsi="Arial" w:cs="Arial"/>
          <w:noProof/>
        </w:rPr>
        <w:t>3</w:t>
      </w:r>
      <w:r w:rsidRPr="009E2403">
        <w:rPr>
          <w:rFonts w:ascii="Arial" w:hAnsi="Arial" w:cs="Arial"/>
        </w:rPr>
        <w:fldChar w:fldCharType="end"/>
      </w:r>
      <w:r w:rsidRPr="009E2403">
        <w:rPr>
          <w:rFonts w:ascii="Arial" w:hAnsi="Arial" w:cs="Arial"/>
        </w:rPr>
        <w:t xml:space="preserve"> Cash Operating Cycle (COC)</w:t>
      </w:r>
      <w:bookmarkEnd w:id="10"/>
    </w:p>
    <w:p w14:paraId="4410A47D" w14:textId="77777777" w:rsidR="0072476B" w:rsidRPr="009E2403" w:rsidRDefault="0072476B" w:rsidP="0072476B">
      <w:pPr>
        <w:jc w:val="center"/>
        <w:rPr>
          <w:rFonts w:ascii="Arial" w:hAnsi="Arial" w:cs="Arial"/>
          <w:i/>
        </w:rPr>
      </w:pPr>
      <w:r w:rsidRPr="009E2403">
        <w:rPr>
          <w:rFonts w:ascii="Arial" w:hAnsi="Arial" w:cs="Arial"/>
          <w:b/>
          <w:i/>
        </w:rPr>
        <w:t>Source</w:t>
      </w:r>
      <w:r w:rsidRPr="009E2403">
        <w:rPr>
          <w:rFonts w:ascii="Arial" w:hAnsi="Arial" w:cs="Arial"/>
          <w:i/>
        </w:rPr>
        <w:t>: Author</w:t>
      </w:r>
      <w:r w:rsidR="00792EDD" w:rsidRPr="009E2403">
        <w:rPr>
          <w:rFonts w:ascii="Arial" w:hAnsi="Arial" w:cs="Arial"/>
          <w:i/>
        </w:rPr>
        <w:t>’</w:t>
      </w:r>
      <w:r w:rsidRPr="009E2403">
        <w:rPr>
          <w:rFonts w:ascii="Arial" w:hAnsi="Arial" w:cs="Arial"/>
          <w:i/>
        </w:rPr>
        <w:t xml:space="preserve">s </w:t>
      </w:r>
      <w:r w:rsidR="00792EDD" w:rsidRPr="009E2403">
        <w:rPr>
          <w:rFonts w:ascii="Arial" w:hAnsi="Arial" w:cs="Arial"/>
          <w:i/>
        </w:rPr>
        <w:t xml:space="preserve">own </w:t>
      </w:r>
      <w:r w:rsidRPr="009E2403">
        <w:rPr>
          <w:rFonts w:ascii="Arial" w:hAnsi="Arial" w:cs="Arial"/>
          <w:i/>
        </w:rPr>
        <w:t>work in Ms Excel</w:t>
      </w:r>
    </w:p>
    <w:p w14:paraId="4D833251" w14:textId="77777777" w:rsidR="00C80E58" w:rsidRPr="009E2403" w:rsidRDefault="00587BDE" w:rsidP="00C80E58">
      <w:pPr>
        <w:spacing w:line="360" w:lineRule="auto"/>
        <w:jc w:val="both"/>
        <w:rPr>
          <w:rFonts w:ascii="Arial" w:hAnsi="Arial" w:cs="Arial"/>
          <w:lang w:val="en-US"/>
        </w:rPr>
      </w:pPr>
      <w:r w:rsidRPr="009E2403">
        <w:rPr>
          <w:rFonts w:ascii="Arial" w:hAnsi="Arial" w:cs="Arial"/>
        </w:rPr>
        <w:t xml:space="preserve">An analysis of General Electronics' Cash Operating Cycle (COC) reveals </w:t>
      </w:r>
      <w:r w:rsidR="00C024E4" w:rsidRPr="009E2403">
        <w:rPr>
          <w:rFonts w:ascii="Arial" w:hAnsi="Arial" w:cs="Arial"/>
        </w:rPr>
        <w:t>that there is a significantly poor working-capital management system, which can be described by a large and troubling extension over the past few years. The COC that is the number of days a firm has in working capital that cannot be converted back into liquid assets, hit a high of 140 days in 2022 and was critically high at 134 days in 2023, before improving slightly to 115 days in 2024 (</w:t>
      </w:r>
      <w:proofErr w:type="spellStart"/>
      <w:r w:rsidR="00C024E4" w:rsidRPr="009E2403">
        <w:rPr>
          <w:rFonts w:ascii="Arial" w:hAnsi="Arial" w:cs="Arial"/>
        </w:rPr>
        <w:t>Kieso</w:t>
      </w:r>
      <w:proofErr w:type="spellEnd"/>
      <w:r w:rsidR="00C024E4" w:rsidRPr="009E2403">
        <w:rPr>
          <w:rFonts w:ascii="Arial" w:hAnsi="Arial" w:cs="Arial"/>
        </w:rPr>
        <w:t xml:space="preserve">, </w:t>
      </w:r>
      <w:proofErr w:type="spellStart"/>
      <w:r w:rsidR="00C024E4" w:rsidRPr="009E2403">
        <w:rPr>
          <w:rFonts w:ascii="Arial" w:hAnsi="Arial" w:cs="Arial"/>
        </w:rPr>
        <w:t>Weygandt</w:t>
      </w:r>
      <w:proofErr w:type="spellEnd"/>
      <w:r w:rsidR="00C024E4" w:rsidRPr="009E2403">
        <w:rPr>
          <w:rFonts w:ascii="Arial" w:hAnsi="Arial" w:cs="Arial"/>
        </w:rPr>
        <w:t xml:space="preserve">, and </w:t>
      </w:r>
      <w:proofErr w:type="spellStart"/>
      <w:r w:rsidR="00C024E4" w:rsidRPr="009E2403">
        <w:rPr>
          <w:rFonts w:ascii="Arial" w:hAnsi="Arial" w:cs="Arial"/>
        </w:rPr>
        <w:t>Warfield</w:t>
      </w:r>
      <w:proofErr w:type="spellEnd"/>
      <w:r w:rsidR="00C024E4" w:rsidRPr="009E2403">
        <w:rPr>
          <w:rFonts w:ascii="Arial" w:hAnsi="Arial" w:cs="Arial"/>
        </w:rPr>
        <w:t xml:space="preserve">, 2023). Such a lengthy cycle means that the business has to fund its operations over a long period before cash can be received through customers, which causes strong liquidity pressure that makes the business highly reliant on financial support (Brigham and </w:t>
      </w:r>
      <w:proofErr w:type="spellStart"/>
      <w:r w:rsidR="00C024E4" w:rsidRPr="009E2403">
        <w:rPr>
          <w:rFonts w:ascii="Arial" w:hAnsi="Arial" w:cs="Arial"/>
        </w:rPr>
        <w:t>Ehrhardt</w:t>
      </w:r>
      <w:proofErr w:type="spellEnd"/>
      <w:r w:rsidR="00C024E4" w:rsidRPr="009E2403">
        <w:rPr>
          <w:rFonts w:ascii="Arial" w:hAnsi="Arial" w:cs="Arial"/>
        </w:rPr>
        <w:t>, 2021). The main cause of this inefficiency is the constantly high inventory days, which in 2022 and 2024 were 131 days and 103 days, respectively, which means that capital is immobilised in the slow-moving inventory and manifested a threat of obsolescence or inadequate demand forecasting (Pandey, 2015). Along with this concern, there is a rapid growth in the number of the receivable days to 77 days in 2020 and 106 days in 2024, which indicates the decline of the credit-control function and the inability to collect cash in time with customers, which increases the bad-debt exposure (</w:t>
      </w:r>
      <w:proofErr w:type="spellStart"/>
      <w:r w:rsidR="00C024E4" w:rsidRPr="009E2403">
        <w:rPr>
          <w:rFonts w:ascii="Arial" w:hAnsi="Arial" w:cs="Arial"/>
        </w:rPr>
        <w:t>Gitman</w:t>
      </w:r>
      <w:proofErr w:type="spellEnd"/>
      <w:r w:rsidR="00C024E4" w:rsidRPr="009E2403">
        <w:rPr>
          <w:rFonts w:ascii="Arial" w:hAnsi="Arial" w:cs="Arial"/>
        </w:rPr>
        <w:t xml:space="preserve"> and </w:t>
      </w:r>
      <w:proofErr w:type="spellStart"/>
      <w:r w:rsidR="00C024E4" w:rsidRPr="009E2403">
        <w:rPr>
          <w:rFonts w:ascii="Arial" w:hAnsi="Arial" w:cs="Arial"/>
        </w:rPr>
        <w:t>Zutter</w:t>
      </w:r>
      <w:proofErr w:type="spellEnd"/>
      <w:r w:rsidR="00C024E4" w:rsidRPr="009E2403">
        <w:rPr>
          <w:rFonts w:ascii="Arial" w:hAnsi="Arial" w:cs="Arial"/>
        </w:rPr>
        <w:t>, 2015). Although a rise in the number of payable days of 69 days in 2020 to 94 days in 2024 can be used to finance in the short-term, its recent soaring may also signify that the company is intentionally elongating supplier terms to save cash, which is detrimental to relationships with suppliers and unsustainable in the long-term (Ross, Westerfield, and Jaffe, 2019). Even the modest shortening of the cycle in 2024 is not much, as a 115-day cycle still is too long a cycle, and a sign of severe inefficiency in its operations and financial wellbeing (Atkinson et al., 2012</w:t>
      </w:r>
      <w:r w:rsidRPr="009E2403">
        <w:rPr>
          <w:rFonts w:ascii="Arial" w:hAnsi="Arial" w:cs="Arial"/>
        </w:rPr>
        <w:t>).</w:t>
      </w:r>
      <w:r w:rsidR="004E21D4" w:rsidRPr="009E2403">
        <w:rPr>
          <w:rFonts w:ascii="Arial" w:hAnsi="Arial" w:cs="Arial"/>
        </w:rPr>
        <w:t xml:space="preserve"> </w:t>
      </w:r>
    </w:p>
    <w:p w14:paraId="3D2E1E46" w14:textId="77777777" w:rsidR="00B35B5D" w:rsidRPr="009E2403" w:rsidRDefault="00836AC1" w:rsidP="00D328C2">
      <w:pPr>
        <w:pStyle w:val="Heading2"/>
        <w:rPr>
          <w:rFonts w:ascii="Arial" w:hAnsi="Arial" w:cs="Arial"/>
          <w:lang w:val="en-US"/>
        </w:rPr>
      </w:pPr>
      <w:bookmarkStart w:id="11" w:name="_Toc214745403"/>
      <w:r w:rsidRPr="009E2403">
        <w:rPr>
          <w:rFonts w:ascii="Arial" w:hAnsi="Arial" w:cs="Arial"/>
          <w:lang w:val="en-US"/>
        </w:rPr>
        <w:t xml:space="preserve">2.2 </w:t>
      </w:r>
      <w:r w:rsidR="00B35B5D" w:rsidRPr="009E2403">
        <w:rPr>
          <w:rFonts w:ascii="Arial" w:hAnsi="Arial" w:cs="Arial"/>
          <w:lang w:val="en-US"/>
        </w:rPr>
        <w:t>Strategies to improve Working Capital</w:t>
      </w:r>
      <w:bookmarkEnd w:id="11"/>
    </w:p>
    <w:p w14:paraId="2D4C3CE5" w14:textId="77777777" w:rsidR="00C024E4" w:rsidRPr="009E2403" w:rsidRDefault="00C024E4" w:rsidP="00C80E58">
      <w:pPr>
        <w:spacing w:line="360" w:lineRule="auto"/>
        <w:jc w:val="both"/>
        <w:rPr>
          <w:rFonts w:ascii="Arial" w:hAnsi="Arial" w:cs="Arial"/>
        </w:rPr>
      </w:pPr>
      <w:r w:rsidRPr="009E2403">
        <w:rPr>
          <w:rFonts w:ascii="Arial" w:hAnsi="Arial" w:cs="Arial"/>
        </w:rPr>
        <w:t>The tripartite approach that would address the inventory, receivables, and payables should be implemented in order to reduce the severely stretched cash operating cycle. To start with, the company needs to vigorously decrease its inventory days, which have been continuously over 100 days by implementing a just-in-time (JIT) inventory system and improving demand forecasting to keep a minimum amount of capital tied up in slow-moving or outdated stock (Singh and Kumar, 2022). Second, the increasing days of receivables, that hit 106 days in 2024, requires a complete revamp of the credit policy by introducing tightened customer credit cheques, encouragement of early payments by offering discounts, and possibly by factoring or securitising the receivables to speed up cash flows (</w:t>
      </w:r>
      <w:proofErr w:type="spellStart"/>
      <w:r w:rsidRPr="009E2403">
        <w:rPr>
          <w:rFonts w:ascii="Arial" w:hAnsi="Arial" w:cs="Arial"/>
        </w:rPr>
        <w:t>Garcia-Teruel</w:t>
      </w:r>
      <w:proofErr w:type="spellEnd"/>
      <w:r w:rsidRPr="009E2403">
        <w:rPr>
          <w:rFonts w:ascii="Arial" w:hAnsi="Arial" w:cs="Arial"/>
        </w:rPr>
        <w:t xml:space="preserve"> and Martinez-Solano, 2020). Even though the company has increased its payable days, the ethical and strategic approach will be necessary; the use of extended payment terms should be balanced with the goodwill of suppliers to prevent being supply-chained and a potential option of supply-chain financing can stabilise this relationship without losing the liquidity (</w:t>
      </w:r>
      <w:proofErr w:type="spellStart"/>
      <w:r w:rsidRPr="009E2403">
        <w:rPr>
          <w:rFonts w:ascii="Arial" w:hAnsi="Arial" w:cs="Arial"/>
        </w:rPr>
        <w:t>Gelsomino</w:t>
      </w:r>
      <w:proofErr w:type="spellEnd"/>
      <w:r w:rsidRPr="009E2403">
        <w:rPr>
          <w:rFonts w:ascii="Arial" w:hAnsi="Arial" w:cs="Arial"/>
        </w:rPr>
        <w:t xml:space="preserve"> et al., 2023). </w:t>
      </w:r>
    </w:p>
    <w:p w14:paraId="60C8F262" w14:textId="77777777" w:rsidR="00C024E4" w:rsidRPr="009E2403" w:rsidRDefault="00C024E4" w:rsidP="00C80E58">
      <w:pPr>
        <w:spacing w:line="360" w:lineRule="auto"/>
        <w:jc w:val="both"/>
        <w:rPr>
          <w:rFonts w:ascii="Arial" w:hAnsi="Arial" w:cs="Arial"/>
        </w:rPr>
      </w:pPr>
      <w:r w:rsidRPr="009E2403">
        <w:rPr>
          <w:rFonts w:ascii="Arial" w:hAnsi="Arial" w:cs="Arial"/>
        </w:rPr>
        <w:t>Moreover, the implementation of a holistic process digitisation project that covers both automated order-to-cash and procure-to-pay systems can greatly increase the visibility and control of the entire working-capital cycle, decrease administrative lag and enhance the accuracy of the forecasts (</w:t>
      </w:r>
      <w:proofErr w:type="spellStart"/>
      <w:r w:rsidRPr="009E2403">
        <w:rPr>
          <w:rFonts w:ascii="Arial" w:hAnsi="Arial" w:cs="Arial"/>
        </w:rPr>
        <w:t>Brealey</w:t>
      </w:r>
      <w:proofErr w:type="spellEnd"/>
      <w:r w:rsidRPr="009E2403">
        <w:rPr>
          <w:rFonts w:ascii="Arial" w:hAnsi="Arial" w:cs="Arial"/>
        </w:rPr>
        <w:t xml:space="preserve">, Myers, and Allen, 2020). </w:t>
      </w:r>
    </w:p>
    <w:p w14:paraId="18078799" w14:textId="77777777" w:rsidR="009E7F8E" w:rsidRPr="009E2403" w:rsidRDefault="001F7B4F" w:rsidP="00D328C2">
      <w:pPr>
        <w:pStyle w:val="Heading2"/>
        <w:rPr>
          <w:rFonts w:ascii="Arial" w:hAnsi="Arial" w:cs="Arial"/>
          <w:lang w:val="en-US"/>
        </w:rPr>
      </w:pPr>
      <w:bookmarkStart w:id="12" w:name="_Toc214745404"/>
      <w:r w:rsidRPr="009E2403">
        <w:rPr>
          <w:rFonts w:ascii="Arial" w:hAnsi="Arial" w:cs="Arial"/>
          <w:lang w:val="en-US"/>
        </w:rPr>
        <w:t>2</w:t>
      </w:r>
      <w:r w:rsidR="009E7F8E" w:rsidRPr="009E2403">
        <w:rPr>
          <w:rFonts w:ascii="Arial" w:hAnsi="Arial" w:cs="Arial"/>
          <w:lang w:val="en-US"/>
        </w:rPr>
        <w:t>.</w:t>
      </w:r>
      <w:r w:rsidR="00836AC1" w:rsidRPr="009E2403">
        <w:rPr>
          <w:rFonts w:ascii="Arial" w:hAnsi="Arial" w:cs="Arial"/>
          <w:lang w:val="en-US"/>
        </w:rPr>
        <w:t>3</w:t>
      </w:r>
      <w:r w:rsidR="009E7F8E" w:rsidRPr="009E2403">
        <w:rPr>
          <w:rFonts w:ascii="Arial" w:hAnsi="Arial" w:cs="Arial"/>
          <w:lang w:val="en-US"/>
        </w:rPr>
        <w:t xml:space="preserve"> Comparison of Short-term vs Long-term Financing Options</w:t>
      </w:r>
      <w:bookmarkEnd w:id="12"/>
    </w:p>
    <w:p w14:paraId="73E9C4EE" w14:textId="77777777" w:rsidR="00587BDE" w:rsidRPr="009E2403" w:rsidRDefault="00587BDE" w:rsidP="00587BDE">
      <w:pPr>
        <w:spacing w:line="360" w:lineRule="auto"/>
        <w:jc w:val="both"/>
        <w:rPr>
          <w:rFonts w:ascii="Arial" w:hAnsi="Arial" w:cs="Arial"/>
          <w:lang w:val="en-US"/>
        </w:rPr>
      </w:pPr>
      <w:r w:rsidRPr="009E2403">
        <w:rPr>
          <w:rFonts w:ascii="Arial" w:hAnsi="Arial" w:cs="Arial"/>
          <w:lang w:val="en-US"/>
        </w:rPr>
        <w:t>For a distressed f</w:t>
      </w:r>
      <w:r w:rsidR="00AE2945" w:rsidRPr="009E2403">
        <w:rPr>
          <w:rFonts w:ascii="Arial" w:hAnsi="Arial" w:cs="Arial"/>
          <w:lang w:val="en-US"/>
        </w:rPr>
        <w:t>irm like General Electronics,</w:t>
      </w:r>
      <w:r w:rsidR="00AE2945" w:rsidRPr="009E2403">
        <w:rPr>
          <w:rFonts w:ascii="Arial" w:hAnsi="Arial" w:cs="Arial"/>
        </w:rPr>
        <w:t xml:space="preserve"> the choice between short-term and long-term financing is a strategic option that has far reaching liquidity and solvency implications. Short term financing intermediaries, including bank overdraft, commercial paper and short term credit lines are faster and more readily available and offer immediate access to capital to bridge short term cash-flow gaps (</w:t>
      </w:r>
      <w:proofErr w:type="spellStart"/>
      <w:r w:rsidR="00AE2945" w:rsidRPr="009E2403">
        <w:rPr>
          <w:rFonts w:ascii="Arial" w:hAnsi="Arial" w:cs="Arial"/>
        </w:rPr>
        <w:t>Brealey</w:t>
      </w:r>
      <w:proofErr w:type="spellEnd"/>
      <w:r w:rsidR="00AE2945" w:rsidRPr="009E2403">
        <w:rPr>
          <w:rFonts w:ascii="Arial" w:hAnsi="Arial" w:cs="Arial"/>
        </w:rPr>
        <w:t>, Myers, and Allen, 2020). But such availability comes at a massive cost, such tools are usually priced with variable interest rates that puts a company at risk of refinancing and its funding crisis at maturity, which can be devastating to a company already in the Altman Z-score grey zone (Ross, Westerfield, and Jaffe,  2019). Furthermore, the continuous use of short-term debt to finance long-term assets or to meet operational losses creates a dangerous side of maturity mismatch, which can lead to the initiation of a vicious circle of borrowing only to fulfil the current demands (Graham and Smart, 2012</w:t>
      </w:r>
      <w:r w:rsidRPr="009E2403">
        <w:rPr>
          <w:rFonts w:ascii="Arial" w:hAnsi="Arial" w:cs="Arial"/>
          <w:lang w:val="en-US"/>
        </w:rPr>
        <w:t>).</w:t>
      </w:r>
    </w:p>
    <w:p w14:paraId="6A34E22F" w14:textId="77777777" w:rsidR="00587BDE" w:rsidRPr="009E2403" w:rsidRDefault="00587BDE" w:rsidP="00587BDE">
      <w:pPr>
        <w:spacing w:line="360" w:lineRule="auto"/>
        <w:jc w:val="both"/>
        <w:rPr>
          <w:rFonts w:ascii="Arial" w:hAnsi="Arial" w:cs="Arial"/>
          <w:lang w:val="en-US"/>
        </w:rPr>
      </w:pPr>
      <w:r w:rsidRPr="009E2403">
        <w:rPr>
          <w:rFonts w:ascii="Arial" w:hAnsi="Arial" w:cs="Arial"/>
          <w:lang w:val="en-US"/>
        </w:rPr>
        <w:t xml:space="preserve">Conversely, </w:t>
      </w:r>
      <w:r w:rsidR="009F4933" w:rsidRPr="009E2403">
        <w:rPr>
          <w:rFonts w:ascii="Arial" w:hAnsi="Arial" w:cs="Arial"/>
        </w:rPr>
        <w:t>long term sources of finance such as term loans, bonds and equity issues can provide a capital stability and relieve the immediate risk of refinance and hence plays a critical role in implementing a turnaround plan that spans over many years (</w:t>
      </w:r>
      <w:proofErr w:type="spellStart"/>
      <w:r w:rsidR="009F4933" w:rsidRPr="009E2403">
        <w:rPr>
          <w:rFonts w:ascii="Arial" w:hAnsi="Arial" w:cs="Arial"/>
        </w:rPr>
        <w:t>Damodaran</w:t>
      </w:r>
      <w:proofErr w:type="spellEnd"/>
      <w:r w:rsidR="009F4933" w:rsidRPr="009E2403">
        <w:rPr>
          <w:rFonts w:ascii="Arial" w:hAnsi="Arial" w:cs="Arial"/>
        </w:rPr>
        <w:t>, 2012). The fact that fixed interest rates relate to long-term debt also contributes to predictability in the financial planning. The drawbacks, in turn, are substantial; this type of financing is less convenient and more costly to a distressed company and usually requires securities and restrictive covenants that limit the freedom of its managers (</w:t>
      </w:r>
      <w:proofErr w:type="spellStart"/>
      <w:r w:rsidR="009F4933" w:rsidRPr="009E2403">
        <w:rPr>
          <w:rFonts w:ascii="Arial" w:hAnsi="Arial" w:cs="Arial"/>
        </w:rPr>
        <w:t>Gitman</w:t>
      </w:r>
      <w:proofErr w:type="spellEnd"/>
      <w:r w:rsidR="009F4933" w:rsidRPr="009E2403">
        <w:rPr>
          <w:rFonts w:ascii="Arial" w:hAnsi="Arial" w:cs="Arial"/>
        </w:rPr>
        <w:t xml:space="preserve"> and </w:t>
      </w:r>
      <w:proofErr w:type="spellStart"/>
      <w:r w:rsidR="009F4933" w:rsidRPr="009E2403">
        <w:rPr>
          <w:rFonts w:ascii="Arial" w:hAnsi="Arial" w:cs="Arial"/>
        </w:rPr>
        <w:t>Zutter</w:t>
      </w:r>
      <w:proofErr w:type="spellEnd"/>
      <w:r w:rsidR="009F4933" w:rsidRPr="009E2403">
        <w:rPr>
          <w:rFonts w:ascii="Arial" w:hAnsi="Arial" w:cs="Arial"/>
        </w:rPr>
        <w:t xml:space="preserve">, 2015). In the case of General Electronics, the best solution entails a balanced solution, use the secured long-term debt to roll the available short-term obligations and fund the necessary restructuring operations, and consequently, stabilise the capital structure, but use under managed short-term facilities only to optimise the working capital cycle (Brigham and </w:t>
      </w:r>
      <w:proofErr w:type="spellStart"/>
      <w:r w:rsidR="009F4933" w:rsidRPr="009E2403">
        <w:rPr>
          <w:rFonts w:ascii="Arial" w:hAnsi="Arial" w:cs="Arial"/>
        </w:rPr>
        <w:t>Ehrhardt</w:t>
      </w:r>
      <w:proofErr w:type="spellEnd"/>
      <w:r w:rsidR="009F4933" w:rsidRPr="009E2403">
        <w:rPr>
          <w:rFonts w:ascii="Arial" w:hAnsi="Arial" w:cs="Arial"/>
        </w:rPr>
        <w:t xml:space="preserve">, 2021). </w:t>
      </w:r>
      <w:r w:rsidR="009F4933" w:rsidRPr="009E2403">
        <w:rPr>
          <w:rFonts w:ascii="Arial" w:hAnsi="Arial" w:cs="Arial"/>
          <w:lang w:val="en-US"/>
        </w:rPr>
        <w:t>This hybrid model would reduce immediate default risk while furnishing the stable financial foundation required for recovery</w:t>
      </w:r>
      <w:r w:rsidRPr="009E2403">
        <w:rPr>
          <w:rFonts w:ascii="Arial" w:hAnsi="Arial" w:cs="Arial"/>
          <w:lang w:val="en-US"/>
        </w:rPr>
        <w:t>.</w:t>
      </w:r>
    </w:p>
    <w:p w14:paraId="09D60B5B" w14:textId="77777777" w:rsidR="00DD115C" w:rsidRPr="009E2403" w:rsidRDefault="008F2231" w:rsidP="008F2231">
      <w:pPr>
        <w:pStyle w:val="Heading1"/>
        <w:rPr>
          <w:rFonts w:ascii="Arial" w:hAnsi="Arial" w:cs="Arial"/>
          <w:sz w:val="24"/>
          <w:szCs w:val="24"/>
          <w:lang w:val="en-US"/>
        </w:rPr>
      </w:pPr>
      <w:bookmarkStart w:id="13" w:name="_Toc214745405"/>
      <w:r w:rsidRPr="009E2403">
        <w:rPr>
          <w:rFonts w:ascii="Arial" w:hAnsi="Arial" w:cs="Arial"/>
        </w:rPr>
        <w:t xml:space="preserve">3. </w:t>
      </w:r>
      <w:r w:rsidR="00DD6FD0" w:rsidRPr="009E2403">
        <w:rPr>
          <w:rFonts w:ascii="Arial" w:hAnsi="Arial" w:cs="Arial"/>
        </w:rPr>
        <w:t>Strategic Financial Restructuring Plan</w:t>
      </w:r>
      <w:bookmarkEnd w:id="13"/>
    </w:p>
    <w:p w14:paraId="737E5335" w14:textId="77777777" w:rsidR="00DD6FD0" w:rsidRPr="009E2403" w:rsidRDefault="00510BE5" w:rsidP="008F2231">
      <w:pPr>
        <w:pStyle w:val="Heading2"/>
        <w:rPr>
          <w:rFonts w:ascii="Arial" w:hAnsi="Arial" w:cs="Arial"/>
          <w:lang w:val="en-US"/>
        </w:rPr>
      </w:pPr>
      <w:bookmarkStart w:id="14" w:name="_Toc214745406"/>
      <w:r w:rsidRPr="009E2403">
        <w:rPr>
          <w:rFonts w:ascii="Arial" w:hAnsi="Arial" w:cs="Arial"/>
          <w:lang w:val="en-US"/>
        </w:rPr>
        <w:t>3</w:t>
      </w:r>
      <w:r w:rsidR="00D16AB1" w:rsidRPr="009E2403">
        <w:rPr>
          <w:rFonts w:ascii="Arial" w:hAnsi="Arial" w:cs="Arial"/>
          <w:lang w:val="en-US"/>
        </w:rPr>
        <w:t xml:space="preserve">.1 </w:t>
      </w:r>
      <w:r w:rsidR="00F267A0" w:rsidRPr="009E2403">
        <w:rPr>
          <w:rFonts w:ascii="Arial" w:hAnsi="Arial" w:cs="Arial"/>
          <w:lang w:val="en-US"/>
        </w:rPr>
        <w:t xml:space="preserve">Financial </w:t>
      </w:r>
      <w:r w:rsidR="00DD6FD0" w:rsidRPr="009E2403">
        <w:rPr>
          <w:rFonts w:ascii="Arial" w:hAnsi="Arial" w:cs="Arial"/>
          <w:lang w:val="en-US"/>
        </w:rPr>
        <w:t>Restructuring</w:t>
      </w:r>
      <w:r w:rsidR="00F267A0" w:rsidRPr="009E2403">
        <w:rPr>
          <w:rFonts w:ascii="Arial" w:hAnsi="Arial" w:cs="Arial"/>
          <w:lang w:val="en-US"/>
        </w:rPr>
        <w:t xml:space="preserve"> Options</w:t>
      </w:r>
      <w:bookmarkEnd w:id="14"/>
    </w:p>
    <w:p w14:paraId="504B1E73" w14:textId="77777777" w:rsidR="009F4933" w:rsidRPr="009E2403" w:rsidRDefault="009F4933" w:rsidP="00DD6FD0">
      <w:pPr>
        <w:spacing w:line="360" w:lineRule="auto"/>
        <w:jc w:val="both"/>
        <w:rPr>
          <w:rFonts w:ascii="Arial" w:hAnsi="Arial" w:cs="Arial"/>
        </w:rPr>
      </w:pPr>
      <w:r w:rsidRPr="009E2403">
        <w:rPr>
          <w:rFonts w:ascii="Arial" w:hAnsi="Arial" w:cs="Arial"/>
        </w:rPr>
        <w:t xml:space="preserve">With such a delicate financial position of General Electronics this includes the never-ending operating losses, dropping Altman Z score and poor cash conversion cycle, a detailed financial restructuring plan is urgently needed to prevent failure. The balance sheet should be stabilised, capital injected and operations refocussed with a multi-pronged strategy. To start with, it is necessary to significantly divest non-core assets or poorly performing business units to create the necessary liquidity and operational complexity (Kolev, </w:t>
      </w:r>
      <w:proofErr w:type="spellStart"/>
      <w:r w:rsidRPr="009E2403">
        <w:rPr>
          <w:rFonts w:ascii="Arial" w:hAnsi="Arial" w:cs="Arial"/>
        </w:rPr>
        <w:t>Haleblian</w:t>
      </w:r>
      <w:proofErr w:type="spellEnd"/>
      <w:r w:rsidRPr="009E2403">
        <w:rPr>
          <w:rFonts w:ascii="Arial" w:hAnsi="Arial" w:cs="Arial"/>
        </w:rPr>
        <w:t>, and Finkelstein, 2022). Sale of these segments would give much-needed cash inflow to liquidate the short term debt, especially lines of credit, which are volatile and as such spare the interest costs and reduce the refinancing risk (</w:t>
      </w:r>
      <w:proofErr w:type="spellStart"/>
      <w:r w:rsidRPr="009E2403">
        <w:rPr>
          <w:rFonts w:ascii="Arial" w:hAnsi="Arial" w:cs="Arial"/>
        </w:rPr>
        <w:t>Damodaran</w:t>
      </w:r>
      <w:proofErr w:type="spellEnd"/>
      <w:r w:rsidRPr="009E2403">
        <w:rPr>
          <w:rFonts w:ascii="Arial" w:hAnsi="Arial" w:cs="Arial"/>
        </w:rPr>
        <w:t xml:space="preserve">, 2012). </w:t>
      </w:r>
    </w:p>
    <w:p w14:paraId="6CDC07E7" w14:textId="77777777" w:rsidR="009F4933" w:rsidRPr="009E2403" w:rsidRDefault="009F4933" w:rsidP="00DD6FD0">
      <w:pPr>
        <w:spacing w:line="360" w:lineRule="auto"/>
        <w:jc w:val="both"/>
        <w:rPr>
          <w:rFonts w:ascii="Arial" w:hAnsi="Arial" w:cs="Arial"/>
        </w:rPr>
      </w:pPr>
      <w:r w:rsidRPr="009E2403">
        <w:rPr>
          <w:rFonts w:ascii="Arial" w:hAnsi="Arial" w:cs="Arial"/>
        </w:rPr>
        <w:t>At the same time, it is important to inject equity to salvage the over-levered balance sheet. Since the company is in distress, a private placement or a rights issue to the current shareholders, which is likely to be dilutive, is a more viable and less expensive alternative to high-interest debt (</w:t>
      </w:r>
      <w:proofErr w:type="spellStart"/>
      <w:r w:rsidRPr="009E2403">
        <w:rPr>
          <w:rFonts w:ascii="Arial" w:hAnsi="Arial" w:cs="Arial"/>
        </w:rPr>
        <w:t>Eckbo</w:t>
      </w:r>
      <w:proofErr w:type="spellEnd"/>
      <w:r w:rsidRPr="009E2403">
        <w:rPr>
          <w:rFonts w:ascii="Arial" w:hAnsi="Arial" w:cs="Arial"/>
        </w:rPr>
        <w:t xml:space="preserve"> and Thorburn, 2022). This new equity would boost the equity-to- liability ratio which is one of the elements of the failing Altman </w:t>
      </w:r>
      <w:r w:rsidRPr="009E2403">
        <w:rPr>
          <w:rFonts w:ascii="Cambria Math" w:hAnsi="Cambria Math" w:cs="Cambria Math"/>
        </w:rPr>
        <w:t>⁻</w:t>
      </w:r>
      <w:r w:rsidRPr="009E2403">
        <w:rPr>
          <w:rFonts w:ascii="Arial" w:hAnsi="Arial" w:cs="Arial"/>
        </w:rPr>
        <w:t xml:space="preserve"> Z- Score and patient capital will be used to finance the necessary operational turn around. Besides, considering a strategic alliance or joint venture in one of its core product lines can provide not only finance but also the much-needed technology and access to a new market to revive growth, thus sharing the risks and expenses of innovation (</w:t>
      </w:r>
      <w:proofErr w:type="spellStart"/>
      <w:r w:rsidRPr="009E2403">
        <w:rPr>
          <w:rFonts w:ascii="Arial" w:hAnsi="Arial" w:cs="Arial"/>
        </w:rPr>
        <w:t>Reuer</w:t>
      </w:r>
      <w:proofErr w:type="spellEnd"/>
      <w:r w:rsidRPr="009E2403">
        <w:rPr>
          <w:rFonts w:ascii="Arial" w:hAnsi="Arial" w:cs="Arial"/>
        </w:rPr>
        <w:t xml:space="preserve"> &amp; Tong, 2021). </w:t>
      </w:r>
    </w:p>
    <w:p w14:paraId="502818DC" w14:textId="77777777" w:rsidR="00DD6FD0" w:rsidRPr="009E2403" w:rsidRDefault="009F4933" w:rsidP="00DD6FD0">
      <w:pPr>
        <w:spacing w:line="360" w:lineRule="auto"/>
        <w:jc w:val="both"/>
        <w:rPr>
          <w:rFonts w:ascii="Arial" w:hAnsi="Arial" w:cs="Arial"/>
          <w:lang w:val="en-US"/>
        </w:rPr>
      </w:pPr>
      <w:r w:rsidRPr="009E2403">
        <w:rPr>
          <w:rFonts w:ascii="Arial" w:hAnsi="Arial" w:cs="Arial"/>
        </w:rPr>
        <w:t>On the inside, financial restructuring should come with a severe operational restructuring, including extensive cost rationalisation and the working-capital restructuring described above. The available funds of divestitures and equity raises should be used in a strategic manner to bolster the liquidity and invest in the core product lines with high potential where the company could regain a competitive edge (Gilson, 2021). This consolidated strategy of reduction of assets, balance-sheet recapitalisation and operational focus is the most feasible option towards solvency and the ability to put beleaguered General Electronics on a long-term path to recovery</w:t>
      </w:r>
      <w:r w:rsidR="0095312A" w:rsidRPr="009E2403">
        <w:rPr>
          <w:rFonts w:ascii="Arial" w:hAnsi="Arial" w:cs="Arial"/>
        </w:rPr>
        <w:t>.</w:t>
      </w:r>
    </w:p>
    <w:p w14:paraId="2D4E9800" w14:textId="77777777" w:rsidR="00DD6FD0" w:rsidRPr="009E2403" w:rsidRDefault="00B84E29" w:rsidP="00B84E29">
      <w:pPr>
        <w:pStyle w:val="Heading2"/>
        <w:rPr>
          <w:rFonts w:ascii="Arial" w:hAnsi="Arial" w:cs="Arial"/>
          <w:lang w:val="en-US"/>
        </w:rPr>
      </w:pPr>
      <w:bookmarkStart w:id="15" w:name="_Toc214745407"/>
      <w:r w:rsidRPr="009E2403">
        <w:rPr>
          <w:rFonts w:ascii="Arial" w:hAnsi="Arial" w:cs="Arial"/>
          <w:lang w:val="en-US"/>
        </w:rPr>
        <w:t xml:space="preserve">3.2 </w:t>
      </w:r>
      <w:r w:rsidR="00F267A0" w:rsidRPr="009E2403">
        <w:rPr>
          <w:rFonts w:ascii="Arial" w:hAnsi="Arial" w:cs="Arial"/>
          <w:lang w:val="en-US"/>
        </w:rPr>
        <w:t>Impact on Shareholders value</w:t>
      </w:r>
      <w:bookmarkEnd w:id="15"/>
    </w:p>
    <w:p w14:paraId="3B29F6F1" w14:textId="77777777" w:rsidR="009F4933" w:rsidRPr="009E2403" w:rsidRDefault="009F4933" w:rsidP="00F74F7E">
      <w:pPr>
        <w:spacing w:line="360" w:lineRule="auto"/>
        <w:jc w:val="both"/>
        <w:rPr>
          <w:rFonts w:ascii="Arial" w:hAnsi="Arial" w:cs="Arial"/>
        </w:rPr>
      </w:pPr>
      <w:r w:rsidRPr="009E2403">
        <w:rPr>
          <w:rFonts w:ascii="Arial" w:hAnsi="Arial" w:cs="Arial"/>
        </w:rPr>
        <w:t xml:space="preserve">The suggested restructuring of the finances plan which includes divestiture, equity infusion, and operational reorganisation, will impose a deep and far-reaching effect on the financial structure of General Electronics that in turn will inflict short-term suffering with the promise of long-term sustainability. The impact on the shareholder value is initially uncertain and the effect can be negative as there is a major dilution. An obligatory injection of equity, which will probably be a rights issue or a private placement, will reduce current ownership percentages and earnings per share (EPS) in the short term (Berk and </w:t>
      </w:r>
      <w:proofErr w:type="spellStart"/>
      <w:r w:rsidRPr="009E2403">
        <w:rPr>
          <w:rFonts w:ascii="Arial" w:hAnsi="Arial" w:cs="Arial"/>
        </w:rPr>
        <w:t>DeMarzo</w:t>
      </w:r>
      <w:proofErr w:type="spellEnd"/>
      <w:r w:rsidRPr="009E2403">
        <w:rPr>
          <w:rFonts w:ascii="Arial" w:hAnsi="Arial" w:cs="Arial"/>
        </w:rPr>
        <w:t>, 2023). However, this move is a drastic value trade-off to prevent 100 percent value destruction through bankruptcy. Through lifeline, the restructuring is capable of stabilising the firm, and upon success, later on, create value. The positive aspect of the divestiture of non-core assets is when the proceeds are used to settle the debt or reinvest to core operations that bring high returns hence improving the Return on Equity (ROE) of the firm in the long term (</w:t>
      </w:r>
      <w:proofErr w:type="spellStart"/>
      <w:r w:rsidRPr="009E2403">
        <w:rPr>
          <w:rFonts w:ascii="Arial" w:hAnsi="Arial" w:cs="Arial"/>
        </w:rPr>
        <w:t>Damodaran</w:t>
      </w:r>
      <w:proofErr w:type="spellEnd"/>
      <w:r w:rsidRPr="009E2403">
        <w:rPr>
          <w:rFonts w:ascii="Arial" w:hAnsi="Arial" w:cs="Arial"/>
        </w:rPr>
        <w:t xml:space="preserve">, 2012). The plan eventually shifts strategy to the long-term solvency and sustainable value recovery as opposed to short-term profit maximisation. </w:t>
      </w:r>
    </w:p>
    <w:p w14:paraId="53F34534" w14:textId="77777777" w:rsidR="009F4933" w:rsidRPr="009E2403" w:rsidRDefault="009F4933" w:rsidP="00F74F7E">
      <w:pPr>
        <w:spacing w:line="360" w:lineRule="auto"/>
        <w:jc w:val="both"/>
        <w:rPr>
          <w:rFonts w:ascii="Arial" w:hAnsi="Arial" w:cs="Arial"/>
        </w:rPr>
      </w:pPr>
      <w:r w:rsidRPr="009E2403">
        <w:rPr>
          <w:rFonts w:ascii="Arial" w:hAnsi="Arial" w:cs="Arial"/>
        </w:rPr>
        <w:t xml:space="preserve">About the </w:t>
      </w:r>
      <w:r w:rsidRPr="009E2403">
        <w:rPr>
          <w:rFonts w:ascii="Arial" w:hAnsi="Arial" w:cs="Arial"/>
          <w:b/>
        </w:rPr>
        <w:t>debt structure</w:t>
      </w:r>
      <w:r w:rsidRPr="009E2403">
        <w:rPr>
          <w:rFonts w:ascii="Arial" w:hAnsi="Arial" w:cs="Arial"/>
        </w:rPr>
        <w:t>, the effect is overpowering and faces a grave weakness. The existing dependency on short-term volatile credit lines, which is reflected by the £36,960m balance, creates a continuous refinancing risk and liquidity crisis (Brigham &amp; </w:t>
      </w:r>
      <w:proofErr w:type="spellStart"/>
      <w:r w:rsidRPr="009E2403">
        <w:rPr>
          <w:rFonts w:ascii="Arial" w:hAnsi="Arial" w:cs="Arial"/>
        </w:rPr>
        <w:t>Ehrhardt</w:t>
      </w:r>
      <w:proofErr w:type="spellEnd"/>
      <w:r w:rsidRPr="009E2403">
        <w:rPr>
          <w:rFonts w:ascii="Arial" w:hAnsi="Arial" w:cs="Arial"/>
        </w:rPr>
        <w:t xml:space="preserve">, 2021). This threat is directly curbed through the restructuring plan. The priority of </w:t>
      </w:r>
      <w:proofErr w:type="spellStart"/>
      <w:r w:rsidRPr="009E2403">
        <w:rPr>
          <w:rFonts w:ascii="Arial" w:hAnsi="Arial" w:cs="Arial"/>
        </w:rPr>
        <w:t>paysoff</w:t>
      </w:r>
      <w:proofErr w:type="spellEnd"/>
      <w:r w:rsidRPr="009E2403">
        <w:rPr>
          <w:rFonts w:ascii="Arial" w:hAnsi="Arial" w:cs="Arial"/>
        </w:rPr>
        <w:t xml:space="preserve"> such costly short-term liabilities should be made by proceeds of asset sale and equity issue thereby drastically lowering leverage and interest coverage of the company (Graham and Smart, 2012). This deleveraging would enhance significant solvency ratios, reduce the liability cost, and possibly it would permit an upgrade in the credit rating of the firm. Replacing short-term, volatile debt with permanent-capital base in the shape of equity turns the debt structure into a source of risk instead of a source of stability, which provides the breathing room that is required to recover. </w:t>
      </w:r>
    </w:p>
    <w:p w14:paraId="36B2CAEF" w14:textId="77777777" w:rsidR="00F74F7E" w:rsidRPr="009E2403" w:rsidRDefault="009F4933" w:rsidP="00F74F7E">
      <w:pPr>
        <w:spacing w:line="360" w:lineRule="auto"/>
        <w:jc w:val="both"/>
        <w:rPr>
          <w:rFonts w:ascii="Arial" w:hAnsi="Arial" w:cs="Arial"/>
          <w:lang w:val="en-US"/>
        </w:rPr>
      </w:pPr>
      <w:r w:rsidRPr="009E2403">
        <w:rPr>
          <w:rFonts w:ascii="Arial" w:hAnsi="Arial" w:cs="Arial"/>
        </w:rPr>
        <w:t xml:space="preserve">It also has the transformative effect on </w:t>
      </w:r>
      <w:r w:rsidRPr="009E2403">
        <w:rPr>
          <w:rFonts w:ascii="Arial" w:hAnsi="Arial" w:cs="Arial"/>
          <w:b/>
        </w:rPr>
        <w:t>operational flexibility</w:t>
      </w:r>
      <w:r w:rsidRPr="009E2403">
        <w:rPr>
          <w:rFonts w:ascii="Arial" w:hAnsi="Arial" w:cs="Arial"/>
        </w:rPr>
        <w:t xml:space="preserve"> which has a strategic recalibration. By definition, divestiture lessens the absolute level and scale of activities, which may be interpreted as the constraint of flexibility (Kolev et al., 2022). Nevertheless, with the divestiture of non-core and unprofitable businesses, the management will be able to focus resources and management focus on the most promising core businesses. This better concentration, combined with the cash liberation of working-capital reforms, in fact, raises the strategy flexibility (Gilson, 2021). The company is also able to move quickly, innovate, and compete competitively in the markets it has selected without having to deal with a lagging division. Moreover, the decreased debt-service ratio and better liquidity imply that the company is no longer driven to make desperate and short-sighted decisions to pay the next interest. It is able to resume its freedom of operation in terms of investing in research and development (as well as capital investments that contribute to long-term growth) instead of just survival (Ross, Westerfield, and ⁯Jaffe, 2019). To summarise, although the restructuring plan will cost the shareholders instantaneously, its overall impact is that, the organisation will be better structured, focused, and agile to follow a route towards profitability and sustainable growth</w:t>
      </w:r>
      <w:r w:rsidR="00F74F7E" w:rsidRPr="009E2403">
        <w:rPr>
          <w:rFonts w:ascii="Arial" w:hAnsi="Arial" w:cs="Arial"/>
          <w:lang w:val="en-US"/>
        </w:rPr>
        <w:t>.</w:t>
      </w:r>
    </w:p>
    <w:p w14:paraId="04201403" w14:textId="77777777" w:rsidR="00DD6FD0" w:rsidRPr="009E2403" w:rsidRDefault="00510BE5" w:rsidP="00B84E29">
      <w:pPr>
        <w:pStyle w:val="Heading2"/>
        <w:rPr>
          <w:rFonts w:ascii="Arial" w:hAnsi="Arial" w:cs="Arial"/>
          <w:lang w:val="en-US"/>
        </w:rPr>
      </w:pPr>
      <w:bookmarkStart w:id="16" w:name="_Toc214745408"/>
      <w:r w:rsidRPr="009E2403">
        <w:rPr>
          <w:rFonts w:ascii="Arial" w:hAnsi="Arial" w:cs="Arial"/>
          <w:lang w:val="en-US"/>
        </w:rPr>
        <w:t>3</w:t>
      </w:r>
      <w:r w:rsidR="00D16AB1" w:rsidRPr="009E2403">
        <w:rPr>
          <w:rFonts w:ascii="Arial" w:hAnsi="Arial" w:cs="Arial"/>
          <w:lang w:val="en-US"/>
        </w:rPr>
        <w:t>.</w:t>
      </w:r>
      <w:r w:rsidR="00DD6FD0" w:rsidRPr="009E2403">
        <w:rPr>
          <w:rFonts w:ascii="Arial" w:hAnsi="Arial" w:cs="Arial"/>
          <w:lang w:val="en-US"/>
        </w:rPr>
        <w:t>3 International and Ethical Considerations</w:t>
      </w:r>
      <w:bookmarkEnd w:id="16"/>
    </w:p>
    <w:p w14:paraId="5DAC5AC1" w14:textId="77777777" w:rsidR="00CF4F56" w:rsidRPr="009E2403" w:rsidRDefault="009F4933" w:rsidP="00CF4F56">
      <w:pPr>
        <w:spacing w:line="360" w:lineRule="auto"/>
        <w:jc w:val="both"/>
        <w:rPr>
          <w:rFonts w:ascii="Arial" w:hAnsi="Arial" w:cs="Arial"/>
          <w:lang w:val="en-US"/>
        </w:rPr>
      </w:pPr>
      <w:r w:rsidRPr="009E2403">
        <w:rPr>
          <w:rFonts w:ascii="Arial" w:hAnsi="Arial" w:cs="Arial"/>
        </w:rPr>
        <w:t xml:space="preserve">The restructuring of General  Electronics suggested should be considered in an international and ethical perspective to make it viable and upright. On a tax front, strategic sales of international subsidiaries should be carefully planned to allow them to negotiate the different corporate tax rates and anti-avoidance provisions like the OECD Base Erosion and Profit Shifting (BEPS) framework, so that assets sales are made in a morally upright manner </w:t>
      </w:r>
      <w:r w:rsidR="00CF4F56" w:rsidRPr="009E2403">
        <w:rPr>
          <w:rFonts w:ascii="Arial" w:hAnsi="Arial" w:cs="Arial"/>
          <w:lang w:val="en-US"/>
        </w:rPr>
        <w:t xml:space="preserve">to </w:t>
      </w:r>
      <w:proofErr w:type="spellStart"/>
      <w:r w:rsidR="00CF4F56" w:rsidRPr="009E2403">
        <w:rPr>
          <w:rFonts w:ascii="Arial" w:hAnsi="Arial" w:cs="Arial"/>
          <w:lang w:val="en-US"/>
        </w:rPr>
        <w:t>minimise</w:t>
      </w:r>
      <w:proofErr w:type="spellEnd"/>
      <w:r w:rsidR="00CF4F56" w:rsidRPr="009E2403">
        <w:rPr>
          <w:rFonts w:ascii="Arial" w:hAnsi="Arial" w:cs="Arial"/>
          <w:lang w:val="en-US"/>
        </w:rPr>
        <w:t xml:space="preserve"> tax liabilities without engaging in aggressive avoidance schemes (</w:t>
      </w:r>
      <w:proofErr w:type="spellStart"/>
      <w:r w:rsidR="00CF4F56" w:rsidRPr="009E2403">
        <w:rPr>
          <w:rFonts w:ascii="Arial" w:hAnsi="Arial" w:cs="Arial"/>
          <w:lang w:val="en-US"/>
        </w:rPr>
        <w:t>Dharmapala</w:t>
      </w:r>
      <w:proofErr w:type="spellEnd"/>
      <w:r w:rsidR="00CF4F56" w:rsidRPr="009E2403">
        <w:rPr>
          <w:rFonts w:ascii="Arial" w:hAnsi="Arial" w:cs="Arial"/>
          <w:lang w:val="en-US"/>
        </w:rPr>
        <w:t xml:space="preserve">, 2023). </w:t>
      </w:r>
      <w:r w:rsidRPr="009E2403">
        <w:rPr>
          <w:rFonts w:ascii="Arial" w:hAnsi="Arial" w:cs="Arial"/>
        </w:rPr>
        <w:t>At the same time, the firm international business exposes it to significant currency risks, especially when repatriating cash raised through divestiture or servicing a debt written in foreign currency; this situation forces the firm to implement stringent hedging measures using forward contracts and currency swaps to hedge the value of key cash inflows (Bartram, 2022). Additionally, the presence in a variety of global markets exposes the company to inflationary forces undermining profitability and increasing the real cost of debt; thus, it is necessary to use flexible pricing and a price indexed contractual arrangement to ensure the business stability in the unstable economies (</w:t>
      </w:r>
      <w:proofErr w:type="spellStart"/>
      <w:r w:rsidRPr="009E2403">
        <w:rPr>
          <w:rFonts w:ascii="Arial" w:hAnsi="Arial" w:cs="Arial"/>
        </w:rPr>
        <w:t>Gospodinov</w:t>
      </w:r>
      <w:proofErr w:type="spellEnd"/>
      <w:r w:rsidRPr="009E2403">
        <w:rPr>
          <w:rFonts w:ascii="Arial" w:hAnsi="Arial" w:cs="Arial"/>
        </w:rPr>
        <w:t xml:space="preserve"> &amp; Wei, 2021).</w:t>
      </w:r>
    </w:p>
    <w:p w14:paraId="382289A3" w14:textId="77777777" w:rsidR="00CF4F56" w:rsidRPr="009E2403" w:rsidRDefault="00CF4F56" w:rsidP="00CF4F56">
      <w:pPr>
        <w:spacing w:line="360" w:lineRule="auto"/>
        <w:jc w:val="both"/>
        <w:rPr>
          <w:rFonts w:ascii="Arial" w:hAnsi="Arial" w:cs="Arial"/>
          <w:lang w:val="en-US"/>
        </w:rPr>
      </w:pPr>
      <w:r w:rsidRPr="009E2403">
        <w:rPr>
          <w:rFonts w:ascii="Arial" w:hAnsi="Arial" w:cs="Arial"/>
          <w:lang w:val="en-US"/>
        </w:rPr>
        <w:t xml:space="preserve">Ethically, </w:t>
      </w:r>
      <w:r w:rsidR="009F4933" w:rsidRPr="009E2403">
        <w:rPr>
          <w:rFonts w:ascii="Arial" w:hAnsi="Arial" w:cs="Arial"/>
        </w:rPr>
        <w:t>the restructuring exercise should be based on strong Corporate Social Responsibility (CSR) undertakings. Company layoffs or shutdowns, though sometimes essential in terms of finances, should be transmitted openly, equitable severance packages, as well as outplacement, thus reducing social damage and maintaining the right of the firm to continue operations (Bundy, 2022). All the aspects of the turnaround strategy must be guided by the changing global sustainability, failure to incorporate the environmental and social governance (ESG) considerations can result in the loss of investors, consumers, and regulators, which will eventually lead to the loss of long-term financial recovery (Eccles, 2020). General Electronics therefore cannot restructure successfully without it being more of a financial exercise, but a delicate balancing act that should be able to balance the cross-border fiscal accountability, financial risks as well as stand firm in its moral responsiveness to all stakeholders</w:t>
      </w:r>
      <w:r w:rsidRPr="009E2403">
        <w:rPr>
          <w:rFonts w:ascii="Arial" w:hAnsi="Arial" w:cs="Arial"/>
          <w:lang w:val="en-US"/>
        </w:rPr>
        <w:t>.</w:t>
      </w:r>
    </w:p>
    <w:p w14:paraId="2006FECB" w14:textId="77777777" w:rsidR="005701B2" w:rsidRPr="009E2403" w:rsidRDefault="00B84E29" w:rsidP="00B84E29">
      <w:pPr>
        <w:pStyle w:val="Heading1"/>
        <w:rPr>
          <w:rFonts w:ascii="Arial" w:hAnsi="Arial" w:cs="Arial"/>
          <w:lang w:val="en-US"/>
        </w:rPr>
      </w:pPr>
      <w:bookmarkStart w:id="17" w:name="_Toc214745409"/>
      <w:r w:rsidRPr="009E2403">
        <w:rPr>
          <w:rFonts w:ascii="Arial" w:hAnsi="Arial" w:cs="Arial"/>
          <w:lang w:val="en-US"/>
        </w:rPr>
        <w:t xml:space="preserve">4. </w:t>
      </w:r>
      <w:r w:rsidR="005701B2" w:rsidRPr="009E2403">
        <w:rPr>
          <w:rFonts w:ascii="Arial" w:hAnsi="Arial" w:cs="Arial"/>
          <w:lang w:val="en-US"/>
        </w:rPr>
        <w:t>Investment Appraisal and Capital Budgeting</w:t>
      </w:r>
      <w:bookmarkEnd w:id="17"/>
    </w:p>
    <w:p w14:paraId="47697DA6" w14:textId="77777777" w:rsidR="00630929" w:rsidRPr="009E2403" w:rsidRDefault="00D16AB1" w:rsidP="0031680A">
      <w:pPr>
        <w:pStyle w:val="Heading2"/>
        <w:rPr>
          <w:rFonts w:ascii="Arial" w:hAnsi="Arial" w:cs="Arial"/>
          <w:lang w:val="en-US"/>
        </w:rPr>
      </w:pPr>
      <w:bookmarkStart w:id="18" w:name="_Toc214745410"/>
      <w:r w:rsidRPr="009E2403">
        <w:rPr>
          <w:rFonts w:ascii="Arial" w:hAnsi="Arial" w:cs="Arial"/>
          <w:lang w:val="en-US"/>
        </w:rPr>
        <w:t xml:space="preserve">4.1 </w:t>
      </w:r>
      <w:r w:rsidR="005701B2" w:rsidRPr="009E2403">
        <w:rPr>
          <w:rFonts w:ascii="Arial" w:hAnsi="Arial" w:cs="Arial"/>
          <w:lang w:val="en-US"/>
        </w:rPr>
        <w:t>Payback Period</w:t>
      </w:r>
      <w:bookmarkEnd w:id="18"/>
      <w:r w:rsidR="00792EDD" w:rsidRPr="009E2403">
        <w:rPr>
          <w:rFonts w:ascii="Arial" w:hAnsi="Arial" w:cs="Arial"/>
          <w:lang w:val="en-US"/>
        </w:rPr>
        <w:tab/>
      </w:r>
    </w:p>
    <w:p w14:paraId="35062338" w14:textId="77777777" w:rsidR="00B9612E" w:rsidRPr="009E2403" w:rsidRDefault="00987360" w:rsidP="00B866ED">
      <w:pPr>
        <w:spacing w:line="360" w:lineRule="auto"/>
        <w:jc w:val="both"/>
        <w:rPr>
          <w:rFonts w:ascii="Arial" w:hAnsi="Arial" w:cs="Arial"/>
          <w:shd w:val="clear" w:color="auto" w:fill="FFFFFF"/>
        </w:rPr>
      </w:pPr>
      <w:r w:rsidRPr="009E2403">
        <w:rPr>
          <w:rFonts w:ascii="Arial" w:hAnsi="Arial" w:cs="Arial"/>
          <w:shd w:val="clear" w:color="auto" w:fill="FFFFFF"/>
        </w:rPr>
        <w:t xml:space="preserve">Payback period of Project A, Project B and Project C </w:t>
      </w:r>
      <w:r w:rsidR="00D16AB1" w:rsidRPr="009E2403">
        <w:rPr>
          <w:rFonts w:ascii="Arial" w:hAnsi="Arial" w:cs="Arial"/>
          <w:shd w:val="clear" w:color="auto" w:fill="FFFFFF"/>
        </w:rPr>
        <w:t xml:space="preserve">are calculated in </w:t>
      </w:r>
      <w:r w:rsidR="00E2146E" w:rsidRPr="009E2403">
        <w:rPr>
          <w:rFonts w:ascii="Arial" w:hAnsi="Arial" w:cs="Arial"/>
          <w:b/>
          <w:i/>
          <w:shd w:val="clear" w:color="auto" w:fill="FFFFFF"/>
        </w:rPr>
        <w:t>Appendix-</w:t>
      </w:r>
      <w:r w:rsidR="00FD1EC1" w:rsidRPr="009E2403">
        <w:rPr>
          <w:rFonts w:ascii="Arial" w:hAnsi="Arial" w:cs="Arial"/>
          <w:b/>
          <w:i/>
          <w:shd w:val="clear" w:color="auto" w:fill="FFFFFF"/>
        </w:rPr>
        <w:t>V</w:t>
      </w:r>
      <w:r w:rsidR="00D16AB1" w:rsidRPr="009E2403">
        <w:rPr>
          <w:rFonts w:ascii="Arial" w:hAnsi="Arial" w:cs="Arial"/>
          <w:shd w:val="clear" w:color="auto" w:fill="FFFFFF"/>
        </w:rPr>
        <w:t>.</w:t>
      </w:r>
    </w:p>
    <w:p w14:paraId="4781F3FC" w14:textId="77777777" w:rsidR="00DA16F8" w:rsidRPr="009E2403" w:rsidRDefault="009F4933" w:rsidP="00B866ED">
      <w:pPr>
        <w:spacing w:line="360" w:lineRule="auto"/>
        <w:jc w:val="both"/>
        <w:rPr>
          <w:rFonts w:ascii="Arial" w:hAnsi="Arial" w:cs="Arial"/>
          <w:shd w:val="clear" w:color="auto" w:fill="FFFFFF"/>
        </w:rPr>
      </w:pPr>
      <w:r w:rsidRPr="009E2403">
        <w:rPr>
          <w:rFonts w:ascii="Arial" w:hAnsi="Arial" w:cs="Arial"/>
          <w:shd w:val="clear" w:color="auto" w:fill="FFFFFF"/>
        </w:rPr>
        <w:t>The Payback Period (PBP) analysis place</w:t>
      </w:r>
      <w:r w:rsidR="00606968" w:rsidRPr="009E2403">
        <w:rPr>
          <w:rFonts w:ascii="Arial" w:hAnsi="Arial" w:cs="Arial"/>
          <w:shd w:val="clear" w:color="auto" w:fill="FFFFFF"/>
        </w:rPr>
        <w:t>s</w:t>
      </w:r>
      <w:r w:rsidRPr="009E2403">
        <w:rPr>
          <w:rFonts w:ascii="Arial" w:hAnsi="Arial" w:cs="Arial"/>
          <w:shd w:val="clear" w:color="auto" w:fill="FFFFFF"/>
        </w:rPr>
        <w:t xml:space="preserve"> Project A first (3.4 years), then Project C (3.6 years) and the latter being Project B </w:t>
      </w:r>
      <w:r w:rsidR="00606968" w:rsidRPr="009E2403">
        <w:rPr>
          <w:rFonts w:ascii="Arial" w:hAnsi="Arial" w:cs="Arial"/>
          <w:shd w:val="clear" w:color="auto" w:fill="FFFFFF"/>
        </w:rPr>
        <w:t xml:space="preserve">at the </w:t>
      </w:r>
      <w:r w:rsidRPr="009E2403">
        <w:rPr>
          <w:rFonts w:ascii="Arial" w:hAnsi="Arial" w:cs="Arial"/>
          <w:shd w:val="clear" w:color="auto" w:fill="FFFFFF"/>
        </w:rPr>
        <w:t>last (5 years). The main advantage of the PBP applied to the situation with General Electronics, which is a financially troubled company, is that it focuses on the timely payback period of the investment made, thus minimising exposure to the risk and providing a higher liquidity rate in the short term, which is an essential factor (</w:t>
      </w:r>
      <w:proofErr w:type="spellStart"/>
      <w:r w:rsidR="006B1D50" w:rsidRPr="009E2403">
        <w:rPr>
          <w:rFonts w:ascii="Arial" w:hAnsi="Arial" w:cs="Arial"/>
          <w:color w:val="222222"/>
          <w:sz w:val="20"/>
          <w:szCs w:val="20"/>
          <w:shd w:val="clear" w:color="auto" w:fill="FFFFFF"/>
        </w:rPr>
        <w:t>Oyetola</w:t>
      </w:r>
      <w:proofErr w:type="spellEnd"/>
      <w:r w:rsidR="006B1D50" w:rsidRPr="009E2403">
        <w:rPr>
          <w:rFonts w:ascii="Arial" w:hAnsi="Arial" w:cs="Arial"/>
          <w:color w:val="222222"/>
          <w:sz w:val="20"/>
          <w:szCs w:val="20"/>
          <w:shd w:val="clear" w:color="auto" w:fill="FFFFFF"/>
        </w:rPr>
        <w:t>, B.O., et al., 2025;</w:t>
      </w:r>
      <w:r w:rsidRPr="009E2403">
        <w:rPr>
          <w:rFonts w:ascii="Arial" w:hAnsi="Arial" w:cs="Arial"/>
          <w:shd w:val="clear" w:color="auto" w:fill="FFFFFF"/>
        </w:rPr>
        <w:t>Ross, Westerfield and Jaffe, 2019). This is also easy to communicate risk to the stakeholders because of its simplicity (</w:t>
      </w:r>
      <w:proofErr w:type="spellStart"/>
      <w:r w:rsidRPr="009E2403">
        <w:rPr>
          <w:rFonts w:ascii="Arial" w:hAnsi="Arial" w:cs="Arial"/>
          <w:shd w:val="clear" w:color="auto" w:fill="FFFFFF"/>
        </w:rPr>
        <w:t>Gitman</w:t>
      </w:r>
      <w:proofErr w:type="spellEnd"/>
      <w:r w:rsidRPr="009E2403">
        <w:rPr>
          <w:rFonts w:ascii="Arial" w:hAnsi="Arial" w:cs="Arial"/>
          <w:shd w:val="clear" w:color="auto" w:fill="FFFFFF"/>
        </w:rPr>
        <w:t xml:space="preserve"> and </w:t>
      </w:r>
      <w:proofErr w:type="spellStart"/>
      <w:r w:rsidRPr="009E2403">
        <w:rPr>
          <w:rFonts w:ascii="Arial" w:hAnsi="Arial" w:cs="Arial"/>
          <w:shd w:val="clear" w:color="auto" w:fill="FFFFFF"/>
        </w:rPr>
        <w:t>Zutter</w:t>
      </w:r>
      <w:proofErr w:type="spellEnd"/>
      <w:r w:rsidRPr="009E2403">
        <w:rPr>
          <w:rFonts w:ascii="Arial" w:hAnsi="Arial" w:cs="Arial"/>
          <w:shd w:val="clear" w:color="auto" w:fill="FFFFFF"/>
        </w:rPr>
        <w:t>, 2015). Nevertheless, the approach has severe drawbacks; it does not take into consideration any cash flows beyond the payback point, and thus, does not consider the long-term profitability of projects, and it does not consider the value of time, which can result in the suboptimal allocation of capital (</w:t>
      </w:r>
      <w:proofErr w:type="spellStart"/>
      <w:r w:rsidRPr="009E2403">
        <w:rPr>
          <w:rFonts w:ascii="Arial" w:hAnsi="Arial" w:cs="Arial"/>
          <w:shd w:val="clear" w:color="auto" w:fill="FFFFFF"/>
        </w:rPr>
        <w:t>Brealey</w:t>
      </w:r>
      <w:proofErr w:type="spellEnd"/>
      <w:r w:rsidRPr="009E2403">
        <w:rPr>
          <w:rFonts w:ascii="Arial" w:hAnsi="Arial" w:cs="Arial"/>
          <w:shd w:val="clear" w:color="auto" w:fill="FFFFFF"/>
        </w:rPr>
        <w:t xml:space="preserve">, Myers and Allen, 2020). </w:t>
      </w:r>
    </w:p>
    <w:p w14:paraId="5F79DFD0" w14:textId="77777777" w:rsidR="004D2A05" w:rsidRPr="009E2403" w:rsidRDefault="00D16AB1" w:rsidP="0031680A">
      <w:pPr>
        <w:pStyle w:val="Heading2"/>
        <w:rPr>
          <w:rFonts w:ascii="Arial" w:hAnsi="Arial" w:cs="Arial"/>
          <w:lang w:val="en-US"/>
        </w:rPr>
      </w:pPr>
      <w:bookmarkStart w:id="19" w:name="_Toc214745411"/>
      <w:r w:rsidRPr="009E2403">
        <w:rPr>
          <w:rFonts w:ascii="Arial" w:hAnsi="Arial" w:cs="Arial"/>
          <w:lang w:val="en-US"/>
        </w:rPr>
        <w:t xml:space="preserve">4.2 </w:t>
      </w:r>
      <w:r w:rsidR="004D2A05" w:rsidRPr="009E2403">
        <w:rPr>
          <w:rFonts w:ascii="Arial" w:hAnsi="Arial" w:cs="Arial"/>
          <w:lang w:val="en-US"/>
        </w:rPr>
        <w:t>Accounting Rate of Return</w:t>
      </w:r>
      <w:bookmarkEnd w:id="19"/>
    </w:p>
    <w:p w14:paraId="618C2386" w14:textId="77777777" w:rsidR="00F869D4" w:rsidRPr="009E2403" w:rsidRDefault="00D16AB1" w:rsidP="00406ADA">
      <w:pPr>
        <w:spacing w:line="360" w:lineRule="auto"/>
        <w:jc w:val="both"/>
        <w:rPr>
          <w:rFonts w:ascii="Arial" w:hAnsi="Arial" w:cs="Arial"/>
          <w:shd w:val="clear" w:color="auto" w:fill="FFFFFF"/>
        </w:rPr>
      </w:pPr>
      <w:r w:rsidRPr="009E2403">
        <w:rPr>
          <w:rFonts w:ascii="Arial" w:hAnsi="Arial" w:cs="Arial"/>
          <w:shd w:val="clear" w:color="auto" w:fill="FFFFFF"/>
        </w:rPr>
        <w:t xml:space="preserve">ARR of Project A, Project B and Project C are calculated in </w:t>
      </w:r>
      <w:r w:rsidRPr="009E2403">
        <w:rPr>
          <w:rFonts w:ascii="Arial" w:hAnsi="Arial" w:cs="Arial"/>
          <w:b/>
          <w:i/>
          <w:shd w:val="clear" w:color="auto" w:fill="FFFFFF"/>
        </w:rPr>
        <w:t>Appendix-</w:t>
      </w:r>
      <w:r w:rsidR="006309D4" w:rsidRPr="009E2403">
        <w:rPr>
          <w:rFonts w:ascii="Arial" w:hAnsi="Arial" w:cs="Arial"/>
          <w:b/>
          <w:i/>
          <w:shd w:val="clear" w:color="auto" w:fill="FFFFFF"/>
        </w:rPr>
        <w:t>V</w:t>
      </w:r>
      <w:r w:rsidRPr="009E2403">
        <w:rPr>
          <w:rFonts w:ascii="Arial" w:hAnsi="Arial" w:cs="Arial"/>
          <w:shd w:val="clear" w:color="auto" w:fill="FFFFFF"/>
        </w:rPr>
        <w:t>.</w:t>
      </w:r>
      <w:r w:rsidR="00B255C0" w:rsidRPr="009E2403">
        <w:rPr>
          <w:rFonts w:ascii="Arial" w:hAnsi="Arial" w:cs="Arial"/>
          <w:shd w:val="clear" w:color="auto" w:fill="FFFFFF"/>
        </w:rPr>
        <w:t xml:space="preserve"> </w:t>
      </w:r>
    </w:p>
    <w:p w14:paraId="583BBA46" w14:textId="77777777" w:rsidR="000836EA" w:rsidRPr="009E2403" w:rsidRDefault="00E41A5E" w:rsidP="00F30E26">
      <w:pPr>
        <w:tabs>
          <w:tab w:val="left" w:pos="201"/>
        </w:tabs>
        <w:spacing w:line="360" w:lineRule="auto"/>
        <w:jc w:val="both"/>
        <w:rPr>
          <w:rFonts w:ascii="Arial" w:hAnsi="Arial" w:cs="Arial"/>
          <w:szCs w:val="24"/>
          <w:lang w:val="en-US"/>
        </w:rPr>
      </w:pPr>
      <w:r w:rsidRPr="009E2403">
        <w:rPr>
          <w:rFonts w:ascii="Arial" w:hAnsi="Arial" w:cs="Arial"/>
          <w:szCs w:val="24"/>
        </w:rPr>
        <w:t xml:space="preserve">The analysis of the Accounting Rate of Return (ARR) shows </w:t>
      </w:r>
      <w:r w:rsidR="00577C95" w:rsidRPr="009E2403">
        <w:rPr>
          <w:rFonts w:ascii="Arial" w:hAnsi="Arial" w:cs="Arial"/>
          <w:szCs w:val="24"/>
        </w:rPr>
        <w:t>all the three projects are highly profitable</w:t>
      </w:r>
      <w:r w:rsidR="00517B91" w:rsidRPr="009E2403">
        <w:rPr>
          <w:rFonts w:ascii="Arial" w:hAnsi="Arial" w:cs="Arial"/>
          <w:szCs w:val="24"/>
        </w:rPr>
        <w:t>.</w:t>
      </w:r>
      <w:r w:rsidR="00DE2FBF" w:rsidRPr="009E2403">
        <w:rPr>
          <w:rFonts w:ascii="Arial" w:hAnsi="Arial" w:cs="Arial"/>
          <w:szCs w:val="24"/>
        </w:rPr>
        <w:t xml:space="preserve"> </w:t>
      </w:r>
      <w:r w:rsidR="00577C95" w:rsidRPr="009E2403">
        <w:rPr>
          <w:rFonts w:ascii="Arial" w:hAnsi="Arial" w:cs="Arial"/>
          <w:szCs w:val="24"/>
        </w:rPr>
        <w:t>Proj</w:t>
      </w:r>
      <w:r w:rsidR="0072143D">
        <w:rPr>
          <w:rFonts w:ascii="Arial" w:hAnsi="Arial" w:cs="Arial"/>
          <w:szCs w:val="24"/>
        </w:rPr>
        <w:t>ect A has ARR of 54%, Project B 40</w:t>
      </w:r>
      <w:r w:rsidR="00577C95" w:rsidRPr="009E2403">
        <w:rPr>
          <w:rFonts w:ascii="Arial" w:hAnsi="Arial" w:cs="Arial"/>
          <w:szCs w:val="24"/>
        </w:rPr>
        <w:t xml:space="preserve">% and Project C 60%. </w:t>
      </w:r>
      <w:r w:rsidR="00260245" w:rsidRPr="009E2403">
        <w:rPr>
          <w:rFonts w:ascii="Arial" w:hAnsi="Arial" w:cs="Arial"/>
          <w:szCs w:val="24"/>
        </w:rPr>
        <w:t xml:space="preserve">The ARR of all the three projects under consideration shows that they have significantly </w:t>
      </w:r>
      <w:r w:rsidR="00260245" w:rsidRPr="009E2403">
        <w:rPr>
          <w:rFonts w:ascii="Arial" w:hAnsi="Arial" w:cs="Arial"/>
          <w:color w:val="0F1115"/>
          <w:shd w:val="clear" w:color="auto" w:fill="FFFFFF"/>
        </w:rPr>
        <w:t>exceeded the firm's accounting cost of capital and hence all the three are viable, however, Project C has the highest ARR of 60% and is ranked first, followed by Project A with 54% ARR and then Project B with 4</w:t>
      </w:r>
      <w:r w:rsidR="00D537CA">
        <w:rPr>
          <w:rFonts w:ascii="Arial" w:hAnsi="Arial" w:cs="Arial"/>
          <w:color w:val="0F1115"/>
          <w:shd w:val="clear" w:color="auto" w:fill="FFFFFF"/>
        </w:rPr>
        <w:t>0</w:t>
      </w:r>
      <w:r w:rsidR="00260245" w:rsidRPr="009E2403">
        <w:rPr>
          <w:rFonts w:ascii="Arial" w:hAnsi="Arial" w:cs="Arial"/>
          <w:color w:val="0F1115"/>
          <w:shd w:val="clear" w:color="auto" w:fill="FFFFFF"/>
        </w:rPr>
        <w:t xml:space="preserve">% ARR. </w:t>
      </w:r>
    </w:p>
    <w:p w14:paraId="0665ED2B" w14:textId="77777777" w:rsidR="00685A46" w:rsidRPr="009E2403" w:rsidRDefault="00F30E26" w:rsidP="0031680A">
      <w:pPr>
        <w:pStyle w:val="Heading2"/>
        <w:rPr>
          <w:rFonts w:ascii="Arial" w:hAnsi="Arial" w:cs="Arial"/>
          <w:lang w:val="en-US"/>
        </w:rPr>
      </w:pPr>
      <w:bookmarkStart w:id="20" w:name="_Toc214745412"/>
      <w:r w:rsidRPr="009E2403">
        <w:rPr>
          <w:rFonts w:ascii="Arial" w:hAnsi="Arial" w:cs="Arial"/>
          <w:lang w:val="en-US"/>
        </w:rPr>
        <w:t xml:space="preserve">4.3 </w:t>
      </w:r>
      <w:r w:rsidR="00685A46" w:rsidRPr="009E2403">
        <w:rPr>
          <w:rFonts w:ascii="Arial" w:hAnsi="Arial" w:cs="Arial"/>
          <w:lang w:val="en-US"/>
        </w:rPr>
        <w:t>Net Present Value</w:t>
      </w:r>
      <w:bookmarkEnd w:id="20"/>
    </w:p>
    <w:p w14:paraId="0F484704" w14:textId="77777777" w:rsidR="00D923B3" w:rsidRPr="009E2403" w:rsidRDefault="0076741B">
      <w:pPr>
        <w:rPr>
          <w:rFonts w:ascii="Arial" w:hAnsi="Arial" w:cs="Arial"/>
          <w:b/>
          <w:i/>
          <w:shd w:val="clear" w:color="auto" w:fill="FFFFFF"/>
        </w:rPr>
      </w:pPr>
      <w:r w:rsidRPr="009E2403">
        <w:rPr>
          <w:rFonts w:ascii="Arial" w:hAnsi="Arial" w:cs="Arial"/>
        </w:rPr>
        <w:t xml:space="preserve">NPV is calculated for all the three projects at the </w:t>
      </w:r>
      <w:r w:rsidRPr="009E2403">
        <w:rPr>
          <w:rFonts w:ascii="Arial" w:hAnsi="Arial" w:cs="Arial"/>
          <w:b/>
          <w:i/>
          <w:shd w:val="clear" w:color="auto" w:fill="FFFFFF"/>
        </w:rPr>
        <w:t>Appendix-</w:t>
      </w:r>
      <w:r w:rsidR="006309D4" w:rsidRPr="009E2403">
        <w:rPr>
          <w:rFonts w:ascii="Arial" w:hAnsi="Arial" w:cs="Arial"/>
          <w:b/>
          <w:i/>
          <w:shd w:val="clear" w:color="auto" w:fill="FFFFFF"/>
        </w:rPr>
        <w:t>V</w:t>
      </w:r>
      <w:r w:rsidRPr="009E2403">
        <w:rPr>
          <w:rFonts w:ascii="Arial" w:hAnsi="Arial" w:cs="Arial"/>
          <w:b/>
          <w:i/>
          <w:shd w:val="clear" w:color="auto" w:fill="FFFFFF"/>
        </w:rPr>
        <w:t>.</w:t>
      </w:r>
    </w:p>
    <w:p w14:paraId="62D9275D" w14:textId="77777777" w:rsidR="009F186C" w:rsidRPr="009E2403" w:rsidRDefault="00E41A5E" w:rsidP="009F186C">
      <w:pPr>
        <w:spacing w:line="360" w:lineRule="auto"/>
        <w:jc w:val="both"/>
        <w:rPr>
          <w:rFonts w:ascii="Arial" w:hAnsi="Arial" w:cs="Arial"/>
          <w:sz w:val="20"/>
        </w:rPr>
      </w:pPr>
      <w:r w:rsidRPr="009E2403">
        <w:rPr>
          <w:rFonts w:ascii="Arial" w:hAnsi="Arial" w:cs="Arial"/>
        </w:rPr>
        <w:t>The Net Present Value (NPV) analysis gives an ultimate ranking of the capital budget giving the Project C the best with a value of PS 4.23 million, then there is Project A with a value of PS 1.32 million, and Project B is rejected with a negative value of -PS 7.26 million. The main advantage of NPV is that it is directly consistent with the main financial goal of maximising shareholder wealth; a positive NPV indicates that an investment will presumably create value to the firm (</w:t>
      </w:r>
      <w:proofErr w:type="spellStart"/>
      <w:r w:rsidR="006B1D50" w:rsidRPr="009E2403">
        <w:rPr>
          <w:rFonts w:ascii="Arial" w:hAnsi="Arial" w:cs="Arial"/>
          <w:color w:val="222222"/>
          <w:sz w:val="20"/>
          <w:szCs w:val="20"/>
          <w:shd w:val="clear" w:color="auto" w:fill="FFFFFF"/>
        </w:rPr>
        <w:t>Ranbhor</w:t>
      </w:r>
      <w:proofErr w:type="spellEnd"/>
      <w:r w:rsidR="006B1D50" w:rsidRPr="009E2403">
        <w:rPr>
          <w:rFonts w:ascii="Arial" w:hAnsi="Arial" w:cs="Arial"/>
          <w:color w:val="222222"/>
          <w:sz w:val="20"/>
          <w:szCs w:val="20"/>
          <w:shd w:val="clear" w:color="auto" w:fill="FFFFFF"/>
        </w:rPr>
        <w:t>, R. and Kulkarni, P., 2025;</w:t>
      </w:r>
      <w:r w:rsidRPr="009E2403">
        <w:rPr>
          <w:rFonts w:ascii="Arial" w:hAnsi="Arial" w:cs="Arial"/>
        </w:rPr>
        <w:t>Brealey, Myers and Allen, 2020). In addition, it utilises the time value of money and thus it offers a better evaluation of the value addition than its PBP or ARR, and it also gives an absolute measurement of the economic value added which is indispensable in understanding the magnitude of the benefit (</w:t>
      </w:r>
      <w:proofErr w:type="spellStart"/>
      <w:r w:rsidRPr="009E2403">
        <w:rPr>
          <w:rFonts w:ascii="Arial" w:hAnsi="Arial" w:cs="Arial"/>
        </w:rPr>
        <w:t>Damodaran</w:t>
      </w:r>
      <w:proofErr w:type="spellEnd"/>
      <w:r w:rsidRPr="009E2403">
        <w:rPr>
          <w:rFonts w:ascii="Arial" w:hAnsi="Arial" w:cs="Arial"/>
        </w:rPr>
        <w:t>, 2012). One of the main drawbacks is that the result of the NPV is extremely dependent on the discount rate chosen, which in the case of the distressed company like General Electronics is both considerable and difficult to estimate well, which can bias the results (Ross, Westerfield and Jaffe, 2019). NPV is the primary decision criterion that is most suitable in this particular case. In the case of a firm in weak financial position, it would be not sustainable to devote limited capital in any venture that will not result in a better net present value. Project B rejection is especially critical, whereby it would annihilate value and increase the losses of the firm. Thus, even though NPV has certain technical constraints, it can have the most economically rational foundation of the decision regarding the investment, and it highly suggests the approving of Project C</w:t>
      </w:r>
      <w:r w:rsidR="00E3424F" w:rsidRPr="009E2403">
        <w:rPr>
          <w:rFonts w:ascii="Arial" w:hAnsi="Arial" w:cs="Arial"/>
        </w:rPr>
        <w:t>.</w:t>
      </w:r>
      <w:r w:rsidR="00DE2FBF" w:rsidRPr="009E2403">
        <w:rPr>
          <w:rFonts w:ascii="Arial" w:hAnsi="Arial" w:cs="Arial"/>
        </w:rPr>
        <w:t xml:space="preserve"> </w:t>
      </w:r>
    </w:p>
    <w:p w14:paraId="3FC7FC7E" w14:textId="77777777" w:rsidR="000836EA" w:rsidRPr="009E2403" w:rsidRDefault="00F30E26" w:rsidP="0031680A">
      <w:pPr>
        <w:pStyle w:val="Heading2"/>
        <w:rPr>
          <w:rFonts w:ascii="Arial" w:hAnsi="Arial" w:cs="Arial"/>
        </w:rPr>
      </w:pPr>
      <w:bookmarkStart w:id="21" w:name="_Toc214745413"/>
      <w:r w:rsidRPr="009E2403">
        <w:rPr>
          <w:rFonts w:ascii="Arial" w:hAnsi="Arial" w:cs="Arial"/>
        </w:rPr>
        <w:t xml:space="preserve">4.4 </w:t>
      </w:r>
      <w:r w:rsidR="0096725B" w:rsidRPr="009E2403">
        <w:rPr>
          <w:rFonts w:ascii="Arial" w:hAnsi="Arial" w:cs="Arial"/>
        </w:rPr>
        <w:t>Profitability Index</w:t>
      </w:r>
      <w:bookmarkEnd w:id="21"/>
    </w:p>
    <w:p w14:paraId="762E4237" w14:textId="77777777" w:rsidR="009F186C" w:rsidRPr="009E2403" w:rsidRDefault="00BE6986" w:rsidP="00F30E26">
      <w:pPr>
        <w:spacing w:line="360" w:lineRule="auto"/>
        <w:jc w:val="both"/>
        <w:rPr>
          <w:rFonts w:ascii="Arial" w:hAnsi="Arial" w:cs="Arial"/>
        </w:rPr>
      </w:pPr>
      <w:r w:rsidRPr="009E2403">
        <w:rPr>
          <w:rFonts w:ascii="Arial" w:eastAsiaTheme="minorEastAsia" w:hAnsi="Arial" w:cs="Arial"/>
          <w:sz w:val="24"/>
        </w:rPr>
        <w:t xml:space="preserve">Profitability Index (PI) </w:t>
      </w:r>
      <w:r w:rsidR="001C41BB" w:rsidRPr="009E2403">
        <w:rPr>
          <w:rFonts w:ascii="Arial" w:eastAsiaTheme="minorEastAsia" w:hAnsi="Arial" w:cs="Arial"/>
          <w:sz w:val="24"/>
        </w:rPr>
        <w:t>as shown in</w:t>
      </w:r>
      <w:r w:rsidRPr="009E2403">
        <w:rPr>
          <w:rFonts w:ascii="Arial" w:eastAsiaTheme="minorEastAsia" w:hAnsi="Arial" w:cs="Arial"/>
          <w:sz w:val="24"/>
        </w:rPr>
        <w:t xml:space="preserve"> </w:t>
      </w:r>
      <w:r w:rsidRPr="009E2403">
        <w:rPr>
          <w:rFonts w:ascii="Arial" w:eastAsiaTheme="minorEastAsia" w:hAnsi="Arial" w:cs="Arial"/>
          <w:b/>
          <w:sz w:val="24"/>
        </w:rPr>
        <w:t>Appendix-V</w:t>
      </w:r>
      <w:r w:rsidRPr="009E2403">
        <w:rPr>
          <w:rFonts w:ascii="Arial" w:eastAsiaTheme="minorEastAsia" w:hAnsi="Arial" w:cs="Arial"/>
          <w:sz w:val="24"/>
        </w:rPr>
        <w:t xml:space="preserve"> of this report. </w:t>
      </w:r>
      <w:r w:rsidR="00E41A5E" w:rsidRPr="009E2403">
        <w:rPr>
          <w:rFonts w:ascii="Arial" w:hAnsi="Arial" w:cs="Arial"/>
        </w:rPr>
        <w:t>The analysis of profitability Index (PI) of present value of future cash flows per unit of investments, places Project C first (8 per cent), Project A second (3 per cent), Project B last (24 per cent) which amplifies the NPV results and indicate capital efficiency. The most significant virtue of PI is its ability to place projects under capital rationing in order to show the value created per pound of investment, which is a vital factor in the case of a liquidity-limited company (like General Electronics) (</w:t>
      </w:r>
      <w:r w:rsidR="006B1D50" w:rsidRPr="009E2403">
        <w:rPr>
          <w:rFonts w:ascii="Arial" w:hAnsi="Arial" w:cs="Arial"/>
          <w:color w:val="222222"/>
          <w:sz w:val="20"/>
          <w:szCs w:val="20"/>
          <w:shd w:val="clear" w:color="auto" w:fill="FFFFFF"/>
        </w:rPr>
        <w:t>Ruhshona, S., 2025</w:t>
      </w:r>
      <w:r w:rsidR="00224337" w:rsidRPr="009E2403">
        <w:rPr>
          <w:rFonts w:ascii="Arial" w:hAnsi="Arial" w:cs="Arial"/>
          <w:color w:val="222222"/>
          <w:sz w:val="20"/>
          <w:szCs w:val="20"/>
          <w:shd w:val="clear" w:color="auto" w:fill="FFFFFF"/>
        </w:rPr>
        <w:t>;</w:t>
      </w:r>
      <w:r w:rsidR="00E41A5E" w:rsidRPr="009E2403">
        <w:rPr>
          <w:rFonts w:ascii="Arial" w:hAnsi="Arial" w:cs="Arial"/>
        </w:rPr>
        <w:t>Pike and Neale, 2021). A major limitation, however, is that the profitability index (PI) can potentially give misleading comparison of mutually exclusive projects that differ in scale by many folds since it may favour a smaller project with a high index compared to a larger project that produces a larger absolute net present value (NPV), and thus fail to realise overall value (</w:t>
      </w:r>
      <w:proofErr w:type="spellStart"/>
      <w:r w:rsidR="00E41A5E" w:rsidRPr="009E2403">
        <w:rPr>
          <w:rFonts w:ascii="Arial" w:hAnsi="Arial" w:cs="Arial"/>
        </w:rPr>
        <w:t>Brealey</w:t>
      </w:r>
      <w:proofErr w:type="spellEnd"/>
      <w:r w:rsidR="00E41A5E" w:rsidRPr="009E2403">
        <w:rPr>
          <w:rFonts w:ascii="Arial" w:hAnsi="Arial" w:cs="Arial"/>
        </w:rPr>
        <w:t xml:space="preserve">, Myers, and Allen, 2020). </w:t>
      </w:r>
    </w:p>
    <w:p w14:paraId="67AF2D04" w14:textId="77777777" w:rsidR="0096725B" w:rsidRPr="009E2403" w:rsidRDefault="00F30E26" w:rsidP="0031680A">
      <w:pPr>
        <w:pStyle w:val="Heading2"/>
        <w:rPr>
          <w:rFonts w:ascii="Arial" w:hAnsi="Arial" w:cs="Arial"/>
        </w:rPr>
      </w:pPr>
      <w:bookmarkStart w:id="22" w:name="_Toc214745414"/>
      <w:r w:rsidRPr="009E2403">
        <w:rPr>
          <w:rFonts w:ascii="Arial" w:hAnsi="Arial" w:cs="Arial"/>
        </w:rPr>
        <w:t>4.5 Internal Rate of Return-</w:t>
      </w:r>
      <w:r w:rsidR="00C0332A" w:rsidRPr="009E2403">
        <w:rPr>
          <w:rFonts w:ascii="Arial" w:hAnsi="Arial" w:cs="Arial"/>
        </w:rPr>
        <w:t>IRR</w:t>
      </w:r>
      <w:bookmarkEnd w:id="22"/>
    </w:p>
    <w:p w14:paraId="465EE804" w14:textId="77777777" w:rsidR="00567BA3" w:rsidRPr="009E2403" w:rsidRDefault="00323694" w:rsidP="00567BA3">
      <w:pPr>
        <w:spacing w:line="360" w:lineRule="auto"/>
        <w:jc w:val="both"/>
        <w:rPr>
          <w:rFonts w:ascii="Arial" w:hAnsi="Arial" w:cs="Arial"/>
        </w:rPr>
      </w:pPr>
      <w:r w:rsidRPr="009E2403">
        <w:rPr>
          <w:rFonts w:ascii="Arial" w:hAnsi="Arial" w:cs="Arial"/>
        </w:rPr>
        <w:t xml:space="preserve">As shown in </w:t>
      </w:r>
      <w:r w:rsidRPr="009E2403">
        <w:rPr>
          <w:rFonts w:ascii="Arial" w:hAnsi="Arial" w:cs="Arial"/>
          <w:b/>
        </w:rPr>
        <w:t>Appendix-V</w:t>
      </w:r>
      <w:r w:rsidRPr="009E2403">
        <w:rPr>
          <w:rFonts w:ascii="Arial" w:hAnsi="Arial" w:cs="Arial"/>
        </w:rPr>
        <w:t>, the c</w:t>
      </w:r>
      <w:r w:rsidR="00E41A5E" w:rsidRPr="009E2403">
        <w:rPr>
          <w:rFonts w:ascii="Arial" w:hAnsi="Arial" w:cs="Arial"/>
        </w:rPr>
        <w:t>omparable analysis of the internal rate of return (IRR) that calculates the discount rate that equals the NPV of a project gives a conflicting ranking, with Project B (14) taking first, Project A (10) second, and Project C (9) third. The main strength of IRR is that it is an intuitive percentage rate of return, which is easy to compare with the hurdle rate of a company, and it is easy to understand a company’s profitability in the context of the IRR (</w:t>
      </w:r>
      <w:r w:rsidR="00AF489C" w:rsidRPr="009E2403">
        <w:rPr>
          <w:rFonts w:ascii="Arial" w:hAnsi="Arial" w:cs="Arial"/>
          <w:color w:val="222222"/>
          <w:sz w:val="20"/>
          <w:szCs w:val="20"/>
          <w:shd w:val="clear" w:color="auto" w:fill="FFFFFF"/>
        </w:rPr>
        <w:t>Li, X., 2025;</w:t>
      </w:r>
      <w:r w:rsidR="00E41A5E" w:rsidRPr="009E2403">
        <w:rPr>
          <w:rFonts w:ascii="Arial" w:hAnsi="Arial" w:cs="Arial"/>
        </w:rPr>
        <w:t xml:space="preserve">Damodaran, 2012). </w:t>
      </w:r>
      <w:r w:rsidR="00C41CF0" w:rsidRPr="009E2403">
        <w:rPr>
          <w:rFonts w:ascii="Arial" w:hAnsi="Arial" w:cs="Arial"/>
        </w:rPr>
        <w:t>T</w:t>
      </w:r>
      <w:r w:rsidR="00E41A5E" w:rsidRPr="009E2403">
        <w:rPr>
          <w:rFonts w:ascii="Arial" w:hAnsi="Arial" w:cs="Arial"/>
        </w:rPr>
        <w:t>his case shows critical demerits of it. IRR is inaccurate with non-conventional cash flows or when the projects are mutually exclusive since it can falsely favour a smaller project with a higher percentage of returns over the larger project that generates a bigger absolute value, which is just what happened with Project A high IRR and negative NPV (</w:t>
      </w:r>
      <w:proofErr w:type="spellStart"/>
      <w:r w:rsidR="00E41A5E" w:rsidRPr="009E2403">
        <w:rPr>
          <w:rFonts w:ascii="Arial" w:hAnsi="Arial" w:cs="Arial"/>
        </w:rPr>
        <w:t>Brealey</w:t>
      </w:r>
      <w:proofErr w:type="spellEnd"/>
      <w:r w:rsidR="00E41A5E" w:rsidRPr="009E2403">
        <w:rPr>
          <w:rFonts w:ascii="Arial" w:hAnsi="Arial" w:cs="Arial"/>
        </w:rPr>
        <w:t>, Myers, and Allen, 2020). The ranking of the IRR is in this particular case of extreme financial distress is unsuitable and even hazardous. The adoption of Project B due to its high IRR would annihilate the value of 7.26 million pounds, which is an aggravating factor to the crisis facing the firm. Though IRR is a helpful supplemental tool, given the case of General Electronics, NPV and PI, which rightly designate Project C as the value-maximising decision, should prevail in the ultimate investment decision.</w:t>
      </w:r>
    </w:p>
    <w:p w14:paraId="41F7BB11" w14:textId="77777777" w:rsidR="00F770B5" w:rsidRPr="009E2403" w:rsidRDefault="00F30E26" w:rsidP="0031680A">
      <w:pPr>
        <w:pStyle w:val="Heading2"/>
        <w:rPr>
          <w:rFonts w:ascii="Arial" w:hAnsi="Arial" w:cs="Arial"/>
          <w:sz w:val="24"/>
        </w:rPr>
      </w:pPr>
      <w:bookmarkStart w:id="23" w:name="_Toc214745415"/>
      <w:r w:rsidRPr="009E2403">
        <w:rPr>
          <w:rFonts w:ascii="Arial" w:hAnsi="Arial" w:cs="Arial"/>
        </w:rPr>
        <w:t xml:space="preserve">4.6 </w:t>
      </w:r>
      <w:r w:rsidR="00567BA3" w:rsidRPr="009E2403">
        <w:rPr>
          <w:rFonts w:ascii="Arial" w:hAnsi="Arial" w:cs="Arial"/>
        </w:rPr>
        <w:t>Capital Rationing</w:t>
      </w:r>
      <w:bookmarkEnd w:id="23"/>
    </w:p>
    <w:p w14:paraId="57D05E4E" w14:textId="77777777" w:rsidR="00F138C1" w:rsidRPr="009E2403" w:rsidRDefault="00E41A5E" w:rsidP="00F138C1">
      <w:pPr>
        <w:spacing w:line="360" w:lineRule="auto"/>
        <w:jc w:val="both"/>
        <w:rPr>
          <w:rFonts w:ascii="Arial" w:hAnsi="Arial" w:cs="Arial"/>
          <w:lang w:val="en-US"/>
        </w:rPr>
      </w:pPr>
      <w:r w:rsidRPr="009E2403">
        <w:rPr>
          <w:rFonts w:ascii="Arial" w:hAnsi="Arial" w:cs="Arial"/>
        </w:rPr>
        <w:t xml:space="preserve">The overall conclusion to investing in the Project C (£50m) and Project A (40m) with the requirement of total investment of 90 million pounds was arrived at based on a synthesis of all the appraisal metrics and critical financial condition of General Electronics in the context of a capital limitation of a £60 million. Nonetheless, with the absolute limit of £60m, Project C is to be chosen. It is conclusively proven by its highest net present value of £4.23 </w:t>
      </w:r>
      <w:proofErr w:type="spellStart"/>
      <w:r w:rsidRPr="009E2403">
        <w:rPr>
          <w:rFonts w:ascii="Arial" w:hAnsi="Arial" w:cs="Arial"/>
        </w:rPr>
        <w:t>millen</w:t>
      </w:r>
      <w:proofErr w:type="spellEnd"/>
      <w:r w:rsidRPr="009E2403">
        <w:rPr>
          <w:rFonts w:ascii="Arial" w:hAnsi="Arial" w:cs="Arial"/>
        </w:rPr>
        <w:t xml:space="preserve"> and the highest profitability index of 8 per cent which clearly shows that it is the most efficient producer of absolute shareholder value per pound invested which is paramount in the firm that is destroying value by making operating losses (</w:t>
      </w:r>
      <w:proofErr w:type="spellStart"/>
      <w:r w:rsidRPr="009E2403">
        <w:rPr>
          <w:rFonts w:ascii="Arial" w:hAnsi="Arial" w:cs="Arial"/>
        </w:rPr>
        <w:t>Brealey</w:t>
      </w:r>
      <w:proofErr w:type="spellEnd"/>
      <w:r w:rsidRPr="009E2403">
        <w:rPr>
          <w:rFonts w:ascii="Arial" w:hAnsi="Arial" w:cs="Arial"/>
        </w:rPr>
        <w:t>, Myers, and Allen, 2020). Project A has a shorter payback period (3.4 years) that is appealing to liquidity, but lower value generation during NPV (£1.32 m) and PI (3 percent). Project B should be rejected even with its high IRR, because its negative NPV would increase the financial sufferings of the firm (Ross, Westerfield, and Jaffe, 2019). Project C has more volatile cash flows, but it has high returns in the later years of the year, which are necessary to fund the long-term turnaround, and Project A has decreasing cash flows, which provide less strategic benefits. To a business with a negative Altman Z -score, taking anything lower than the maximum absolute value addition (NPV) is an unsustainable risk and thus, Project C is the only option that can be taken to start financial recovery</w:t>
      </w:r>
      <w:r w:rsidR="00BF3C9B" w:rsidRPr="009E2403">
        <w:rPr>
          <w:rFonts w:ascii="Arial" w:hAnsi="Arial" w:cs="Arial"/>
        </w:rPr>
        <w:t>.</w:t>
      </w:r>
    </w:p>
    <w:p w14:paraId="6FBEBC16" w14:textId="77777777" w:rsidR="005468AC" w:rsidRPr="009E2403" w:rsidRDefault="0031680A" w:rsidP="008635B5">
      <w:pPr>
        <w:pStyle w:val="Heading1"/>
        <w:rPr>
          <w:rFonts w:ascii="Arial" w:hAnsi="Arial" w:cs="Arial"/>
        </w:rPr>
      </w:pPr>
      <w:bookmarkStart w:id="24" w:name="_Toc214745416"/>
      <w:r w:rsidRPr="009E2403">
        <w:rPr>
          <w:rFonts w:ascii="Arial" w:hAnsi="Arial" w:cs="Arial"/>
        </w:rPr>
        <w:t xml:space="preserve">5. </w:t>
      </w:r>
      <w:r w:rsidR="005468AC" w:rsidRPr="009E2403">
        <w:rPr>
          <w:rFonts w:ascii="Arial" w:hAnsi="Arial" w:cs="Arial"/>
        </w:rPr>
        <w:t>Conclusion</w:t>
      </w:r>
      <w:bookmarkEnd w:id="24"/>
      <w:r w:rsidR="005468AC" w:rsidRPr="009E2403">
        <w:rPr>
          <w:rFonts w:ascii="Arial" w:hAnsi="Arial" w:cs="Arial"/>
        </w:rPr>
        <w:t xml:space="preserve"> </w:t>
      </w:r>
    </w:p>
    <w:p w14:paraId="03428B76" w14:textId="77777777" w:rsidR="00F770B5" w:rsidRPr="009E2403" w:rsidRDefault="00E41A5E" w:rsidP="005468AC">
      <w:pPr>
        <w:spacing w:line="360" w:lineRule="auto"/>
        <w:jc w:val="both"/>
        <w:rPr>
          <w:rFonts w:ascii="Arial" w:hAnsi="Arial" w:cs="Arial"/>
          <w:lang w:val="en-US"/>
        </w:rPr>
      </w:pPr>
      <w:r w:rsidRPr="009E2403">
        <w:rPr>
          <w:rFonts w:ascii="Arial" w:hAnsi="Arial" w:cs="Arial"/>
        </w:rPr>
        <w:t>General Electronics needs a multi-pronged turnaround, which is urgently needed because the company is in serious financial crisis. This will require vigorous working-capital changes to reduce the cash cycle and a reorganisation of the company through divestiture and capital injection to stabilise the balance sheet. At a capital ration of 60m, the investment decision that is final is Project C, as it has the highest net present value to stimulate recovery. Such a combined approach, with liquidity, operational efficiency, and value-accretive investment as its priorities, is what is required to help the company get out of the distress area and re-establish long-term solvency and shareholder confidence</w:t>
      </w:r>
      <w:r w:rsidR="00BF3C9B" w:rsidRPr="009E2403">
        <w:rPr>
          <w:rFonts w:ascii="Arial" w:hAnsi="Arial" w:cs="Arial"/>
        </w:rPr>
        <w:t>.</w:t>
      </w:r>
    </w:p>
    <w:p w14:paraId="2AECDDE6" w14:textId="77777777" w:rsidR="00513965" w:rsidRPr="009E2403" w:rsidRDefault="00513965">
      <w:pPr>
        <w:rPr>
          <w:rFonts w:ascii="Arial" w:eastAsiaTheme="majorEastAsia" w:hAnsi="Arial" w:cs="Arial"/>
          <w:b/>
          <w:bCs/>
          <w:color w:val="2E74B5" w:themeColor="accent1" w:themeShade="BF"/>
          <w:sz w:val="24"/>
          <w:szCs w:val="28"/>
        </w:rPr>
      </w:pPr>
      <w:r w:rsidRPr="009E2403">
        <w:rPr>
          <w:rFonts w:ascii="Arial" w:hAnsi="Arial" w:cs="Arial"/>
          <w:sz w:val="20"/>
        </w:rPr>
        <w:br w:type="page"/>
      </w:r>
    </w:p>
    <w:p w14:paraId="5C098497" w14:textId="77777777" w:rsidR="008E3138" w:rsidRPr="009E2403" w:rsidRDefault="004561EB" w:rsidP="000B5FFF">
      <w:pPr>
        <w:pStyle w:val="Heading1"/>
        <w:jc w:val="both"/>
        <w:rPr>
          <w:rFonts w:ascii="Arial" w:hAnsi="Arial" w:cs="Arial"/>
        </w:rPr>
      </w:pPr>
      <w:bookmarkStart w:id="25" w:name="_Toc214745417"/>
      <w:r w:rsidRPr="009E2403">
        <w:rPr>
          <w:rFonts w:ascii="Arial" w:hAnsi="Arial" w:cs="Arial"/>
        </w:rPr>
        <w:t>References</w:t>
      </w:r>
      <w:bookmarkEnd w:id="25"/>
    </w:p>
    <w:p w14:paraId="743082FF" w14:textId="77777777" w:rsidR="00BA0FA5" w:rsidRPr="009E2403" w:rsidRDefault="00A80DAA" w:rsidP="00A80DAA">
      <w:pPr>
        <w:pStyle w:val="NormalWeb"/>
        <w:tabs>
          <w:tab w:val="left" w:pos="1155"/>
        </w:tabs>
        <w:spacing w:before="0" w:beforeAutospacing="0" w:line="360" w:lineRule="auto"/>
        <w:rPr>
          <w:rFonts w:ascii="Arial" w:hAnsi="Arial" w:cs="Arial"/>
          <w:color w:val="404040"/>
        </w:rPr>
      </w:pPr>
      <w:r w:rsidRPr="009E2403">
        <w:rPr>
          <w:rFonts w:ascii="Arial" w:hAnsi="Arial" w:cs="Arial"/>
          <w:color w:val="404040"/>
        </w:rPr>
        <w:tab/>
      </w:r>
    </w:p>
    <w:p w14:paraId="041E714B"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Altman, E.I. (1968) 'Financial Ratios, Discriminant Analysis and the Prediction of Corporate Bankruptcy', </w:t>
      </w:r>
      <w:r w:rsidRPr="009E2403">
        <w:rPr>
          <w:rStyle w:val="Emphasis"/>
          <w:rFonts w:ascii="Arial" w:hAnsi="Arial" w:cs="Arial"/>
          <w:sz w:val="22"/>
          <w:szCs w:val="22"/>
        </w:rPr>
        <w:t>The Journal of Finance</w:t>
      </w:r>
      <w:r w:rsidRPr="009E2403">
        <w:rPr>
          <w:rFonts w:ascii="Arial" w:hAnsi="Arial" w:cs="Arial"/>
          <w:sz w:val="22"/>
          <w:szCs w:val="22"/>
        </w:rPr>
        <w:t>, 23(4), pp. 589-609.</w:t>
      </w:r>
    </w:p>
    <w:p w14:paraId="1EECF914"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Atkinson, A.A., Kaplan, R.S., Matsumura, E.M. &amp; Young, S.M. (2012) </w:t>
      </w:r>
      <w:r w:rsidRPr="009E2403">
        <w:rPr>
          <w:rStyle w:val="Emphasis"/>
          <w:rFonts w:ascii="Arial" w:hAnsi="Arial" w:cs="Arial"/>
          <w:sz w:val="22"/>
          <w:szCs w:val="22"/>
        </w:rPr>
        <w:t>Management Accounting: Information for Decision-Making and Strategy Execution</w:t>
      </w:r>
      <w:r w:rsidRPr="009E2403">
        <w:rPr>
          <w:rFonts w:ascii="Arial" w:hAnsi="Arial" w:cs="Arial"/>
          <w:sz w:val="22"/>
          <w:szCs w:val="22"/>
        </w:rPr>
        <w:t xml:space="preserve">. 6th </w:t>
      </w:r>
      <w:proofErr w:type="spellStart"/>
      <w:r w:rsidRPr="009E2403">
        <w:rPr>
          <w:rFonts w:ascii="Arial" w:hAnsi="Arial" w:cs="Arial"/>
          <w:sz w:val="22"/>
          <w:szCs w:val="22"/>
        </w:rPr>
        <w:t>edn</w:t>
      </w:r>
      <w:proofErr w:type="spellEnd"/>
      <w:r w:rsidRPr="009E2403">
        <w:rPr>
          <w:rFonts w:ascii="Arial" w:hAnsi="Arial" w:cs="Arial"/>
          <w:sz w:val="22"/>
          <w:szCs w:val="22"/>
        </w:rPr>
        <w:t>. London: Pearson.</w:t>
      </w:r>
    </w:p>
    <w:p w14:paraId="041C3BE7"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Atrill</w:t>
      </w:r>
      <w:proofErr w:type="spellEnd"/>
      <w:r w:rsidRPr="009E2403">
        <w:rPr>
          <w:rFonts w:ascii="Arial" w:hAnsi="Arial" w:cs="Arial"/>
          <w:sz w:val="22"/>
          <w:szCs w:val="22"/>
        </w:rPr>
        <w:t>, P. &amp; McLaney, E. (2022) </w:t>
      </w:r>
      <w:r w:rsidRPr="009E2403">
        <w:rPr>
          <w:rStyle w:val="Emphasis"/>
          <w:rFonts w:ascii="Arial" w:hAnsi="Arial" w:cs="Arial"/>
          <w:sz w:val="22"/>
          <w:szCs w:val="22"/>
        </w:rPr>
        <w:t>Management Accounting for Decision Makers</w:t>
      </w:r>
      <w:r w:rsidRPr="009E2403">
        <w:rPr>
          <w:rFonts w:ascii="Arial" w:hAnsi="Arial" w:cs="Arial"/>
          <w:sz w:val="22"/>
          <w:szCs w:val="22"/>
        </w:rPr>
        <w:t xml:space="preserve">. 10th </w:t>
      </w:r>
      <w:proofErr w:type="spellStart"/>
      <w:r w:rsidRPr="009E2403">
        <w:rPr>
          <w:rFonts w:ascii="Arial" w:hAnsi="Arial" w:cs="Arial"/>
          <w:sz w:val="22"/>
          <w:szCs w:val="22"/>
        </w:rPr>
        <w:t>edn</w:t>
      </w:r>
      <w:proofErr w:type="spellEnd"/>
      <w:r w:rsidRPr="009E2403">
        <w:rPr>
          <w:rFonts w:ascii="Arial" w:hAnsi="Arial" w:cs="Arial"/>
          <w:sz w:val="22"/>
          <w:szCs w:val="22"/>
        </w:rPr>
        <w:t>. Harlow: Pearson.</w:t>
      </w:r>
    </w:p>
    <w:p w14:paraId="4A32B2E8"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Bartram, S.M. (2022) 'Corporate Hedging and Speculation in Integrated Markets', </w:t>
      </w:r>
      <w:r w:rsidRPr="009E2403">
        <w:rPr>
          <w:rStyle w:val="Emphasis"/>
          <w:rFonts w:ascii="Arial" w:hAnsi="Arial" w:cs="Arial"/>
          <w:sz w:val="22"/>
          <w:szCs w:val="22"/>
        </w:rPr>
        <w:t>Journal of Corporate Finance</w:t>
      </w:r>
      <w:r w:rsidRPr="009E2403">
        <w:rPr>
          <w:rFonts w:ascii="Arial" w:hAnsi="Arial" w:cs="Arial"/>
          <w:sz w:val="22"/>
          <w:szCs w:val="22"/>
        </w:rPr>
        <w:t>, 75, p. 102245.</w:t>
      </w:r>
    </w:p>
    <w:p w14:paraId="16064BA5"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 xml:space="preserve">Beaver, W.H., </w:t>
      </w:r>
      <w:proofErr w:type="spellStart"/>
      <w:r w:rsidRPr="009E2403">
        <w:rPr>
          <w:rFonts w:ascii="Arial" w:hAnsi="Arial" w:cs="Arial"/>
          <w:sz w:val="22"/>
          <w:szCs w:val="22"/>
        </w:rPr>
        <w:t>Correia</w:t>
      </w:r>
      <w:proofErr w:type="spellEnd"/>
      <w:r w:rsidRPr="009E2403">
        <w:rPr>
          <w:rFonts w:ascii="Arial" w:hAnsi="Arial" w:cs="Arial"/>
          <w:sz w:val="22"/>
          <w:szCs w:val="22"/>
        </w:rPr>
        <w:t xml:space="preserve">, M. &amp; </w:t>
      </w:r>
      <w:proofErr w:type="spellStart"/>
      <w:r w:rsidRPr="009E2403">
        <w:rPr>
          <w:rFonts w:ascii="Arial" w:hAnsi="Arial" w:cs="Arial"/>
          <w:sz w:val="22"/>
          <w:szCs w:val="22"/>
        </w:rPr>
        <w:t>McNichols</w:t>
      </w:r>
      <w:proofErr w:type="spellEnd"/>
      <w:r w:rsidRPr="009E2403">
        <w:rPr>
          <w:rFonts w:ascii="Arial" w:hAnsi="Arial" w:cs="Arial"/>
          <w:sz w:val="22"/>
          <w:szCs w:val="22"/>
        </w:rPr>
        <w:t>, M.F. (2010) 'Financial Statement Analysis and the Prediction of Financial Distress', </w:t>
      </w:r>
      <w:r w:rsidRPr="009E2403">
        <w:rPr>
          <w:rStyle w:val="Emphasis"/>
          <w:rFonts w:ascii="Arial" w:hAnsi="Arial" w:cs="Arial"/>
          <w:sz w:val="22"/>
          <w:szCs w:val="22"/>
        </w:rPr>
        <w:t>Foundations and Trends in Accounting</w:t>
      </w:r>
      <w:r w:rsidRPr="009E2403">
        <w:rPr>
          <w:rFonts w:ascii="Arial" w:hAnsi="Arial" w:cs="Arial"/>
          <w:sz w:val="22"/>
          <w:szCs w:val="22"/>
        </w:rPr>
        <w:t>, 5(2), pp. 99-173.</w:t>
      </w:r>
    </w:p>
    <w:p w14:paraId="0A90B8DC"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 xml:space="preserve">Berk, J.B. &amp; </w:t>
      </w:r>
      <w:proofErr w:type="spellStart"/>
      <w:r w:rsidRPr="009E2403">
        <w:rPr>
          <w:rFonts w:ascii="Arial" w:hAnsi="Arial" w:cs="Arial"/>
          <w:sz w:val="22"/>
          <w:szCs w:val="22"/>
        </w:rPr>
        <w:t>DeMarzo</w:t>
      </w:r>
      <w:proofErr w:type="spellEnd"/>
      <w:r w:rsidRPr="009E2403">
        <w:rPr>
          <w:rFonts w:ascii="Arial" w:hAnsi="Arial" w:cs="Arial"/>
          <w:sz w:val="22"/>
          <w:szCs w:val="22"/>
        </w:rPr>
        <w:t>, P.M. (2023) </w:t>
      </w:r>
      <w:r w:rsidRPr="009E2403">
        <w:rPr>
          <w:rStyle w:val="Emphasis"/>
          <w:rFonts w:ascii="Arial" w:hAnsi="Arial" w:cs="Arial"/>
          <w:sz w:val="22"/>
          <w:szCs w:val="22"/>
        </w:rPr>
        <w:t>Corporate Finance</w:t>
      </w:r>
      <w:r w:rsidRPr="009E2403">
        <w:rPr>
          <w:rFonts w:ascii="Arial" w:hAnsi="Arial" w:cs="Arial"/>
          <w:sz w:val="22"/>
          <w:szCs w:val="22"/>
        </w:rPr>
        <w:t xml:space="preserve">. 5th </w:t>
      </w:r>
      <w:proofErr w:type="spellStart"/>
      <w:r w:rsidRPr="009E2403">
        <w:rPr>
          <w:rFonts w:ascii="Arial" w:hAnsi="Arial" w:cs="Arial"/>
          <w:sz w:val="22"/>
          <w:szCs w:val="22"/>
        </w:rPr>
        <w:t>edn</w:t>
      </w:r>
      <w:proofErr w:type="spellEnd"/>
      <w:r w:rsidRPr="009E2403">
        <w:rPr>
          <w:rFonts w:ascii="Arial" w:hAnsi="Arial" w:cs="Arial"/>
          <w:sz w:val="22"/>
          <w:szCs w:val="22"/>
        </w:rPr>
        <w:t>. Harlow: Pearson.</w:t>
      </w:r>
    </w:p>
    <w:p w14:paraId="6D108113"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Bodie, Z., Kane, A. &amp; Marcus, A.J. (2014) </w:t>
      </w:r>
      <w:r w:rsidRPr="009E2403">
        <w:rPr>
          <w:rStyle w:val="Emphasis"/>
          <w:rFonts w:ascii="Arial" w:hAnsi="Arial" w:cs="Arial"/>
          <w:sz w:val="22"/>
          <w:szCs w:val="22"/>
        </w:rPr>
        <w:t>Investments</w:t>
      </w:r>
      <w:r w:rsidRPr="009E2403">
        <w:rPr>
          <w:rFonts w:ascii="Arial" w:hAnsi="Arial" w:cs="Arial"/>
          <w:sz w:val="22"/>
          <w:szCs w:val="22"/>
        </w:rPr>
        <w:t xml:space="preserve">. 10th </w:t>
      </w:r>
      <w:proofErr w:type="spellStart"/>
      <w:r w:rsidRPr="009E2403">
        <w:rPr>
          <w:rFonts w:ascii="Arial" w:hAnsi="Arial" w:cs="Arial"/>
          <w:sz w:val="22"/>
          <w:szCs w:val="22"/>
        </w:rPr>
        <w:t>edn</w:t>
      </w:r>
      <w:proofErr w:type="spellEnd"/>
      <w:r w:rsidRPr="009E2403">
        <w:rPr>
          <w:rFonts w:ascii="Arial" w:hAnsi="Arial" w:cs="Arial"/>
          <w:sz w:val="22"/>
          <w:szCs w:val="22"/>
        </w:rPr>
        <w:t>. New York: McGraw-Hill Education.</w:t>
      </w:r>
    </w:p>
    <w:p w14:paraId="2D3495BD"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Brealey</w:t>
      </w:r>
      <w:proofErr w:type="spellEnd"/>
      <w:r w:rsidRPr="009E2403">
        <w:rPr>
          <w:rFonts w:ascii="Arial" w:hAnsi="Arial" w:cs="Arial"/>
          <w:sz w:val="22"/>
          <w:szCs w:val="22"/>
        </w:rPr>
        <w:t>, R.A., Myers, S.C. &amp; Allen, F. (2020) </w:t>
      </w:r>
      <w:r w:rsidRPr="009E2403">
        <w:rPr>
          <w:rStyle w:val="Emphasis"/>
          <w:rFonts w:ascii="Arial" w:hAnsi="Arial" w:cs="Arial"/>
          <w:sz w:val="22"/>
          <w:szCs w:val="22"/>
        </w:rPr>
        <w:t>Principles of Corporate Finance</w:t>
      </w:r>
      <w:r w:rsidRPr="009E2403">
        <w:rPr>
          <w:rFonts w:ascii="Arial" w:hAnsi="Arial" w:cs="Arial"/>
          <w:sz w:val="22"/>
          <w:szCs w:val="22"/>
        </w:rPr>
        <w:t xml:space="preserve">. 13th </w:t>
      </w:r>
      <w:proofErr w:type="spellStart"/>
      <w:r w:rsidRPr="009E2403">
        <w:rPr>
          <w:rFonts w:ascii="Arial" w:hAnsi="Arial" w:cs="Arial"/>
          <w:sz w:val="22"/>
          <w:szCs w:val="22"/>
        </w:rPr>
        <w:t>edn</w:t>
      </w:r>
      <w:proofErr w:type="spellEnd"/>
      <w:r w:rsidRPr="009E2403">
        <w:rPr>
          <w:rFonts w:ascii="Arial" w:hAnsi="Arial" w:cs="Arial"/>
          <w:sz w:val="22"/>
          <w:szCs w:val="22"/>
        </w:rPr>
        <w:t>. New York: McGraw-Hill Education.</w:t>
      </w:r>
    </w:p>
    <w:p w14:paraId="5561336C"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 xml:space="preserve">Brigham, E.F. &amp; </w:t>
      </w:r>
      <w:proofErr w:type="spellStart"/>
      <w:r w:rsidRPr="009E2403">
        <w:rPr>
          <w:rFonts w:ascii="Arial" w:hAnsi="Arial" w:cs="Arial"/>
          <w:sz w:val="22"/>
          <w:szCs w:val="22"/>
        </w:rPr>
        <w:t>Ehrhardt</w:t>
      </w:r>
      <w:proofErr w:type="spellEnd"/>
      <w:r w:rsidRPr="009E2403">
        <w:rPr>
          <w:rFonts w:ascii="Arial" w:hAnsi="Arial" w:cs="Arial"/>
          <w:sz w:val="22"/>
          <w:szCs w:val="22"/>
        </w:rPr>
        <w:t>, M.C. (2021) </w:t>
      </w:r>
      <w:r w:rsidRPr="009E2403">
        <w:rPr>
          <w:rStyle w:val="Emphasis"/>
          <w:rFonts w:ascii="Arial" w:hAnsi="Arial" w:cs="Arial"/>
          <w:sz w:val="22"/>
          <w:szCs w:val="22"/>
        </w:rPr>
        <w:t>Financial Management: Theory &amp; Practice</w:t>
      </w:r>
      <w:r w:rsidRPr="009E2403">
        <w:rPr>
          <w:rFonts w:ascii="Arial" w:hAnsi="Arial" w:cs="Arial"/>
          <w:sz w:val="22"/>
          <w:szCs w:val="22"/>
        </w:rPr>
        <w:t xml:space="preserve">. 16th </w:t>
      </w:r>
      <w:proofErr w:type="spellStart"/>
      <w:r w:rsidRPr="009E2403">
        <w:rPr>
          <w:rFonts w:ascii="Arial" w:hAnsi="Arial" w:cs="Arial"/>
          <w:sz w:val="22"/>
          <w:szCs w:val="22"/>
        </w:rPr>
        <w:t>edn</w:t>
      </w:r>
      <w:proofErr w:type="spellEnd"/>
      <w:r w:rsidRPr="009E2403">
        <w:rPr>
          <w:rFonts w:ascii="Arial" w:hAnsi="Arial" w:cs="Arial"/>
          <w:sz w:val="22"/>
          <w:szCs w:val="22"/>
        </w:rPr>
        <w:t>. Boston: Cengage Learning.</w:t>
      </w:r>
    </w:p>
    <w:p w14:paraId="0CFEA62E"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Bundy, J. (2022) 'Stakeholder Perceptions of Organizational Legitimacy during a Crisis', </w:t>
      </w:r>
      <w:r w:rsidRPr="009E2403">
        <w:rPr>
          <w:rStyle w:val="Emphasis"/>
          <w:rFonts w:ascii="Arial" w:hAnsi="Arial" w:cs="Arial"/>
          <w:sz w:val="22"/>
          <w:szCs w:val="22"/>
        </w:rPr>
        <w:t>Academy of Management Review</w:t>
      </w:r>
      <w:r w:rsidRPr="009E2403">
        <w:rPr>
          <w:rFonts w:ascii="Arial" w:hAnsi="Arial" w:cs="Arial"/>
          <w:sz w:val="22"/>
          <w:szCs w:val="22"/>
        </w:rPr>
        <w:t>, 47(1), pp. 109-131.</w:t>
      </w:r>
    </w:p>
    <w:p w14:paraId="2039F46D"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Damodaran</w:t>
      </w:r>
      <w:proofErr w:type="spellEnd"/>
      <w:r w:rsidRPr="009E2403">
        <w:rPr>
          <w:rFonts w:ascii="Arial" w:hAnsi="Arial" w:cs="Arial"/>
          <w:sz w:val="22"/>
          <w:szCs w:val="22"/>
        </w:rPr>
        <w:t>, A. (2012) </w:t>
      </w:r>
      <w:r w:rsidRPr="009E2403">
        <w:rPr>
          <w:rStyle w:val="Emphasis"/>
          <w:rFonts w:ascii="Arial" w:hAnsi="Arial" w:cs="Arial"/>
          <w:sz w:val="22"/>
          <w:szCs w:val="22"/>
        </w:rPr>
        <w:t>Investment Valuation: Tools and Techniques for Determining the Value of Any Asset</w:t>
      </w:r>
      <w:r w:rsidRPr="009E2403">
        <w:rPr>
          <w:rFonts w:ascii="Arial" w:hAnsi="Arial" w:cs="Arial"/>
          <w:sz w:val="22"/>
          <w:szCs w:val="22"/>
        </w:rPr>
        <w:t xml:space="preserve">. 3rd </w:t>
      </w:r>
      <w:proofErr w:type="spellStart"/>
      <w:r w:rsidRPr="009E2403">
        <w:rPr>
          <w:rFonts w:ascii="Arial" w:hAnsi="Arial" w:cs="Arial"/>
          <w:sz w:val="22"/>
          <w:szCs w:val="22"/>
        </w:rPr>
        <w:t>edn</w:t>
      </w:r>
      <w:proofErr w:type="spellEnd"/>
      <w:r w:rsidRPr="009E2403">
        <w:rPr>
          <w:rFonts w:ascii="Arial" w:hAnsi="Arial" w:cs="Arial"/>
          <w:sz w:val="22"/>
          <w:szCs w:val="22"/>
        </w:rPr>
        <w:t>. Hoboken: John Wiley &amp; Sons.</w:t>
      </w:r>
    </w:p>
    <w:p w14:paraId="6A62B889"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Dharmapala</w:t>
      </w:r>
      <w:proofErr w:type="spellEnd"/>
      <w:r w:rsidRPr="009E2403">
        <w:rPr>
          <w:rFonts w:ascii="Arial" w:hAnsi="Arial" w:cs="Arial"/>
          <w:sz w:val="22"/>
          <w:szCs w:val="22"/>
        </w:rPr>
        <w:t>, D. (2023) 'The Economics of Corporate and Business Tax Reform', </w:t>
      </w:r>
      <w:r w:rsidRPr="009E2403">
        <w:rPr>
          <w:rStyle w:val="Emphasis"/>
          <w:rFonts w:ascii="Arial" w:hAnsi="Arial" w:cs="Arial"/>
          <w:sz w:val="22"/>
          <w:szCs w:val="22"/>
        </w:rPr>
        <w:t>Journal of Economic Literature</w:t>
      </w:r>
      <w:r w:rsidRPr="009E2403">
        <w:rPr>
          <w:rFonts w:ascii="Arial" w:hAnsi="Arial" w:cs="Arial"/>
          <w:sz w:val="22"/>
          <w:szCs w:val="22"/>
        </w:rPr>
        <w:t>, 61(1), pp. 133-178.</w:t>
      </w:r>
    </w:p>
    <w:p w14:paraId="684E4FC9"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Drury, C. (2021) </w:t>
      </w:r>
      <w:r w:rsidRPr="009E2403">
        <w:rPr>
          <w:rStyle w:val="Emphasis"/>
          <w:rFonts w:ascii="Arial" w:hAnsi="Arial" w:cs="Arial"/>
          <w:sz w:val="22"/>
          <w:szCs w:val="22"/>
        </w:rPr>
        <w:t>Management and Cost Accounting</w:t>
      </w:r>
      <w:r w:rsidRPr="009E2403">
        <w:rPr>
          <w:rFonts w:ascii="Arial" w:hAnsi="Arial" w:cs="Arial"/>
          <w:sz w:val="22"/>
          <w:szCs w:val="22"/>
        </w:rPr>
        <w:t xml:space="preserve">. 11th </w:t>
      </w:r>
      <w:proofErr w:type="spellStart"/>
      <w:r w:rsidRPr="009E2403">
        <w:rPr>
          <w:rFonts w:ascii="Arial" w:hAnsi="Arial" w:cs="Arial"/>
          <w:sz w:val="22"/>
          <w:szCs w:val="22"/>
        </w:rPr>
        <w:t>edn</w:t>
      </w:r>
      <w:proofErr w:type="spellEnd"/>
      <w:r w:rsidRPr="009E2403">
        <w:rPr>
          <w:rFonts w:ascii="Arial" w:hAnsi="Arial" w:cs="Arial"/>
          <w:sz w:val="22"/>
          <w:szCs w:val="22"/>
        </w:rPr>
        <w:t>. Andover: Cengage Learning.</w:t>
      </w:r>
    </w:p>
    <w:p w14:paraId="1F57C111"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Eccles, R.G. (2020) 'The Value of ESG Data and Ratings', </w:t>
      </w:r>
      <w:r w:rsidRPr="009E2403">
        <w:rPr>
          <w:rStyle w:val="Emphasis"/>
          <w:rFonts w:ascii="Arial" w:hAnsi="Arial" w:cs="Arial"/>
          <w:sz w:val="22"/>
          <w:szCs w:val="22"/>
        </w:rPr>
        <w:t>MIT Sloan Management Review</w:t>
      </w:r>
      <w:r w:rsidRPr="009E2403">
        <w:rPr>
          <w:rFonts w:ascii="Arial" w:hAnsi="Arial" w:cs="Arial"/>
          <w:sz w:val="22"/>
          <w:szCs w:val="22"/>
        </w:rPr>
        <w:t>, 61(3), pp. 1-7.</w:t>
      </w:r>
    </w:p>
    <w:p w14:paraId="04966400"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Eckbo</w:t>
      </w:r>
      <w:proofErr w:type="spellEnd"/>
      <w:r w:rsidRPr="009E2403">
        <w:rPr>
          <w:rFonts w:ascii="Arial" w:hAnsi="Arial" w:cs="Arial"/>
          <w:sz w:val="22"/>
          <w:szCs w:val="22"/>
        </w:rPr>
        <w:t>, B.E. &amp; Thorburn, K.S. (2022) 'Corporate Restructuring and Bondholder Wealth', </w:t>
      </w:r>
      <w:r w:rsidRPr="009E2403">
        <w:rPr>
          <w:rStyle w:val="Emphasis"/>
          <w:rFonts w:ascii="Arial" w:hAnsi="Arial" w:cs="Arial"/>
          <w:sz w:val="22"/>
          <w:szCs w:val="22"/>
        </w:rPr>
        <w:t>Journal of Financial Economics</w:t>
      </w:r>
      <w:r w:rsidRPr="009E2403">
        <w:rPr>
          <w:rFonts w:ascii="Arial" w:hAnsi="Arial" w:cs="Arial"/>
          <w:sz w:val="22"/>
          <w:szCs w:val="22"/>
        </w:rPr>
        <w:t>, 144(2), pp. 507-529.</w:t>
      </w:r>
    </w:p>
    <w:p w14:paraId="1886F7AB"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shd w:val="clear" w:color="auto" w:fill="FFFFFF"/>
        </w:rPr>
        <w:t xml:space="preserve">Florio, M., Forte, S. and </w:t>
      </w:r>
      <w:proofErr w:type="spellStart"/>
      <w:r w:rsidRPr="009E2403">
        <w:rPr>
          <w:rFonts w:ascii="Arial" w:hAnsi="Arial" w:cs="Arial"/>
          <w:sz w:val="22"/>
          <w:szCs w:val="22"/>
          <w:shd w:val="clear" w:color="auto" w:fill="FFFFFF"/>
        </w:rPr>
        <w:t>Sirtori</w:t>
      </w:r>
      <w:proofErr w:type="spellEnd"/>
      <w:r w:rsidRPr="009E2403">
        <w:rPr>
          <w:rFonts w:ascii="Arial" w:hAnsi="Arial" w:cs="Arial"/>
          <w:sz w:val="22"/>
          <w:szCs w:val="22"/>
          <w:shd w:val="clear" w:color="auto" w:fill="FFFFFF"/>
        </w:rPr>
        <w:t>, E., 2016. Forecasting the socio-economic impact of the Large Hadron Collider: A cost–benefit analysis to 2025 and beyond. </w:t>
      </w:r>
      <w:r w:rsidRPr="009E2403">
        <w:rPr>
          <w:rFonts w:ascii="Arial" w:hAnsi="Arial" w:cs="Arial"/>
          <w:i/>
          <w:iCs/>
          <w:sz w:val="22"/>
          <w:szCs w:val="22"/>
          <w:shd w:val="clear" w:color="auto" w:fill="FFFFFF"/>
        </w:rPr>
        <w:t>Technological Forecasting and Social Change</w:t>
      </w:r>
      <w:r w:rsidRPr="009E2403">
        <w:rPr>
          <w:rFonts w:ascii="Arial" w:hAnsi="Arial" w:cs="Arial"/>
          <w:sz w:val="22"/>
          <w:szCs w:val="22"/>
          <w:shd w:val="clear" w:color="auto" w:fill="FFFFFF"/>
        </w:rPr>
        <w:t>, </w:t>
      </w:r>
      <w:r w:rsidRPr="009E2403">
        <w:rPr>
          <w:rFonts w:ascii="Arial" w:hAnsi="Arial" w:cs="Arial"/>
          <w:i/>
          <w:iCs/>
          <w:sz w:val="22"/>
          <w:szCs w:val="22"/>
          <w:shd w:val="clear" w:color="auto" w:fill="FFFFFF"/>
        </w:rPr>
        <w:t>112</w:t>
      </w:r>
      <w:r w:rsidRPr="009E2403">
        <w:rPr>
          <w:rFonts w:ascii="Arial" w:hAnsi="Arial" w:cs="Arial"/>
          <w:sz w:val="22"/>
          <w:szCs w:val="22"/>
          <w:shd w:val="clear" w:color="auto" w:fill="FFFFFF"/>
        </w:rPr>
        <w:t>, pp.38-53.</w:t>
      </w:r>
    </w:p>
    <w:p w14:paraId="0CD82049"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shd w:val="clear" w:color="auto" w:fill="FFFFFF"/>
        </w:rPr>
        <w:t xml:space="preserve">Florio, M., Forte, S. and </w:t>
      </w:r>
      <w:proofErr w:type="spellStart"/>
      <w:r w:rsidRPr="009E2403">
        <w:rPr>
          <w:rFonts w:ascii="Arial" w:hAnsi="Arial" w:cs="Arial"/>
          <w:sz w:val="22"/>
          <w:szCs w:val="22"/>
          <w:shd w:val="clear" w:color="auto" w:fill="FFFFFF"/>
        </w:rPr>
        <w:t>Sirtori</w:t>
      </w:r>
      <w:proofErr w:type="spellEnd"/>
      <w:r w:rsidRPr="009E2403">
        <w:rPr>
          <w:rFonts w:ascii="Arial" w:hAnsi="Arial" w:cs="Arial"/>
          <w:sz w:val="22"/>
          <w:szCs w:val="22"/>
          <w:shd w:val="clear" w:color="auto" w:fill="FFFFFF"/>
        </w:rPr>
        <w:t>, E., 2015. Cost-benefit analysis of the large hadron collider to 2025 and beyond. </w:t>
      </w:r>
      <w:r w:rsidRPr="009E2403">
        <w:rPr>
          <w:rFonts w:ascii="Arial" w:hAnsi="Arial" w:cs="Arial"/>
          <w:i/>
          <w:iCs/>
          <w:sz w:val="22"/>
          <w:szCs w:val="22"/>
          <w:shd w:val="clear" w:color="auto" w:fill="FFFFFF"/>
        </w:rPr>
        <w:t>arXiv preprint arXiv:1507.05638</w:t>
      </w:r>
      <w:r w:rsidRPr="009E2403">
        <w:rPr>
          <w:rFonts w:ascii="Arial" w:hAnsi="Arial" w:cs="Arial"/>
          <w:sz w:val="22"/>
          <w:szCs w:val="22"/>
          <w:shd w:val="clear" w:color="auto" w:fill="FFFFFF"/>
        </w:rPr>
        <w:t>.</w:t>
      </w:r>
    </w:p>
    <w:p w14:paraId="5A5B36BB"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Garcia-Teruel</w:t>
      </w:r>
      <w:proofErr w:type="spellEnd"/>
      <w:r w:rsidRPr="009E2403">
        <w:rPr>
          <w:rFonts w:ascii="Arial" w:hAnsi="Arial" w:cs="Arial"/>
          <w:sz w:val="22"/>
          <w:szCs w:val="22"/>
        </w:rPr>
        <w:t>, P.J. &amp; Martinez-Solano, P. (2020) 'Effects of Working Capital Management on SME Profitability', </w:t>
      </w:r>
      <w:r w:rsidRPr="009E2403">
        <w:rPr>
          <w:rStyle w:val="Emphasis"/>
          <w:rFonts w:ascii="Arial" w:hAnsi="Arial" w:cs="Arial"/>
          <w:sz w:val="22"/>
          <w:szCs w:val="22"/>
        </w:rPr>
        <w:t>International Journal of Managerial Finance</w:t>
      </w:r>
      <w:r w:rsidRPr="009E2403">
        <w:rPr>
          <w:rFonts w:ascii="Arial" w:hAnsi="Arial" w:cs="Arial"/>
          <w:sz w:val="22"/>
          <w:szCs w:val="22"/>
        </w:rPr>
        <w:t>, 3(2), pp. 164-177.</w:t>
      </w:r>
    </w:p>
    <w:p w14:paraId="784F9632"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Gelsomino</w:t>
      </w:r>
      <w:proofErr w:type="spellEnd"/>
      <w:r w:rsidRPr="009E2403">
        <w:rPr>
          <w:rFonts w:ascii="Arial" w:hAnsi="Arial" w:cs="Arial"/>
          <w:sz w:val="22"/>
          <w:szCs w:val="22"/>
        </w:rPr>
        <w:t xml:space="preserve">, L.M., de Boer, R., </w:t>
      </w:r>
      <w:proofErr w:type="spellStart"/>
      <w:r w:rsidRPr="009E2403">
        <w:rPr>
          <w:rFonts w:ascii="Arial" w:hAnsi="Arial" w:cs="Arial"/>
          <w:sz w:val="22"/>
          <w:szCs w:val="22"/>
        </w:rPr>
        <w:t>Steeman</w:t>
      </w:r>
      <w:proofErr w:type="spellEnd"/>
      <w:r w:rsidRPr="009E2403">
        <w:rPr>
          <w:rFonts w:ascii="Arial" w:hAnsi="Arial" w:cs="Arial"/>
          <w:sz w:val="22"/>
          <w:szCs w:val="22"/>
        </w:rPr>
        <w:t xml:space="preserve">, M. &amp; Pereira, A. (2023) 'An </w:t>
      </w:r>
      <w:proofErr w:type="spellStart"/>
      <w:r w:rsidRPr="009E2403">
        <w:rPr>
          <w:rFonts w:ascii="Arial" w:hAnsi="Arial" w:cs="Arial"/>
          <w:sz w:val="22"/>
          <w:szCs w:val="22"/>
        </w:rPr>
        <w:t>Optimisation</w:t>
      </w:r>
      <w:proofErr w:type="spellEnd"/>
      <w:r w:rsidRPr="009E2403">
        <w:rPr>
          <w:rFonts w:ascii="Arial" w:hAnsi="Arial" w:cs="Arial"/>
          <w:sz w:val="22"/>
          <w:szCs w:val="22"/>
        </w:rPr>
        <w:t xml:space="preserve"> Strategy for Concurrent Supply Chain Finance', </w:t>
      </w:r>
      <w:r w:rsidRPr="009E2403">
        <w:rPr>
          <w:rStyle w:val="Emphasis"/>
          <w:rFonts w:ascii="Arial" w:hAnsi="Arial" w:cs="Arial"/>
          <w:sz w:val="22"/>
          <w:szCs w:val="22"/>
        </w:rPr>
        <w:t>Supply Chain Management: An International Journal</w:t>
      </w:r>
      <w:r w:rsidRPr="009E2403">
        <w:rPr>
          <w:rFonts w:ascii="Arial" w:hAnsi="Arial" w:cs="Arial"/>
          <w:sz w:val="22"/>
          <w:szCs w:val="22"/>
        </w:rPr>
        <w:t>, 24(1), pp. 25-48.</w:t>
      </w:r>
    </w:p>
    <w:p w14:paraId="2041FC72"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Gilson, S.C. (2021) </w:t>
      </w:r>
      <w:r w:rsidRPr="009E2403">
        <w:rPr>
          <w:rStyle w:val="Emphasis"/>
          <w:rFonts w:ascii="Arial" w:hAnsi="Arial" w:cs="Arial"/>
          <w:sz w:val="22"/>
          <w:szCs w:val="22"/>
        </w:rPr>
        <w:t>Creating Value Through Corporate Restructuring: Case Studies in Bankruptcies, Buyouts, and Breakups</w:t>
      </w:r>
      <w:r w:rsidRPr="009E2403">
        <w:rPr>
          <w:rFonts w:ascii="Arial" w:hAnsi="Arial" w:cs="Arial"/>
          <w:sz w:val="22"/>
          <w:szCs w:val="22"/>
        </w:rPr>
        <w:t xml:space="preserve">. 2nd </w:t>
      </w:r>
      <w:proofErr w:type="spellStart"/>
      <w:r w:rsidRPr="009E2403">
        <w:rPr>
          <w:rFonts w:ascii="Arial" w:hAnsi="Arial" w:cs="Arial"/>
          <w:sz w:val="22"/>
          <w:szCs w:val="22"/>
        </w:rPr>
        <w:t>edn</w:t>
      </w:r>
      <w:proofErr w:type="spellEnd"/>
      <w:r w:rsidRPr="009E2403">
        <w:rPr>
          <w:rFonts w:ascii="Arial" w:hAnsi="Arial" w:cs="Arial"/>
          <w:sz w:val="22"/>
          <w:szCs w:val="22"/>
        </w:rPr>
        <w:t>. Hoboken: John Wiley &amp; Sons.</w:t>
      </w:r>
    </w:p>
    <w:p w14:paraId="1E7E53B1"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Gitman</w:t>
      </w:r>
      <w:proofErr w:type="spellEnd"/>
      <w:r w:rsidRPr="009E2403">
        <w:rPr>
          <w:rFonts w:ascii="Arial" w:hAnsi="Arial" w:cs="Arial"/>
          <w:sz w:val="22"/>
          <w:szCs w:val="22"/>
        </w:rPr>
        <w:t xml:space="preserve">, L.J. &amp; </w:t>
      </w:r>
      <w:proofErr w:type="spellStart"/>
      <w:r w:rsidRPr="009E2403">
        <w:rPr>
          <w:rFonts w:ascii="Arial" w:hAnsi="Arial" w:cs="Arial"/>
          <w:sz w:val="22"/>
          <w:szCs w:val="22"/>
        </w:rPr>
        <w:t>Zutter</w:t>
      </w:r>
      <w:proofErr w:type="spellEnd"/>
      <w:r w:rsidRPr="009E2403">
        <w:rPr>
          <w:rFonts w:ascii="Arial" w:hAnsi="Arial" w:cs="Arial"/>
          <w:sz w:val="22"/>
          <w:szCs w:val="22"/>
        </w:rPr>
        <w:t>, C.J. (2015) </w:t>
      </w:r>
      <w:r w:rsidRPr="009E2403">
        <w:rPr>
          <w:rStyle w:val="Emphasis"/>
          <w:rFonts w:ascii="Arial" w:hAnsi="Arial" w:cs="Arial"/>
          <w:sz w:val="22"/>
          <w:szCs w:val="22"/>
        </w:rPr>
        <w:t>Principles of Managerial Finance</w:t>
      </w:r>
      <w:r w:rsidRPr="009E2403">
        <w:rPr>
          <w:rFonts w:ascii="Arial" w:hAnsi="Arial" w:cs="Arial"/>
          <w:sz w:val="22"/>
          <w:szCs w:val="22"/>
        </w:rPr>
        <w:t xml:space="preserve">. 14th </w:t>
      </w:r>
      <w:proofErr w:type="spellStart"/>
      <w:r w:rsidRPr="009E2403">
        <w:rPr>
          <w:rFonts w:ascii="Arial" w:hAnsi="Arial" w:cs="Arial"/>
          <w:sz w:val="22"/>
          <w:szCs w:val="22"/>
        </w:rPr>
        <w:t>edn</w:t>
      </w:r>
      <w:proofErr w:type="spellEnd"/>
      <w:r w:rsidRPr="009E2403">
        <w:rPr>
          <w:rFonts w:ascii="Arial" w:hAnsi="Arial" w:cs="Arial"/>
          <w:sz w:val="22"/>
          <w:szCs w:val="22"/>
        </w:rPr>
        <w:t>. Harlow: Pearson.</w:t>
      </w:r>
    </w:p>
    <w:p w14:paraId="6F5D8291"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Gospodinov</w:t>
      </w:r>
      <w:proofErr w:type="spellEnd"/>
      <w:r w:rsidRPr="009E2403">
        <w:rPr>
          <w:rFonts w:ascii="Arial" w:hAnsi="Arial" w:cs="Arial"/>
          <w:sz w:val="22"/>
          <w:szCs w:val="22"/>
        </w:rPr>
        <w:t>, N. &amp; Wei, W. (2021) 'Inflation Uncertainty, Monetary Policy, and the Cross-Section of Stock Returns', </w:t>
      </w:r>
      <w:r w:rsidRPr="009E2403">
        <w:rPr>
          <w:rStyle w:val="Emphasis"/>
          <w:rFonts w:ascii="Arial" w:hAnsi="Arial" w:cs="Arial"/>
          <w:sz w:val="22"/>
          <w:szCs w:val="22"/>
        </w:rPr>
        <w:t>Journal of Financial Economics</w:t>
      </w:r>
      <w:r w:rsidRPr="009E2403">
        <w:rPr>
          <w:rFonts w:ascii="Arial" w:hAnsi="Arial" w:cs="Arial"/>
          <w:sz w:val="22"/>
          <w:szCs w:val="22"/>
        </w:rPr>
        <w:t>, 141(2), pp. 772-794.</w:t>
      </w:r>
    </w:p>
    <w:p w14:paraId="7166E9A3"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Graham, J.R. &amp; Smart, S.B. (2012) </w:t>
      </w:r>
      <w:r w:rsidRPr="009E2403">
        <w:rPr>
          <w:rStyle w:val="Emphasis"/>
          <w:rFonts w:ascii="Arial" w:hAnsi="Arial" w:cs="Arial"/>
          <w:sz w:val="22"/>
          <w:szCs w:val="22"/>
        </w:rPr>
        <w:t>Introduction to Corporate Finance</w:t>
      </w:r>
      <w:r w:rsidRPr="009E2403">
        <w:rPr>
          <w:rFonts w:ascii="Arial" w:hAnsi="Arial" w:cs="Arial"/>
          <w:sz w:val="22"/>
          <w:szCs w:val="22"/>
        </w:rPr>
        <w:t xml:space="preserve">. 5th </w:t>
      </w:r>
      <w:proofErr w:type="spellStart"/>
      <w:r w:rsidRPr="009E2403">
        <w:rPr>
          <w:rFonts w:ascii="Arial" w:hAnsi="Arial" w:cs="Arial"/>
          <w:sz w:val="22"/>
          <w:szCs w:val="22"/>
        </w:rPr>
        <w:t>edn</w:t>
      </w:r>
      <w:proofErr w:type="spellEnd"/>
      <w:r w:rsidRPr="009E2403">
        <w:rPr>
          <w:rFonts w:ascii="Arial" w:hAnsi="Arial" w:cs="Arial"/>
          <w:sz w:val="22"/>
          <w:szCs w:val="22"/>
        </w:rPr>
        <w:t>. Boston: Cengage Learning.</w:t>
      </w:r>
    </w:p>
    <w:p w14:paraId="141E00E3"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Grice, J.S. &amp; Ingram, R.W. (2001) 'Tests of the Generalizability of Altman's Bankruptcy Prediction Model', </w:t>
      </w:r>
      <w:r w:rsidRPr="009E2403">
        <w:rPr>
          <w:rStyle w:val="Emphasis"/>
          <w:rFonts w:ascii="Arial" w:hAnsi="Arial" w:cs="Arial"/>
          <w:sz w:val="22"/>
          <w:szCs w:val="22"/>
        </w:rPr>
        <w:t>Journal of Business Research</w:t>
      </w:r>
      <w:r w:rsidRPr="009E2403">
        <w:rPr>
          <w:rFonts w:ascii="Arial" w:hAnsi="Arial" w:cs="Arial"/>
          <w:sz w:val="22"/>
          <w:szCs w:val="22"/>
        </w:rPr>
        <w:t>, 54(1), pp. 53-61.</w:t>
      </w:r>
    </w:p>
    <w:p w14:paraId="5E14C2E1"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shd w:val="clear" w:color="auto" w:fill="FFFFFF"/>
        </w:rPr>
        <w:t xml:space="preserve">Idris, M., </w:t>
      </w:r>
      <w:proofErr w:type="spellStart"/>
      <w:r w:rsidRPr="009E2403">
        <w:rPr>
          <w:rFonts w:ascii="Arial" w:hAnsi="Arial" w:cs="Arial"/>
          <w:sz w:val="22"/>
          <w:szCs w:val="22"/>
          <w:shd w:val="clear" w:color="auto" w:fill="FFFFFF"/>
        </w:rPr>
        <w:t>Ramli</w:t>
      </w:r>
      <w:proofErr w:type="spellEnd"/>
      <w:r w:rsidRPr="009E2403">
        <w:rPr>
          <w:rFonts w:ascii="Arial" w:hAnsi="Arial" w:cs="Arial"/>
          <w:sz w:val="22"/>
          <w:szCs w:val="22"/>
          <w:shd w:val="clear" w:color="auto" w:fill="FFFFFF"/>
        </w:rPr>
        <w:t xml:space="preserve">, M.I., </w:t>
      </w:r>
      <w:proofErr w:type="spellStart"/>
      <w:r w:rsidRPr="009E2403">
        <w:rPr>
          <w:rFonts w:ascii="Arial" w:hAnsi="Arial" w:cs="Arial"/>
          <w:sz w:val="22"/>
          <w:szCs w:val="22"/>
          <w:shd w:val="clear" w:color="auto" w:fill="FFFFFF"/>
        </w:rPr>
        <w:t>Latief</w:t>
      </w:r>
      <w:proofErr w:type="spellEnd"/>
      <w:r w:rsidRPr="009E2403">
        <w:rPr>
          <w:rFonts w:ascii="Arial" w:hAnsi="Arial" w:cs="Arial"/>
          <w:sz w:val="22"/>
          <w:szCs w:val="22"/>
          <w:shd w:val="clear" w:color="auto" w:fill="FFFFFF"/>
        </w:rPr>
        <w:t>, R.U. and Aly, S.H., 2025. A Model for the Economic Feasibility Assessment of Urban Road Development in Agglomeration Areas based on Land Value Changes. </w:t>
      </w:r>
      <w:r w:rsidRPr="009E2403">
        <w:rPr>
          <w:rFonts w:ascii="Arial" w:hAnsi="Arial" w:cs="Arial"/>
          <w:i/>
          <w:iCs/>
          <w:sz w:val="22"/>
          <w:szCs w:val="22"/>
          <w:shd w:val="clear" w:color="auto" w:fill="FFFFFF"/>
        </w:rPr>
        <w:t>Engineering, Technology &amp; Applied Science Research</w:t>
      </w:r>
      <w:r w:rsidRPr="009E2403">
        <w:rPr>
          <w:rFonts w:ascii="Arial" w:hAnsi="Arial" w:cs="Arial"/>
          <w:sz w:val="22"/>
          <w:szCs w:val="22"/>
          <w:shd w:val="clear" w:color="auto" w:fill="FFFFFF"/>
        </w:rPr>
        <w:t>, </w:t>
      </w:r>
      <w:r w:rsidRPr="009E2403">
        <w:rPr>
          <w:rFonts w:ascii="Arial" w:hAnsi="Arial" w:cs="Arial"/>
          <w:i/>
          <w:iCs/>
          <w:sz w:val="22"/>
          <w:szCs w:val="22"/>
          <w:shd w:val="clear" w:color="auto" w:fill="FFFFFF"/>
        </w:rPr>
        <w:t>15</w:t>
      </w:r>
      <w:r w:rsidRPr="009E2403">
        <w:rPr>
          <w:rFonts w:ascii="Arial" w:hAnsi="Arial" w:cs="Arial"/>
          <w:sz w:val="22"/>
          <w:szCs w:val="22"/>
          <w:shd w:val="clear" w:color="auto" w:fill="FFFFFF"/>
        </w:rPr>
        <w:t>(3), pp.23486-23498.</w:t>
      </w:r>
    </w:p>
    <w:p w14:paraId="5D851757"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Kieso</w:t>
      </w:r>
      <w:proofErr w:type="spellEnd"/>
      <w:r w:rsidRPr="009E2403">
        <w:rPr>
          <w:rFonts w:ascii="Arial" w:hAnsi="Arial" w:cs="Arial"/>
          <w:sz w:val="22"/>
          <w:szCs w:val="22"/>
        </w:rPr>
        <w:t xml:space="preserve">, D.E., </w:t>
      </w:r>
      <w:proofErr w:type="spellStart"/>
      <w:r w:rsidRPr="009E2403">
        <w:rPr>
          <w:rFonts w:ascii="Arial" w:hAnsi="Arial" w:cs="Arial"/>
          <w:sz w:val="22"/>
          <w:szCs w:val="22"/>
        </w:rPr>
        <w:t>Weygandt</w:t>
      </w:r>
      <w:proofErr w:type="spellEnd"/>
      <w:r w:rsidRPr="009E2403">
        <w:rPr>
          <w:rFonts w:ascii="Arial" w:hAnsi="Arial" w:cs="Arial"/>
          <w:sz w:val="22"/>
          <w:szCs w:val="22"/>
        </w:rPr>
        <w:t>, J.J. &amp; Warfield, T.D. (2023) </w:t>
      </w:r>
      <w:r w:rsidRPr="009E2403">
        <w:rPr>
          <w:rStyle w:val="Emphasis"/>
          <w:rFonts w:ascii="Arial" w:hAnsi="Arial" w:cs="Arial"/>
          <w:sz w:val="22"/>
          <w:szCs w:val="22"/>
        </w:rPr>
        <w:t>Intermediate Accounting</w:t>
      </w:r>
      <w:r w:rsidRPr="009E2403">
        <w:rPr>
          <w:rFonts w:ascii="Arial" w:hAnsi="Arial" w:cs="Arial"/>
          <w:sz w:val="22"/>
          <w:szCs w:val="22"/>
        </w:rPr>
        <w:t xml:space="preserve">. 18th </w:t>
      </w:r>
      <w:proofErr w:type="spellStart"/>
      <w:r w:rsidRPr="009E2403">
        <w:rPr>
          <w:rFonts w:ascii="Arial" w:hAnsi="Arial" w:cs="Arial"/>
          <w:sz w:val="22"/>
          <w:szCs w:val="22"/>
        </w:rPr>
        <w:t>edn</w:t>
      </w:r>
      <w:proofErr w:type="spellEnd"/>
      <w:r w:rsidRPr="009E2403">
        <w:rPr>
          <w:rFonts w:ascii="Arial" w:hAnsi="Arial" w:cs="Arial"/>
          <w:sz w:val="22"/>
          <w:szCs w:val="22"/>
        </w:rPr>
        <w:t>. Hoboken: John Wiley &amp; Sons.</w:t>
      </w:r>
    </w:p>
    <w:p w14:paraId="55DD4A22"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 xml:space="preserve">Kolev, K.D., </w:t>
      </w:r>
      <w:proofErr w:type="spellStart"/>
      <w:r w:rsidRPr="009E2403">
        <w:rPr>
          <w:rFonts w:ascii="Arial" w:hAnsi="Arial" w:cs="Arial"/>
          <w:sz w:val="22"/>
          <w:szCs w:val="22"/>
        </w:rPr>
        <w:t>Haleblian</w:t>
      </w:r>
      <w:proofErr w:type="spellEnd"/>
      <w:r w:rsidRPr="009E2403">
        <w:rPr>
          <w:rFonts w:ascii="Arial" w:hAnsi="Arial" w:cs="Arial"/>
          <w:sz w:val="22"/>
          <w:szCs w:val="22"/>
        </w:rPr>
        <w:t>, J.J. &amp; Finkelstein, S. (2022) 'The Role of Divestitures in Corporate Strategy: A Resource-Based View', </w:t>
      </w:r>
      <w:r w:rsidRPr="009E2403">
        <w:rPr>
          <w:rStyle w:val="Emphasis"/>
          <w:rFonts w:ascii="Arial" w:hAnsi="Arial" w:cs="Arial"/>
          <w:sz w:val="22"/>
          <w:szCs w:val="22"/>
        </w:rPr>
        <w:t>Strategic Management Journal</w:t>
      </w:r>
      <w:r w:rsidRPr="009E2403">
        <w:rPr>
          <w:rFonts w:ascii="Arial" w:hAnsi="Arial" w:cs="Arial"/>
          <w:sz w:val="22"/>
          <w:szCs w:val="22"/>
        </w:rPr>
        <w:t>, 43(1), pp. 45-72.</w:t>
      </w:r>
    </w:p>
    <w:p w14:paraId="2571D8EA"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shd w:val="clear" w:color="auto" w:fill="FFFFFF"/>
        </w:rPr>
        <w:t>Li, X., 2025, August. NPV vs. IRR: Comparison of Pros and Cons in Investment Decisions. In </w:t>
      </w:r>
      <w:r w:rsidRPr="009E2403">
        <w:rPr>
          <w:rFonts w:ascii="Arial" w:hAnsi="Arial" w:cs="Arial"/>
          <w:i/>
          <w:iCs/>
          <w:sz w:val="22"/>
          <w:szCs w:val="22"/>
          <w:shd w:val="clear" w:color="auto" w:fill="FFFFFF"/>
        </w:rPr>
        <w:t>2025 5th International Conference on Enterprise Management and Economic Development (ICEMED 2025)</w:t>
      </w:r>
      <w:r w:rsidRPr="009E2403">
        <w:rPr>
          <w:rFonts w:ascii="Arial" w:hAnsi="Arial" w:cs="Arial"/>
          <w:sz w:val="22"/>
          <w:szCs w:val="22"/>
          <w:shd w:val="clear" w:color="auto" w:fill="FFFFFF"/>
        </w:rPr>
        <w:t> (pp. 983-991). Atlantis Press.</w:t>
      </w:r>
    </w:p>
    <w:p w14:paraId="1B9B4554"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shd w:val="clear" w:color="auto" w:fill="FFFFFF"/>
        </w:rPr>
        <w:t>Maravas</w:t>
      </w:r>
      <w:proofErr w:type="spellEnd"/>
      <w:r w:rsidRPr="009E2403">
        <w:rPr>
          <w:rFonts w:ascii="Arial" w:hAnsi="Arial" w:cs="Arial"/>
          <w:sz w:val="22"/>
          <w:szCs w:val="22"/>
          <w:shd w:val="clear" w:color="auto" w:fill="FFFFFF"/>
        </w:rPr>
        <w:t xml:space="preserve">, A. and </w:t>
      </w:r>
      <w:proofErr w:type="spellStart"/>
      <w:r w:rsidRPr="009E2403">
        <w:rPr>
          <w:rFonts w:ascii="Arial" w:hAnsi="Arial" w:cs="Arial"/>
          <w:sz w:val="22"/>
          <w:szCs w:val="22"/>
          <w:shd w:val="clear" w:color="auto" w:fill="FFFFFF"/>
        </w:rPr>
        <w:t>Pantouvakis</w:t>
      </w:r>
      <w:proofErr w:type="spellEnd"/>
      <w:r w:rsidRPr="009E2403">
        <w:rPr>
          <w:rFonts w:ascii="Arial" w:hAnsi="Arial" w:cs="Arial"/>
          <w:sz w:val="22"/>
          <w:szCs w:val="22"/>
          <w:shd w:val="clear" w:color="auto" w:fill="FFFFFF"/>
        </w:rPr>
        <w:t>, J.P., 2018. A New Approach to Studying Net Present Value and the Internal Rate of Return of Engineering Projects under Uncertainty with Three</w:t>
      </w:r>
      <w:r w:rsidRPr="009E2403">
        <w:rPr>
          <w:rFonts w:ascii="Cambria Math" w:hAnsi="Cambria Math" w:cs="Cambria Math"/>
          <w:sz w:val="22"/>
          <w:szCs w:val="22"/>
          <w:shd w:val="clear" w:color="auto" w:fill="FFFFFF"/>
        </w:rPr>
        <w:t>‐</w:t>
      </w:r>
      <w:r w:rsidRPr="009E2403">
        <w:rPr>
          <w:rFonts w:ascii="Arial" w:hAnsi="Arial" w:cs="Arial"/>
          <w:sz w:val="22"/>
          <w:szCs w:val="22"/>
          <w:shd w:val="clear" w:color="auto" w:fill="FFFFFF"/>
        </w:rPr>
        <w:t>Dimensional Graphs. </w:t>
      </w:r>
      <w:r w:rsidRPr="009E2403">
        <w:rPr>
          <w:rFonts w:ascii="Arial" w:hAnsi="Arial" w:cs="Arial"/>
          <w:i/>
          <w:iCs/>
          <w:sz w:val="22"/>
          <w:szCs w:val="22"/>
          <w:shd w:val="clear" w:color="auto" w:fill="FFFFFF"/>
        </w:rPr>
        <w:t>Advances in Civil Engineering</w:t>
      </w:r>
      <w:r w:rsidRPr="009E2403">
        <w:rPr>
          <w:rFonts w:ascii="Arial" w:hAnsi="Arial" w:cs="Arial"/>
          <w:sz w:val="22"/>
          <w:szCs w:val="22"/>
          <w:shd w:val="clear" w:color="auto" w:fill="FFFFFF"/>
        </w:rPr>
        <w:t>, </w:t>
      </w:r>
      <w:r w:rsidRPr="009E2403">
        <w:rPr>
          <w:rFonts w:ascii="Arial" w:hAnsi="Arial" w:cs="Arial"/>
          <w:i/>
          <w:iCs/>
          <w:sz w:val="22"/>
          <w:szCs w:val="22"/>
          <w:shd w:val="clear" w:color="auto" w:fill="FFFFFF"/>
        </w:rPr>
        <w:t>2018</w:t>
      </w:r>
      <w:r w:rsidRPr="009E2403">
        <w:rPr>
          <w:rFonts w:ascii="Arial" w:hAnsi="Arial" w:cs="Arial"/>
          <w:sz w:val="22"/>
          <w:szCs w:val="22"/>
          <w:shd w:val="clear" w:color="auto" w:fill="FFFFFF"/>
        </w:rPr>
        <w:t>(1), p.6108680.</w:t>
      </w:r>
    </w:p>
    <w:p w14:paraId="2EBF6376"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shd w:val="clear" w:color="auto" w:fill="FFFFFF"/>
        </w:rPr>
        <w:t>Oyetola</w:t>
      </w:r>
      <w:proofErr w:type="spellEnd"/>
      <w:r w:rsidRPr="009E2403">
        <w:rPr>
          <w:rFonts w:ascii="Arial" w:hAnsi="Arial" w:cs="Arial"/>
          <w:sz w:val="22"/>
          <w:szCs w:val="22"/>
          <w:shd w:val="clear" w:color="auto" w:fill="FFFFFF"/>
        </w:rPr>
        <w:t xml:space="preserve">, B.O., </w:t>
      </w:r>
      <w:proofErr w:type="spellStart"/>
      <w:r w:rsidRPr="009E2403">
        <w:rPr>
          <w:rFonts w:ascii="Arial" w:hAnsi="Arial" w:cs="Arial"/>
          <w:sz w:val="22"/>
          <w:szCs w:val="22"/>
          <w:shd w:val="clear" w:color="auto" w:fill="FFFFFF"/>
        </w:rPr>
        <w:t>Aderemi</w:t>
      </w:r>
      <w:proofErr w:type="spellEnd"/>
      <w:r w:rsidRPr="009E2403">
        <w:rPr>
          <w:rFonts w:ascii="Arial" w:hAnsi="Arial" w:cs="Arial"/>
          <w:sz w:val="22"/>
          <w:szCs w:val="22"/>
          <w:shd w:val="clear" w:color="auto" w:fill="FFFFFF"/>
        </w:rPr>
        <w:t xml:space="preserve">, A.A.A., </w:t>
      </w:r>
      <w:proofErr w:type="spellStart"/>
      <w:r w:rsidRPr="009E2403">
        <w:rPr>
          <w:rFonts w:ascii="Arial" w:hAnsi="Arial" w:cs="Arial"/>
          <w:sz w:val="22"/>
          <w:szCs w:val="22"/>
          <w:shd w:val="clear" w:color="auto" w:fill="FFFFFF"/>
        </w:rPr>
        <w:t>Oluseyanu</w:t>
      </w:r>
      <w:proofErr w:type="spellEnd"/>
      <w:r w:rsidRPr="009E2403">
        <w:rPr>
          <w:rFonts w:ascii="Arial" w:hAnsi="Arial" w:cs="Arial"/>
          <w:sz w:val="22"/>
          <w:szCs w:val="22"/>
          <w:shd w:val="clear" w:color="auto" w:fill="FFFFFF"/>
        </w:rPr>
        <w:t xml:space="preserve">, O.O. and </w:t>
      </w:r>
      <w:proofErr w:type="spellStart"/>
      <w:r w:rsidRPr="009E2403">
        <w:rPr>
          <w:rFonts w:ascii="Arial" w:hAnsi="Arial" w:cs="Arial"/>
          <w:sz w:val="22"/>
          <w:szCs w:val="22"/>
          <w:shd w:val="clear" w:color="auto" w:fill="FFFFFF"/>
        </w:rPr>
        <w:t>Abdul-lateef</w:t>
      </w:r>
      <w:proofErr w:type="spellEnd"/>
      <w:r w:rsidRPr="009E2403">
        <w:rPr>
          <w:rFonts w:ascii="Arial" w:hAnsi="Arial" w:cs="Arial"/>
          <w:sz w:val="22"/>
          <w:szCs w:val="22"/>
          <w:shd w:val="clear" w:color="auto" w:fill="FFFFFF"/>
        </w:rPr>
        <w:t>, A.I., 2025. THE PAYBACK PERIOD (PBP) UNIFIED FORMULA: A SIMPLIFIED PROPOSED METHOD FOR CALCULATING PBP IN CAPITAL BUDGETING DECISION. </w:t>
      </w:r>
      <w:r w:rsidRPr="009E2403">
        <w:rPr>
          <w:rFonts w:ascii="Arial" w:hAnsi="Arial" w:cs="Arial"/>
          <w:i/>
          <w:iCs/>
          <w:sz w:val="22"/>
          <w:szCs w:val="22"/>
          <w:shd w:val="clear" w:color="auto" w:fill="FFFFFF"/>
        </w:rPr>
        <w:t>Advance Journal of Management, Accounting and Finance</w:t>
      </w:r>
      <w:r w:rsidRPr="009E2403">
        <w:rPr>
          <w:rFonts w:ascii="Arial" w:hAnsi="Arial" w:cs="Arial"/>
          <w:sz w:val="22"/>
          <w:szCs w:val="22"/>
          <w:shd w:val="clear" w:color="auto" w:fill="FFFFFF"/>
        </w:rPr>
        <w:t>, </w:t>
      </w:r>
      <w:r w:rsidRPr="009E2403">
        <w:rPr>
          <w:rFonts w:ascii="Arial" w:hAnsi="Arial" w:cs="Arial"/>
          <w:i/>
          <w:iCs/>
          <w:sz w:val="22"/>
          <w:szCs w:val="22"/>
          <w:shd w:val="clear" w:color="auto" w:fill="FFFFFF"/>
        </w:rPr>
        <w:t>10</w:t>
      </w:r>
      <w:r w:rsidRPr="009E2403">
        <w:rPr>
          <w:rFonts w:ascii="Arial" w:hAnsi="Arial" w:cs="Arial"/>
          <w:sz w:val="22"/>
          <w:szCs w:val="22"/>
          <w:shd w:val="clear" w:color="auto" w:fill="FFFFFF"/>
        </w:rPr>
        <w:t>(2), pp.31-42.</w:t>
      </w:r>
      <w:r w:rsidRPr="009E2403">
        <w:rPr>
          <w:rFonts w:ascii="Arial" w:hAnsi="Arial" w:cs="Arial"/>
          <w:sz w:val="22"/>
          <w:szCs w:val="22"/>
        </w:rPr>
        <w:t xml:space="preserve"> </w:t>
      </w:r>
    </w:p>
    <w:p w14:paraId="7F576554"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Pandey, I.M. (2015) </w:t>
      </w:r>
      <w:r w:rsidRPr="009E2403">
        <w:rPr>
          <w:rStyle w:val="Emphasis"/>
          <w:rFonts w:ascii="Arial" w:hAnsi="Arial" w:cs="Arial"/>
          <w:sz w:val="22"/>
          <w:szCs w:val="22"/>
        </w:rPr>
        <w:t>Financial Management</w:t>
      </w:r>
      <w:r w:rsidRPr="009E2403">
        <w:rPr>
          <w:rFonts w:ascii="Arial" w:hAnsi="Arial" w:cs="Arial"/>
          <w:sz w:val="22"/>
          <w:szCs w:val="22"/>
        </w:rPr>
        <w:t xml:space="preserve">. 11th </w:t>
      </w:r>
      <w:proofErr w:type="spellStart"/>
      <w:r w:rsidRPr="009E2403">
        <w:rPr>
          <w:rFonts w:ascii="Arial" w:hAnsi="Arial" w:cs="Arial"/>
          <w:sz w:val="22"/>
          <w:szCs w:val="22"/>
        </w:rPr>
        <w:t>edn</w:t>
      </w:r>
      <w:proofErr w:type="spellEnd"/>
      <w:r w:rsidRPr="009E2403">
        <w:rPr>
          <w:rFonts w:ascii="Arial" w:hAnsi="Arial" w:cs="Arial"/>
          <w:sz w:val="22"/>
          <w:szCs w:val="22"/>
        </w:rPr>
        <w:t>. New Delhi: Vikas Publishing House.</w:t>
      </w:r>
    </w:p>
    <w:p w14:paraId="56D741F3"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Peirson</w:t>
      </w:r>
      <w:proofErr w:type="spellEnd"/>
      <w:r w:rsidRPr="009E2403">
        <w:rPr>
          <w:rFonts w:ascii="Arial" w:hAnsi="Arial" w:cs="Arial"/>
          <w:sz w:val="22"/>
          <w:szCs w:val="22"/>
        </w:rPr>
        <w:t>, G., Brown, R., Easton, S. &amp; Howard, P. (2015) </w:t>
      </w:r>
      <w:r w:rsidRPr="009E2403">
        <w:rPr>
          <w:rStyle w:val="Emphasis"/>
          <w:rFonts w:ascii="Arial" w:hAnsi="Arial" w:cs="Arial"/>
          <w:sz w:val="22"/>
          <w:szCs w:val="22"/>
        </w:rPr>
        <w:t>Business Finance</w:t>
      </w:r>
      <w:r w:rsidRPr="009E2403">
        <w:rPr>
          <w:rFonts w:ascii="Arial" w:hAnsi="Arial" w:cs="Arial"/>
          <w:sz w:val="22"/>
          <w:szCs w:val="22"/>
        </w:rPr>
        <w:t xml:space="preserve">. 12th </w:t>
      </w:r>
      <w:proofErr w:type="spellStart"/>
      <w:r w:rsidRPr="009E2403">
        <w:rPr>
          <w:rFonts w:ascii="Arial" w:hAnsi="Arial" w:cs="Arial"/>
          <w:sz w:val="22"/>
          <w:szCs w:val="22"/>
        </w:rPr>
        <w:t>edn</w:t>
      </w:r>
      <w:proofErr w:type="spellEnd"/>
      <w:r w:rsidRPr="009E2403">
        <w:rPr>
          <w:rFonts w:ascii="Arial" w:hAnsi="Arial" w:cs="Arial"/>
          <w:sz w:val="22"/>
          <w:szCs w:val="22"/>
        </w:rPr>
        <w:t>. Sydney: McGraw-Hill Education.</w:t>
      </w:r>
    </w:p>
    <w:p w14:paraId="1B09D97A"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Penman, S.H. (2013) </w:t>
      </w:r>
      <w:r w:rsidRPr="009E2403">
        <w:rPr>
          <w:rStyle w:val="Emphasis"/>
          <w:rFonts w:ascii="Arial" w:hAnsi="Arial" w:cs="Arial"/>
          <w:sz w:val="22"/>
          <w:szCs w:val="22"/>
        </w:rPr>
        <w:t>Financial Statement Analysis and Security Valuation</w:t>
      </w:r>
      <w:r w:rsidRPr="009E2403">
        <w:rPr>
          <w:rFonts w:ascii="Arial" w:hAnsi="Arial" w:cs="Arial"/>
          <w:sz w:val="22"/>
          <w:szCs w:val="22"/>
        </w:rPr>
        <w:t xml:space="preserve">. 5th </w:t>
      </w:r>
      <w:proofErr w:type="spellStart"/>
      <w:r w:rsidRPr="009E2403">
        <w:rPr>
          <w:rFonts w:ascii="Arial" w:hAnsi="Arial" w:cs="Arial"/>
          <w:sz w:val="22"/>
          <w:szCs w:val="22"/>
        </w:rPr>
        <w:t>edn</w:t>
      </w:r>
      <w:proofErr w:type="spellEnd"/>
      <w:r w:rsidRPr="009E2403">
        <w:rPr>
          <w:rFonts w:ascii="Arial" w:hAnsi="Arial" w:cs="Arial"/>
          <w:sz w:val="22"/>
          <w:szCs w:val="22"/>
        </w:rPr>
        <w:t>. New York: McGraw-Hill Education.</w:t>
      </w:r>
    </w:p>
    <w:p w14:paraId="63E8DAC2"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Pike, R. &amp; Neale, B. (2021) </w:t>
      </w:r>
      <w:r w:rsidRPr="009E2403">
        <w:rPr>
          <w:rStyle w:val="Emphasis"/>
          <w:rFonts w:ascii="Arial" w:hAnsi="Arial" w:cs="Arial"/>
          <w:sz w:val="22"/>
          <w:szCs w:val="22"/>
        </w:rPr>
        <w:t>Corporate Finance and Investment: Decisions and Strategies</w:t>
      </w:r>
      <w:r w:rsidRPr="009E2403">
        <w:rPr>
          <w:rFonts w:ascii="Arial" w:hAnsi="Arial" w:cs="Arial"/>
          <w:sz w:val="22"/>
          <w:szCs w:val="22"/>
        </w:rPr>
        <w:t xml:space="preserve">. 9th </w:t>
      </w:r>
      <w:proofErr w:type="spellStart"/>
      <w:r w:rsidRPr="009E2403">
        <w:rPr>
          <w:rFonts w:ascii="Arial" w:hAnsi="Arial" w:cs="Arial"/>
          <w:sz w:val="22"/>
          <w:szCs w:val="22"/>
        </w:rPr>
        <w:t>edn</w:t>
      </w:r>
      <w:proofErr w:type="spellEnd"/>
      <w:r w:rsidRPr="009E2403">
        <w:rPr>
          <w:rFonts w:ascii="Arial" w:hAnsi="Arial" w:cs="Arial"/>
          <w:sz w:val="22"/>
          <w:szCs w:val="22"/>
        </w:rPr>
        <w:t>. Harlow: Pearson.</w:t>
      </w:r>
    </w:p>
    <w:p w14:paraId="771D4294"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Platt, H.D. &amp; Platt, M.B. (2002) 'Predicting Corporate Financial Distress: Reflections on Choice-Based Sample Bias', </w:t>
      </w:r>
      <w:r w:rsidRPr="009E2403">
        <w:rPr>
          <w:rStyle w:val="Emphasis"/>
          <w:rFonts w:ascii="Arial" w:hAnsi="Arial" w:cs="Arial"/>
          <w:sz w:val="22"/>
          <w:szCs w:val="22"/>
        </w:rPr>
        <w:t>Journal of Economics and Finance</w:t>
      </w:r>
      <w:r w:rsidRPr="009E2403">
        <w:rPr>
          <w:rFonts w:ascii="Arial" w:hAnsi="Arial" w:cs="Arial"/>
          <w:sz w:val="22"/>
          <w:szCs w:val="22"/>
        </w:rPr>
        <w:t>, 26(2), pp. 184-199.</w:t>
      </w:r>
    </w:p>
    <w:p w14:paraId="38901C81"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shd w:val="clear" w:color="auto" w:fill="FFFFFF"/>
        </w:rPr>
        <w:t xml:space="preserve">Qian, Z. and </w:t>
      </w:r>
      <w:proofErr w:type="spellStart"/>
      <w:r w:rsidRPr="009E2403">
        <w:rPr>
          <w:rFonts w:ascii="Arial" w:hAnsi="Arial" w:cs="Arial"/>
          <w:sz w:val="22"/>
          <w:szCs w:val="22"/>
          <w:shd w:val="clear" w:color="auto" w:fill="FFFFFF"/>
        </w:rPr>
        <w:t>Yuwei</w:t>
      </w:r>
      <w:proofErr w:type="spellEnd"/>
      <w:r w:rsidRPr="009E2403">
        <w:rPr>
          <w:rFonts w:ascii="Arial" w:hAnsi="Arial" w:cs="Arial"/>
          <w:sz w:val="22"/>
          <w:szCs w:val="22"/>
          <w:shd w:val="clear" w:color="auto" w:fill="FFFFFF"/>
        </w:rPr>
        <w:t>, P., 2024, October. Economic Analysis of Distributed Photovoltaic Power Generation Projects. In </w:t>
      </w:r>
      <w:r w:rsidRPr="009E2403">
        <w:rPr>
          <w:rFonts w:ascii="Arial" w:hAnsi="Arial" w:cs="Arial"/>
          <w:i/>
          <w:iCs/>
          <w:sz w:val="22"/>
          <w:szCs w:val="22"/>
          <w:shd w:val="clear" w:color="auto" w:fill="FFFFFF"/>
        </w:rPr>
        <w:t>International Hydropower Development Conference</w:t>
      </w:r>
      <w:r w:rsidRPr="009E2403">
        <w:rPr>
          <w:rFonts w:ascii="Arial" w:hAnsi="Arial" w:cs="Arial"/>
          <w:sz w:val="22"/>
          <w:szCs w:val="22"/>
          <w:shd w:val="clear" w:color="auto" w:fill="FFFFFF"/>
        </w:rPr>
        <w:t> (pp. 39-46). Singapore: Springer Nature Singapore.</w:t>
      </w:r>
    </w:p>
    <w:p w14:paraId="0BA25A8E"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proofErr w:type="spellStart"/>
      <w:r w:rsidRPr="009E2403">
        <w:rPr>
          <w:rFonts w:ascii="Arial" w:hAnsi="Arial" w:cs="Arial"/>
          <w:sz w:val="22"/>
          <w:szCs w:val="22"/>
        </w:rPr>
        <w:t>Reuer</w:t>
      </w:r>
      <w:proofErr w:type="spellEnd"/>
      <w:r w:rsidRPr="009E2403">
        <w:rPr>
          <w:rFonts w:ascii="Arial" w:hAnsi="Arial" w:cs="Arial"/>
          <w:sz w:val="22"/>
          <w:szCs w:val="22"/>
        </w:rPr>
        <w:t>, J.J. &amp; Tong, T.W. (2021) 'The Scope of Joint Ventures: Governance and Learning', </w:t>
      </w:r>
      <w:r w:rsidRPr="009E2403">
        <w:rPr>
          <w:rStyle w:val="Emphasis"/>
          <w:rFonts w:ascii="Arial" w:hAnsi="Arial" w:cs="Arial"/>
          <w:sz w:val="22"/>
          <w:szCs w:val="22"/>
        </w:rPr>
        <w:t>Organization Science</w:t>
      </w:r>
      <w:r w:rsidRPr="009E2403">
        <w:rPr>
          <w:rFonts w:ascii="Arial" w:hAnsi="Arial" w:cs="Arial"/>
          <w:sz w:val="22"/>
          <w:szCs w:val="22"/>
        </w:rPr>
        <w:t>, 32(5), pp. 1316-1336.</w:t>
      </w:r>
    </w:p>
    <w:p w14:paraId="6E78BD52" w14:textId="77777777" w:rsidR="00F062C8" w:rsidRPr="009E2403" w:rsidRDefault="00F062C8" w:rsidP="00F062C8">
      <w:pPr>
        <w:pStyle w:val="ds-markdown-paragraph"/>
        <w:numPr>
          <w:ilvl w:val="0"/>
          <w:numId w:val="13"/>
        </w:numPr>
        <w:shd w:val="clear" w:color="auto" w:fill="FFFFFF"/>
        <w:spacing w:before="240" w:beforeAutospacing="0" w:after="240" w:afterAutospacing="0"/>
        <w:rPr>
          <w:rFonts w:ascii="Arial" w:hAnsi="Arial" w:cs="Arial"/>
          <w:sz w:val="22"/>
          <w:szCs w:val="22"/>
        </w:rPr>
      </w:pPr>
      <w:r w:rsidRPr="009E2403">
        <w:rPr>
          <w:rFonts w:ascii="Arial" w:hAnsi="Arial" w:cs="Arial"/>
          <w:sz w:val="22"/>
          <w:szCs w:val="22"/>
        </w:rPr>
        <w:t xml:space="preserve">Ross, S.A., </w:t>
      </w:r>
      <w:proofErr w:type="spellStart"/>
      <w:r w:rsidRPr="009E2403">
        <w:rPr>
          <w:rFonts w:ascii="Arial" w:hAnsi="Arial" w:cs="Arial"/>
          <w:sz w:val="22"/>
          <w:szCs w:val="22"/>
        </w:rPr>
        <w:t>Westerfield</w:t>
      </w:r>
      <w:proofErr w:type="spellEnd"/>
      <w:r w:rsidRPr="009E2403">
        <w:rPr>
          <w:rFonts w:ascii="Arial" w:hAnsi="Arial" w:cs="Arial"/>
          <w:sz w:val="22"/>
          <w:szCs w:val="22"/>
        </w:rPr>
        <w:t>, R.W. &amp; Jaffe, J. (2019) </w:t>
      </w:r>
      <w:r w:rsidRPr="009E2403">
        <w:rPr>
          <w:rStyle w:val="Emphasis"/>
          <w:rFonts w:ascii="Arial" w:hAnsi="Arial" w:cs="Arial"/>
          <w:sz w:val="22"/>
          <w:szCs w:val="22"/>
        </w:rPr>
        <w:t>Corporate Finance</w:t>
      </w:r>
      <w:r w:rsidRPr="009E2403">
        <w:rPr>
          <w:rFonts w:ascii="Arial" w:hAnsi="Arial" w:cs="Arial"/>
          <w:sz w:val="22"/>
          <w:szCs w:val="22"/>
        </w:rPr>
        <w:t xml:space="preserve">. 12th </w:t>
      </w:r>
      <w:proofErr w:type="spellStart"/>
      <w:r w:rsidRPr="009E2403">
        <w:rPr>
          <w:rFonts w:ascii="Arial" w:hAnsi="Arial" w:cs="Arial"/>
          <w:sz w:val="22"/>
          <w:szCs w:val="22"/>
        </w:rPr>
        <w:t>edn</w:t>
      </w:r>
      <w:proofErr w:type="spellEnd"/>
      <w:r w:rsidRPr="009E2403">
        <w:rPr>
          <w:rFonts w:ascii="Arial" w:hAnsi="Arial" w:cs="Arial"/>
          <w:sz w:val="22"/>
          <w:szCs w:val="22"/>
        </w:rPr>
        <w:t>. New York: McGraw-Hill Education.</w:t>
      </w:r>
    </w:p>
    <w:p w14:paraId="2903D46C" w14:textId="77777777" w:rsidR="00F062C8" w:rsidRPr="009E2403" w:rsidRDefault="00F062C8" w:rsidP="00F062C8">
      <w:pPr>
        <w:pStyle w:val="ds-markdown-paragraph"/>
        <w:numPr>
          <w:ilvl w:val="0"/>
          <w:numId w:val="13"/>
        </w:numPr>
        <w:shd w:val="clear" w:color="auto" w:fill="FFFFFF"/>
        <w:spacing w:before="240" w:beforeAutospacing="0"/>
        <w:rPr>
          <w:rFonts w:ascii="Arial" w:hAnsi="Arial" w:cs="Arial"/>
          <w:sz w:val="22"/>
          <w:szCs w:val="22"/>
        </w:rPr>
      </w:pPr>
      <w:proofErr w:type="spellStart"/>
      <w:r w:rsidRPr="009E2403">
        <w:rPr>
          <w:rFonts w:ascii="Arial" w:hAnsi="Arial" w:cs="Arial"/>
          <w:sz w:val="22"/>
          <w:szCs w:val="22"/>
          <w:shd w:val="clear" w:color="auto" w:fill="FFFFFF"/>
        </w:rPr>
        <w:t>Ranbhor</w:t>
      </w:r>
      <w:proofErr w:type="spellEnd"/>
      <w:r w:rsidRPr="009E2403">
        <w:rPr>
          <w:rFonts w:ascii="Arial" w:hAnsi="Arial" w:cs="Arial"/>
          <w:sz w:val="22"/>
          <w:szCs w:val="22"/>
          <w:shd w:val="clear" w:color="auto" w:fill="FFFFFF"/>
        </w:rPr>
        <w:t>, R. and Kulkarni, P., 2025. Evaluating Biosimilar Development Projects: An Analytical Framework Utilizing Net Present Value. </w:t>
      </w:r>
      <w:r w:rsidRPr="009E2403">
        <w:rPr>
          <w:rFonts w:ascii="Arial" w:hAnsi="Arial" w:cs="Arial"/>
          <w:i/>
          <w:iCs/>
          <w:sz w:val="22"/>
          <w:szCs w:val="22"/>
          <w:shd w:val="clear" w:color="auto" w:fill="FFFFFF"/>
        </w:rPr>
        <w:t>Biologics: Targets and Therapy</w:t>
      </w:r>
      <w:r w:rsidRPr="009E2403">
        <w:rPr>
          <w:rFonts w:ascii="Arial" w:hAnsi="Arial" w:cs="Arial"/>
          <w:sz w:val="22"/>
          <w:szCs w:val="22"/>
          <w:shd w:val="clear" w:color="auto" w:fill="FFFFFF"/>
        </w:rPr>
        <w:t>, pp.125-135.</w:t>
      </w:r>
    </w:p>
    <w:p w14:paraId="12F900CA" w14:textId="77777777" w:rsidR="00F062C8" w:rsidRPr="009E2403" w:rsidRDefault="00F062C8" w:rsidP="00F062C8">
      <w:pPr>
        <w:pStyle w:val="ds-markdown-paragraph"/>
        <w:numPr>
          <w:ilvl w:val="0"/>
          <w:numId w:val="13"/>
        </w:numPr>
        <w:shd w:val="clear" w:color="auto" w:fill="FFFFFF"/>
        <w:spacing w:before="240" w:beforeAutospacing="0"/>
        <w:rPr>
          <w:rFonts w:ascii="Arial" w:hAnsi="Arial" w:cs="Arial"/>
          <w:sz w:val="22"/>
          <w:szCs w:val="22"/>
        </w:rPr>
      </w:pPr>
      <w:r w:rsidRPr="009E2403">
        <w:rPr>
          <w:rFonts w:ascii="Arial" w:hAnsi="Arial" w:cs="Arial"/>
          <w:sz w:val="22"/>
          <w:szCs w:val="22"/>
          <w:shd w:val="clear" w:color="auto" w:fill="FFFFFF"/>
        </w:rPr>
        <w:t>Ruhshona, S., 2025. PROFITABILITY METRICS AS PILLARS OF FINANCIAL PERFORMANCE: ANALYZING THEIR INFLUENCE ON OPERATIONAL EFFICIENCY, INVESTMENT STRATEGIES, AND COMPETITIVE ADVANTAGE IN TRADING COMPANIES. </w:t>
      </w:r>
      <w:r w:rsidRPr="009E2403">
        <w:rPr>
          <w:rFonts w:ascii="Arial" w:hAnsi="Arial" w:cs="Arial"/>
          <w:i/>
          <w:iCs/>
          <w:sz w:val="22"/>
          <w:szCs w:val="22"/>
          <w:shd w:val="clear" w:color="auto" w:fill="FFFFFF"/>
        </w:rPr>
        <w:t>MODELS AND METHODS FOR INCREASING THE EFFICIENCY OF INNOVATIVE RESEARCH</w:t>
      </w:r>
      <w:r w:rsidRPr="009E2403">
        <w:rPr>
          <w:rFonts w:ascii="Arial" w:hAnsi="Arial" w:cs="Arial"/>
          <w:sz w:val="22"/>
          <w:szCs w:val="22"/>
          <w:shd w:val="clear" w:color="auto" w:fill="FFFFFF"/>
        </w:rPr>
        <w:t>, </w:t>
      </w:r>
      <w:r w:rsidRPr="009E2403">
        <w:rPr>
          <w:rFonts w:ascii="Arial" w:hAnsi="Arial" w:cs="Arial"/>
          <w:i/>
          <w:iCs/>
          <w:sz w:val="22"/>
          <w:szCs w:val="22"/>
          <w:shd w:val="clear" w:color="auto" w:fill="FFFFFF"/>
        </w:rPr>
        <w:t>4</w:t>
      </w:r>
      <w:r w:rsidRPr="009E2403">
        <w:rPr>
          <w:rFonts w:ascii="Arial" w:hAnsi="Arial" w:cs="Arial"/>
          <w:sz w:val="22"/>
          <w:szCs w:val="22"/>
          <w:shd w:val="clear" w:color="auto" w:fill="FFFFFF"/>
        </w:rPr>
        <w:t>(46), pp.280-287.</w:t>
      </w:r>
    </w:p>
    <w:p w14:paraId="759FF8C8" w14:textId="77777777" w:rsidR="00F062C8" w:rsidRPr="009E2403" w:rsidRDefault="00F062C8" w:rsidP="00F062C8">
      <w:pPr>
        <w:pStyle w:val="ds-markdown-paragraph"/>
        <w:numPr>
          <w:ilvl w:val="0"/>
          <w:numId w:val="13"/>
        </w:numPr>
        <w:shd w:val="clear" w:color="auto" w:fill="FFFFFF"/>
        <w:spacing w:before="240" w:beforeAutospacing="0"/>
        <w:rPr>
          <w:rFonts w:ascii="Arial" w:hAnsi="Arial" w:cs="Arial"/>
          <w:sz w:val="22"/>
          <w:szCs w:val="22"/>
        </w:rPr>
      </w:pPr>
      <w:r w:rsidRPr="009E2403">
        <w:rPr>
          <w:rFonts w:ascii="Arial" w:hAnsi="Arial" w:cs="Arial"/>
          <w:sz w:val="22"/>
          <w:szCs w:val="22"/>
        </w:rPr>
        <w:t>Singh, P. &amp; Kumar, A. (2022) 'Lean Manufacturing and JIT: A Framework for Enhancing Profitability through Working Capital Efficiency', </w:t>
      </w:r>
      <w:r w:rsidRPr="009E2403">
        <w:rPr>
          <w:rStyle w:val="Emphasis"/>
          <w:rFonts w:ascii="Arial" w:hAnsi="Arial" w:cs="Arial"/>
          <w:sz w:val="22"/>
          <w:szCs w:val="22"/>
        </w:rPr>
        <w:t>Journal of Operations Management</w:t>
      </w:r>
      <w:r w:rsidRPr="009E2403">
        <w:rPr>
          <w:rFonts w:ascii="Arial" w:hAnsi="Arial" w:cs="Arial"/>
          <w:sz w:val="22"/>
          <w:szCs w:val="22"/>
        </w:rPr>
        <w:t>, 45(3), pp. 112-125.</w:t>
      </w:r>
    </w:p>
    <w:p w14:paraId="151801BA" w14:textId="77777777" w:rsidR="00CC66D8" w:rsidRPr="009E2403" w:rsidRDefault="00CC66D8" w:rsidP="00F86849">
      <w:pPr>
        <w:pStyle w:val="NormalWeb"/>
        <w:spacing w:before="0" w:line="360" w:lineRule="auto"/>
        <w:rPr>
          <w:rFonts w:ascii="Arial" w:hAnsi="Arial" w:cs="Arial"/>
        </w:rPr>
        <w:sectPr w:rsidR="00CC66D8" w:rsidRPr="009E2403" w:rsidSect="007C1235">
          <w:pgSz w:w="11906" w:h="16838"/>
          <w:pgMar w:top="1440" w:right="1440" w:bottom="1440" w:left="1440" w:header="708" w:footer="708" w:gutter="0"/>
          <w:pgNumType w:start="1"/>
          <w:cols w:space="708"/>
          <w:docGrid w:linePitch="360"/>
        </w:sectPr>
      </w:pPr>
    </w:p>
    <w:p w14:paraId="5506F3CB" w14:textId="77777777" w:rsidR="001F675A" w:rsidRPr="009E2403" w:rsidRDefault="00A50220" w:rsidP="00412736">
      <w:pPr>
        <w:pStyle w:val="Heading1"/>
        <w:rPr>
          <w:rFonts w:ascii="Arial" w:eastAsia="Times New Roman" w:hAnsi="Arial" w:cs="Arial"/>
          <w:lang w:val="en-US"/>
        </w:rPr>
      </w:pPr>
      <w:bookmarkStart w:id="26" w:name="_Toc214745418"/>
      <w:r w:rsidRPr="009E2403">
        <w:rPr>
          <w:rFonts w:ascii="Arial" w:eastAsia="Times New Roman" w:hAnsi="Arial" w:cs="Arial"/>
          <w:lang w:val="en-US"/>
        </w:rPr>
        <w:t>Appendix-I Financial Statements</w:t>
      </w:r>
      <w:bookmarkEnd w:id="26"/>
    </w:p>
    <w:p w14:paraId="06C38792" w14:textId="77777777" w:rsidR="00A50220" w:rsidRPr="009E2403" w:rsidRDefault="00A50220">
      <w:pPr>
        <w:rPr>
          <w:rFonts w:ascii="Arial" w:eastAsia="Times New Roman" w:hAnsi="Arial" w:cs="Arial"/>
          <w:sz w:val="27"/>
          <w:szCs w:val="27"/>
          <w:lang w:val="en-US"/>
        </w:rPr>
      </w:pPr>
      <w:r w:rsidRPr="009E2403">
        <w:rPr>
          <w:rFonts w:ascii="Arial" w:hAnsi="Arial" w:cs="Arial"/>
          <w:noProof/>
          <w:lang w:val="en-US"/>
        </w:rPr>
        <w:drawing>
          <wp:inline distT="0" distB="0" distL="0" distR="0" wp14:anchorId="49F2AF0D" wp14:editId="7E3261CE">
            <wp:extent cx="8753475" cy="3850634"/>
            <wp:effectExtent l="19050" t="0" r="9525" b="12172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760013" cy="385351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63490D5" w14:textId="77777777" w:rsidR="00A50220" w:rsidRPr="009E2403" w:rsidRDefault="00A50220">
      <w:pPr>
        <w:rPr>
          <w:rFonts w:ascii="Arial" w:eastAsia="Times New Roman" w:hAnsi="Arial" w:cs="Arial"/>
          <w:sz w:val="27"/>
          <w:szCs w:val="27"/>
          <w:lang w:val="en-US"/>
        </w:rPr>
      </w:pPr>
      <w:r w:rsidRPr="009E2403">
        <w:rPr>
          <w:rFonts w:ascii="Arial" w:hAnsi="Arial" w:cs="Arial"/>
          <w:noProof/>
          <w:lang w:val="en-US"/>
        </w:rPr>
        <w:drawing>
          <wp:inline distT="0" distB="0" distL="0" distR="0" wp14:anchorId="6DDF251A" wp14:editId="249F4DA9">
            <wp:extent cx="8863330" cy="5889058"/>
            <wp:effectExtent l="19050" t="0" r="13970" b="18262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863330" cy="588905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79A4F5F8" w14:textId="77777777" w:rsidR="00A50220" w:rsidRPr="009E2403" w:rsidRDefault="00A50220">
      <w:pPr>
        <w:rPr>
          <w:rFonts w:ascii="Arial" w:eastAsia="Times New Roman" w:hAnsi="Arial" w:cs="Arial"/>
          <w:sz w:val="27"/>
          <w:szCs w:val="27"/>
          <w:lang w:val="en-US"/>
        </w:rPr>
      </w:pPr>
      <w:r w:rsidRPr="009E2403">
        <w:rPr>
          <w:rFonts w:ascii="Arial" w:hAnsi="Arial" w:cs="Arial"/>
          <w:noProof/>
          <w:lang w:val="en-US"/>
        </w:rPr>
        <w:drawing>
          <wp:inline distT="0" distB="0" distL="0" distR="0" wp14:anchorId="0E72FF93" wp14:editId="6CC36033">
            <wp:extent cx="8858249" cy="4743450"/>
            <wp:effectExtent l="114300" t="76200" r="229235" b="2476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863330" cy="4746171"/>
                    </a:xfrm>
                    <a:prstGeom prst="rect">
                      <a:avLst/>
                    </a:prstGeom>
                    <a:ln>
                      <a:noFill/>
                    </a:ln>
                    <a:effectLst>
                      <a:outerShdw blurRad="292100" dist="139700" dir="2700000" algn="tl" rotWithShape="0">
                        <a:srgbClr val="333333">
                          <a:alpha val="65000"/>
                        </a:srgbClr>
                      </a:outerShdw>
                    </a:effectLst>
                  </pic:spPr>
                </pic:pic>
              </a:graphicData>
            </a:graphic>
          </wp:inline>
        </w:drawing>
      </w:r>
    </w:p>
    <w:p w14:paraId="487D2CF2" w14:textId="77777777" w:rsidR="00552E11" w:rsidRPr="009E2403" w:rsidRDefault="00567A1D" w:rsidP="00567A1D">
      <w:pPr>
        <w:pStyle w:val="Caption"/>
        <w:jc w:val="center"/>
        <w:rPr>
          <w:rFonts w:ascii="Arial" w:hAnsi="Arial" w:cs="Arial"/>
        </w:rPr>
      </w:pPr>
      <w:bookmarkStart w:id="27" w:name="_Toc214745438"/>
      <w:r w:rsidRPr="009E2403">
        <w:rPr>
          <w:rFonts w:ascii="Arial" w:hAnsi="Arial" w:cs="Arial"/>
        </w:rPr>
        <w:t xml:space="preserve">Figure </w:t>
      </w:r>
      <w:r w:rsidRPr="009E2403">
        <w:rPr>
          <w:rFonts w:ascii="Arial" w:hAnsi="Arial" w:cs="Arial"/>
        </w:rPr>
        <w:fldChar w:fldCharType="begin"/>
      </w:r>
      <w:r w:rsidRPr="009E2403">
        <w:rPr>
          <w:rFonts w:ascii="Arial" w:hAnsi="Arial" w:cs="Arial"/>
        </w:rPr>
        <w:instrText xml:space="preserve"> SEQ Figure \* ARABIC </w:instrText>
      </w:r>
      <w:r w:rsidRPr="009E2403">
        <w:rPr>
          <w:rFonts w:ascii="Arial" w:hAnsi="Arial" w:cs="Arial"/>
        </w:rPr>
        <w:fldChar w:fldCharType="separate"/>
      </w:r>
      <w:r w:rsidR="00297D6B" w:rsidRPr="009E2403">
        <w:rPr>
          <w:rFonts w:ascii="Arial" w:hAnsi="Arial" w:cs="Arial"/>
          <w:noProof/>
        </w:rPr>
        <w:t>1</w:t>
      </w:r>
      <w:r w:rsidRPr="009E2403">
        <w:rPr>
          <w:rFonts w:ascii="Arial" w:hAnsi="Arial" w:cs="Arial"/>
        </w:rPr>
        <w:fldChar w:fldCharType="end"/>
      </w:r>
      <w:r w:rsidRPr="009E2403">
        <w:rPr>
          <w:rFonts w:ascii="Arial" w:hAnsi="Arial" w:cs="Arial"/>
        </w:rPr>
        <w:t xml:space="preserve"> Financial Statements</w:t>
      </w:r>
      <w:bookmarkEnd w:id="27"/>
    </w:p>
    <w:p w14:paraId="05321184" w14:textId="77777777" w:rsidR="00C70F8E" w:rsidRPr="009E2403" w:rsidRDefault="00552E11" w:rsidP="00552E11">
      <w:pPr>
        <w:jc w:val="center"/>
        <w:rPr>
          <w:rFonts w:ascii="Arial" w:hAnsi="Arial" w:cs="Arial"/>
        </w:rPr>
      </w:pPr>
      <w:r w:rsidRPr="009E2403">
        <w:rPr>
          <w:rFonts w:ascii="Arial" w:hAnsi="Arial" w:cs="Arial"/>
          <w:b/>
          <w:i/>
        </w:rPr>
        <w:t>Source</w:t>
      </w:r>
      <w:r w:rsidR="006948C1" w:rsidRPr="009E2403">
        <w:rPr>
          <w:rFonts w:ascii="Arial" w:hAnsi="Arial" w:cs="Arial"/>
        </w:rPr>
        <w:t>:</w:t>
      </w:r>
      <w:r w:rsidRPr="009E2403">
        <w:rPr>
          <w:rFonts w:ascii="Arial" w:hAnsi="Arial" w:cs="Arial"/>
        </w:rPr>
        <w:t xml:space="preserve"> Assignment Brief</w:t>
      </w:r>
    </w:p>
    <w:p w14:paraId="6CD6A102" w14:textId="77777777" w:rsidR="00D461BC" w:rsidRPr="009E2403" w:rsidRDefault="00D461BC" w:rsidP="00D461BC">
      <w:pPr>
        <w:pStyle w:val="Heading1"/>
        <w:rPr>
          <w:rFonts w:ascii="Arial" w:hAnsi="Arial" w:cs="Arial"/>
        </w:rPr>
      </w:pPr>
      <w:bookmarkStart w:id="28" w:name="_Toc214745419"/>
      <w:r w:rsidRPr="009E2403">
        <w:rPr>
          <w:rFonts w:ascii="Arial" w:hAnsi="Arial" w:cs="Arial"/>
        </w:rPr>
        <w:t>Appendix-II Ratios</w:t>
      </w:r>
      <w:bookmarkEnd w:id="28"/>
    </w:p>
    <w:tbl>
      <w:tblPr>
        <w:tblW w:w="15218" w:type="dxa"/>
        <w:tblInd w:w="93" w:type="dxa"/>
        <w:tblLook w:val="04A0" w:firstRow="1" w:lastRow="0" w:firstColumn="1" w:lastColumn="0" w:noHBand="0" w:noVBand="1"/>
      </w:tblPr>
      <w:tblGrid>
        <w:gridCol w:w="1196"/>
        <w:gridCol w:w="2635"/>
        <w:gridCol w:w="3142"/>
        <w:gridCol w:w="1649"/>
        <w:gridCol w:w="1649"/>
        <w:gridCol w:w="1649"/>
        <w:gridCol w:w="1649"/>
        <w:gridCol w:w="1649"/>
      </w:tblGrid>
      <w:tr w:rsidR="00D461BC" w:rsidRPr="009E2403" w14:paraId="4EBDBBD6" w14:textId="77777777" w:rsidTr="00D461BC">
        <w:trPr>
          <w:trHeight w:val="322"/>
        </w:trPr>
        <w:tc>
          <w:tcPr>
            <w:tcW w:w="1132" w:type="dxa"/>
            <w:tcBorders>
              <w:top w:val="single" w:sz="4" w:space="0" w:color="auto"/>
              <w:left w:val="single" w:sz="4" w:space="0" w:color="auto"/>
              <w:bottom w:val="double" w:sz="6" w:space="0" w:color="auto"/>
              <w:right w:val="single" w:sz="4" w:space="0" w:color="auto"/>
            </w:tcBorders>
            <w:vAlign w:val="center"/>
            <w:hideMark/>
          </w:tcPr>
          <w:p w14:paraId="00EBC271"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S.#</w:t>
            </w:r>
          </w:p>
        </w:tc>
        <w:tc>
          <w:tcPr>
            <w:tcW w:w="2654" w:type="dxa"/>
            <w:tcBorders>
              <w:top w:val="single" w:sz="4" w:space="0" w:color="auto"/>
              <w:left w:val="nil"/>
              <w:bottom w:val="double" w:sz="6" w:space="0" w:color="auto"/>
              <w:right w:val="single" w:sz="4" w:space="0" w:color="auto"/>
            </w:tcBorders>
            <w:vAlign w:val="center"/>
            <w:hideMark/>
          </w:tcPr>
          <w:p w14:paraId="6F8F0E23"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Ratio</w:t>
            </w:r>
          </w:p>
        </w:tc>
        <w:tc>
          <w:tcPr>
            <w:tcW w:w="3142" w:type="dxa"/>
            <w:tcBorders>
              <w:top w:val="single" w:sz="4" w:space="0" w:color="auto"/>
              <w:left w:val="nil"/>
              <w:bottom w:val="double" w:sz="6" w:space="0" w:color="auto"/>
              <w:right w:val="single" w:sz="4" w:space="0" w:color="auto"/>
            </w:tcBorders>
            <w:vAlign w:val="center"/>
            <w:hideMark/>
          </w:tcPr>
          <w:p w14:paraId="5E1E518C"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 </w:t>
            </w:r>
          </w:p>
        </w:tc>
        <w:tc>
          <w:tcPr>
            <w:tcW w:w="1658" w:type="dxa"/>
            <w:tcBorders>
              <w:top w:val="single" w:sz="4" w:space="0" w:color="auto"/>
              <w:left w:val="nil"/>
              <w:bottom w:val="double" w:sz="6" w:space="0" w:color="auto"/>
              <w:right w:val="single" w:sz="4" w:space="0" w:color="auto"/>
            </w:tcBorders>
            <w:vAlign w:val="center"/>
            <w:hideMark/>
          </w:tcPr>
          <w:p w14:paraId="4C2B3E67"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2024</w:t>
            </w:r>
          </w:p>
        </w:tc>
        <w:tc>
          <w:tcPr>
            <w:tcW w:w="1658" w:type="dxa"/>
            <w:tcBorders>
              <w:top w:val="single" w:sz="4" w:space="0" w:color="auto"/>
              <w:left w:val="nil"/>
              <w:bottom w:val="double" w:sz="6" w:space="0" w:color="auto"/>
              <w:right w:val="single" w:sz="4" w:space="0" w:color="auto"/>
            </w:tcBorders>
            <w:vAlign w:val="center"/>
            <w:hideMark/>
          </w:tcPr>
          <w:p w14:paraId="3205C764"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2023</w:t>
            </w:r>
          </w:p>
        </w:tc>
        <w:tc>
          <w:tcPr>
            <w:tcW w:w="1658" w:type="dxa"/>
            <w:tcBorders>
              <w:top w:val="single" w:sz="4" w:space="0" w:color="auto"/>
              <w:left w:val="nil"/>
              <w:bottom w:val="double" w:sz="6" w:space="0" w:color="auto"/>
              <w:right w:val="single" w:sz="4" w:space="0" w:color="auto"/>
            </w:tcBorders>
            <w:vAlign w:val="center"/>
            <w:hideMark/>
          </w:tcPr>
          <w:p w14:paraId="22BF163B"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2022</w:t>
            </w:r>
          </w:p>
        </w:tc>
        <w:tc>
          <w:tcPr>
            <w:tcW w:w="1658" w:type="dxa"/>
            <w:tcBorders>
              <w:top w:val="single" w:sz="4" w:space="0" w:color="auto"/>
              <w:left w:val="nil"/>
              <w:bottom w:val="double" w:sz="6" w:space="0" w:color="auto"/>
              <w:right w:val="single" w:sz="4" w:space="0" w:color="auto"/>
            </w:tcBorders>
            <w:vAlign w:val="center"/>
            <w:hideMark/>
          </w:tcPr>
          <w:p w14:paraId="17C4932D"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2021</w:t>
            </w:r>
          </w:p>
        </w:tc>
        <w:tc>
          <w:tcPr>
            <w:tcW w:w="1658" w:type="dxa"/>
            <w:tcBorders>
              <w:top w:val="single" w:sz="4" w:space="0" w:color="auto"/>
              <w:left w:val="nil"/>
              <w:bottom w:val="double" w:sz="6" w:space="0" w:color="auto"/>
              <w:right w:val="single" w:sz="4" w:space="0" w:color="auto"/>
            </w:tcBorders>
            <w:vAlign w:val="center"/>
            <w:hideMark/>
          </w:tcPr>
          <w:p w14:paraId="6B4EF299"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2020</w:t>
            </w:r>
          </w:p>
        </w:tc>
      </w:tr>
      <w:tr w:rsidR="00D461BC" w:rsidRPr="009E2403" w14:paraId="77121C7D" w14:textId="77777777" w:rsidTr="00D461BC">
        <w:trPr>
          <w:trHeight w:val="322"/>
        </w:trPr>
        <w:tc>
          <w:tcPr>
            <w:tcW w:w="1132" w:type="dxa"/>
            <w:vMerge w:val="restart"/>
            <w:tcBorders>
              <w:top w:val="nil"/>
              <w:left w:val="single" w:sz="4" w:space="0" w:color="auto"/>
              <w:bottom w:val="single" w:sz="4" w:space="0" w:color="auto"/>
              <w:right w:val="single" w:sz="4" w:space="0" w:color="auto"/>
            </w:tcBorders>
            <w:vAlign w:val="center"/>
            <w:hideMark/>
          </w:tcPr>
          <w:p w14:paraId="5FDBDBEE" w14:textId="77777777" w:rsidR="00D461BC" w:rsidRPr="009E2403" w:rsidRDefault="00D461BC" w:rsidP="00D461BC">
            <w:pPr>
              <w:spacing w:after="0" w:line="240" w:lineRule="auto"/>
              <w:jc w:val="center"/>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Profitability Ratios</w:t>
            </w:r>
          </w:p>
        </w:tc>
        <w:tc>
          <w:tcPr>
            <w:tcW w:w="2654" w:type="dxa"/>
            <w:vMerge w:val="restart"/>
            <w:tcBorders>
              <w:top w:val="nil"/>
              <w:left w:val="single" w:sz="4" w:space="0" w:color="auto"/>
              <w:bottom w:val="single" w:sz="4" w:space="0" w:color="auto"/>
              <w:right w:val="single" w:sz="4" w:space="0" w:color="auto"/>
            </w:tcBorders>
            <w:vAlign w:val="center"/>
            <w:hideMark/>
          </w:tcPr>
          <w:p w14:paraId="1091157A"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Return on Capital Employed</w:t>
            </w:r>
          </w:p>
        </w:tc>
        <w:tc>
          <w:tcPr>
            <w:tcW w:w="3142" w:type="dxa"/>
            <w:tcBorders>
              <w:top w:val="nil"/>
              <w:left w:val="nil"/>
              <w:bottom w:val="single" w:sz="4" w:space="0" w:color="auto"/>
              <w:right w:val="single" w:sz="4" w:space="0" w:color="auto"/>
            </w:tcBorders>
            <w:vAlign w:val="center"/>
            <w:hideMark/>
          </w:tcPr>
          <w:p w14:paraId="28F19EE5"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Profit Before Interest x     </w:t>
            </w:r>
            <w:r w:rsidRPr="009E2403">
              <w:rPr>
                <w:rFonts w:ascii="Arial" w:eastAsia="Times New Roman" w:hAnsi="Arial" w:cs="Arial"/>
                <w:color w:val="000000"/>
                <w:sz w:val="20"/>
                <w:szCs w:val="20"/>
                <w:lang w:val="en-US"/>
              </w:rPr>
              <w:t>100</w:t>
            </w:r>
          </w:p>
        </w:tc>
        <w:tc>
          <w:tcPr>
            <w:tcW w:w="1658" w:type="dxa"/>
            <w:tcBorders>
              <w:top w:val="nil"/>
              <w:left w:val="nil"/>
              <w:bottom w:val="single" w:sz="4" w:space="0" w:color="auto"/>
              <w:right w:val="single" w:sz="4" w:space="0" w:color="auto"/>
            </w:tcBorders>
            <w:vAlign w:val="center"/>
            <w:hideMark/>
          </w:tcPr>
          <w:p w14:paraId="58698C29"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-15,297</w:t>
            </w:r>
          </w:p>
        </w:tc>
        <w:tc>
          <w:tcPr>
            <w:tcW w:w="1658" w:type="dxa"/>
            <w:tcBorders>
              <w:top w:val="nil"/>
              <w:left w:val="nil"/>
              <w:bottom w:val="single" w:sz="4" w:space="0" w:color="auto"/>
              <w:right w:val="single" w:sz="4" w:space="0" w:color="auto"/>
            </w:tcBorders>
            <w:vAlign w:val="center"/>
            <w:hideMark/>
          </w:tcPr>
          <w:p w14:paraId="6432D9FB"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-85,301</w:t>
            </w:r>
          </w:p>
        </w:tc>
        <w:tc>
          <w:tcPr>
            <w:tcW w:w="1658" w:type="dxa"/>
            <w:tcBorders>
              <w:top w:val="nil"/>
              <w:left w:val="nil"/>
              <w:bottom w:val="single" w:sz="4" w:space="0" w:color="auto"/>
              <w:right w:val="single" w:sz="4" w:space="0" w:color="auto"/>
            </w:tcBorders>
            <w:vAlign w:val="center"/>
            <w:hideMark/>
          </w:tcPr>
          <w:p w14:paraId="0DE17144"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14,548</w:t>
            </w:r>
          </w:p>
        </w:tc>
        <w:tc>
          <w:tcPr>
            <w:tcW w:w="1658" w:type="dxa"/>
            <w:tcBorders>
              <w:top w:val="nil"/>
              <w:left w:val="nil"/>
              <w:bottom w:val="single" w:sz="4" w:space="0" w:color="auto"/>
              <w:right w:val="single" w:sz="4" w:space="0" w:color="auto"/>
            </w:tcBorders>
            <w:vAlign w:val="center"/>
            <w:hideMark/>
          </w:tcPr>
          <w:p w14:paraId="1CC2F394"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23,253</w:t>
            </w:r>
          </w:p>
        </w:tc>
        <w:tc>
          <w:tcPr>
            <w:tcW w:w="1658" w:type="dxa"/>
            <w:tcBorders>
              <w:top w:val="nil"/>
              <w:left w:val="nil"/>
              <w:bottom w:val="single" w:sz="4" w:space="0" w:color="auto"/>
              <w:right w:val="single" w:sz="4" w:space="0" w:color="auto"/>
            </w:tcBorders>
            <w:vAlign w:val="center"/>
            <w:hideMark/>
          </w:tcPr>
          <w:p w14:paraId="7E073F3E"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37,267</w:t>
            </w:r>
          </w:p>
        </w:tc>
      </w:tr>
      <w:tr w:rsidR="00D461BC" w:rsidRPr="009E2403" w14:paraId="7595F5DF"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0CDBE811"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6B628301"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3D48AB5C"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Capital Employed (Assets-liabilities)</w:t>
            </w:r>
          </w:p>
        </w:tc>
        <w:tc>
          <w:tcPr>
            <w:tcW w:w="1658" w:type="dxa"/>
            <w:tcBorders>
              <w:top w:val="nil"/>
              <w:left w:val="nil"/>
              <w:bottom w:val="single" w:sz="4" w:space="0" w:color="auto"/>
              <w:right w:val="single" w:sz="4" w:space="0" w:color="auto"/>
            </w:tcBorders>
            <w:vAlign w:val="center"/>
            <w:hideMark/>
          </w:tcPr>
          <w:p w14:paraId="27E2B4C7"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323,354-158,291</w:t>
            </w:r>
          </w:p>
        </w:tc>
        <w:tc>
          <w:tcPr>
            <w:tcW w:w="1658" w:type="dxa"/>
            <w:tcBorders>
              <w:top w:val="nil"/>
              <w:left w:val="nil"/>
              <w:bottom w:val="single" w:sz="4" w:space="0" w:color="auto"/>
              <w:right w:val="single" w:sz="4" w:space="0" w:color="auto"/>
            </w:tcBorders>
            <w:vAlign w:val="center"/>
            <w:hideMark/>
          </w:tcPr>
          <w:p w14:paraId="3F3DED4A"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355,872-161,148</w:t>
            </w:r>
          </w:p>
        </w:tc>
        <w:tc>
          <w:tcPr>
            <w:tcW w:w="1658" w:type="dxa"/>
            <w:tcBorders>
              <w:top w:val="nil"/>
              <w:left w:val="nil"/>
              <w:bottom w:val="single" w:sz="4" w:space="0" w:color="auto"/>
              <w:right w:val="single" w:sz="4" w:space="0" w:color="auto"/>
            </w:tcBorders>
            <w:vAlign w:val="center"/>
            <w:hideMark/>
          </w:tcPr>
          <w:p w14:paraId="45C51629"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504,163-216,473</w:t>
            </w:r>
          </w:p>
        </w:tc>
        <w:tc>
          <w:tcPr>
            <w:tcW w:w="1658" w:type="dxa"/>
            <w:tcBorders>
              <w:top w:val="nil"/>
              <w:left w:val="nil"/>
              <w:bottom w:val="single" w:sz="4" w:space="0" w:color="auto"/>
              <w:right w:val="single" w:sz="4" w:space="0" w:color="auto"/>
            </w:tcBorders>
            <w:vAlign w:val="center"/>
            <w:hideMark/>
          </w:tcPr>
          <w:p w14:paraId="34EFFA69"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510,348-216,787</w:t>
            </w:r>
          </w:p>
        </w:tc>
        <w:tc>
          <w:tcPr>
            <w:tcW w:w="1658" w:type="dxa"/>
            <w:tcBorders>
              <w:top w:val="nil"/>
              <w:left w:val="nil"/>
              <w:bottom w:val="single" w:sz="4" w:space="0" w:color="auto"/>
              <w:right w:val="single" w:sz="4" w:space="0" w:color="auto"/>
            </w:tcBorders>
            <w:vAlign w:val="center"/>
            <w:hideMark/>
          </w:tcPr>
          <w:p w14:paraId="75666DFA"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510,290-179,510</w:t>
            </w:r>
          </w:p>
        </w:tc>
      </w:tr>
      <w:tr w:rsidR="00D461BC" w:rsidRPr="009E2403" w14:paraId="2513A29D"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150654FD"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2EF733D2"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5C8BC4D2"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Earnings (Profit after Tax) x </w:t>
            </w:r>
            <w:r w:rsidRPr="009E2403">
              <w:rPr>
                <w:rFonts w:ascii="Arial" w:eastAsia="Times New Roman" w:hAnsi="Arial" w:cs="Arial"/>
                <w:color w:val="000000"/>
                <w:sz w:val="20"/>
                <w:szCs w:val="20"/>
                <w:lang w:val="en-US"/>
              </w:rPr>
              <w:t>100</w:t>
            </w:r>
          </w:p>
        </w:tc>
        <w:tc>
          <w:tcPr>
            <w:tcW w:w="1658" w:type="dxa"/>
            <w:tcBorders>
              <w:top w:val="nil"/>
              <w:left w:val="nil"/>
              <w:bottom w:val="single" w:sz="4" w:space="0" w:color="auto"/>
              <w:right w:val="single" w:sz="4" w:space="0" w:color="auto"/>
            </w:tcBorders>
            <w:vAlign w:val="center"/>
            <w:hideMark/>
          </w:tcPr>
          <w:p w14:paraId="790A9BB4"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 </w:t>
            </w:r>
          </w:p>
        </w:tc>
        <w:tc>
          <w:tcPr>
            <w:tcW w:w="1658" w:type="dxa"/>
            <w:tcBorders>
              <w:top w:val="nil"/>
              <w:left w:val="nil"/>
              <w:bottom w:val="single" w:sz="4" w:space="0" w:color="auto"/>
              <w:right w:val="single" w:sz="4" w:space="0" w:color="auto"/>
            </w:tcBorders>
            <w:hideMark/>
          </w:tcPr>
          <w:p w14:paraId="27044C6B"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 </w:t>
            </w:r>
          </w:p>
        </w:tc>
        <w:tc>
          <w:tcPr>
            <w:tcW w:w="1658" w:type="dxa"/>
            <w:tcBorders>
              <w:top w:val="nil"/>
              <w:left w:val="nil"/>
              <w:bottom w:val="single" w:sz="4" w:space="0" w:color="auto"/>
              <w:right w:val="single" w:sz="4" w:space="0" w:color="auto"/>
            </w:tcBorders>
            <w:hideMark/>
          </w:tcPr>
          <w:p w14:paraId="6AF45A4B"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 </w:t>
            </w:r>
          </w:p>
        </w:tc>
        <w:tc>
          <w:tcPr>
            <w:tcW w:w="1658" w:type="dxa"/>
            <w:tcBorders>
              <w:top w:val="nil"/>
              <w:left w:val="nil"/>
              <w:bottom w:val="single" w:sz="4" w:space="0" w:color="auto"/>
              <w:right w:val="single" w:sz="4" w:space="0" w:color="auto"/>
            </w:tcBorders>
            <w:hideMark/>
          </w:tcPr>
          <w:p w14:paraId="3B38DCA4"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 </w:t>
            </w:r>
          </w:p>
        </w:tc>
        <w:tc>
          <w:tcPr>
            <w:tcW w:w="1658" w:type="dxa"/>
            <w:tcBorders>
              <w:top w:val="nil"/>
              <w:left w:val="nil"/>
              <w:bottom w:val="single" w:sz="4" w:space="0" w:color="auto"/>
              <w:right w:val="single" w:sz="4" w:space="0" w:color="auto"/>
            </w:tcBorders>
            <w:hideMark/>
          </w:tcPr>
          <w:p w14:paraId="0F7560EA"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 </w:t>
            </w:r>
          </w:p>
        </w:tc>
      </w:tr>
      <w:tr w:rsidR="00D461BC" w:rsidRPr="009E2403" w14:paraId="7C3F2D34"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7D521DF3"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val="restart"/>
            <w:tcBorders>
              <w:top w:val="nil"/>
              <w:left w:val="single" w:sz="4" w:space="0" w:color="auto"/>
              <w:bottom w:val="single" w:sz="4" w:space="0" w:color="auto"/>
              <w:right w:val="single" w:sz="4" w:space="0" w:color="auto"/>
            </w:tcBorders>
            <w:vAlign w:val="center"/>
            <w:hideMark/>
          </w:tcPr>
          <w:p w14:paraId="5253E6F7"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Return on Equity</w:t>
            </w:r>
          </w:p>
        </w:tc>
        <w:tc>
          <w:tcPr>
            <w:tcW w:w="3142" w:type="dxa"/>
            <w:tcBorders>
              <w:top w:val="nil"/>
              <w:left w:val="nil"/>
              <w:bottom w:val="single" w:sz="4" w:space="0" w:color="auto"/>
              <w:right w:val="single" w:sz="4" w:space="0" w:color="auto"/>
            </w:tcBorders>
            <w:vAlign w:val="center"/>
            <w:hideMark/>
          </w:tcPr>
          <w:p w14:paraId="77D07CF3"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Common Equity</w:t>
            </w:r>
          </w:p>
        </w:tc>
        <w:tc>
          <w:tcPr>
            <w:tcW w:w="1658" w:type="dxa"/>
            <w:tcBorders>
              <w:top w:val="nil"/>
              <w:left w:val="nil"/>
              <w:bottom w:val="single" w:sz="4" w:space="0" w:color="auto"/>
              <w:right w:val="single" w:sz="4" w:space="0" w:color="auto"/>
            </w:tcBorders>
            <w:vAlign w:val="center"/>
            <w:hideMark/>
          </w:tcPr>
          <w:p w14:paraId="145673B6"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-24,029</w:t>
            </w:r>
          </w:p>
        </w:tc>
        <w:tc>
          <w:tcPr>
            <w:tcW w:w="1658" w:type="dxa"/>
            <w:tcBorders>
              <w:top w:val="nil"/>
              <w:left w:val="nil"/>
              <w:bottom w:val="single" w:sz="4" w:space="0" w:color="auto"/>
              <w:right w:val="single" w:sz="4" w:space="0" w:color="auto"/>
            </w:tcBorders>
            <w:vAlign w:val="center"/>
            <w:hideMark/>
          </w:tcPr>
          <w:p w14:paraId="53A1C324"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-98,238</w:t>
            </w:r>
          </w:p>
        </w:tc>
        <w:tc>
          <w:tcPr>
            <w:tcW w:w="1658" w:type="dxa"/>
            <w:tcBorders>
              <w:top w:val="nil"/>
              <w:left w:val="nil"/>
              <w:bottom w:val="single" w:sz="4" w:space="0" w:color="auto"/>
              <w:right w:val="single" w:sz="4" w:space="0" w:color="auto"/>
            </w:tcBorders>
            <w:vAlign w:val="center"/>
            <w:hideMark/>
          </w:tcPr>
          <w:p w14:paraId="7FC8147D" w14:textId="77777777" w:rsidR="00D461BC" w:rsidRPr="009E2403" w:rsidRDefault="00D461BC" w:rsidP="00D461BC">
            <w:pPr>
              <w:spacing w:after="0" w:line="240" w:lineRule="auto"/>
              <w:rPr>
                <w:rFonts w:ascii="Arial" w:eastAsia="Times New Roman" w:hAnsi="Arial" w:cs="Arial"/>
                <w:i/>
                <w:iCs/>
                <w:color w:val="000000"/>
                <w:sz w:val="20"/>
                <w:szCs w:val="20"/>
                <w:u w:val="single"/>
                <w:lang w:val="en-US"/>
              </w:rPr>
            </w:pPr>
            <w:r w:rsidRPr="009E2403">
              <w:rPr>
                <w:rFonts w:ascii="Arial" w:eastAsia="Times New Roman" w:hAnsi="Arial" w:cs="Arial"/>
                <w:i/>
                <w:iCs/>
                <w:color w:val="000000"/>
                <w:sz w:val="20"/>
                <w:szCs w:val="20"/>
                <w:u w:val="single"/>
                <w:lang w:val="en-US"/>
              </w:rPr>
              <w:t>407</w:t>
            </w:r>
          </w:p>
        </w:tc>
        <w:tc>
          <w:tcPr>
            <w:tcW w:w="1658" w:type="dxa"/>
            <w:tcBorders>
              <w:top w:val="nil"/>
              <w:left w:val="nil"/>
              <w:bottom w:val="single" w:sz="4" w:space="0" w:color="auto"/>
              <w:right w:val="single" w:sz="4" w:space="0" w:color="auto"/>
            </w:tcBorders>
            <w:vAlign w:val="center"/>
            <w:hideMark/>
          </w:tcPr>
          <w:p w14:paraId="39C70C80"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5,301</w:t>
            </w:r>
          </w:p>
        </w:tc>
        <w:tc>
          <w:tcPr>
            <w:tcW w:w="1658" w:type="dxa"/>
            <w:tcBorders>
              <w:top w:val="nil"/>
              <w:left w:val="nil"/>
              <w:bottom w:val="single" w:sz="4" w:space="0" w:color="auto"/>
              <w:right w:val="single" w:sz="4" w:space="0" w:color="auto"/>
            </w:tcBorders>
            <w:vAlign w:val="center"/>
            <w:hideMark/>
          </w:tcPr>
          <w:p w14:paraId="2437658A"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38,572</w:t>
            </w:r>
          </w:p>
        </w:tc>
      </w:tr>
      <w:tr w:rsidR="00D461BC" w:rsidRPr="009E2403" w14:paraId="4E87448A"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1EB62E6F"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4E202C9E"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435C9080"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Gross Profit x     </w:t>
            </w:r>
            <w:r w:rsidRPr="009E2403">
              <w:rPr>
                <w:rFonts w:ascii="Arial" w:eastAsia="Times New Roman" w:hAnsi="Arial" w:cs="Arial"/>
                <w:color w:val="000000"/>
                <w:sz w:val="20"/>
                <w:szCs w:val="20"/>
                <w:lang w:val="en-US"/>
              </w:rPr>
              <w:t xml:space="preserve">    100</w:t>
            </w:r>
          </w:p>
        </w:tc>
        <w:tc>
          <w:tcPr>
            <w:tcW w:w="1658" w:type="dxa"/>
            <w:tcBorders>
              <w:top w:val="nil"/>
              <w:left w:val="nil"/>
              <w:bottom w:val="single" w:sz="4" w:space="0" w:color="auto"/>
              <w:right w:val="single" w:sz="4" w:space="0" w:color="auto"/>
            </w:tcBorders>
            <w:vAlign w:val="center"/>
            <w:hideMark/>
          </w:tcPr>
          <w:p w14:paraId="512055F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153,105</w:t>
            </w:r>
          </w:p>
        </w:tc>
        <w:tc>
          <w:tcPr>
            <w:tcW w:w="1658" w:type="dxa"/>
            <w:tcBorders>
              <w:top w:val="nil"/>
              <w:left w:val="nil"/>
              <w:bottom w:val="single" w:sz="4" w:space="0" w:color="auto"/>
              <w:right w:val="single" w:sz="4" w:space="0" w:color="auto"/>
            </w:tcBorders>
            <w:vAlign w:val="center"/>
            <w:hideMark/>
          </w:tcPr>
          <w:p w14:paraId="608DD76A"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178,920</w:t>
            </w:r>
          </w:p>
        </w:tc>
        <w:tc>
          <w:tcPr>
            <w:tcW w:w="1658" w:type="dxa"/>
            <w:tcBorders>
              <w:top w:val="nil"/>
              <w:left w:val="nil"/>
              <w:bottom w:val="single" w:sz="4" w:space="0" w:color="auto"/>
              <w:right w:val="single" w:sz="4" w:space="0" w:color="auto"/>
            </w:tcBorders>
            <w:vAlign w:val="center"/>
            <w:hideMark/>
          </w:tcPr>
          <w:p w14:paraId="3C8DE7AF"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268,406</w:t>
            </w:r>
          </w:p>
        </w:tc>
        <w:tc>
          <w:tcPr>
            <w:tcW w:w="1658" w:type="dxa"/>
            <w:tcBorders>
              <w:top w:val="nil"/>
              <w:left w:val="nil"/>
              <w:bottom w:val="single" w:sz="4" w:space="0" w:color="auto"/>
              <w:right w:val="single" w:sz="4" w:space="0" w:color="auto"/>
            </w:tcBorders>
            <w:vAlign w:val="center"/>
            <w:hideMark/>
          </w:tcPr>
          <w:p w14:paraId="2AFDE6D0"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275,949</w:t>
            </w:r>
          </w:p>
        </w:tc>
        <w:tc>
          <w:tcPr>
            <w:tcW w:w="1658" w:type="dxa"/>
            <w:tcBorders>
              <w:top w:val="nil"/>
              <w:left w:val="nil"/>
              <w:bottom w:val="single" w:sz="4" w:space="0" w:color="auto"/>
              <w:right w:val="single" w:sz="4" w:space="0" w:color="auto"/>
            </w:tcBorders>
            <w:vAlign w:val="center"/>
            <w:hideMark/>
          </w:tcPr>
          <w:p w14:paraId="698C82EA"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313,301</w:t>
            </w:r>
          </w:p>
        </w:tc>
      </w:tr>
      <w:tr w:rsidR="00D461BC" w:rsidRPr="009E2403" w14:paraId="108A57F0"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365D53CD"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val="restart"/>
            <w:tcBorders>
              <w:top w:val="nil"/>
              <w:left w:val="single" w:sz="4" w:space="0" w:color="auto"/>
              <w:bottom w:val="single" w:sz="4" w:space="0" w:color="auto"/>
              <w:right w:val="single" w:sz="4" w:space="0" w:color="auto"/>
            </w:tcBorders>
            <w:vAlign w:val="center"/>
            <w:hideMark/>
          </w:tcPr>
          <w:p w14:paraId="3564A80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Gross Profit Ratio</w:t>
            </w:r>
          </w:p>
        </w:tc>
        <w:tc>
          <w:tcPr>
            <w:tcW w:w="3142" w:type="dxa"/>
            <w:tcBorders>
              <w:top w:val="nil"/>
              <w:left w:val="nil"/>
              <w:bottom w:val="single" w:sz="4" w:space="0" w:color="auto"/>
              <w:right w:val="single" w:sz="4" w:space="0" w:color="auto"/>
            </w:tcBorders>
            <w:vAlign w:val="center"/>
            <w:hideMark/>
          </w:tcPr>
          <w:p w14:paraId="718E019B"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Net Sales Revenue</w:t>
            </w:r>
          </w:p>
        </w:tc>
        <w:tc>
          <w:tcPr>
            <w:tcW w:w="1658" w:type="dxa"/>
            <w:tcBorders>
              <w:top w:val="nil"/>
              <w:left w:val="nil"/>
              <w:bottom w:val="single" w:sz="4" w:space="0" w:color="auto"/>
              <w:right w:val="single" w:sz="4" w:space="0" w:color="auto"/>
            </w:tcBorders>
            <w:vAlign w:val="center"/>
            <w:hideMark/>
          </w:tcPr>
          <w:p w14:paraId="6FE08FF1"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113,994</w:t>
            </w:r>
          </w:p>
        </w:tc>
        <w:tc>
          <w:tcPr>
            <w:tcW w:w="1658" w:type="dxa"/>
            <w:tcBorders>
              <w:top w:val="nil"/>
              <w:left w:val="nil"/>
              <w:bottom w:val="single" w:sz="4" w:space="0" w:color="auto"/>
              <w:right w:val="single" w:sz="4" w:space="0" w:color="auto"/>
            </w:tcBorders>
            <w:vAlign w:val="center"/>
            <w:hideMark/>
          </w:tcPr>
          <w:p w14:paraId="14FEFB54"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97,560</w:t>
            </w:r>
          </w:p>
        </w:tc>
        <w:tc>
          <w:tcPr>
            <w:tcW w:w="1658" w:type="dxa"/>
            <w:tcBorders>
              <w:top w:val="nil"/>
              <w:left w:val="nil"/>
              <w:bottom w:val="single" w:sz="4" w:space="0" w:color="auto"/>
              <w:right w:val="single" w:sz="4" w:space="0" w:color="auto"/>
            </w:tcBorders>
            <w:vAlign w:val="center"/>
            <w:hideMark/>
          </w:tcPr>
          <w:p w14:paraId="14FC72DA"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152,292</w:t>
            </w:r>
          </w:p>
        </w:tc>
        <w:tc>
          <w:tcPr>
            <w:tcW w:w="1658" w:type="dxa"/>
            <w:tcBorders>
              <w:top w:val="nil"/>
              <w:left w:val="nil"/>
              <w:bottom w:val="single" w:sz="4" w:space="0" w:color="auto"/>
              <w:right w:val="single" w:sz="4" w:space="0" w:color="auto"/>
            </w:tcBorders>
            <w:vAlign w:val="center"/>
            <w:hideMark/>
          </w:tcPr>
          <w:p w14:paraId="33CEC48D"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173,016</w:t>
            </w:r>
          </w:p>
        </w:tc>
        <w:tc>
          <w:tcPr>
            <w:tcW w:w="1658" w:type="dxa"/>
            <w:tcBorders>
              <w:top w:val="nil"/>
              <w:left w:val="nil"/>
              <w:bottom w:val="single" w:sz="4" w:space="0" w:color="auto"/>
              <w:right w:val="single" w:sz="4" w:space="0" w:color="auto"/>
            </w:tcBorders>
            <w:vAlign w:val="center"/>
            <w:hideMark/>
          </w:tcPr>
          <w:p w14:paraId="1E572746"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176,256</w:t>
            </w:r>
          </w:p>
        </w:tc>
      </w:tr>
      <w:tr w:rsidR="00D461BC" w:rsidRPr="009E2403" w14:paraId="04B59FC4"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265C4BCF"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3DD511D3"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3219AC63"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Operating Profit   x        </w:t>
            </w:r>
            <w:r w:rsidRPr="009E2403">
              <w:rPr>
                <w:rFonts w:ascii="Arial" w:eastAsia="Times New Roman" w:hAnsi="Arial" w:cs="Arial"/>
                <w:color w:val="000000"/>
                <w:sz w:val="20"/>
                <w:szCs w:val="20"/>
                <w:lang w:val="en-US"/>
              </w:rPr>
              <w:t>100</w:t>
            </w:r>
          </w:p>
        </w:tc>
        <w:tc>
          <w:tcPr>
            <w:tcW w:w="1658" w:type="dxa"/>
            <w:tcBorders>
              <w:top w:val="nil"/>
              <w:left w:val="nil"/>
              <w:bottom w:val="single" w:sz="4" w:space="0" w:color="auto"/>
              <w:right w:val="single" w:sz="4" w:space="0" w:color="auto"/>
            </w:tcBorders>
            <w:vAlign w:val="center"/>
            <w:hideMark/>
          </w:tcPr>
          <w:p w14:paraId="1DF7188D"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394,879</w:t>
            </w:r>
          </w:p>
        </w:tc>
        <w:tc>
          <w:tcPr>
            <w:tcW w:w="1658" w:type="dxa"/>
            <w:tcBorders>
              <w:top w:val="nil"/>
              <w:left w:val="nil"/>
              <w:bottom w:val="single" w:sz="4" w:space="0" w:color="auto"/>
              <w:right w:val="single" w:sz="4" w:space="0" w:color="auto"/>
            </w:tcBorders>
            <w:vAlign w:val="center"/>
            <w:hideMark/>
          </w:tcPr>
          <w:p w14:paraId="2B7590BF"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420,457</w:t>
            </w:r>
          </w:p>
        </w:tc>
        <w:tc>
          <w:tcPr>
            <w:tcW w:w="1658" w:type="dxa"/>
            <w:tcBorders>
              <w:top w:val="nil"/>
              <w:left w:val="nil"/>
              <w:bottom w:val="single" w:sz="4" w:space="0" w:color="auto"/>
              <w:right w:val="single" w:sz="4" w:space="0" w:color="auto"/>
            </w:tcBorders>
            <w:vAlign w:val="center"/>
            <w:hideMark/>
          </w:tcPr>
          <w:p w14:paraId="583EB9B7"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542,751</w:t>
            </w:r>
          </w:p>
        </w:tc>
        <w:tc>
          <w:tcPr>
            <w:tcW w:w="1658" w:type="dxa"/>
            <w:tcBorders>
              <w:top w:val="nil"/>
              <w:left w:val="nil"/>
              <w:bottom w:val="single" w:sz="4" w:space="0" w:color="auto"/>
              <w:right w:val="single" w:sz="4" w:space="0" w:color="auto"/>
            </w:tcBorders>
            <w:vAlign w:val="center"/>
            <w:hideMark/>
          </w:tcPr>
          <w:p w14:paraId="79678282"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601,602</w:t>
            </w:r>
          </w:p>
        </w:tc>
        <w:tc>
          <w:tcPr>
            <w:tcW w:w="1658" w:type="dxa"/>
            <w:tcBorders>
              <w:top w:val="nil"/>
              <w:left w:val="nil"/>
              <w:bottom w:val="single" w:sz="4" w:space="0" w:color="auto"/>
              <w:right w:val="single" w:sz="4" w:space="0" w:color="auto"/>
            </w:tcBorders>
            <w:vAlign w:val="center"/>
            <w:hideMark/>
          </w:tcPr>
          <w:p w14:paraId="1306BE0C"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614,680</w:t>
            </w:r>
          </w:p>
        </w:tc>
      </w:tr>
      <w:tr w:rsidR="00D461BC" w:rsidRPr="009E2403" w14:paraId="7FFC1AA8"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46BEC7AB"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val="restart"/>
            <w:tcBorders>
              <w:top w:val="nil"/>
              <w:left w:val="single" w:sz="4" w:space="0" w:color="auto"/>
              <w:bottom w:val="single" w:sz="4" w:space="0" w:color="auto"/>
              <w:right w:val="single" w:sz="4" w:space="0" w:color="auto"/>
            </w:tcBorders>
            <w:vAlign w:val="center"/>
            <w:hideMark/>
          </w:tcPr>
          <w:p w14:paraId="1FFEBE12"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Operating Profit Ratio</w:t>
            </w:r>
          </w:p>
        </w:tc>
        <w:tc>
          <w:tcPr>
            <w:tcW w:w="3142" w:type="dxa"/>
            <w:tcBorders>
              <w:top w:val="nil"/>
              <w:left w:val="nil"/>
              <w:bottom w:val="single" w:sz="4" w:space="0" w:color="auto"/>
              <w:right w:val="single" w:sz="4" w:space="0" w:color="auto"/>
            </w:tcBorders>
            <w:vAlign w:val="center"/>
            <w:hideMark/>
          </w:tcPr>
          <w:p w14:paraId="0ACE6EF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Net Sales Revenue</w:t>
            </w:r>
          </w:p>
        </w:tc>
        <w:tc>
          <w:tcPr>
            <w:tcW w:w="1658" w:type="dxa"/>
            <w:tcBorders>
              <w:top w:val="nil"/>
              <w:left w:val="nil"/>
              <w:bottom w:val="single" w:sz="4" w:space="0" w:color="auto"/>
              <w:right w:val="single" w:sz="4" w:space="0" w:color="auto"/>
            </w:tcBorders>
            <w:vAlign w:val="center"/>
            <w:hideMark/>
          </w:tcPr>
          <w:p w14:paraId="2C82C215"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-15,297</w:t>
            </w:r>
          </w:p>
        </w:tc>
        <w:tc>
          <w:tcPr>
            <w:tcW w:w="1658" w:type="dxa"/>
            <w:tcBorders>
              <w:top w:val="nil"/>
              <w:left w:val="nil"/>
              <w:bottom w:val="single" w:sz="4" w:space="0" w:color="auto"/>
              <w:right w:val="single" w:sz="4" w:space="0" w:color="auto"/>
            </w:tcBorders>
            <w:vAlign w:val="center"/>
            <w:hideMark/>
          </w:tcPr>
          <w:p w14:paraId="2F5C71C0"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-85,301</w:t>
            </w:r>
          </w:p>
        </w:tc>
        <w:tc>
          <w:tcPr>
            <w:tcW w:w="1658" w:type="dxa"/>
            <w:tcBorders>
              <w:top w:val="nil"/>
              <w:left w:val="nil"/>
              <w:bottom w:val="single" w:sz="4" w:space="0" w:color="auto"/>
              <w:right w:val="single" w:sz="4" w:space="0" w:color="auto"/>
            </w:tcBorders>
            <w:vAlign w:val="center"/>
            <w:hideMark/>
          </w:tcPr>
          <w:p w14:paraId="0884AF97"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14,548</w:t>
            </w:r>
          </w:p>
        </w:tc>
        <w:tc>
          <w:tcPr>
            <w:tcW w:w="1658" w:type="dxa"/>
            <w:tcBorders>
              <w:top w:val="nil"/>
              <w:left w:val="nil"/>
              <w:bottom w:val="single" w:sz="4" w:space="0" w:color="auto"/>
              <w:right w:val="single" w:sz="4" w:space="0" w:color="auto"/>
            </w:tcBorders>
            <w:vAlign w:val="center"/>
            <w:hideMark/>
          </w:tcPr>
          <w:p w14:paraId="6550E95A"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23,253</w:t>
            </w:r>
          </w:p>
        </w:tc>
        <w:tc>
          <w:tcPr>
            <w:tcW w:w="1658" w:type="dxa"/>
            <w:tcBorders>
              <w:top w:val="nil"/>
              <w:left w:val="nil"/>
              <w:bottom w:val="single" w:sz="4" w:space="0" w:color="auto"/>
              <w:right w:val="single" w:sz="4" w:space="0" w:color="auto"/>
            </w:tcBorders>
            <w:vAlign w:val="center"/>
            <w:hideMark/>
          </w:tcPr>
          <w:p w14:paraId="6C15160E"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37,267</w:t>
            </w:r>
          </w:p>
        </w:tc>
      </w:tr>
      <w:tr w:rsidR="00D461BC" w:rsidRPr="009E2403" w14:paraId="646A4220"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05979DBD"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248B1522"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06B6790B"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 </w:t>
            </w:r>
          </w:p>
        </w:tc>
        <w:tc>
          <w:tcPr>
            <w:tcW w:w="1658" w:type="dxa"/>
            <w:tcBorders>
              <w:top w:val="nil"/>
              <w:left w:val="nil"/>
              <w:bottom w:val="single" w:sz="4" w:space="0" w:color="auto"/>
              <w:right w:val="single" w:sz="4" w:space="0" w:color="auto"/>
            </w:tcBorders>
            <w:vAlign w:val="center"/>
            <w:hideMark/>
          </w:tcPr>
          <w:p w14:paraId="214E5D9C"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394,879</w:t>
            </w:r>
          </w:p>
        </w:tc>
        <w:tc>
          <w:tcPr>
            <w:tcW w:w="1658" w:type="dxa"/>
            <w:tcBorders>
              <w:top w:val="nil"/>
              <w:left w:val="nil"/>
              <w:bottom w:val="single" w:sz="4" w:space="0" w:color="auto"/>
              <w:right w:val="single" w:sz="4" w:space="0" w:color="auto"/>
            </w:tcBorders>
            <w:vAlign w:val="center"/>
            <w:hideMark/>
          </w:tcPr>
          <w:p w14:paraId="5669EF8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420,457</w:t>
            </w:r>
          </w:p>
        </w:tc>
        <w:tc>
          <w:tcPr>
            <w:tcW w:w="1658" w:type="dxa"/>
            <w:tcBorders>
              <w:top w:val="nil"/>
              <w:left w:val="nil"/>
              <w:bottom w:val="single" w:sz="4" w:space="0" w:color="auto"/>
              <w:right w:val="single" w:sz="4" w:space="0" w:color="auto"/>
            </w:tcBorders>
            <w:vAlign w:val="center"/>
            <w:hideMark/>
          </w:tcPr>
          <w:p w14:paraId="39160CCB"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542,751</w:t>
            </w:r>
          </w:p>
        </w:tc>
        <w:tc>
          <w:tcPr>
            <w:tcW w:w="1658" w:type="dxa"/>
            <w:tcBorders>
              <w:top w:val="nil"/>
              <w:left w:val="nil"/>
              <w:bottom w:val="single" w:sz="4" w:space="0" w:color="auto"/>
              <w:right w:val="single" w:sz="4" w:space="0" w:color="auto"/>
            </w:tcBorders>
            <w:vAlign w:val="center"/>
            <w:hideMark/>
          </w:tcPr>
          <w:p w14:paraId="1DF594ED"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601,602</w:t>
            </w:r>
          </w:p>
        </w:tc>
        <w:tc>
          <w:tcPr>
            <w:tcW w:w="1658" w:type="dxa"/>
            <w:tcBorders>
              <w:top w:val="nil"/>
              <w:left w:val="nil"/>
              <w:bottom w:val="single" w:sz="4" w:space="0" w:color="auto"/>
              <w:right w:val="single" w:sz="4" w:space="0" w:color="auto"/>
            </w:tcBorders>
            <w:vAlign w:val="center"/>
            <w:hideMark/>
          </w:tcPr>
          <w:p w14:paraId="715EFF04"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614,680</w:t>
            </w:r>
          </w:p>
        </w:tc>
      </w:tr>
      <w:tr w:rsidR="00D461BC" w:rsidRPr="009E2403" w14:paraId="04E7016B" w14:textId="77777777" w:rsidTr="00D461BC">
        <w:trPr>
          <w:trHeight w:val="307"/>
        </w:trPr>
        <w:tc>
          <w:tcPr>
            <w:tcW w:w="1132" w:type="dxa"/>
            <w:tcBorders>
              <w:top w:val="nil"/>
              <w:left w:val="single" w:sz="4" w:space="0" w:color="auto"/>
              <w:bottom w:val="single" w:sz="4" w:space="0" w:color="auto"/>
              <w:right w:val="single" w:sz="4" w:space="0" w:color="auto"/>
            </w:tcBorders>
            <w:vAlign w:val="center"/>
            <w:hideMark/>
          </w:tcPr>
          <w:p w14:paraId="5B77A143"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S. #</w:t>
            </w:r>
          </w:p>
        </w:tc>
        <w:tc>
          <w:tcPr>
            <w:tcW w:w="2654" w:type="dxa"/>
            <w:tcBorders>
              <w:top w:val="nil"/>
              <w:left w:val="nil"/>
              <w:bottom w:val="single" w:sz="4" w:space="0" w:color="auto"/>
              <w:right w:val="single" w:sz="4" w:space="0" w:color="auto"/>
            </w:tcBorders>
            <w:vAlign w:val="center"/>
            <w:hideMark/>
          </w:tcPr>
          <w:p w14:paraId="177266CD"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Ratio</w:t>
            </w:r>
          </w:p>
        </w:tc>
        <w:tc>
          <w:tcPr>
            <w:tcW w:w="3142" w:type="dxa"/>
            <w:tcBorders>
              <w:top w:val="nil"/>
              <w:left w:val="nil"/>
              <w:bottom w:val="single" w:sz="4" w:space="0" w:color="auto"/>
              <w:right w:val="single" w:sz="4" w:space="0" w:color="auto"/>
            </w:tcBorders>
            <w:vAlign w:val="center"/>
            <w:hideMark/>
          </w:tcPr>
          <w:p w14:paraId="1ADE89B0"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 </w:t>
            </w:r>
          </w:p>
        </w:tc>
        <w:tc>
          <w:tcPr>
            <w:tcW w:w="1658" w:type="dxa"/>
            <w:tcBorders>
              <w:top w:val="nil"/>
              <w:left w:val="nil"/>
              <w:bottom w:val="single" w:sz="4" w:space="0" w:color="auto"/>
              <w:right w:val="single" w:sz="4" w:space="0" w:color="auto"/>
            </w:tcBorders>
            <w:vAlign w:val="center"/>
            <w:hideMark/>
          </w:tcPr>
          <w:p w14:paraId="6654D5CA"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2024</w:t>
            </w:r>
          </w:p>
        </w:tc>
        <w:tc>
          <w:tcPr>
            <w:tcW w:w="1658" w:type="dxa"/>
            <w:tcBorders>
              <w:top w:val="nil"/>
              <w:left w:val="nil"/>
              <w:bottom w:val="single" w:sz="4" w:space="0" w:color="auto"/>
              <w:right w:val="single" w:sz="4" w:space="0" w:color="auto"/>
            </w:tcBorders>
            <w:vAlign w:val="center"/>
            <w:hideMark/>
          </w:tcPr>
          <w:p w14:paraId="5F9A90B4"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2023</w:t>
            </w:r>
          </w:p>
        </w:tc>
        <w:tc>
          <w:tcPr>
            <w:tcW w:w="1658" w:type="dxa"/>
            <w:tcBorders>
              <w:top w:val="nil"/>
              <w:left w:val="nil"/>
              <w:bottom w:val="single" w:sz="4" w:space="0" w:color="auto"/>
              <w:right w:val="single" w:sz="4" w:space="0" w:color="auto"/>
            </w:tcBorders>
            <w:vAlign w:val="center"/>
            <w:hideMark/>
          </w:tcPr>
          <w:p w14:paraId="47AE3FED"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2022</w:t>
            </w:r>
          </w:p>
        </w:tc>
        <w:tc>
          <w:tcPr>
            <w:tcW w:w="1658" w:type="dxa"/>
            <w:tcBorders>
              <w:top w:val="nil"/>
              <w:left w:val="nil"/>
              <w:bottom w:val="single" w:sz="4" w:space="0" w:color="auto"/>
              <w:right w:val="single" w:sz="4" w:space="0" w:color="auto"/>
            </w:tcBorders>
            <w:vAlign w:val="center"/>
            <w:hideMark/>
          </w:tcPr>
          <w:p w14:paraId="02D74E94"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2021</w:t>
            </w:r>
          </w:p>
        </w:tc>
        <w:tc>
          <w:tcPr>
            <w:tcW w:w="1658" w:type="dxa"/>
            <w:tcBorders>
              <w:top w:val="nil"/>
              <w:left w:val="nil"/>
              <w:bottom w:val="single" w:sz="4" w:space="0" w:color="auto"/>
              <w:right w:val="single" w:sz="4" w:space="0" w:color="auto"/>
            </w:tcBorders>
            <w:vAlign w:val="center"/>
            <w:hideMark/>
          </w:tcPr>
          <w:p w14:paraId="18EE3153"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2020</w:t>
            </w:r>
          </w:p>
        </w:tc>
      </w:tr>
      <w:tr w:rsidR="00D461BC" w:rsidRPr="009E2403" w14:paraId="7226E9B6" w14:textId="77777777" w:rsidTr="00D461BC">
        <w:trPr>
          <w:trHeight w:val="307"/>
        </w:trPr>
        <w:tc>
          <w:tcPr>
            <w:tcW w:w="1132" w:type="dxa"/>
            <w:vMerge w:val="restart"/>
            <w:tcBorders>
              <w:top w:val="nil"/>
              <w:left w:val="single" w:sz="4" w:space="0" w:color="auto"/>
              <w:bottom w:val="single" w:sz="4" w:space="0" w:color="auto"/>
              <w:right w:val="single" w:sz="4" w:space="0" w:color="auto"/>
            </w:tcBorders>
            <w:vAlign w:val="center"/>
            <w:hideMark/>
          </w:tcPr>
          <w:p w14:paraId="2D2E1C32" w14:textId="77777777" w:rsidR="00D461BC" w:rsidRPr="009E2403" w:rsidRDefault="00D461BC" w:rsidP="00D461BC">
            <w:pPr>
              <w:spacing w:after="0" w:line="240" w:lineRule="auto"/>
              <w:jc w:val="center"/>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Liquidity Ratios</w:t>
            </w:r>
          </w:p>
        </w:tc>
        <w:tc>
          <w:tcPr>
            <w:tcW w:w="2654" w:type="dxa"/>
            <w:vMerge w:val="restart"/>
            <w:tcBorders>
              <w:top w:val="nil"/>
              <w:left w:val="single" w:sz="4" w:space="0" w:color="auto"/>
              <w:bottom w:val="single" w:sz="4" w:space="0" w:color="auto"/>
              <w:right w:val="single" w:sz="4" w:space="0" w:color="auto"/>
            </w:tcBorders>
            <w:vAlign w:val="center"/>
            <w:hideMark/>
          </w:tcPr>
          <w:p w14:paraId="5CFC7817"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Current Ratio</w:t>
            </w:r>
          </w:p>
        </w:tc>
        <w:tc>
          <w:tcPr>
            <w:tcW w:w="3142" w:type="dxa"/>
            <w:tcBorders>
              <w:top w:val="nil"/>
              <w:left w:val="nil"/>
              <w:bottom w:val="single" w:sz="4" w:space="0" w:color="auto"/>
              <w:right w:val="single" w:sz="4" w:space="0" w:color="auto"/>
            </w:tcBorders>
            <w:vAlign w:val="center"/>
            <w:hideMark/>
          </w:tcPr>
          <w:p w14:paraId="5C97E099"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Current Assets      </w:t>
            </w:r>
          </w:p>
        </w:tc>
        <w:tc>
          <w:tcPr>
            <w:tcW w:w="1658" w:type="dxa"/>
            <w:tcBorders>
              <w:top w:val="nil"/>
              <w:left w:val="nil"/>
              <w:bottom w:val="single" w:sz="4" w:space="0" w:color="auto"/>
              <w:right w:val="single" w:sz="4" w:space="0" w:color="auto"/>
            </w:tcBorders>
            <w:vAlign w:val="center"/>
            <w:hideMark/>
          </w:tcPr>
          <w:p w14:paraId="49902A0B"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242,494</w:t>
            </w:r>
          </w:p>
        </w:tc>
        <w:tc>
          <w:tcPr>
            <w:tcW w:w="1658" w:type="dxa"/>
            <w:tcBorders>
              <w:top w:val="nil"/>
              <w:left w:val="nil"/>
              <w:bottom w:val="single" w:sz="4" w:space="0" w:color="auto"/>
              <w:right w:val="single" w:sz="4" w:space="0" w:color="auto"/>
            </w:tcBorders>
            <w:vAlign w:val="center"/>
            <w:hideMark/>
          </w:tcPr>
          <w:p w14:paraId="3AA9C761"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258,851</w:t>
            </w:r>
          </w:p>
        </w:tc>
        <w:tc>
          <w:tcPr>
            <w:tcW w:w="1658" w:type="dxa"/>
            <w:tcBorders>
              <w:top w:val="nil"/>
              <w:left w:val="nil"/>
              <w:bottom w:val="single" w:sz="4" w:space="0" w:color="auto"/>
              <w:right w:val="single" w:sz="4" w:space="0" w:color="auto"/>
            </w:tcBorders>
            <w:vAlign w:val="center"/>
            <w:hideMark/>
          </w:tcPr>
          <w:p w14:paraId="1E52B6D9"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338,040</w:t>
            </w:r>
          </w:p>
        </w:tc>
        <w:tc>
          <w:tcPr>
            <w:tcW w:w="1658" w:type="dxa"/>
            <w:tcBorders>
              <w:top w:val="nil"/>
              <w:left w:val="nil"/>
              <w:bottom w:val="single" w:sz="4" w:space="0" w:color="auto"/>
              <w:right w:val="single" w:sz="4" w:space="0" w:color="auto"/>
            </w:tcBorders>
            <w:vAlign w:val="center"/>
            <w:hideMark/>
          </w:tcPr>
          <w:p w14:paraId="663D57CE"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337,146</w:t>
            </w:r>
          </w:p>
        </w:tc>
        <w:tc>
          <w:tcPr>
            <w:tcW w:w="1658" w:type="dxa"/>
            <w:tcBorders>
              <w:top w:val="nil"/>
              <w:left w:val="nil"/>
              <w:bottom w:val="single" w:sz="4" w:space="0" w:color="auto"/>
              <w:right w:val="single" w:sz="4" w:space="0" w:color="auto"/>
            </w:tcBorders>
            <w:vAlign w:val="center"/>
            <w:hideMark/>
          </w:tcPr>
          <w:p w14:paraId="5A5E63C9"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326,843</w:t>
            </w:r>
          </w:p>
        </w:tc>
      </w:tr>
      <w:tr w:rsidR="00D461BC" w:rsidRPr="009E2403" w14:paraId="433C4B5B"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59E0E732"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24126193"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70361A44"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Current Liabilities</w:t>
            </w:r>
          </w:p>
        </w:tc>
        <w:tc>
          <w:tcPr>
            <w:tcW w:w="1658" w:type="dxa"/>
            <w:tcBorders>
              <w:top w:val="nil"/>
              <w:left w:val="nil"/>
              <w:bottom w:val="single" w:sz="4" w:space="0" w:color="auto"/>
              <w:right w:val="single" w:sz="4" w:space="0" w:color="auto"/>
            </w:tcBorders>
            <w:vAlign w:val="center"/>
            <w:hideMark/>
          </w:tcPr>
          <w:p w14:paraId="669AA90C"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158,291</w:t>
            </w:r>
          </w:p>
        </w:tc>
        <w:tc>
          <w:tcPr>
            <w:tcW w:w="1658" w:type="dxa"/>
            <w:tcBorders>
              <w:top w:val="nil"/>
              <w:left w:val="nil"/>
              <w:bottom w:val="single" w:sz="4" w:space="0" w:color="auto"/>
              <w:right w:val="single" w:sz="4" w:space="0" w:color="auto"/>
            </w:tcBorders>
            <w:vAlign w:val="center"/>
            <w:hideMark/>
          </w:tcPr>
          <w:p w14:paraId="5654256C"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161,148</w:t>
            </w:r>
          </w:p>
        </w:tc>
        <w:tc>
          <w:tcPr>
            <w:tcW w:w="1658" w:type="dxa"/>
            <w:tcBorders>
              <w:top w:val="nil"/>
              <w:left w:val="nil"/>
              <w:bottom w:val="single" w:sz="4" w:space="0" w:color="auto"/>
              <w:right w:val="single" w:sz="4" w:space="0" w:color="auto"/>
            </w:tcBorders>
            <w:vAlign w:val="center"/>
            <w:hideMark/>
          </w:tcPr>
          <w:p w14:paraId="752C87EF"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216,473</w:t>
            </w:r>
          </w:p>
        </w:tc>
        <w:tc>
          <w:tcPr>
            <w:tcW w:w="1658" w:type="dxa"/>
            <w:tcBorders>
              <w:top w:val="nil"/>
              <w:left w:val="nil"/>
              <w:bottom w:val="single" w:sz="4" w:space="0" w:color="auto"/>
              <w:right w:val="single" w:sz="4" w:space="0" w:color="auto"/>
            </w:tcBorders>
            <w:vAlign w:val="center"/>
            <w:hideMark/>
          </w:tcPr>
          <w:p w14:paraId="4867C4A6"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216,787</w:t>
            </w:r>
          </w:p>
        </w:tc>
        <w:tc>
          <w:tcPr>
            <w:tcW w:w="1658" w:type="dxa"/>
            <w:tcBorders>
              <w:top w:val="nil"/>
              <w:left w:val="nil"/>
              <w:bottom w:val="single" w:sz="4" w:space="0" w:color="auto"/>
              <w:right w:val="single" w:sz="4" w:space="0" w:color="auto"/>
            </w:tcBorders>
            <w:vAlign w:val="center"/>
            <w:hideMark/>
          </w:tcPr>
          <w:p w14:paraId="4FEFF2A4"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179,510</w:t>
            </w:r>
          </w:p>
        </w:tc>
      </w:tr>
      <w:tr w:rsidR="00D461BC" w:rsidRPr="009E2403" w14:paraId="6E19F361"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7B23AA5C"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val="restart"/>
            <w:tcBorders>
              <w:top w:val="nil"/>
              <w:left w:val="single" w:sz="4" w:space="0" w:color="auto"/>
              <w:bottom w:val="single" w:sz="4" w:space="0" w:color="auto"/>
              <w:right w:val="single" w:sz="4" w:space="0" w:color="auto"/>
            </w:tcBorders>
            <w:vAlign w:val="center"/>
            <w:hideMark/>
          </w:tcPr>
          <w:p w14:paraId="224B967E"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Quick Ratio</w:t>
            </w:r>
          </w:p>
        </w:tc>
        <w:tc>
          <w:tcPr>
            <w:tcW w:w="3142" w:type="dxa"/>
            <w:tcBorders>
              <w:top w:val="nil"/>
              <w:left w:val="nil"/>
              <w:bottom w:val="single" w:sz="4" w:space="0" w:color="auto"/>
              <w:right w:val="single" w:sz="4" w:space="0" w:color="auto"/>
            </w:tcBorders>
            <w:vAlign w:val="center"/>
            <w:hideMark/>
          </w:tcPr>
          <w:p w14:paraId="48D9180B"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Current Assets - Inventories     </w:t>
            </w:r>
          </w:p>
        </w:tc>
        <w:tc>
          <w:tcPr>
            <w:tcW w:w="1658" w:type="dxa"/>
            <w:tcBorders>
              <w:top w:val="nil"/>
              <w:left w:val="nil"/>
              <w:bottom w:val="single" w:sz="4" w:space="0" w:color="auto"/>
              <w:right w:val="single" w:sz="4" w:space="0" w:color="auto"/>
            </w:tcBorders>
            <w:vAlign w:val="center"/>
            <w:hideMark/>
          </w:tcPr>
          <w:p w14:paraId="4B7C47A5"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242,494-</w:t>
            </w:r>
            <w:r w:rsidRPr="009E2403">
              <w:rPr>
                <w:rFonts w:ascii="Arial" w:eastAsia="Times New Roman" w:hAnsi="Arial" w:cs="Arial"/>
                <w:color w:val="000000"/>
                <w:sz w:val="20"/>
                <w:szCs w:val="20"/>
                <w:u w:val="single"/>
                <w:lang w:val="en-US"/>
              </w:rPr>
              <w:t>79,355</w:t>
            </w:r>
          </w:p>
        </w:tc>
        <w:tc>
          <w:tcPr>
            <w:tcW w:w="1658" w:type="dxa"/>
            <w:tcBorders>
              <w:top w:val="nil"/>
              <w:left w:val="nil"/>
              <w:bottom w:val="single" w:sz="4" w:space="0" w:color="auto"/>
              <w:right w:val="single" w:sz="4" w:space="0" w:color="auto"/>
            </w:tcBorders>
            <w:vAlign w:val="center"/>
            <w:hideMark/>
          </w:tcPr>
          <w:p w14:paraId="79D56320"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258,851-</w:t>
            </w:r>
            <w:r w:rsidRPr="009E2403">
              <w:rPr>
                <w:rFonts w:ascii="Arial" w:eastAsia="Times New Roman" w:hAnsi="Arial" w:cs="Arial"/>
                <w:color w:val="000000"/>
                <w:sz w:val="20"/>
                <w:szCs w:val="20"/>
                <w:u w:val="single"/>
                <w:lang w:val="en-US"/>
              </w:rPr>
              <w:t>88,273</w:t>
            </w:r>
          </w:p>
        </w:tc>
        <w:tc>
          <w:tcPr>
            <w:tcW w:w="1658" w:type="dxa"/>
            <w:tcBorders>
              <w:top w:val="nil"/>
              <w:left w:val="nil"/>
              <w:bottom w:val="single" w:sz="4" w:space="0" w:color="auto"/>
              <w:right w:val="single" w:sz="4" w:space="0" w:color="auto"/>
            </w:tcBorders>
            <w:vAlign w:val="center"/>
            <w:hideMark/>
          </w:tcPr>
          <w:p w14:paraId="0A48A8D5"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338,040-</w:t>
            </w:r>
            <w:r w:rsidRPr="009E2403">
              <w:rPr>
                <w:rFonts w:ascii="Arial" w:eastAsia="Times New Roman" w:hAnsi="Arial" w:cs="Arial"/>
                <w:color w:val="000000"/>
                <w:sz w:val="20"/>
                <w:szCs w:val="20"/>
                <w:u w:val="single"/>
                <w:lang w:val="en-US"/>
              </w:rPr>
              <w:t>140,181</w:t>
            </w:r>
          </w:p>
        </w:tc>
        <w:tc>
          <w:tcPr>
            <w:tcW w:w="1658" w:type="dxa"/>
            <w:tcBorders>
              <w:top w:val="nil"/>
              <w:left w:val="nil"/>
              <w:bottom w:val="single" w:sz="4" w:space="0" w:color="auto"/>
              <w:right w:val="single" w:sz="4" w:space="0" w:color="auto"/>
            </w:tcBorders>
            <w:vAlign w:val="center"/>
            <w:hideMark/>
          </w:tcPr>
          <w:p w14:paraId="20819D9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337,146-</w:t>
            </w:r>
            <w:r w:rsidRPr="009E2403">
              <w:rPr>
                <w:rFonts w:ascii="Arial" w:eastAsia="Times New Roman" w:hAnsi="Arial" w:cs="Arial"/>
                <w:color w:val="000000"/>
                <w:sz w:val="20"/>
                <w:szCs w:val="20"/>
                <w:u w:val="single"/>
                <w:lang w:val="en-US"/>
              </w:rPr>
              <w:t>134,469</w:t>
            </w:r>
          </w:p>
        </w:tc>
        <w:tc>
          <w:tcPr>
            <w:tcW w:w="1658" w:type="dxa"/>
            <w:tcBorders>
              <w:top w:val="nil"/>
              <w:left w:val="nil"/>
              <w:bottom w:val="single" w:sz="4" w:space="0" w:color="auto"/>
              <w:right w:val="single" w:sz="4" w:space="0" w:color="auto"/>
            </w:tcBorders>
            <w:vAlign w:val="center"/>
            <w:hideMark/>
          </w:tcPr>
          <w:p w14:paraId="27868145"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326,843-</w:t>
            </w:r>
            <w:r w:rsidRPr="009E2403">
              <w:rPr>
                <w:rFonts w:ascii="Arial" w:eastAsia="Times New Roman" w:hAnsi="Arial" w:cs="Arial"/>
                <w:color w:val="000000"/>
                <w:sz w:val="20"/>
                <w:szCs w:val="20"/>
                <w:u w:val="single"/>
                <w:lang w:val="en-US"/>
              </w:rPr>
              <w:t>120,430</w:t>
            </w:r>
          </w:p>
        </w:tc>
      </w:tr>
      <w:tr w:rsidR="00D461BC" w:rsidRPr="009E2403" w14:paraId="459B21B9"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749ABCBB"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6F4752BC"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1E3DD96E"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Current Liabilities</w:t>
            </w:r>
          </w:p>
        </w:tc>
        <w:tc>
          <w:tcPr>
            <w:tcW w:w="1658" w:type="dxa"/>
            <w:tcBorders>
              <w:top w:val="nil"/>
              <w:left w:val="nil"/>
              <w:bottom w:val="single" w:sz="4" w:space="0" w:color="auto"/>
              <w:right w:val="single" w:sz="4" w:space="0" w:color="auto"/>
            </w:tcBorders>
            <w:vAlign w:val="center"/>
            <w:hideMark/>
          </w:tcPr>
          <w:p w14:paraId="45CB106D"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158,291</w:t>
            </w:r>
          </w:p>
        </w:tc>
        <w:tc>
          <w:tcPr>
            <w:tcW w:w="1658" w:type="dxa"/>
            <w:tcBorders>
              <w:top w:val="nil"/>
              <w:left w:val="nil"/>
              <w:bottom w:val="single" w:sz="4" w:space="0" w:color="auto"/>
              <w:right w:val="single" w:sz="4" w:space="0" w:color="auto"/>
            </w:tcBorders>
            <w:vAlign w:val="center"/>
            <w:hideMark/>
          </w:tcPr>
          <w:p w14:paraId="1A41F9AB"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161,148</w:t>
            </w:r>
          </w:p>
        </w:tc>
        <w:tc>
          <w:tcPr>
            <w:tcW w:w="1658" w:type="dxa"/>
            <w:tcBorders>
              <w:top w:val="nil"/>
              <w:left w:val="nil"/>
              <w:bottom w:val="single" w:sz="4" w:space="0" w:color="auto"/>
              <w:right w:val="single" w:sz="4" w:space="0" w:color="auto"/>
            </w:tcBorders>
            <w:vAlign w:val="center"/>
            <w:hideMark/>
          </w:tcPr>
          <w:p w14:paraId="7013E75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216,473</w:t>
            </w:r>
          </w:p>
        </w:tc>
        <w:tc>
          <w:tcPr>
            <w:tcW w:w="1658" w:type="dxa"/>
            <w:tcBorders>
              <w:top w:val="nil"/>
              <w:left w:val="nil"/>
              <w:bottom w:val="single" w:sz="4" w:space="0" w:color="auto"/>
              <w:right w:val="single" w:sz="4" w:space="0" w:color="auto"/>
            </w:tcBorders>
            <w:vAlign w:val="center"/>
            <w:hideMark/>
          </w:tcPr>
          <w:p w14:paraId="469DF23B"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216,787</w:t>
            </w:r>
          </w:p>
        </w:tc>
        <w:tc>
          <w:tcPr>
            <w:tcW w:w="1658" w:type="dxa"/>
            <w:tcBorders>
              <w:top w:val="nil"/>
              <w:left w:val="nil"/>
              <w:bottom w:val="single" w:sz="4" w:space="0" w:color="auto"/>
              <w:right w:val="single" w:sz="4" w:space="0" w:color="auto"/>
            </w:tcBorders>
            <w:vAlign w:val="center"/>
            <w:hideMark/>
          </w:tcPr>
          <w:p w14:paraId="3462992D"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179,510</w:t>
            </w:r>
          </w:p>
        </w:tc>
      </w:tr>
      <w:tr w:rsidR="00D461BC" w:rsidRPr="009E2403" w14:paraId="646AB060" w14:textId="77777777" w:rsidTr="00D461BC">
        <w:trPr>
          <w:trHeight w:val="307"/>
        </w:trPr>
        <w:tc>
          <w:tcPr>
            <w:tcW w:w="1132" w:type="dxa"/>
            <w:tcBorders>
              <w:top w:val="nil"/>
              <w:left w:val="single" w:sz="4" w:space="0" w:color="auto"/>
              <w:bottom w:val="single" w:sz="4" w:space="0" w:color="auto"/>
              <w:right w:val="single" w:sz="4" w:space="0" w:color="auto"/>
            </w:tcBorders>
            <w:vAlign w:val="center"/>
            <w:hideMark/>
          </w:tcPr>
          <w:p w14:paraId="6B698FE5"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S. #</w:t>
            </w:r>
          </w:p>
        </w:tc>
        <w:tc>
          <w:tcPr>
            <w:tcW w:w="2654" w:type="dxa"/>
            <w:tcBorders>
              <w:top w:val="nil"/>
              <w:left w:val="nil"/>
              <w:bottom w:val="single" w:sz="4" w:space="0" w:color="auto"/>
              <w:right w:val="single" w:sz="4" w:space="0" w:color="auto"/>
            </w:tcBorders>
            <w:vAlign w:val="center"/>
            <w:hideMark/>
          </w:tcPr>
          <w:p w14:paraId="4BC22E4A"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Ratio</w:t>
            </w:r>
          </w:p>
        </w:tc>
        <w:tc>
          <w:tcPr>
            <w:tcW w:w="3142" w:type="dxa"/>
            <w:tcBorders>
              <w:top w:val="nil"/>
              <w:left w:val="nil"/>
              <w:bottom w:val="single" w:sz="4" w:space="0" w:color="auto"/>
              <w:right w:val="single" w:sz="4" w:space="0" w:color="auto"/>
            </w:tcBorders>
            <w:vAlign w:val="center"/>
            <w:hideMark/>
          </w:tcPr>
          <w:p w14:paraId="7376AE83"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 </w:t>
            </w:r>
          </w:p>
        </w:tc>
        <w:tc>
          <w:tcPr>
            <w:tcW w:w="1658" w:type="dxa"/>
            <w:tcBorders>
              <w:top w:val="nil"/>
              <w:left w:val="nil"/>
              <w:bottom w:val="single" w:sz="4" w:space="0" w:color="auto"/>
              <w:right w:val="single" w:sz="4" w:space="0" w:color="auto"/>
            </w:tcBorders>
            <w:vAlign w:val="center"/>
            <w:hideMark/>
          </w:tcPr>
          <w:p w14:paraId="2B11CB6E"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2024</w:t>
            </w:r>
          </w:p>
        </w:tc>
        <w:tc>
          <w:tcPr>
            <w:tcW w:w="1658" w:type="dxa"/>
            <w:tcBorders>
              <w:top w:val="nil"/>
              <w:left w:val="nil"/>
              <w:bottom w:val="single" w:sz="4" w:space="0" w:color="auto"/>
              <w:right w:val="single" w:sz="4" w:space="0" w:color="auto"/>
            </w:tcBorders>
            <w:vAlign w:val="center"/>
            <w:hideMark/>
          </w:tcPr>
          <w:p w14:paraId="64B60DC1"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2023</w:t>
            </w:r>
          </w:p>
        </w:tc>
        <w:tc>
          <w:tcPr>
            <w:tcW w:w="1658" w:type="dxa"/>
            <w:tcBorders>
              <w:top w:val="nil"/>
              <w:left w:val="nil"/>
              <w:bottom w:val="single" w:sz="4" w:space="0" w:color="auto"/>
              <w:right w:val="single" w:sz="4" w:space="0" w:color="auto"/>
            </w:tcBorders>
            <w:vAlign w:val="center"/>
            <w:hideMark/>
          </w:tcPr>
          <w:p w14:paraId="373A9A4D"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2022</w:t>
            </w:r>
          </w:p>
        </w:tc>
        <w:tc>
          <w:tcPr>
            <w:tcW w:w="1658" w:type="dxa"/>
            <w:tcBorders>
              <w:top w:val="nil"/>
              <w:left w:val="nil"/>
              <w:bottom w:val="single" w:sz="4" w:space="0" w:color="auto"/>
              <w:right w:val="single" w:sz="4" w:space="0" w:color="auto"/>
            </w:tcBorders>
            <w:vAlign w:val="center"/>
            <w:hideMark/>
          </w:tcPr>
          <w:p w14:paraId="5E3E591B"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2021</w:t>
            </w:r>
          </w:p>
        </w:tc>
        <w:tc>
          <w:tcPr>
            <w:tcW w:w="1658" w:type="dxa"/>
            <w:tcBorders>
              <w:top w:val="nil"/>
              <w:left w:val="nil"/>
              <w:bottom w:val="single" w:sz="4" w:space="0" w:color="auto"/>
              <w:right w:val="single" w:sz="4" w:space="0" w:color="auto"/>
            </w:tcBorders>
            <w:vAlign w:val="center"/>
            <w:hideMark/>
          </w:tcPr>
          <w:p w14:paraId="18ED588C"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2020</w:t>
            </w:r>
          </w:p>
        </w:tc>
      </w:tr>
      <w:tr w:rsidR="00D461BC" w:rsidRPr="009E2403" w14:paraId="62C07B3C" w14:textId="77777777" w:rsidTr="00D461BC">
        <w:trPr>
          <w:trHeight w:val="307"/>
        </w:trPr>
        <w:tc>
          <w:tcPr>
            <w:tcW w:w="1132" w:type="dxa"/>
            <w:vMerge w:val="restart"/>
            <w:tcBorders>
              <w:top w:val="nil"/>
              <w:left w:val="single" w:sz="4" w:space="0" w:color="auto"/>
              <w:bottom w:val="single" w:sz="4" w:space="0" w:color="auto"/>
              <w:right w:val="single" w:sz="4" w:space="0" w:color="auto"/>
            </w:tcBorders>
            <w:vAlign w:val="center"/>
            <w:hideMark/>
          </w:tcPr>
          <w:p w14:paraId="6BFD3195" w14:textId="77777777" w:rsidR="00D461BC" w:rsidRPr="009E2403" w:rsidRDefault="00D461BC" w:rsidP="00D461BC">
            <w:pPr>
              <w:spacing w:after="0" w:line="240" w:lineRule="auto"/>
              <w:jc w:val="center"/>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Efficiency Ratios</w:t>
            </w:r>
          </w:p>
        </w:tc>
        <w:tc>
          <w:tcPr>
            <w:tcW w:w="2654" w:type="dxa"/>
            <w:vMerge w:val="restart"/>
            <w:tcBorders>
              <w:top w:val="nil"/>
              <w:left w:val="single" w:sz="4" w:space="0" w:color="auto"/>
              <w:bottom w:val="single" w:sz="4" w:space="0" w:color="auto"/>
              <w:right w:val="single" w:sz="4" w:space="0" w:color="auto"/>
            </w:tcBorders>
            <w:vAlign w:val="center"/>
            <w:hideMark/>
          </w:tcPr>
          <w:p w14:paraId="6B6411BE"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Assets Turnover</w:t>
            </w:r>
          </w:p>
        </w:tc>
        <w:tc>
          <w:tcPr>
            <w:tcW w:w="3142" w:type="dxa"/>
            <w:tcBorders>
              <w:top w:val="nil"/>
              <w:left w:val="nil"/>
              <w:bottom w:val="single" w:sz="4" w:space="0" w:color="auto"/>
              <w:right w:val="single" w:sz="4" w:space="0" w:color="auto"/>
            </w:tcBorders>
            <w:vAlign w:val="center"/>
            <w:hideMark/>
          </w:tcPr>
          <w:p w14:paraId="7909A686"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 Net Sales   Revenue</w:t>
            </w:r>
            <w:r w:rsidRPr="009E2403">
              <w:rPr>
                <w:rFonts w:ascii="Arial" w:eastAsia="Times New Roman" w:hAnsi="Arial" w:cs="Arial"/>
                <w:color w:val="000000"/>
                <w:sz w:val="20"/>
                <w:szCs w:val="20"/>
                <w:lang w:val="en-US"/>
              </w:rPr>
              <w:t xml:space="preserve">                              </w:t>
            </w:r>
            <w:r w:rsidRPr="009E2403">
              <w:rPr>
                <w:rFonts w:ascii="Arial" w:eastAsia="Times New Roman" w:hAnsi="Arial" w:cs="Arial"/>
                <w:color w:val="000000"/>
                <w:sz w:val="20"/>
                <w:szCs w:val="20"/>
                <w:u w:val="single"/>
                <w:lang w:val="en-US"/>
              </w:rPr>
              <w:t xml:space="preserve">  </w:t>
            </w:r>
            <w:r w:rsidRPr="009E2403">
              <w:rPr>
                <w:rFonts w:ascii="Arial" w:eastAsia="Times New Roman" w:hAnsi="Arial" w:cs="Arial"/>
                <w:color w:val="000000"/>
                <w:sz w:val="20"/>
                <w:szCs w:val="20"/>
                <w:lang w:val="en-US"/>
              </w:rPr>
              <w:t xml:space="preserve">  </w:t>
            </w:r>
          </w:p>
        </w:tc>
        <w:tc>
          <w:tcPr>
            <w:tcW w:w="1658" w:type="dxa"/>
            <w:tcBorders>
              <w:top w:val="nil"/>
              <w:left w:val="nil"/>
              <w:bottom w:val="single" w:sz="4" w:space="0" w:color="auto"/>
              <w:right w:val="single" w:sz="4" w:space="0" w:color="auto"/>
            </w:tcBorders>
            <w:vAlign w:val="center"/>
            <w:hideMark/>
          </w:tcPr>
          <w:p w14:paraId="0246504E"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394879</w:t>
            </w:r>
          </w:p>
        </w:tc>
        <w:tc>
          <w:tcPr>
            <w:tcW w:w="1658" w:type="dxa"/>
            <w:tcBorders>
              <w:top w:val="nil"/>
              <w:left w:val="nil"/>
              <w:bottom w:val="single" w:sz="4" w:space="0" w:color="auto"/>
              <w:right w:val="single" w:sz="4" w:space="0" w:color="auto"/>
            </w:tcBorders>
            <w:vAlign w:val="center"/>
            <w:hideMark/>
          </w:tcPr>
          <w:p w14:paraId="5E8369EB"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420,457</w:t>
            </w:r>
          </w:p>
        </w:tc>
        <w:tc>
          <w:tcPr>
            <w:tcW w:w="1658" w:type="dxa"/>
            <w:tcBorders>
              <w:top w:val="nil"/>
              <w:left w:val="nil"/>
              <w:bottom w:val="single" w:sz="4" w:space="0" w:color="auto"/>
              <w:right w:val="single" w:sz="4" w:space="0" w:color="auto"/>
            </w:tcBorders>
            <w:vAlign w:val="center"/>
            <w:hideMark/>
          </w:tcPr>
          <w:p w14:paraId="7283554E"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542,751</w:t>
            </w:r>
          </w:p>
        </w:tc>
        <w:tc>
          <w:tcPr>
            <w:tcW w:w="1658" w:type="dxa"/>
            <w:tcBorders>
              <w:top w:val="nil"/>
              <w:left w:val="nil"/>
              <w:bottom w:val="single" w:sz="4" w:space="0" w:color="auto"/>
              <w:right w:val="single" w:sz="4" w:space="0" w:color="auto"/>
            </w:tcBorders>
            <w:vAlign w:val="center"/>
            <w:hideMark/>
          </w:tcPr>
          <w:p w14:paraId="336C889F"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601,602</w:t>
            </w:r>
          </w:p>
        </w:tc>
        <w:tc>
          <w:tcPr>
            <w:tcW w:w="1658" w:type="dxa"/>
            <w:tcBorders>
              <w:top w:val="nil"/>
              <w:left w:val="nil"/>
              <w:bottom w:val="single" w:sz="4" w:space="0" w:color="auto"/>
              <w:right w:val="single" w:sz="4" w:space="0" w:color="auto"/>
            </w:tcBorders>
            <w:vAlign w:val="center"/>
            <w:hideMark/>
          </w:tcPr>
          <w:p w14:paraId="65C21C3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614,680</w:t>
            </w:r>
          </w:p>
        </w:tc>
      </w:tr>
      <w:tr w:rsidR="00D461BC" w:rsidRPr="009E2403" w14:paraId="2B5A1BCB"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0D449B2B"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1C018974"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0202EFE6"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Capital Employed</w:t>
            </w:r>
          </w:p>
        </w:tc>
        <w:tc>
          <w:tcPr>
            <w:tcW w:w="1658" w:type="dxa"/>
            <w:tcBorders>
              <w:top w:val="nil"/>
              <w:left w:val="nil"/>
              <w:bottom w:val="single" w:sz="4" w:space="0" w:color="auto"/>
              <w:right w:val="single" w:sz="4" w:space="0" w:color="auto"/>
            </w:tcBorders>
            <w:vAlign w:val="center"/>
            <w:hideMark/>
          </w:tcPr>
          <w:p w14:paraId="45BA0C57"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323354-158291</w:t>
            </w:r>
          </w:p>
        </w:tc>
        <w:tc>
          <w:tcPr>
            <w:tcW w:w="1658" w:type="dxa"/>
            <w:tcBorders>
              <w:top w:val="nil"/>
              <w:left w:val="nil"/>
              <w:bottom w:val="single" w:sz="4" w:space="0" w:color="auto"/>
              <w:right w:val="single" w:sz="4" w:space="0" w:color="auto"/>
            </w:tcBorders>
            <w:vAlign w:val="center"/>
            <w:hideMark/>
          </w:tcPr>
          <w:p w14:paraId="0D7851E2"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355,872-161,148</w:t>
            </w:r>
          </w:p>
        </w:tc>
        <w:tc>
          <w:tcPr>
            <w:tcW w:w="1658" w:type="dxa"/>
            <w:tcBorders>
              <w:top w:val="nil"/>
              <w:left w:val="nil"/>
              <w:bottom w:val="single" w:sz="4" w:space="0" w:color="auto"/>
              <w:right w:val="single" w:sz="4" w:space="0" w:color="auto"/>
            </w:tcBorders>
            <w:vAlign w:val="center"/>
            <w:hideMark/>
          </w:tcPr>
          <w:p w14:paraId="5BEA0146"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504,163-216,473</w:t>
            </w:r>
          </w:p>
        </w:tc>
        <w:tc>
          <w:tcPr>
            <w:tcW w:w="1658" w:type="dxa"/>
            <w:tcBorders>
              <w:top w:val="nil"/>
              <w:left w:val="nil"/>
              <w:bottom w:val="single" w:sz="4" w:space="0" w:color="auto"/>
              <w:right w:val="single" w:sz="4" w:space="0" w:color="auto"/>
            </w:tcBorders>
            <w:vAlign w:val="center"/>
            <w:hideMark/>
          </w:tcPr>
          <w:p w14:paraId="3B3FC0C8"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510,348-216,787</w:t>
            </w:r>
          </w:p>
        </w:tc>
        <w:tc>
          <w:tcPr>
            <w:tcW w:w="1658" w:type="dxa"/>
            <w:tcBorders>
              <w:top w:val="nil"/>
              <w:left w:val="nil"/>
              <w:bottom w:val="single" w:sz="4" w:space="0" w:color="auto"/>
              <w:right w:val="single" w:sz="4" w:space="0" w:color="auto"/>
            </w:tcBorders>
            <w:vAlign w:val="center"/>
            <w:hideMark/>
          </w:tcPr>
          <w:p w14:paraId="17D39725"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510,290-179,510</w:t>
            </w:r>
          </w:p>
        </w:tc>
      </w:tr>
      <w:tr w:rsidR="00D461BC" w:rsidRPr="009E2403" w14:paraId="39507C4F"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3AE8FACF"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val="restart"/>
            <w:tcBorders>
              <w:top w:val="nil"/>
              <w:left w:val="single" w:sz="4" w:space="0" w:color="auto"/>
              <w:bottom w:val="single" w:sz="4" w:space="0" w:color="auto"/>
              <w:right w:val="single" w:sz="4" w:space="0" w:color="auto"/>
            </w:tcBorders>
            <w:vAlign w:val="center"/>
            <w:hideMark/>
          </w:tcPr>
          <w:p w14:paraId="16EABCA8"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Stock Holding </w:t>
            </w:r>
            <w:r w:rsidRPr="009E2403">
              <w:rPr>
                <w:rFonts w:ascii="Arial" w:eastAsia="Times New Roman" w:hAnsi="Arial" w:cs="Arial"/>
                <w:color w:val="000000"/>
                <w:sz w:val="20"/>
                <w:szCs w:val="20"/>
                <w:lang w:val="en-US"/>
              </w:rPr>
              <w:t>Period</w:t>
            </w:r>
          </w:p>
        </w:tc>
        <w:tc>
          <w:tcPr>
            <w:tcW w:w="3142" w:type="dxa"/>
            <w:tcBorders>
              <w:top w:val="nil"/>
              <w:left w:val="nil"/>
              <w:bottom w:val="single" w:sz="4" w:space="0" w:color="auto"/>
              <w:right w:val="single" w:sz="4" w:space="0" w:color="auto"/>
            </w:tcBorders>
            <w:vAlign w:val="center"/>
            <w:hideMark/>
          </w:tcPr>
          <w:p w14:paraId="46542A42"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Inventory  </w:t>
            </w:r>
            <w:r w:rsidRPr="009E2403">
              <w:rPr>
                <w:rFonts w:ascii="Arial" w:eastAsia="Times New Roman" w:hAnsi="Arial" w:cs="Arial"/>
                <w:color w:val="000000"/>
                <w:sz w:val="20"/>
                <w:szCs w:val="20"/>
                <w:lang w:val="en-US"/>
              </w:rPr>
              <w:t xml:space="preserve"> x 365</w:t>
            </w:r>
          </w:p>
        </w:tc>
        <w:tc>
          <w:tcPr>
            <w:tcW w:w="1658" w:type="dxa"/>
            <w:tcBorders>
              <w:top w:val="nil"/>
              <w:left w:val="nil"/>
              <w:bottom w:val="single" w:sz="4" w:space="0" w:color="auto"/>
              <w:right w:val="single" w:sz="4" w:space="0" w:color="auto"/>
            </w:tcBorders>
            <w:vAlign w:val="center"/>
            <w:hideMark/>
          </w:tcPr>
          <w:p w14:paraId="25E60CC8"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79355   </w:t>
            </w:r>
            <w:r w:rsidRPr="009E2403">
              <w:rPr>
                <w:rFonts w:ascii="Arial" w:eastAsia="Times New Roman" w:hAnsi="Arial" w:cs="Arial"/>
                <w:color w:val="000000"/>
                <w:sz w:val="20"/>
                <w:szCs w:val="20"/>
                <w:lang w:val="en-US"/>
              </w:rPr>
              <w:t>x 365</w:t>
            </w:r>
          </w:p>
        </w:tc>
        <w:tc>
          <w:tcPr>
            <w:tcW w:w="1658" w:type="dxa"/>
            <w:tcBorders>
              <w:top w:val="nil"/>
              <w:left w:val="nil"/>
              <w:bottom w:val="single" w:sz="4" w:space="0" w:color="auto"/>
              <w:right w:val="single" w:sz="4" w:space="0" w:color="auto"/>
            </w:tcBorders>
            <w:vAlign w:val="center"/>
            <w:hideMark/>
          </w:tcPr>
          <w:p w14:paraId="0585103A"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88,273</w:t>
            </w:r>
          </w:p>
        </w:tc>
        <w:tc>
          <w:tcPr>
            <w:tcW w:w="1658" w:type="dxa"/>
            <w:tcBorders>
              <w:top w:val="nil"/>
              <w:left w:val="nil"/>
              <w:bottom w:val="single" w:sz="4" w:space="0" w:color="auto"/>
              <w:right w:val="single" w:sz="4" w:space="0" w:color="auto"/>
            </w:tcBorders>
            <w:vAlign w:val="center"/>
            <w:hideMark/>
          </w:tcPr>
          <w:p w14:paraId="5CCC440E"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140,181</w:t>
            </w:r>
          </w:p>
        </w:tc>
        <w:tc>
          <w:tcPr>
            <w:tcW w:w="1658" w:type="dxa"/>
            <w:tcBorders>
              <w:top w:val="nil"/>
              <w:left w:val="nil"/>
              <w:bottom w:val="single" w:sz="4" w:space="0" w:color="auto"/>
              <w:right w:val="single" w:sz="4" w:space="0" w:color="auto"/>
            </w:tcBorders>
            <w:vAlign w:val="center"/>
            <w:hideMark/>
          </w:tcPr>
          <w:p w14:paraId="235BB5C3"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134,469</w:t>
            </w:r>
          </w:p>
        </w:tc>
        <w:tc>
          <w:tcPr>
            <w:tcW w:w="1658" w:type="dxa"/>
            <w:tcBorders>
              <w:top w:val="nil"/>
              <w:left w:val="nil"/>
              <w:bottom w:val="single" w:sz="4" w:space="0" w:color="auto"/>
              <w:right w:val="single" w:sz="4" w:space="0" w:color="auto"/>
            </w:tcBorders>
            <w:vAlign w:val="center"/>
            <w:hideMark/>
          </w:tcPr>
          <w:p w14:paraId="1058CA2B"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120,430</w:t>
            </w:r>
          </w:p>
        </w:tc>
      </w:tr>
      <w:tr w:rsidR="00D461BC" w:rsidRPr="009E2403" w14:paraId="044997BA"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5FBDAE60"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0AD78440"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p>
        </w:tc>
        <w:tc>
          <w:tcPr>
            <w:tcW w:w="3142" w:type="dxa"/>
            <w:tcBorders>
              <w:top w:val="nil"/>
              <w:left w:val="nil"/>
              <w:bottom w:val="single" w:sz="4" w:space="0" w:color="auto"/>
              <w:right w:val="single" w:sz="4" w:space="0" w:color="auto"/>
            </w:tcBorders>
            <w:vAlign w:val="center"/>
            <w:hideMark/>
          </w:tcPr>
          <w:p w14:paraId="08F949E5"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 xml:space="preserve">Cost of sales </w:t>
            </w:r>
          </w:p>
        </w:tc>
        <w:tc>
          <w:tcPr>
            <w:tcW w:w="1658" w:type="dxa"/>
            <w:tcBorders>
              <w:top w:val="nil"/>
              <w:left w:val="nil"/>
              <w:bottom w:val="single" w:sz="4" w:space="0" w:color="auto"/>
              <w:right w:val="single" w:sz="4" w:space="0" w:color="auto"/>
            </w:tcBorders>
            <w:vAlign w:val="center"/>
            <w:hideMark/>
          </w:tcPr>
          <w:p w14:paraId="5E9483F9"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280885</w:t>
            </w:r>
          </w:p>
        </w:tc>
        <w:tc>
          <w:tcPr>
            <w:tcW w:w="1658" w:type="dxa"/>
            <w:tcBorders>
              <w:top w:val="nil"/>
              <w:left w:val="nil"/>
              <w:bottom w:val="single" w:sz="4" w:space="0" w:color="auto"/>
              <w:right w:val="single" w:sz="4" w:space="0" w:color="auto"/>
            </w:tcBorders>
            <w:vAlign w:val="center"/>
            <w:hideMark/>
          </w:tcPr>
          <w:p w14:paraId="0297C0A0"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-322,897</w:t>
            </w:r>
          </w:p>
        </w:tc>
        <w:tc>
          <w:tcPr>
            <w:tcW w:w="1658" w:type="dxa"/>
            <w:tcBorders>
              <w:top w:val="nil"/>
              <w:left w:val="nil"/>
              <w:bottom w:val="single" w:sz="4" w:space="0" w:color="auto"/>
              <w:right w:val="single" w:sz="4" w:space="0" w:color="auto"/>
            </w:tcBorders>
            <w:vAlign w:val="center"/>
            <w:hideMark/>
          </w:tcPr>
          <w:p w14:paraId="12C57373"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-390,459</w:t>
            </w:r>
          </w:p>
        </w:tc>
        <w:tc>
          <w:tcPr>
            <w:tcW w:w="1658" w:type="dxa"/>
            <w:tcBorders>
              <w:top w:val="nil"/>
              <w:left w:val="nil"/>
              <w:bottom w:val="single" w:sz="4" w:space="0" w:color="auto"/>
              <w:right w:val="single" w:sz="4" w:space="0" w:color="auto"/>
            </w:tcBorders>
            <w:vAlign w:val="center"/>
            <w:hideMark/>
          </w:tcPr>
          <w:p w14:paraId="3BEAB488"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-428,586</w:t>
            </w:r>
          </w:p>
        </w:tc>
        <w:tc>
          <w:tcPr>
            <w:tcW w:w="1658" w:type="dxa"/>
            <w:tcBorders>
              <w:top w:val="nil"/>
              <w:left w:val="nil"/>
              <w:bottom w:val="single" w:sz="4" w:space="0" w:color="auto"/>
              <w:right w:val="single" w:sz="4" w:space="0" w:color="auto"/>
            </w:tcBorders>
            <w:vAlign w:val="center"/>
            <w:hideMark/>
          </w:tcPr>
          <w:p w14:paraId="361CA743"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-438,424</w:t>
            </w:r>
          </w:p>
        </w:tc>
      </w:tr>
      <w:tr w:rsidR="00D461BC" w:rsidRPr="009E2403" w14:paraId="32679C56"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164E5AA4"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val="restart"/>
            <w:tcBorders>
              <w:top w:val="nil"/>
              <w:left w:val="single" w:sz="4" w:space="0" w:color="auto"/>
              <w:bottom w:val="single" w:sz="4" w:space="0" w:color="auto"/>
              <w:right w:val="single" w:sz="4" w:space="0" w:color="auto"/>
            </w:tcBorders>
            <w:vAlign w:val="center"/>
            <w:hideMark/>
          </w:tcPr>
          <w:p w14:paraId="56F81587"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Average settlement period for receivables</w:t>
            </w:r>
          </w:p>
        </w:tc>
        <w:tc>
          <w:tcPr>
            <w:tcW w:w="3142" w:type="dxa"/>
            <w:tcBorders>
              <w:top w:val="nil"/>
              <w:left w:val="nil"/>
              <w:bottom w:val="single" w:sz="4" w:space="0" w:color="auto"/>
              <w:right w:val="single" w:sz="4" w:space="0" w:color="auto"/>
            </w:tcBorders>
            <w:vAlign w:val="center"/>
            <w:hideMark/>
          </w:tcPr>
          <w:p w14:paraId="065EAE9E"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 Receivable  </w:t>
            </w:r>
            <w:r w:rsidRPr="009E2403">
              <w:rPr>
                <w:rFonts w:ascii="Arial" w:eastAsia="Times New Roman" w:hAnsi="Arial" w:cs="Arial"/>
                <w:color w:val="000000"/>
                <w:sz w:val="20"/>
                <w:szCs w:val="20"/>
                <w:lang w:val="en-US"/>
              </w:rPr>
              <w:t xml:space="preserve"> x 365</w:t>
            </w:r>
          </w:p>
        </w:tc>
        <w:tc>
          <w:tcPr>
            <w:tcW w:w="1658" w:type="dxa"/>
            <w:tcBorders>
              <w:top w:val="nil"/>
              <w:left w:val="nil"/>
              <w:bottom w:val="single" w:sz="4" w:space="0" w:color="auto"/>
              <w:right w:val="single" w:sz="4" w:space="0" w:color="auto"/>
            </w:tcBorders>
            <w:vAlign w:val="center"/>
            <w:hideMark/>
          </w:tcPr>
          <w:p w14:paraId="795D9D51"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114182</w:t>
            </w:r>
            <w:r w:rsidRPr="009E2403">
              <w:rPr>
                <w:rFonts w:ascii="Arial" w:eastAsia="Times New Roman" w:hAnsi="Arial" w:cs="Arial"/>
                <w:color w:val="000000"/>
                <w:sz w:val="20"/>
                <w:szCs w:val="20"/>
                <w:lang w:val="en-US"/>
              </w:rPr>
              <w:t>x 365</w:t>
            </w:r>
          </w:p>
        </w:tc>
        <w:tc>
          <w:tcPr>
            <w:tcW w:w="1658" w:type="dxa"/>
            <w:tcBorders>
              <w:top w:val="nil"/>
              <w:left w:val="nil"/>
              <w:bottom w:val="single" w:sz="4" w:space="0" w:color="auto"/>
              <w:right w:val="single" w:sz="4" w:space="0" w:color="auto"/>
            </w:tcBorders>
            <w:vAlign w:val="center"/>
            <w:hideMark/>
          </w:tcPr>
          <w:p w14:paraId="176915ED"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112,596</w:t>
            </w:r>
          </w:p>
        </w:tc>
        <w:tc>
          <w:tcPr>
            <w:tcW w:w="1658" w:type="dxa"/>
            <w:tcBorders>
              <w:top w:val="nil"/>
              <w:left w:val="nil"/>
              <w:bottom w:val="single" w:sz="4" w:space="0" w:color="auto"/>
              <w:right w:val="single" w:sz="4" w:space="0" w:color="auto"/>
            </w:tcBorders>
            <w:vAlign w:val="center"/>
            <w:hideMark/>
          </w:tcPr>
          <w:p w14:paraId="357AF559"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112,346</w:t>
            </w:r>
          </w:p>
        </w:tc>
        <w:tc>
          <w:tcPr>
            <w:tcW w:w="1658" w:type="dxa"/>
            <w:tcBorders>
              <w:top w:val="nil"/>
              <w:left w:val="nil"/>
              <w:bottom w:val="single" w:sz="4" w:space="0" w:color="auto"/>
              <w:right w:val="single" w:sz="4" w:space="0" w:color="auto"/>
            </w:tcBorders>
            <w:vAlign w:val="center"/>
            <w:hideMark/>
          </w:tcPr>
          <w:p w14:paraId="49231F6A"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129,215</w:t>
            </w:r>
          </w:p>
        </w:tc>
        <w:tc>
          <w:tcPr>
            <w:tcW w:w="1658" w:type="dxa"/>
            <w:tcBorders>
              <w:top w:val="nil"/>
              <w:left w:val="nil"/>
              <w:bottom w:val="single" w:sz="4" w:space="0" w:color="auto"/>
              <w:right w:val="single" w:sz="4" w:space="0" w:color="auto"/>
            </w:tcBorders>
            <w:vAlign w:val="center"/>
            <w:hideMark/>
          </w:tcPr>
          <w:p w14:paraId="6378F54E"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129,433</w:t>
            </w:r>
          </w:p>
        </w:tc>
      </w:tr>
      <w:tr w:rsidR="00D461BC" w:rsidRPr="009E2403" w14:paraId="3A9FCA64"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4BE55167"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3770C52B"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7C48D9E9"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Credit sales Revenue</w:t>
            </w:r>
          </w:p>
        </w:tc>
        <w:tc>
          <w:tcPr>
            <w:tcW w:w="1658" w:type="dxa"/>
            <w:tcBorders>
              <w:top w:val="nil"/>
              <w:left w:val="nil"/>
              <w:bottom w:val="single" w:sz="4" w:space="0" w:color="auto"/>
              <w:right w:val="single" w:sz="4" w:space="0" w:color="auto"/>
            </w:tcBorders>
            <w:vAlign w:val="center"/>
            <w:hideMark/>
          </w:tcPr>
          <w:p w14:paraId="11DCB0F0"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394879</w:t>
            </w:r>
          </w:p>
        </w:tc>
        <w:tc>
          <w:tcPr>
            <w:tcW w:w="1658" w:type="dxa"/>
            <w:tcBorders>
              <w:top w:val="nil"/>
              <w:left w:val="nil"/>
              <w:bottom w:val="single" w:sz="4" w:space="0" w:color="auto"/>
              <w:right w:val="single" w:sz="4" w:space="0" w:color="auto"/>
            </w:tcBorders>
            <w:vAlign w:val="center"/>
            <w:hideMark/>
          </w:tcPr>
          <w:p w14:paraId="5A7CB33D"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420,457</w:t>
            </w:r>
          </w:p>
        </w:tc>
        <w:tc>
          <w:tcPr>
            <w:tcW w:w="1658" w:type="dxa"/>
            <w:tcBorders>
              <w:top w:val="nil"/>
              <w:left w:val="nil"/>
              <w:bottom w:val="single" w:sz="4" w:space="0" w:color="auto"/>
              <w:right w:val="single" w:sz="4" w:space="0" w:color="auto"/>
            </w:tcBorders>
            <w:vAlign w:val="center"/>
            <w:hideMark/>
          </w:tcPr>
          <w:p w14:paraId="7CF51302"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542,751</w:t>
            </w:r>
          </w:p>
        </w:tc>
        <w:tc>
          <w:tcPr>
            <w:tcW w:w="1658" w:type="dxa"/>
            <w:tcBorders>
              <w:top w:val="nil"/>
              <w:left w:val="nil"/>
              <w:bottom w:val="single" w:sz="4" w:space="0" w:color="auto"/>
              <w:right w:val="single" w:sz="4" w:space="0" w:color="auto"/>
            </w:tcBorders>
            <w:vAlign w:val="center"/>
            <w:hideMark/>
          </w:tcPr>
          <w:p w14:paraId="60E72A7C"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601,602</w:t>
            </w:r>
          </w:p>
        </w:tc>
        <w:tc>
          <w:tcPr>
            <w:tcW w:w="1658" w:type="dxa"/>
            <w:tcBorders>
              <w:top w:val="nil"/>
              <w:left w:val="nil"/>
              <w:bottom w:val="single" w:sz="4" w:space="0" w:color="auto"/>
              <w:right w:val="single" w:sz="4" w:space="0" w:color="auto"/>
            </w:tcBorders>
            <w:vAlign w:val="center"/>
            <w:hideMark/>
          </w:tcPr>
          <w:p w14:paraId="1F55D38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614,680</w:t>
            </w:r>
          </w:p>
        </w:tc>
      </w:tr>
      <w:tr w:rsidR="00D461BC" w:rsidRPr="009E2403" w14:paraId="1822F1C8"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1F241F98"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val="restart"/>
            <w:tcBorders>
              <w:top w:val="nil"/>
              <w:left w:val="single" w:sz="4" w:space="0" w:color="auto"/>
              <w:bottom w:val="single" w:sz="4" w:space="0" w:color="auto"/>
              <w:right w:val="single" w:sz="4" w:space="0" w:color="auto"/>
            </w:tcBorders>
            <w:vAlign w:val="center"/>
            <w:hideMark/>
          </w:tcPr>
          <w:p w14:paraId="47DCC5B6"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Creditors Payment Period</w:t>
            </w:r>
          </w:p>
        </w:tc>
        <w:tc>
          <w:tcPr>
            <w:tcW w:w="3142" w:type="dxa"/>
            <w:tcBorders>
              <w:top w:val="nil"/>
              <w:left w:val="nil"/>
              <w:bottom w:val="single" w:sz="4" w:space="0" w:color="auto"/>
              <w:right w:val="single" w:sz="4" w:space="0" w:color="auto"/>
            </w:tcBorders>
            <w:vAlign w:val="center"/>
            <w:hideMark/>
          </w:tcPr>
          <w:p w14:paraId="7B99B97F"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Accounts Payable  </w:t>
            </w:r>
            <w:r w:rsidRPr="009E2403">
              <w:rPr>
                <w:rFonts w:ascii="Arial" w:eastAsia="Times New Roman" w:hAnsi="Arial" w:cs="Arial"/>
                <w:color w:val="000000"/>
                <w:sz w:val="20"/>
                <w:szCs w:val="20"/>
                <w:lang w:val="en-US"/>
              </w:rPr>
              <w:t xml:space="preserve"> x 365</w:t>
            </w:r>
          </w:p>
        </w:tc>
        <w:tc>
          <w:tcPr>
            <w:tcW w:w="1658" w:type="dxa"/>
            <w:tcBorders>
              <w:top w:val="nil"/>
              <w:left w:val="nil"/>
              <w:bottom w:val="single" w:sz="4" w:space="0" w:color="auto"/>
              <w:right w:val="single" w:sz="4" w:space="0" w:color="auto"/>
            </w:tcBorders>
            <w:vAlign w:val="center"/>
            <w:hideMark/>
          </w:tcPr>
          <w:p w14:paraId="536E29EF"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72031 </w:t>
            </w:r>
            <w:r w:rsidRPr="009E2403">
              <w:rPr>
                <w:rFonts w:ascii="Arial" w:eastAsia="Times New Roman" w:hAnsi="Arial" w:cs="Arial"/>
                <w:color w:val="000000"/>
                <w:sz w:val="20"/>
                <w:szCs w:val="20"/>
                <w:lang w:val="en-US"/>
              </w:rPr>
              <w:t>x 365</w:t>
            </w:r>
          </w:p>
        </w:tc>
        <w:tc>
          <w:tcPr>
            <w:tcW w:w="1658" w:type="dxa"/>
            <w:tcBorders>
              <w:top w:val="nil"/>
              <w:left w:val="nil"/>
              <w:bottom w:val="single" w:sz="4" w:space="0" w:color="auto"/>
              <w:right w:val="single" w:sz="4" w:space="0" w:color="auto"/>
            </w:tcBorders>
            <w:vAlign w:val="center"/>
            <w:hideMark/>
          </w:tcPr>
          <w:p w14:paraId="444B85C6"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57,033</w:t>
            </w:r>
          </w:p>
        </w:tc>
        <w:tc>
          <w:tcPr>
            <w:tcW w:w="1658" w:type="dxa"/>
            <w:tcBorders>
              <w:top w:val="nil"/>
              <w:left w:val="nil"/>
              <w:bottom w:val="single" w:sz="4" w:space="0" w:color="auto"/>
              <w:right w:val="single" w:sz="4" w:space="0" w:color="auto"/>
            </w:tcBorders>
            <w:vAlign w:val="center"/>
            <w:hideMark/>
          </w:tcPr>
          <w:p w14:paraId="2057CF81"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71,373</w:t>
            </w:r>
          </w:p>
        </w:tc>
        <w:tc>
          <w:tcPr>
            <w:tcW w:w="1658" w:type="dxa"/>
            <w:tcBorders>
              <w:top w:val="nil"/>
              <w:left w:val="nil"/>
              <w:bottom w:val="single" w:sz="4" w:space="0" w:color="auto"/>
              <w:right w:val="single" w:sz="4" w:space="0" w:color="auto"/>
            </w:tcBorders>
            <w:vAlign w:val="center"/>
            <w:hideMark/>
          </w:tcPr>
          <w:p w14:paraId="63C041C8"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92,707</w:t>
            </w:r>
          </w:p>
        </w:tc>
        <w:tc>
          <w:tcPr>
            <w:tcW w:w="1658" w:type="dxa"/>
            <w:tcBorders>
              <w:top w:val="nil"/>
              <w:left w:val="nil"/>
              <w:bottom w:val="single" w:sz="4" w:space="0" w:color="auto"/>
              <w:right w:val="single" w:sz="4" w:space="0" w:color="auto"/>
            </w:tcBorders>
            <w:vAlign w:val="center"/>
            <w:hideMark/>
          </w:tcPr>
          <w:p w14:paraId="61A87F27"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83,229</w:t>
            </w:r>
          </w:p>
        </w:tc>
      </w:tr>
      <w:tr w:rsidR="00D461BC" w:rsidRPr="009E2403" w14:paraId="49E23D49"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0FA24DBE"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608D1B75"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2063428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 xml:space="preserve">Cost of sales </w:t>
            </w:r>
          </w:p>
        </w:tc>
        <w:tc>
          <w:tcPr>
            <w:tcW w:w="1658" w:type="dxa"/>
            <w:tcBorders>
              <w:top w:val="nil"/>
              <w:left w:val="nil"/>
              <w:bottom w:val="single" w:sz="4" w:space="0" w:color="auto"/>
              <w:right w:val="single" w:sz="4" w:space="0" w:color="auto"/>
            </w:tcBorders>
            <w:vAlign w:val="center"/>
            <w:hideMark/>
          </w:tcPr>
          <w:p w14:paraId="1AFB1107"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280885</w:t>
            </w:r>
          </w:p>
        </w:tc>
        <w:tc>
          <w:tcPr>
            <w:tcW w:w="1658" w:type="dxa"/>
            <w:tcBorders>
              <w:top w:val="nil"/>
              <w:left w:val="nil"/>
              <w:bottom w:val="single" w:sz="4" w:space="0" w:color="auto"/>
              <w:right w:val="single" w:sz="4" w:space="0" w:color="auto"/>
            </w:tcBorders>
            <w:vAlign w:val="center"/>
            <w:hideMark/>
          </w:tcPr>
          <w:p w14:paraId="2CC8FBEE"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-322,897</w:t>
            </w:r>
          </w:p>
        </w:tc>
        <w:tc>
          <w:tcPr>
            <w:tcW w:w="1658" w:type="dxa"/>
            <w:tcBorders>
              <w:top w:val="nil"/>
              <w:left w:val="nil"/>
              <w:bottom w:val="single" w:sz="4" w:space="0" w:color="auto"/>
              <w:right w:val="single" w:sz="4" w:space="0" w:color="auto"/>
            </w:tcBorders>
            <w:vAlign w:val="center"/>
            <w:hideMark/>
          </w:tcPr>
          <w:p w14:paraId="3575B0C1"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-390,459</w:t>
            </w:r>
          </w:p>
        </w:tc>
        <w:tc>
          <w:tcPr>
            <w:tcW w:w="1658" w:type="dxa"/>
            <w:tcBorders>
              <w:top w:val="nil"/>
              <w:left w:val="nil"/>
              <w:bottom w:val="single" w:sz="4" w:space="0" w:color="auto"/>
              <w:right w:val="single" w:sz="4" w:space="0" w:color="auto"/>
            </w:tcBorders>
            <w:vAlign w:val="center"/>
            <w:hideMark/>
          </w:tcPr>
          <w:p w14:paraId="7F0AA70A"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-428,586</w:t>
            </w:r>
          </w:p>
        </w:tc>
        <w:tc>
          <w:tcPr>
            <w:tcW w:w="1658" w:type="dxa"/>
            <w:tcBorders>
              <w:top w:val="nil"/>
              <w:left w:val="nil"/>
              <w:bottom w:val="single" w:sz="4" w:space="0" w:color="auto"/>
              <w:right w:val="single" w:sz="4" w:space="0" w:color="auto"/>
            </w:tcBorders>
            <w:vAlign w:val="center"/>
            <w:hideMark/>
          </w:tcPr>
          <w:p w14:paraId="56B71D0C"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-438,424</w:t>
            </w:r>
          </w:p>
        </w:tc>
      </w:tr>
      <w:tr w:rsidR="00D461BC" w:rsidRPr="009E2403" w14:paraId="2B70D1F5" w14:textId="77777777" w:rsidTr="00D461BC">
        <w:trPr>
          <w:trHeight w:val="307"/>
        </w:trPr>
        <w:tc>
          <w:tcPr>
            <w:tcW w:w="1132" w:type="dxa"/>
            <w:tcBorders>
              <w:top w:val="nil"/>
              <w:left w:val="single" w:sz="4" w:space="0" w:color="auto"/>
              <w:bottom w:val="single" w:sz="4" w:space="0" w:color="auto"/>
              <w:right w:val="single" w:sz="4" w:space="0" w:color="auto"/>
            </w:tcBorders>
            <w:vAlign w:val="center"/>
            <w:hideMark/>
          </w:tcPr>
          <w:p w14:paraId="0755F0E4"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S. #</w:t>
            </w:r>
          </w:p>
        </w:tc>
        <w:tc>
          <w:tcPr>
            <w:tcW w:w="2654" w:type="dxa"/>
            <w:tcBorders>
              <w:top w:val="nil"/>
              <w:left w:val="nil"/>
              <w:bottom w:val="single" w:sz="4" w:space="0" w:color="auto"/>
              <w:right w:val="single" w:sz="4" w:space="0" w:color="auto"/>
            </w:tcBorders>
            <w:vAlign w:val="center"/>
            <w:hideMark/>
          </w:tcPr>
          <w:p w14:paraId="0707065E"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Ratio</w:t>
            </w:r>
          </w:p>
        </w:tc>
        <w:tc>
          <w:tcPr>
            <w:tcW w:w="3142" w:type="dxa"/>
            <w:tcBorders>
              <w:top w:val="nil"/>
              <w:left w:val="nil"/>
              <w:bottom w:val="single" w:sz="4" w:space="0" w:color="auto"/>
              <w:right w:val="single" w:sz="4" w:space="0" w:color="auto"/>
            </w:tcBorders>
            <w:vAlign w:val="center"/>
            <w:hideMark/>
          </w:tcPr>
          <w:p w14:paraId="338BE5B8"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 </w:t>
            </w:r>
          </w:p>
        </w:tc>
        <w:tc>
          <w:tcPr>
            <w:tcW w:w="1658" w:type="dxa"/>
            <w:tcBorders>
              <w:top w:val="nil"/>
              <w:left w:val="nil"/>
              <w:bottom w:val="single" w:sz="4" w:space="0" w:color="auto"/>
              <w:right w:val="single" w:sz="4" w:space="0" w:color="auto"/>
            </w:tcBorders>
            <w:vAlign w:val="center"/>
            <w:hideMark/>
          </w:tcPr>
          <w:p w14:paraId="18F885B5"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2024</w:t>
            </w:r>
          </w:p>
        </w:tc>
        <w:tc>
          <w:tcPr>
            <w:tcW w:w="1658" w:type="dxa"/>
            <w:tcBorders>
              <w:top w:val="nil"/>
              <w:left w:val="nil"/>
              <w:bottom w:val="single" w:sz="4" w:space="0" w:color="auto"/>
              <w:right w:val="single" w:sz="4" w:space="0" w:color="auto"/>
            </w:tcBorders>
            <w:vAlign w:val="center"/>
            <w:hideMark/>
          </w:tcPr>
          <w:p w14:paraId="112E3DA2"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2023</w:t>
            </w:r>
          </w:p>
        </w:tc>
        <w:tc>
          <w:tcPr>
            <w:tcW w:w="1658" w:type="dxa"/>
            <w:tcBorders>
              <w:top w:val="nil"/>
              <w:left w:val="nil"/>
              <w:bottom w:val="single" w:sz="4" w:space="0" w:color="auto"/>
              <w:right w:val="single" w:sz="4" w:space="0" w:color="auto"/>
            </w:tcBorders>
            <w:vAlign w:val="center"/>
            <w:hideMark/>
          </w:tcPr>
          <w:p w14:paraId="35FF3144"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2022</w:t>
            </w:r>
          </w:p>
        </w:tc>
        <w:tc>
          <w:tcPr>
            <w:tcW w:w="1658" w:type="dxa"/>
            <w:tcBorders>
              <w:top w:val="nil"/>
              <w:left w:val="nil"/>
              <w:bottom w:val="single" w:sz="4" w:space="0" w:color="auto"/>
              <w:right w:val="single" w:sz="4" w:space="0" w:color="auto"/>
            </w:tcBorders>
            <w:vAlign w:val="center"/>
            <w:hideMark/>
          </w:tcPr>
          <w:p w14:paraId="1A11C723"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2021</w:t>
            </w:r>
          </w:p>
        </w:tc>
        <w:tc>
          <w:tcPr>
            <w:tcW w:w="1658" w:type="dxa"/>
            <w:tcBorders>
              <w:top w:val="nil"/>
              <w:left w:val="nil"/>
              <w:bottom w:val="single" w:sz="4" w:space="0" w:color="auto"/>
              <w:right w:val="single" w:sz="4" w:space="0" w:color="auto"/>
            </w:tcBorders>
            <w:vAlign w:val="center"/>
            <w:hideMark/>
          </w:tcPr>
          <w:p w14:paraId="37113D7E"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2020</w:t>
            </w:r>
          </w:p>
        </w:tc>
      </w:tr>
      <w:tr w:rsidR="00D461BC" w:rsidRPr="009E2403" w14:paraId="48B04AF5" w14:textId="77777777" w:rsidTr="00D461BC">
        <w:trPr>
          <w:trHeight w:val="307"/>
        </w:trPr>
        <w:tc>
          <w:tcPr>
            <w:tcW w:w="1132" w:type="dxa"/>
            <w:vMerge w:val="restart"/>
            <w:tcBorders>
              <w:top w:val="nil"/>
              <w:left w:val="single" w:sz="4" w:space="0" w:color="auto"/>
              <w:bottom w:val="single" w:sz="4" w:space="0" w:color="auto"/>
              <w:right w:val="single" w:sz="4" w:space="0" w:color="auto"/>
            </w:tcBorders>
            <w:vAlign w:val="center"/>
            <w:hideMark/>
          </w:tcPr>
          <w:p w14:paraId="22336CE9" w14:textId="77777777" w:rsidR="00D461BC" w:rsidRPr="009E2403" w:rsidRDefault="00D461BC" w:rsidP="00D461BC">
            <w:pPr>
              <w:spacing w:after="0" w:line="240" w:lineRule="auto"/>
              <w:jc w:val="center"/>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Gearing Ratios</w:t>
            </w:r>
          </w:p>
        </w:tc>
        <w:tc>
          <w:tcPr>
            <w:tcW w:w="2654" w:type="dxa"/>
            <w:vMerge w:val="restart"/>
            <w:tcBorders>
              <w:top w:val="nil"/>
              <w:left w:val="single" w:sz="4" w:space="0" w:color="auto"/>
              <w:bottom w:val="single" w:sz="4" w:space="0" w:color="auto"/>
              <w:right w:val="single" w:sz="4" w:space="0" w:color="auto"/>
            </w:tcBorders>
            <w:vAlign w:val="center"/>
            <w:hideMark/>
          </w:tcPr>
          <w:p w14:paraId="29E5F65F"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Interest Coverage Ratio</w:t>
            </w:r>
          </w:p>
        </w:tc>
        <w:tc>
          <w:tcPr>
            <w:tcW w:w="3142" w:type="dxa"/>
            <w:tcBorders>
              <w:top w:val="nil"/>
              <w:left w:val="nil"/>
              <w:bottom w:val="single" w:sz="4" w:space="0" w:color="auto"/>
              <w:right w:val="single" w:sz="4" w:space="0" w:color="auto"/>
            </w:tcBorders>
            <w:vAlign w:val="center"/>
            <w:hideMark/>
          </w:tcPr>
          <w:p w14:paraId="7629582D"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Operating Profit </w:t>
            </w:r>
          </w:p>
        </w:tc>
        <w:tc>
          <w:tcPr>
            <w:tcW w:w="1658" w:type="dxa"/>
            <w:tcBorders>
              <w:top w:val="nil"/>
              <w:left w:val="nil"/>
              <w:bottom w:val="single" w:sz="4" w:space="0" w:color="auto"/>
              <w:right w:val="single" w:sz="4" w:space="0" w:color="auto"/>
            </w:tcBorders>
            <w:vAlign w:val="center"/>
            <w:hideMark/>
          </w:tcPr>
          <w:p w14:paraId="2B28A2FF"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-15,297</w:t>
            </w:r>
          </w:p>
        </w:tc>
        <w:tc>
          <w:tcPr>
            <w:tcW w:w="1658" w:type="dxa"/>
            <w:tcBorders>
              <w:top w:val="nil"/>
              <w:left w:val="nil"/>
              <w:bottom w:val="single" w:sz="4" w:space="0" w:color="auto"/>
              <w:right w:val="single" w:sz="4" w:space="0" w:color="auto"/>
            </w:tcBorders>
            <w:vAlign w:val="center"/>
            <w:hideMark/>
          </w:tcPr>
          <w:p w14:paraId="5101D2A6"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-85,301</w:t>
            </w:r>
          </w:p>
        </w:tc>
        <w:tc>
          <w:tcPr>
            <w:tcW w:w="1658" w:type="dxa"/>
            <w:tcBorders>
              <w:top w:val="nil"/>
              <w:left w:val="nil"/>
              <w:bottom w:val="single" w:sz="4" w:space="0" w:color="auto"/>
              <w:right w:val="single" w:sz="4" w:space="0" w:color="auto"/>
            </w:tcBorders>
            <w:vAlign w:val="center"/>
            <w:hideMark/>
          </w:tcPr>
          <w:p w14:paraId="4DFB051E"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14,548</w:t>
            </w:r>
          </w:p>
        </w:tc>
        <w:tc>
          <w:tcPr>
            <w:tcW w:w="1658" w:type="dxa"/>
            <w:tcBorders>
              <w:top w:val="nil"/>
              <w:left w:val="nil"/>
              <w:bottom w:val="single" w:sz="4" w:space="0" w:color="auto"/>
              <w:right w:val="single" w:sz="4" w:space="0" w:color="auto"/>
            </w:tcBorders>
            <w:vAlign w:val="center"/>
            <w:hideMark/>
          </w:tcPr>
          <w:p w14:paraId="32002F6F"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23,253</w:t>
            </w:r>
          </w:p>
        </w:tc>
        <w:tc>
          <w:tcPr>
            <w:tcW w:w="1658" w:type="dxa"/>
            <w:tcBorders>
              <w:top w:val="nil"/>
              <w:left w:val="nil"/>
              <w:bottom w:val="single" w:sz="4" w:space="0" w:color="auto"/>
              <w:right w:val="single" w:sz="4" w:space="0" w:color="auto"/>
            </w:tcBorders>
            <w:vAlign w:val="center"/>
            <w:hideMark/>
          </w:tcPr>
          <w:p w14:paraId="4C287F81"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37,267</w:t>
            </w:r>
          </w:p>
        </w:tc>
      </w:tr>
      <w:tr w:rsidR="00D461BC" w:rsidRPr="009E2403" w14:paraId="0D75A0AC"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2E3883B4"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49215D0B"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1FFB41DE"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Interest Payable</w:t>
            </w:r>
          </w:p>
        </w:tc>
        <w:tc>
          <w:tcPr>
            <w:tcW w:w="1658" w:type="dxa"/>
            <w:tcBorders>
              <w:top w:val="nil"/>
              <w:left w:val="nil"/>
              <w:bottom w:val="single" w:sz="4" w:space="0" w:color="auto"/>
              <w:right w:val="single" w:sz="4" w:space="0" w:color="auto"/>
            </w:tcBorders>
            <w:vAlign w:val="center"/>
            <w:hideMark/>
          </w:tcPr>
          <w:p w14:paraId="051AB772"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-3,361</w:t>
            </w:r>
          </w:p>
        </w:tc>
        <w:tc>
          <w:tcPr>
            <w:tcW w:w="1658" w:type="dxa"/>
            <w:tcBorders>
              <w:top w:val="nil"/>
              <w:left w:val="nil"/>
              <w:bottom w:val="single" w:sz="4" w:space="0" w:color="auto"/>
              <w:right w:val="single" w:sz="4" w:space="0" w:color="auto"/>
            </w:tcBorders>
            <w:vAlign w:val="center"/>
            <w:hideMark/>
          </w:tcPr>
          <w:p w14:paraId="6CFC4310"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-4,332</w:t>
            </w:r>
          </w:p>
        </w:tc>
        <w:tc>
          <w:tcPr>
            <w:tcW w:w="1658" w:type="dxa"/>
            <w:tcBorders>
              <w:top w:val="nil"/>
              <w:left w:val="nil"/>
              <w:bottom w:val="single" w:sz="4" w:space="0" w:color="auto"/>
              <w:right w:val="single" w:sz="4" w:space="0" w:color="auto"/>
            </w:tcBorders>
            <w:vAlign w:val="center"/>
            <w:hideMark/>
          </w:tcPr>
          <w:p w14:paraId="24A5B4ED"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-2,200</w:t>
            </w:r>
          </w:p>
        </w:tc>
        <w:tc>
          <w:tcPr>
            <w:tcW w:w="1658" w:type="dxa"/>
            <w:tcBorders>
              <w:top w:val="nil"/>
              <w:left w:val="nil"/>
              <w:bottom w:val="single" w:sz="4" w:space="0" w:color="auto"/>
              <w:right w:val="single" w:sz="4" w:space="0" w:color="auto"/>
            </w:tcBorders>
            <w:vAlign w:val="center"/>
            <w:hideMark/>
          </w:tcPr>
          <w:p w14:paraId="041AA22C"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-566</w:t>
            </w:r>
          </w:p>
        </w:tc>
        <w:tc>
          <w:tcPr>
            <w:tcW w:w="1658" w:type="dxa"/>
            <w:tcBorders>
              <w:top w:val="nil"/>
              <w:left w:val="nil"/>
              <w:bottom w:val="single" w:sz="4" w:space="0" w:color="auto"/>
              <w:right w:val="single" w:sz="4" w:space="0" w:color="auto"/>
            </w:tcBorders>
            <w:vAlign w:val="center"/>
            <w:hideMark/>
          </w:tcPr>
          <w:p w14:paraId="0CCC1CB2"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1,422</w:t>
            </w:r>
          </w:p>
        </w:tc>
      </w:tr>
      <w:tr w:rsidR="00D461BC" w:rsidRPr="009E2403" w14:paraId="43476978"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74A1AF50"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val="restart"/>
            <w:tcBorders>
              <w:top w:val="nil"/>
              <w:left w:val="single" w:sz="4" w:space="0" w:color="auto"/>
              <w:bottom w:val="single" w:sz="4" w:space="0" w:color="auto"/>
              <w:right w:val="single" w:sz="4" w:space="0" w:color="auto"/>
            </w:tcBorders>
            <w:vAlign w:val="center"/>
            <w:hideMark/>
          </w:tcPr>
          <w:p w14:paraId="79CF7F2E"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Gearing Ratio</w:t>
            </w:r>
          </w:p>
        </w:tc>
        <w:tc>
          <w:tcPr>
            <w:tcW w:w="3142" w:type="dxa"/>
            <w:tcBorders>
              <w:top w:val="nil"/>
              <w:left w:val="nil"/>
              <w:bottom w:val="single" w:sz="4" w:space="0" w:color="auto"/>
              <w:right w:val="single" w:sz="4" w:space="0" w:color="auto"/>
            </w:tcBorders>
            <w:vAlign w:val="center"/>
            <w:hideMark/>
          </w:tcPr>
          <w:p w14:paraId="284EEFF0"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 xml:space="preserve">Long-term Debt  </w:t>
            </w:r>
            <w:r w:rsidRPr="009E2403">
              <w:rPr>
                <w:rFonts w:ascii="Arial" w:eastAsia="Times New Roman" w:hAnsi="Arial" w:cs="Arial"/>
                <w:color w:val="000000"/>
                <w:sz w:val="20"/>
                <w:szCs w:val="20"/>
                <w:lang w:val="en-US"/>
              </w:rPr>
              <w:t xml:space="preserve"> x 100</w:t>
            </w:r>
          </w:p>
        </w:tc>
        <w:tc>
          <w:tcPr>
            <w:tcW w:w="1658" w:type="dxa"/>
            <w:tcBorders>
              <w:top w:val="nil"/>
              <w:left w:val="nil"/>
              <w:bottom w:val="single" w:sz="4" w:space="0" w:color="auto"/>
              <w:right w:val="single" w:sz="4" w:space="0" w:color="auto"/>
            </w:tcBorders>
            <w:vAlign w:val="center"/>
            <w:hideMark/>
          </w:tcPr>
          <w:p w14:paraId="77579723"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11,958</w:t>
            </w:r>
          </w:p>
        </w:tc>
        <w:tc>
          <w:tcPr>
            <w:tcW w:w="1658" w:type="dxa"/>
            <w:tcBorders>
              <w:top w:val="nil"/>
              <w:left w:val="nil"/>
              <w:bottom w:val="single" w:sz="4" w:space="0" w:color="auto"/>
              <w:right w:val="single" w:sz="4" w:space="0" w:color="auto"/>
            </w:tcBorders>
            <w:vAlign w:val="center"/>
            <w:hideMark/>
          </w:tcPr>
          <w:p w14:paraId="764E0875"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15,804</w:t>
            </w:r>
          </w:p>
        </w:tc>
        <w:tc>
          <w:tcPr>
            <w:tcW w:w="1658" w:type="dxa"/>
            <w:tcBorders>
              <w:top w:val="nil"/>
              <w:left w:val="nil"/>
              <w:bottom w:val="single" w:sz="4" w:space="0" w:color="auto"/>
              <w:right w:val="single" w:sz="4" w:space="0" w:color="auto"/>
            </w:tcBorders>
            <w:vAlign w:val="center"/>
            <w:hideMark/>
          </w:tcPr>
          <w:p w14:paraId="2AA75C2D"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19,284</w:t>
            </w:r>
          </w:p>
        </w:tc>
        <w:tc>
          <w:tcPr>
            <w:tcW w:w="1658" w:type="dxa"/>
            <w:tcBorders>
              <w:top w:val="nil"/>
              <w:left w:val="nil"/>
              <w:bottom w:val="single" w:sz="4" w:space="0" w:color="auto"/>
              <w:right w:val="single" w:sz="4" w:space="0" w:color="auto"/>
            </w:tcBorders>
            <w:vAlign w:val="center"/>
            <w:hideMark/>
          </w:tcPr>
          <w:p w14:paraId="718804EF"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17,612</w:t>
            </w:r>
          </w:p>
        </w:tc>
        <w:tc>
          <w:tcPr>
            <w:tcW w:w="1658" w:type="dxa"/>
            <w:tcBorders>
              <w:top w:val="nil"/>
              <w:left w:val="nil"/>
              <w:bottom w:val="single" w:sz="4" w:space="0" w:color="auto"/>
              <w:right w:val="single" w:sz="4" w:space="0" w:color="auto"/>
            </w:tcBorders>
            <w:vAlign w:val="center"/>
            <w:hideMark/>
          </w:tcPr>
          <w:p w14:paraId="0A3235D2" w14:textId="77777777" w:rsidR="00D461BC" w:rsidRPr="009E2403" w:rsidRDefault="00D461BC" w:rsidP="00D461BC">
            <w:pPr>
              <w:spacing w:after="0" w:line="240" w:lineRule="auto"/>
              <w:jc w:val="right"/>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lang w:val="en-US"/>
              </w:rPr>
              <w:t>17,187</w:t>
            </w:r>
          </w:p>
        </w:tc>
      </w:tr>
      <w:tr w:rsidR="00D461BC" w:rsidRPr="009E2403" w14:paraId="124CF4BC" w14:textId="77777777" w:rsidTr="00D461BC">
        <w:trPr>
          <w:trHeight w:val="307"/>
        </w:trPr>
        <w:tc>
          <w:tcPr>
            <w:tcW w:w="1132" w:type="dxa"/>
            <w:vMerge/>
            <w:tcBorders>
              <w:top w:val="nil"/>
              <w:left w:val="single" w:sz="4" w:space="0" w:color="auto"/>
              <w:bottom w:val="single" w:sz="4" w:space="0" w:color="auto"/>
              <w:right w:val="single" w:sz="4" w:space="0" w:color="auto"/>
            </w:tcBorders>
            <w:vAlign w:val="center"/>
            <w:hideMark/>
          </w:tcPr>
          <w:p w14:paraId="25A5F291"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single" w:sz="4" w:space="0" w:color="auto"/>
              <w:right w:val="single" w:sz="4" w:space="0" w:color="auto"/>
            </w:tcBorders>
            <w:vAlign w:val="center"/>
            <w:hideMark/>
          </w:tcPr>
          <w:p w14:paraId="6A577393"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single" w:sz="4" w:space="0" w:color="auto"/>
              <w:right w:val="single" w:sz="4" w:space="0" w:color="auto"/>
            </w:tcBorders>
            <w:vAlign w:val="center"/>
            <w:hideMark/>
          </w:tcPr>
          <w:p w14:paraId="37F9B282"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Total Assets</w:t>
            </w:r>
          </w:p>
        </w:tc>
        <w:tc>
          <w:tcPr>
            <w:tcW w:w="1658" w:type="dxa"/>
            <w:tcBorders>
              <w:top w:val="nil"/>
              <w:left w:val="nil"/>
              <w:bottom w:val="single" w:sz="4" w:space="0" w:color="auto"/>
              <w:right w:val="single" w:sz="4" w:space="0" w:color="auto"/>
            </w:tcBorders>
            <w:vAlign w:val="center"/>
            <w:hideMark/>
          </w:tcPr>
          <w:p w14:paraId="0141F27B"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323,354</w:t>
            </w:r>
          </w:p>
        </w:tc>
        <w:tc>
          <w:tcPr>
            <w:tcW w:w="1658" w:type="dxa"/>
            <w:tcBorders>
              <w:top w:val="nil"/>
              <w:left w:val="nil"/>
              <w:bottom w:val="single" w:sz="4" w:space="0" w:color="auto"/>
              <w:right w:val="single" w:sz="4" w:space="0" w:color="auto"/>
            </w:tcBorders>
            <w:vAlign w:val="center"/>
            <w:hideMark/>
          </w:tcPr>
          <w:p w14:paraId="5A001693"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355,872</w:t>
            </w:r>
          </w:p>
        </w:tc>
        <w:tc>
          <w:tcPr>
            <w:tcW w:w="1658" w:type="dxa"/>
            <w:tcBorders>
              <w:top w:val="nil"/>
              <w:left w:val="nil"/>
              <w:bottom w:val="single" w:sz="4" w:space="0" w:color="auto"/>
              <w:right w:val="single" w:sz="4" w:space="0" w:color="auto"/>
            </w:tcBorders>
            <w:vAlign w:val="center"/>
            <w:hideMark/>
          </w:tcPr>
          <w:p w14:paraId="506EE097"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504,163</w:t>
            </w:r>
          </w:p>
        </w:tc>
        <w:tc>
          <w:tcPr>
            <w:tcW w:w="1658" w:type="dxa"/>
            <w:tcBorders>
              <w:top w:val="nil"/>
              <w:left w:val="nil"/>
              <w:bottom w:val="single" w:sz="4" w:space="0" w:color="auto"/>
              <w:right w:val="single" w:sz="4" w:space="0" w:color="auto"/>
            </w:tcBorders>
            <w:vAlign w:val="center"/>
            <w:hideMark/>
          </w:tcPr>
          <w:p w14:paraId="48AAE855"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510,348</w:t>
            </w:r>
          </w:p>
        </w:tc>
        <w:tc>
          <w:tcPr>
            <w:tcW w:w="1658" w:type="dxa"/>
            <w:tcBorders>
              <w:top w:val="nil"/>
              <w:left w:val="nil"/>
              <w:bottom w:val="single" w:sz="4" w:space="0" w:color="auto"/>
              <w:right w:val="single" w:sz="4" w:space="0" w:color="auto"/>
            </w:tcBorders>
            <w:vAlign w:val="center"/>
            <w:hideMark/>
          </w:tcPr>
          <w:p w14:paraId="5F9FD8CC"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510,290</w:t>
            </w:r>
          </w:p>
        </w:tc>
      </w:tr>
      <w:tr w:rsidR="00D461BC" w:rsidRPr="009E2403" w14:paraId="08A6AC31" w14:textId="77777777" w:rsidTr="00D461BC">
        <w:trPr>
          <w:trHeight w:val="307"/>
        </w:trPr>
        <w:tc>
          <w:tcPr>
            <w:tcW w:w="1132" w:type="dxa"/>
            <w:tcBorders>
              <w:top w:val="nil"/>
              <w:left w:val="single" w:sz="4" w:space="0" w:color="auto"/>
              <w:bottom w:val="single" w:sz="4" w:space="0" w:color="auto"/>
              <w:right w:val="single" w:sz="4" w:space="0" w:color="auto"/>
            </w:tcBorders>
            <w:vAlign w:val="center"/>
            <w:hideMark/>
          </w:tcPr>
          <w:p w14:paraId="2D5595FB"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S. #</w:t>
            </w:r>
          </w:p>
        </w:tc>
        <w:tc>
          <w:tcPr>
            <w:tcW w:w="2654" w:type="dxa"/>
            <w:tcBorders>
              <w:top w:val="nil"/>
              <w:left w:val="nil"/>
              <w:bottom w:val="single" w:sz="4" w:space="0" w:color="auto"/>
              <w:right w:val="single" w:sz="4" w:space="0" w:color="auto"/>
            </w:tcBorders>
            <w:vAlign w:val="center"/>
            <w:hideMark/>
          </w:tcPr>
          <w:p w14:paraId="4767952D"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Ratio</w:t>
            </w:r>
          </w:p>
        </w:tc>
        <w:tc>
          <w:tcPr>
            <w:tcW w:w="3142" w:type="dxa"/>
            <w:tcBorders>
              <w:top w:val="nil"/>
              <w:left w:val="nil"/>
              <w:bottom w:val="single" w:sz="4" w:space="0" w:color="auto"/>
              <w:right w:val="single" w:sz="4" w:space="0" w:color="auto"/>
            </w:tcBorders>
            <w:vAlign w:val="center"/>
            <w:hideMark/>
          </w:tcPr>
          <w:p w14:paraId="6BD2B4C3" w14:textId="77777777" w:rsidR="00D461BC" w:rsidRPr="009E2403" w:rsidRDefault="00D461BC" w:rsidP="00D461BC">
            <w:pPr>
              <w:spacing w:after="0" w:line="240" w:lineRule="auto"/>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 </w:t>
            </w:r>
          </w:p>
        </w:tc>
        <w:tc>
          <w:tcPr>
            <w:tcW w:w="1658" w:type="dxa"/>
            <w:tcBorders>
              <w:top w:val="nil"/>
              <w:left w:val="nil"/>
              <w:bottom w:val="single" w:sz="4" w:space="0" w:color="auto"/>
              <w:right w:val="single" w:sz="4" w:space="0" w:color="auto"/>
            </w:tcBorders>
            <w:vAlign w:val="center"/>
            <w:hideMark/>
          </w:tcPr>
          <w:p w14:paraId="0D6D9FBE"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2024</w:t>
            </w:r>
          </w:p>
        </w:tc>
        <w:tc>
          <w:tcPr>
            <w:tcW w:w="1658" w:type="dxa"/>
            <w:tcBorders>
              <w:top w:val="nil"/>
              <w:left w:val="nil"/>
              <w:bottom w:val="single" w:sz="4" w:space="0" w:color="auto"/>
              <w:right w:val="single" w:sz="4" w:space="0" w:color="auto"/>
            </w:tcBorders>
            <w:vAlign w:val="center"/>
            <w:hideMark/>
          </w:tcPr>
          <w:p w14:paraId="4195FC16"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2023</w:t>
            </w:r>
          </w:p>
        </w:tc>
        <w:tc>
          <w:tcPr>
            <w:tcW w:w="1658" w:type="dxa"/>
            <w:tcBorders>
              <w:top w:val="nil"/>
              <w:left w:val="nil"/>
              <w:bottom w:val="single" w:sz="4" w:space="0" w:color="auto"/>
              <w:right w:val="single" w:sz="4" w:space="0" w:color="auto"/>
            </w:tcBorders>
            <w:vAlign w:val="center"/>
            <w:hideMark/>
          </w:tcPr>
          <w:p w14:paraId="31F4BD72"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2022</w:t>
            </w:r>
          </w:p>
        </w:tc>
        <w:tc>
          <w:tcPr>
            <w:tcW w:w="1658" w:type="dxa"/>
            <w:tcBorders>
              <w:top w:val="nil"/>
              <w:left w:val="nil"/>
              <w:bottom w:val="single" w:sz="4" w:space="0" w:color="auto"/>
              <w:right w:val="single" w:sz="4" w:space="0" w:color="auto"/>
            </w:tcBorders>
            <w:vAlign w:val="center"/>
            <w:hideMark/>
          </w:tcPr>
          <w:p w14:paraId="15149602"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2021</w:t>
            </w:r>
          </w:p>
        </w:tc>
        <w:tc>
          <w:tcPr>
            <w:tcW w:w="1658" w:type="dxa"/>
            <w:tcBorders>
              <w:top w:val="nil"/>
              <w:left w:val="nil"/>
              <w:bottom w:val="single" w:sz="4" w:space="0" w:color="auto"/>
              <w:right w:val="single" w:sz="4" w:space="0" w:color="auto"/>
            </w:tcBorders>
            <w:vAlign w:val="center"/>
            <w:hideMark/>
          </w:tcPr>
          <w:p w14:paraId="51CB8B2A" w14:textId="77777777" w:rsidR="00D461BC" w:rsidRPr="009E2403" w:rsidRDefault="00D461BC" w:rsidP="00D461BC">
            <w:pPr>
              <w:spacing w:after="0" w:line="240" w:lineRule="auto"/>
              <w:jc w:val="right"/>
              <w:rPr>
                <w:rFonts w:ascii="Arial" w:eastAsia="Times New Roman" w:hAnsi="Arial" w:cs="Arial"/>
                <w:color w:val="0070C0"/>
                <w:sz w:val="20"/>
                <w:szCs w:val="20"/>
                <w:lang w:val="en-US"/>
              </w:rPr>
            </w:pPr>
            <w:r w:rsidRPr="009E2403">
              <w:rPr>
                <w:rFonts w:ascii="Arial" w:eastAsia="Times New Roman" w:hAnsi="Arial" w:cs="Arial"/>
                <w:color w:val="0070C0"/>
                <w:sz w:val="20"/>
                <w:szCs w:val="20"/>
                <w:lang w:val="en-US"/>
              </w:rPr>
              <w:t>2020</w:t>
            </w:r>
          </w:p>
        </w:tc>
      </w:tr>
      <w:tr w:rsidR="00D461BC" w:rsidRPr="009E2403" w14:paraId="1A117EA2" w14:textId="77777777" w:rsidTr="00D461BC">
        <w:trPr>
          <w:trHeight w:val="307"/>
        </w:trPr>
        <w:tc>
          <w:tcPr>
            <w:tcW w:w="1132" w:type="dxa"/>
            <w:vMerge w:val="restart"/>
            <w:tcBorders>
              <w:top w:val="nil"/>
              <w:left w:val="single" w:sz="4" w:space="0" w:color="auto"/>
              <w:bottom w:val="double" w:sz="6" w:space="0" w:color="000000"/>
              <w:right w:val="single" w:sz="4" w:space="0" w:color="auto"/>
            </w:tcBorders>
            <w:vAlign w:val="center"/>
            <w:hideMark/>
          </w:tcPr>
          <w:p w14:paraId="7D2896C9"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Investment Ratio</w:t>
            </w:r>
          </w:p>
        </w:tc>
        <w:tc>
          <w:tcPr>
            <w:tcW w:w="2654" w:type="dxa"/>
            <w:vMerge w:val="restart"/>
            <w:tcBorders>
              <w:top w:val="nil"/>
              <w:left w:val="single" w:sz="4" w:space="0" w:color="auto"/>
              <w:bottom w:val="double" w:sz="6" w:space="0" w:color="000000"/>
              <w:right w:val="single" w:sz="4" w:space="0" w:color="auto"/>
            </w:tcBorders>
            <w:vAlign w:val="center"/>
            <w:hideMark/>
          </w:tcPr>
          <w:p w14:paraId="192D85B2"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Earnings Per Share</w:t>
            </w:r>
          </w:p>
        </w:tc>
        <w:tc>
          <w:tcPr>
            <w:tcW w:w="3142" w:type="dxa"/>
            <w:tcBorders>
              <w:top w:val="nil"/>
              <w:left w:val="nil"/>
              <w:bottom w:val="single" w:sz="4" w:space="0" w:color="auto"/>
              <w:right w:val="single" w:sz="4" w:space="0" w:color="auto"/>
            </w:tcBorders>
            <w:noWrap/>
            <w:vAlign w:val="bottom"/>
            <w:hideMark/>
          </w:tcPr>
          <w:p w14:paraId="026ECE11" w14:textId="77777777" w:rsidR="00D461BC" w:rsidRPr="009E2403" w:rsidRDefault="00D461BC" w:rsidP="00D461BC">
            <w:pPr>
              <w:spacing w:after="0" w:line="240" w:lineRule="auto"/>
              <w:rPr>
                <w:rFonts w:ascii="Arial" w:eastAsia="Times New Roman" w:hAnsi="Arial" w:cs="Arial"/>
                <w:color w:val="000000"/>
                <w:sz w:val="20"/>
                <w:szCs w:val="20"/>
                <w:u w:val="single"/>
                <w:lang w:val="en-US"/>
              </w:rPr>
            </w:pPr>
            <w:r w:rsidRPr="009E2403">
              <w:rPr>
                <w:rFonts w:ascii="Arial" w:eastAsia="Times New Roman" w:hAnsi="Arial" w:cs="Arial"/>
                <w:color w:val="000000"/>
                <w:sz w:val="20"/>
                <w:szCs w:val="20"/>
                <w:u w:val="single"/>
              </w:rPr>
              <w:t xml:space="preserve">Net profit after Tax </w:t>
            </w:r>
          </w:p>
        </w:tc>
        <w:tc>
          <w:tcPr>
            <w:tcW w:w="1658" w:type="dxa"/>
            <w:tcBorders>
              <w:top w:val="nil"/>
              <w:left w:val="nil"/>
              <w:bottom w:val="single" w:sz="4" w:space="0" w:color="auto"/>
              <w:right w:val="single" w:sz="4" w:space="0" w:color="auto"/>
            </w:tcBorders>
            <w:vAlign w:val="center"/>
            <w:hideMark/>
          </w:tcPr>
          <w:p w14:paraId="6FE411D4" w14:textId="77777777" w:rsidR="00D461BC" w:rsidRPr="009E2403" w:rsidRDefault="00D461BC" w:rsidP="00D461BC">
            <w:pPr>
              <w:spacing w:after="0" w:line="240" w:lineRule="auto"/>
              <w:jc w:val="right"/>
              <w:rPr>
                <w:rFonts w:ascii="Arial" w:eastAsia="Times New Roman" w:hAnsi="Arial" w:cs="Arial"/>
                <w:color w:val="000000"/>
                <w:sz w:val="20"/>
                <w:szCs w:val="20"/>
              </w:rPr>
            </w:pPr>
            <w:r w:rsidRPr="009E2403">
              <w:rPr>
                <w:rFonts w:ascii="Arial" w:eastAsia="Times New Roman" w:hAnsi="Arial" w:cs="Arial"/>
                <w:color w:val="000000"/>
                <w:sz w:val="20"/>
                <w:szCs w:val="20"/>
                <w:lang w:val="en-US"/>
              </w:rPr>
              <w:t>-24,029</w:t>
            </w:r>
          </w:p>
        </w:tc>
        <w:tc>
          <w:tcPr>
            <w:tcW w:w="1658" w:type="dxa"/>
            <w:tcBorders>
              <w:top w:val="nil"/>
              <w:left w:val="nil"/>
              <w:bottom w:val="single" w:sz="4" w:space="0" w:color="auto"/>
              <w:right w:val="single" w:sz="4" w:space="0" w:color="auto"/>
            </w:tcBorders>
            <w:vAlign w:val="center"/>
            <w:hideMark/>
          </w:tcPr>
          <w:p w14:paraId="1B8CDFF1" w14:textId="77777777" w:rsidR="00D461BC" w:rsidRPr="009E2403" w:rsidRDefault="00D461BC" w:rsidP="00D461BC">
            <w:pPr>
              <w:spacing w:after="0" w:line="240" w:lineRule="auto"/>
              <w:jc w:val="right"/>
              <w:rPr>
                <w:rFonts w:ascii="Arial" w:eastAsia="Times New Roman" w:hAnsi="Arial" w:cs="Arial"/>
                <w:color w:val="000000"/>
                <w:sz w:val="20"/>
                <w:szCs w:val="20"/>
                <w:u w:val="single"/>
              </w:rPr>
            </w:pPr>
            <w:r w:rsidRPr="009E2403">
              <w:rPr>
                <w:rFonts w:ascii="Arial" w:eastAsia="Times New Roman" w:hAnsi="Arial" w:cs="Arial"/>
                <w:color w:val="000000"/>
                <w:sz w:val="20"/>
                <w:szCs w:val="20"/>
                <w:u w:val="single"/>
                <w:lang w:val="en-US"/>
              </w:rPr>
              <w:t>-98,238</w:t>
            </w:r>
          </w:p>
        </w:tc>
        <w:tc>
          <w:tcPr>
            <w:tcW w:w="1658" w:type="dxa"/>
            <w:tcBorders>
              <w:top w:val="nil"/>
              <w:left w:val="nil"/>
              <w:bottom w:val="single" w:sz="4" w:space="0" w:color="auto"/>
              <w:right w:val="single" w:sz="4" w:space="0" w:color="auto"/>
            </w:tcBorders>
            <w:vAlign w:val="center"/>
            <w:hideMark/>
          </w:tcPr>
          <w:p w14:paraId="0677D694" w14:textId="77777777" w:rsidR="00D461BC" w:rsidRPr="009E2403" w:rsidRDefault="00D461BC" w:rsidP="00D461BC">
            <w:pPr>
              <w:spacing w:after="0" w:line="240" w:lineRule="auto"/>
              <w:jc w:val="right"/>
              <w:rPr>
                <w:rFonts w:ascii="Arial" w:eastAsia="Times New Roman" w:hAnsi="Arial" w:cs="Arial"/>
                <w:color w:val="000000"/>
                <w:sz w:val="20"/>
                <w:szCs w:val="20"/>
                <w:u w:val="single"/>
              </w:rPr>
            </w:pPr>
            <w:r w:rsidRPr="009E2403">
              <w:rPr>
                <w:rFonts w:ascii="Arial" w:eastAsia="Times New Roman" w:hAnsi="Arial" w:cs="Arial"/>
                <w:color w:val="000000"/>
                <w:sz w:val="20"/>
                <w:szCs w:val="20"/>
                <w:u w:val="single"/>
                <w:lang w:val="en-US"/>
              </w:rPr>
              <w:t>407</w:t>
            </w:r>
          </w:p>
        </w:tc>
        <w:tc>
          <w:tcPr>
            <w:tcW w:w="1658" w:type="dxa"/>
            <w:tcBorders>
              <w:top w:val="nil"/>
              <w:left w:val="nil"/>
              <w:bottom w:val="single" w:sz="4" w:space="0" w:color="auto"/>
              <w:right w:val="single" w:sz="4" w:space="0" w:color="auto"/>
            </w:tcBorders>
            <w:vAlign w:val="center"/>
            <w:hideMark/>
          </w:tcPr>
          <w:p w14:paraId="3E6F9DD1" w14:textId="77777777" w:rsidR="00D461BC" w:rsidRPr="009E2403" w:rsidRDefault="00D461BC" w:rsidP="00D461BC">
            <w:pPr>
              <w:spacing w:after="0" w:line="240" w:lineRule="auto"/>
              <w:jc w:val="right"/>
              <w:rPr>
                <w:rFonts w:ascii="Arial" w:eastAsia="Times New Roman" w:hAnsi="Arial" w:cs="Arial"/>
                <w:color w:val="000000"/>
                <w:sz w:val="20"/>
                <w:szCs w:val="20"/>
                <w:u w:val="single"/>
              </w:rPr>
            </w:pPr>
            <w:r w:rsidRPr="009E2403">
              <w:rPr>
                <w:rFonts w:ascii="Arial" w:eastAsia="Times New Roman" w:hAnsi="Arial" w:cs="Arial"/>
                <w:color w:val="000000"/>
                <w:sz w:val="20"/>
                <w:szCs w:val="20"/>
                <w:u w:val="single"/>
                <w:lang w:val="en-US"/>
              </w:rPr>
              <w:t>5,301</w:t>
            </w:r>
          </w:p>
        </w:tc>
        <w:tc>
          <w:tcPr>
            <w:tcW w:w="1658" w:type="dxa"/>
            <w:tcBorders>
              <w:top w:val="nil"/>
              <w:left w:val="nil"/>
              <w:bottom w:val="single" w:sz="4" w:space="0" w:color="auto"/>
              <w:right w:val="single" w:sz="4" w:space="0" w:color="auto"/>
            </w:tcBorders>
            <w:vAlign w:val="center"/>
            <w:hideMark/>
          </w:tcPr>
          <w:p w14:paraId="5B0641A7" w14:textId="77777777" w:rsidR="00D461BC" w:rsidRPr="009E2403" w:rsidRDefault="00D461BC" w:rsidP="00D461BC">
            <w:pPr>
              <w:spacing w:after="0" w:line="240" w:lineRule="auto"/>
              <w:jc w:val="right"/>
              <w:rPr>
                <w:rFonts w:ascii="Arial" w:eastAsia="Times New Roman" w:hAnsi="Arial" w:cs="Arial"/>
                <w:color w:val="000000"/>
                <w:sz w:val="20"/>
                <w:szCs w:val="20"/>
                <w:u w:val="single"/>
              </w:rPr>
            </w:pPr>
            <w:r w:rsidRPr="009E2403">
              <w:rPr>
                <w:rFonts w:ascii="Arial" w:eastAsia="Times New Roman" w:hAnsi="Arial" w:cs="Arial"/>
                <w:color w:val="000000"/>
                <w:sz w:val="20"/>
                <w:szCs w:val="20"/>
                <w:u w:val="single"/>
                <w:lang w:val="en-US"/>
              </w:rPr>
              <w:t>38,572</w:t>
            </w:r>
          </w:p>
        </w:tc>
      </w:tr>
      <w:tr w:rsidR="00D461BC" w:rsidRPr="009E2403" w14:paraId="6071187C" w14:textId="77777777" w:rsidTr="00D461BC">
        <w:trPr>
          <w:trHeight w:val="322"/>
        </w:trPr>
        <w:tc>
          <w:tcPr>
            <w:tcW w:w="1132" w:type="dxa"/>
            <w:vMerge/>
            <w:tcBorders>
              <w:top w:val="nil"/>
              <w:left w:val="single" w:sz="4" w:space="0" w:color="auto"/>
              <w:bottom w:val="double" w:sz="6" w:space="0" w:color="000000"/>
              <w:right w:val="single" w:sz="4" w:space="0" w:color="auto"/>
            </w:tcBorders>
            <w:vAlign w:val="center"/>
            <w:hideMark/>
          </w:tcPr>
          <w:p w14:paraId="2C33D3F6"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2654" w:type="dxa"/>
            <w:vMerge/>
            <w:tcBorders>
              <w:top w:val="nil"/>
              <w:left w:val="single" w:sz="4" w:space="0" w:color="auto"/>
              <w:bottom w:val="double" w:sz="6" w:space="0" w:color="000000"/>
              <w:right w:val="single" w:sz="4" w:space="0" w:color="auto"/>
            </w:tcBorders>
            <w:vAlign w:val="center"/>
            <w:hideMark/>
          </w:tcPr>
          <w:p w14:paraId="5B57464E"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3142" w:type="dxa"/>
            <w:tcBorders>
              <w:top w:val="nil"/>
              <w:left w:val="nil"/>
              <w:bottom w:val="double" w:sz="6" w:space="0" w:color="auto"/>
              <w:right w:val="single" w:sz="4" w:space="0" w:color="auto"/>
            </w:tcBorders>
            <w:noWrap/>
            <w:vAlign w:val="bottom"/>
            <w:hideMark/>
          </w:tcPr>
          <w:p w14:paraId="3E30F22E" w14:textId="77777777" w:rsidR="00D461BC" w:rsidRPr="009E2403" w:rsidRDefault="00D461BC" w:rsidP="00D461BC">
            <w:pPr>
              <w:spacing w:after="0" w:line="240" w:lineRule="auto"/>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No of Common Shares outstanding</w:t>
            </w:r>
          </w:p>
        </w:tc>
        <w:tc>
          <w:tcPr>
            <w:tcW w:w="1658" w:type="dxa"/>
            <w:tcBorders>
              <w:top w:val="nil"/>
              <w:left w:val="nil"/>
              <w:bottom w:val="double" w:sz="6" w:space="0" w:color="auto"/>
              <w:right w:val="single" w:sz="4" w:space="0" w:color="auto"/>
            </w:tcBorders>
            <w:vAlign w:val="center"/>
            <w:hideMark/>
          </w:tcPr>
          <w:p w14:paraId="76C7B25D"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12,959</w:t>
            </w:r>
          </w:p>
        </w:tc>
        <w:tc>
          <w:tcPr>
            <w:tcW w:w="1658" w:type="dxa"/>
            <w:tcBorders>
              <w:top w:val="nil"/>
              <w:left w:val="nil"/>
              <w:bottom w:val="double" w:sz="6" w:space="0" w:color="auto"/>
              <w:right w:val="single" w:sz="4" w:space="0" w:color="auto"/>
            </w:tcBorders>
            <w:vAlign w:val="center"/>
            <w:hideMark/>
          </w:tcPr>
          <w:p w14:paraId="661289F3"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12,855</w:t>
            </w:r>
          </w:p>
        </w:tc>
        <w:tc>
          <w:tcPr>
            <w:tcW w:w="1658" w:type="dxa"/>
            <w:tcBorders>
              <w:top w:val="nil"/>
              <w:left w:val="nil"/>
              <w:bottom w:val="double" w:sz="6" w:space="0" w:color="auto"/>
              <w:right w:val="single" w:sz="4" w:space="0" w:color="auto"/>
            </w:tcBorders>
            <w:vAlign w:val="center"/>
            <w:hideMark/>
          </w:tcPr>
          <w:p w14:paraId="70432C54"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12,703</w:t>
            </w:r>
          </w:p>
        </w:tc>
        <w:tc>
          <w:tcPr>
            <w:tcW w:w="1658" w:type="dxa"/>
            <w:tcBorders>
              <w:top w:val="nil"/>
              <w:left w:val="nil"/>
              <w:bottom w:val="double" w:sz="6" w:space="0" w:color="auto"/>
              <w:right w:val="single" w:sz="4" w:space="0" w:color="auto"/>
            </w:tcBorders>
            <w:vAlign w:val="center"/>
            <w:hideMark/>
          </w:tcPr>
          <w:p w14:paraId="5C0898C9"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13,465</w:t>
            </w:r>
          </w:p>
        </w:tc>
        <w:tc>
          <w:tcPr>
            <w:tcW w:w="1658" w:type="dxa"/>
            <w:tcBorders>
              <w:top w:val="nil"/>
              <w:left w:val="nil"/>
              <w:bottom w:val="double" w:sz="6" w:space="0" w:color="auto"/>
              <w:right w:val="single" w:sz="4" w:space="0" w:color="auto"/>
            </w:tcBorders>
            <w:vAlign w:val="center"/>
            <w:hideMark/>
          </w:tcPr>
          <w:p w14:paraId="50DA440A"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r w:rsidRPr="009E2403">
              <w:rPr>
                <w:rFonts w:ascii="Arial" w:eastAsia="Times New Roman" w:hAnsi="Arial" w:cs="Arial"/>
                <w:color w:val="000000"/>
                <w:sz w:val="20"/>
                <w:szCs w:val="20"/>
                <w:lang w:val="en-US"/>
              </w:rPr>
              <w:t>13,893</w:t>
            </w:r>
          </w:p>
        </w:tc>
      </w:tr>
    </w:tbl>
    <w:p w14:paraId="6DC5399E" w14:textId="77777777" w:rsidR="00D461BC" w:rsidRPr="009E2403" w:rsidRDefault="00585DA7">
      <w:pPr>
        <w:rPr>
          <w:rFonts w:ascii="Arial" w:hAnsi="Arial" w:cs="Arial"/>
        </w:rPr>
      </w:pPr>
      <w:r w:rsidRPr="009E2403">
        <w:rPr>
          <w:rFonts w:ascii="Arial" w:hAnsi="Arial" w:cs="Arial"/>
        </w:rPr>
        <w:t xml:space="preserve"> </w:t>
      </w:r>
    </w:p>
    <w:p w14:paraId="424043CE" w14:textId="77777777" w:rsidR="00D461BC" w:rsidRPr="009E2403" w:rsidRDefault="00D461BC" w:rsidP="00D461BC">
      <w:pPr>
        <w:pStyle w:val="Heading2"/>
        <w:rPr>
          <w:rFonts w:ascii="Arial" w:hAnsi="Arial" w:cs="Arial"/>
        </w:rPr>
      </w:pPr>
      <w:bookmarkStart w:id="29" w:name="_Toc214745420"/>
      <w:r w:rsidRPr="009E2403">
        <w:rPr>
          <w:rFonts w:ascii="Arial" w:hAnsi="Arial" w:cs="Arial"/>
        </w:rPr>
        <w:t>Result</w:t>
      </w:r>
      <w:bookmarkEnd w:id="29"/>
      <w:r w:rsidRPr="009E2403">
        <w:rPr>
          <w:rFonts w:ascii="Arial" w:hAnsi="Arial" w:cs="Arial"/>
        </w:rPr>
        <w:t xml:space="preserve"> </w:t>
      </w:r>
    </w:p>
    <w:tbl>
      <w:tblPr>
        <w:tblW w:w="10611" w:type="dxa"/>
        <w:jc w:val="center"/>
        <w:tblLook w:val="04A0" w:firstRow="1" w:lastRow="0" w:firstColumn="1" w:lastColumn="0" w:noHBand="0" w:noVBand="1"/>
      </w:tblPr>
      <w:tblGrid>
        <w:gridCol w:w="1788"/>
        <w:gridCol w:w="1837"/>
        <w:gridCol w:w="1396"/>
        <w:gridCol w:w="1396"/>
        <w:gridCol w:w="1402"/>
        <w:gridCol w:w="1396"/>
        <w:gridCol w:w="1396"/>
      </w:tblGrid>
      <w:tr w:rsidR="00D461BC" w:rsidRPr="009E2403" w14:paraId="42C09FBD" w14:textId="77777777" w:rsidTr="00FC43F6">
        <w:trPr>
          <w:trHeight w:val="297"/>
          <w:jc w:val="center"/>
        </w:trPr>
        <w:tc>
          <w:tcPr>
            <w:tcW w:w="1788" w:type="dxa"/>
            <w:tcBorders>
              <w:top w:val="single" w:sz="4" w:space="0" w:color="auto"/>
              <w:left w:val="single" w:sz="4" w:space="0" w:color="auto"/>
              <w:bottom w:val="nil"/>
              <w:right w:val="single" w:sz="4" w:space="0" w:color="auto"/>
            </w:tcBorders>
            <w:vAlign w:val="center"/>
            <w:hideMark/>
          </w:tcPr>
          <w:p w14:paraId="367614C5"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S.No.</w:t>
            </w:r>
          </w:p>
        </w:tc>
        <w:tc>
          <w:tcPr>
            <w:tcW w:w="1837" w:type="dxa"/>
            <w:tcBorders>
              <w:top w:val="single" w:sz="4" w:space="0" w:color="auto"/>
              <w:left w:val="nil"/>
              <w:bottom w:val="nil"/>
              <w:right w:val="single" w:sz="4" w:space="0" w:color="auto"/>
            </w:tcBorders>
            <w:vAlign w:val="center"/>
            <w:hideMark/>
          </w:tcPr>
          <w:p w14:paraId="6B07A8B9"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Ratio</w:t>
            </w:r>
          </w:p>
        </w:tc>
        <w:tc>
          <w:tcPr>
            <w:tcW w:w="1396" w:type="dxa"/>
            <w:tcBorders>
              <w:top w:val="single" w:sz="4" w:space="0" w:color="auto"/>
              <w:left w:val="nil"/>
              <w:bottom w:val="nil"/>
              <w:right w:val="single" w:sz="4" w:space="0" w:color="auto"/>
            </w:tcBorders>
            <w:vAlign w:val="center"/>
            <w:hideMark/>
          </w:tcPr>
          <w:p w14:paraId="1FE0B546"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2024</w:t>
            </w:r>
          </w:p>
        </w:tc>
        <w:tc>
          <w:tcPr>
            <w:tcW w:w="1396" w:type="dxa"/>
            <w:tcBorders>
              <w:top w:val="single" w:sz="4" w:space="0" w:color="auto"/>
              <w:left w:val="nil"/>
              <w:bottom w:val="nil"/>
              <w:right w:val="single" w:sz="4" w:space="0" w:color="auto"/>
            </w:tcBorders>
            <w:vAlign w:val="center"/>
            <w:hideMark/>
          </w:tcPr>
          <w:p w14:paraId="0A96FFD8"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2023</w:t>
            </w:r>
          </w:p>
        </w:tc>
        <w:tc>
          <w:tcPr>
            <w:tcW w:w="1402" w:type="dxa"/>
            <w:tcBorders>
              <w:top w:val="single" w:sz="4" w:space="0" w:color="auto"/>
              <w:left w:val="nil"/>
              <w:bottom w:val="nil"/>
              <w:right w:val="single" w:sz="4" w:space="0" w:color="auto"/>
            </w:tcBorders>
            <w:vAlign w:val="center"/>
            <w:hideMark/>
          </w:tcPr>
          <w:p w14:paraId="5DE1CAE6"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2022</w:t>
            </w:r>
          </w:p>
        </w:tc>
        <w:tc>
          <w:tcPr>
            <w:tcW w:w="1396" w:type="dxa"/>
            <w:tcBorders>
              <w:top w:val="single" w:sz="4" w:space="0" w:color="auto"/>
              <w:left w:val="nil"/>
              <w:bottom w:val="nil"/>
              <w:right w:val="single" w:sz="4" w:space="0" w:color="auto"/>
            </w:tcBorders>
            <w:vAlign w:val="center"/>
            <w:hideMark/>
          </w:tcPr>
          <w:p w14:paraId="3A31B3B2"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2021</w:t>
            </w:r>
          </w:p>
        </w:tc>
        <w:tc>
          <w:tcPr>
            <w:tcW w:w="1396" w:type="dxa"/>
            <w:tcBorders>
              <w:top w:val="single" w:sz="4" w:space="0" w:color="auto"/>
              <w:left w:val="nil"/>
              <w:bottom w:val="nil"/>
              <w:right w:val="single" w:sz="4" w:space="0" w:color="auto"/>
            </w:tcBorders>
            <w:vAlign w:val="center"/>
            <w:hideMark/>
          </w:tcPr>
          <w:p w14:paraId="1FC77AD9"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2020</w:t>
            </w:r>
          </w:p>
        </w:tc>
      </w:tr>
      <w:tr w:rsidR="00D461BC" w:rsidRPr="009E2403" w14:paraId="047A6546" w14:textId="77777777" w:rsidTr="00FC43F6">
        <w:trPr>
          <w:trHeight w:val="1009"/>
          <w:jc w:val="center"/>
        </w:trPr>
        <w:tc>
          <w:tcPr>
            <w:tcW w:w="1788" w:type="dxa"/>
            <w:vMerge w:val="restart"/>
            <w:tcBorders>
              <w:top w:val="single" w:sz="4" w:space="0" w:color="auto"/>
              <w:left w:val="single" w:sz="4" w:space="0" w:color="auto"/>
              <w:bottom w:val="double" w:sz="6" w:space="0" w:color="000000"/>
              <w:right w:val="single" w:sz="4" w:space="0" w:color="auto"/>
            </w:tcBorders>
            <w:vAlign w:val="center"/>
            <w:hideMark/>
          </w:tcPr>
          <w:p w14:paraId="72BCE562" w14:textId="77777777" w:rsidR="00D461BC" w:rsidRPr="009E2403" w:rsidRDefault="00D461BC" w:rsidP="00D461BC">
            <w:pPr>
              <w:spacing w:after="0" w:line="240" w:lineRule="auto"/>
              <w:jc w:val="center"/>
              <w:rPr>
                <w:rFonts w:ascii="Arial" w:eastAsia="Times New Roman" w:hAnsi="Arial" w:cs="Arial"/>
                <w:color w:val="434343"/>
                <w:sz w:val="20"/>
                <w:szCs w:val="20"/>
                <w:lang w:val="en-US"/>
              </w:rPr>
            </w:pPr>
            <w:proofErr w:type="spellStart"/>
            <w:r w:rsidRPr="009E2403">
              <w:rPr>
                <w:rFonts w:ascii="Arial" w:eastAsia="Times New Roman" w:hAnsi="Arial" w:cs="Arial"/>
                <w:color w:val="434343"/>
                <w:sz w:val="20"/>
                <w:szCs w:val="20"/>
                <w:lang w:val="en-US"/>
              </w:rPr>
              <w:t>Profitabilty</w:t>
            </w:r>
            <w:proofErr w:type="spellEnd"/>
            <w:r w:rsidRPr="009E2403">
              <w:rPr>
                <w:rFonts w:ascii="Arial" w:eastAsia="Times New Roman" w:hAnsi="Arial" w:cs="Arial"/>
                <w:color w:val="434343"/>
                <w:sz w:val="20"/>
                <w:szCs w:val="20"/>
                <w:lang w:val="en-US"/>
              </w:rPr>
              <w:t xml:space="preserve"> Ratios</w:t>
            </w:r>
          </w:p>
        </w:tc>
        <w:tc>
          <w:tcPr>
            <w:tcW w:w="1837" w:type="dxa"/>
            <w:tcBorders>
              <w:top w:val="single" w:sz="4" w:space="0" w:color="auto"/>
              <w:left w:val="nil"/>
              <w:bottom w:val="single" w:sz="4" w:space="0" w:color="auto"/>
              <w:right w:val="single" w:sz="4" w:space="0" w:color="auto"/>
            </w:tcBorders>
            <w:vAlign w:val="center"/>
            <w:hideMark/>
          </w:tcPr>
          <w:p w14:paraId="53B8C4A1" w14:textId="77777777" w:rsidR="00D461BC" w:rsidRPr="009E2403" w:rsidRDefault="00D461BC" w:rsidP="00D461BC">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Return on Capital Employed</w:t>
            </w:r>
          </w:p>
        </w:tc>
        <w:tc>
          <w:tcPr>
            <w:tcW w:w="1396" w:type="dxa"/>
            <w:tcBorders>
              <w:top w:val="single" w:sz="4" w:space="0" w:color="auto"/>
              <w:left w:val="nil"/>
              <w:bottom w:val="single" w:sz="4" w:space="0" w:color="auto"/>
              <w:right w:val="single" w:sz="4" w:space="0" w:color="auto"/>
            </w:tcBorders>
            <w:vAlign w:val="center"/>
            <w:hideMark/>
          </w:tcPr>
          <w:p w14:paraId="725C4135"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-9%</w:t>
            </w:r>
          </w:p>
        </w:tc>
        <w:tc>
          <w:tcPr>
            <w:tcW w:w="1396" w:type="dxa"/>
            <w:tcBorders>
              <w:top w:val="single" w:sz="4" w:space="0" w:color="auto"/>
              <w:left w:val="nil"/>
              <w:bottom w:val="single" w:sz="4" w:space="0" w:color="auto"/>
              <w:right w:val="single" w:sz="4" w:space="0" w:color="auto"/>
            </w:tcBorders>
            <w:vAlign w:val="center"/>
            <w:hideMark/>
          </w:tcPr>
          <w:p w14:paraId="583E7D99"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-44%</w:t>
            </w:r>
          </w:p>
        </w:tc>
        <w:tc>
          <w:tcPr>
            <w:tcW w:w="1402" w:type="dxa"/>
            <w:tcBorders>
              <w:top w:val="single" w:sz="4" w:space="0" w:color="auto"/>
              <w:left w:val="nil"/>
              <w:bottom w:val="single" w:sz="4" w:space="0" w:color="auto"/>
              <w:right w:val="single" w:sz="4" w:space="0" w:color="auto"/>
            </w:tcBorders>
            <w:vAlign w:val="center"/>
            <w:hideMark/>
          </w:tcPr>
          <w:p w14:paraId="70652D45"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5%</w:t>
            </w:r>
          </w:p>
        </w:tc>
        <w:tc>
          <w:tcPr>
            <w:tcW w:w="1396" w:type="dxa"/>
            <w:tcBorders>
              <w:top w:val="single" w:sz="4" w:space="0" w:color="auto"/>
              <w:left w:val="nil"/>
              <w:bottom w:val="single" w:sz="4" w:space="0" w:color="auto"/>
              <w:right w:val="single" w:sz="4" w:space="0" w:color="auto"/>
            </w:tcBorders>
            <w:vAlign w:val="center"/>
            <w:hideMark/>
          </w:tcPr>
          <w:p w14:paraId="7486B656"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8%</w:t>
            </w:r>
          </w:p>
        </w:tc>
        <w:tc>
          <w:tcPr>
            <w:tcW w:w="1396" w:type="dxa"/>
            <w:tcBorders>
              <w:top w:val="single" w:sz="4" w:space="0" w:color="auto"/>
              <w:left w:val="nil"/>
              <w:bottom w:val="single" w:sz="4" w:space="0" w:color="auto"/>
              <w:right w:val="single" w:sz="4" w:space="0" w:color="auto"/>
            </w:tcBorders>
            <w:vAlign w:val="center"/>
            <w:hideMark/>
          </w:tcPr>
          <w:p w14:paraId="6F0DEE43"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11%</w:t>
            </w:r>
          </w:p>
        </w:tc>
      </w:tr>
      <w:tr w:rsidR="00D461BC" w:rsidRPr="009E2403" w14:paraId="47D6D26E" w14:textId="77777777" w:rsidTr="00FC43F6">
        <w:trPr>
          <w:trHeight w:val="504"/>
          <w:jc w:val="center"/>
        </w:trPr>
        <w:tc>
          <w:tcPr>
            <w:tcW w:w="1788" w:type="dxa"/>
            <w:vMerge/>
            <w:tcBorders>
              <w:top w:val="single" w:sz="4" w:space="0" w:color="auto"/>
              <w:left w:val="single" w:sz="4" w:space="0" w:color="auto"/>
              <w:bottom w:val="double" w:sz="6" w:space="0" w:color="000000"/>
              <w:right w:val="single" w:sz="4" w:space="0" w:color="auto"/>
            </w:tcBorders>
            <w:vAlign w:val="center"/>
            <w:hideMark/>
          </w:tcPr>
          <w:p w14:paraId="668BD551" w14:textId="77777777" w:rsidR="00D461BC" w:rsidRPr="009E2403" w:rsidRDefault="00D461BC" w:rsidP="00D461BC">
            <w:pPr>
              <w:spacing w:after="0" w:line="240" w:lineRule="auto"/>
              <w:rPr>
                <w:rFonts w:ascii="Arial" w:eastAsia="Times New Roman" w:hAnsi="Arial" w:cs="Arial"/>
                <w:color w:val="434343"/>
                <w:sz w:val="20"/>
                <w:szCs w:val="20"/>
                <w:lang w:val="en-US"/>
              </w:rPr>
            </w:pPr>
          </w:p>
        </w:tc>
        <w:tc>
          <w:tcPr>
            <w:tcW w:w="1837" w:type="dxa"/>
            <w:tcBorders>
              <w:top w:val="nil"/>
              <w:left w:val="nil"/>
              <w:bottom w:val="single" w:sz="4" w:space="0" w:color="auto"/>
              <w:right w:val="single" w:sz="4" w:space="0" w:color="auto"/>
            </w:tcBorders>
            <w:vAlign w:val="center"/>
            <w:hideMark/>
          </w:tcPr>
          <w:p w14:paraId="1D8368AF" w14:textId="77777777" w:rsidR="00D461BC" w:rsidRPr="009E2403" w:rsidRDefault="00D461BC" w:rsidP="00D461BC">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Return on Equity</w:t>
            </w:r>
          </w:p>
        </w:tc>
        <w:tc>
          <w:tcPr>
            <w:tcW w:w="1396" w:type="dxa"/>
            <w:tcBorders>
              <w:top w:val="nil"/>
              <w:left w:val="nil"/>
              <w:bottom w:val="single" w:sz="4" w:space="0" w:color="auto"/>
              <w:right w:val="single" w:sz="4" w:space="0" w:color="auto"/>
            </w:tcBorders>
            <w:vAlign w:val="center"/>
            <w:hideMark/>
          </w:tcPr>
          <w:p w14:paraId="5553B666"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-16%</w:t>
            </w:r>
          </w:p>
        </w:tc>
        <w:tc>
          <w:tcPr>
            <w:tcW w:w="1396" w:type="dxa"/>
            <w:tcBorders>
              <w:top w:val="nil"/>
              <w:left w:val="nil"/>
              <w:bottom w:val="single" w:sz="4" w:space="0" w:color="auto"/>
              <w:right w:val="single" w:sz="4" w:space="0" w:color="auto"/>
            </w:tcBorders>
            <w:vAlign w:val="center"/>
            <w:hideMark/>
          </w:tcPr>
          <w:p w14:paraId="07894312"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-55%</w:t>
            </w:r>
          </w:p>
        </w:tc>
        <w:tc>
          <w:tcPr>
            <w:tcW w:w="1402" w:type="dxa"/>
            <w:tcBorders>
              <w:top w:val="nil"/>
              <w:left w:val="nil"/>
              <w:bottom w:val="single" w:sz="4" w:space="0" w:color="auto"/>
              <w:right w:val="single" w:sz="4" w:space="0" w:color="auto"/>
            </w:tcBorders>
            <w:vAlign w:val="center"/>
            <w:hideMark/>
          </w:tcPr>
          <w:p w14:paraId="37DEBF1D"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0.15%</w:t>
            </w:r>
          </w:p>
        </w:tc>
        <w:tc>
          <w:tcPr>
            <w:tcW w:w="1396" w:type="dxa"/>
            <w:tcBorders>
              <w:top w:val="nil"/>
              <w:left w:val="nil"/>
              <w:bottom w:val="single" w:sz="4" w:space="0" w:color="auto"/>
              <w:right w:val="single" w:sz="4" w:space="0" w:color="auto"/>
            </w:tcBorders>
            <w:vAlign w:val="center"/>
            <w:hideMark/>
          </w:tcPr>
          <w:p w14:paraId="77569080"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2%</w:t>
            </w:r>
          </w:p>
        </w:tc>
        <w:tc>
          <w:tcPr>
            <w:tcW w:w="1396" w:type="dxa"/>
            <w:tcBorders>
              <w:top w:val="nil"/>
              <w:left w:val="nil"/>
              <w:bottom w:val="single" w:sz="4" w:space="0" w:color="auto"/>
              <w:right w:val="single" w:sz="4" w:space="0" w:color="auto"/>
            </w:tcBorders>
            <w:vAlign w:val="center"/>
            <w:hideMark/>
          </w:tcPr>
          <w:p w14:paraId="4EF27DF4"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12%</w:t>
            </w:r>
          </w:p>
        </w:tc>
      </w:tr>
      <w:tr w:rsidR="00D461BC" w:rsidRPr="009E2403" w14:paraId="77904BCF" w14:textId="77777777" w:rsidTr="00FC43F6">
        <w:trPr>
          <w:trHeight w:val="757"/>
          <w:jc w:val="center"/>
        </w:trPr>
        <w:tc>
          <w:tcPr>
            <w:tcW w:w="1788" w:type="dxa"/>
            <w:vMerge/>
            <w:tcBorders>
              <w:top w:val="single" w:sz="4" w:space="0" w:color="auto"/>
              <w:left w:val="single" w:sz="4" w:space="0" w:color="auto"/>
              <w:bottom w:val="double" w:sz="6" w:space="0" w:color="000000"/>
              <w:right w:val="single" w:sz="4" w:space="0" w:color="auto"/>
            </w:tcBorders>
            <w:vAlign w:val="center"/>
            <w:hideMark/>
          </w:tcPr>
          <w:p w14:paraId="1753A92B" w14:textId="77777777" w:rsidR="00D461BC" w:rsidRPr="009E2403" w:rsidRDefault="00D461BC" w:rsidP="00D461BC">
            <w:pPr>
              <w:spacing w:after="0" w:line="240" w:lineRule="auto"/>
              <w:rPr>
                <w:rFonts w:ascii="Arial" w:eastAsia="Times New Roman" w:hAnsi="Arial" w:cs="Arial"/>
                <w:color w:val="434343"/>
                <w:sz w:val="20"/>
                <w:szCs w:val="20"/>
                <w:lang w:val="en-US"/>
              </w:rPr>
            </w:pPr>
          </w:p>
        </w:tc>
        <w:tc>
          <w:tcPr>
            <w:tcW w:w="1837" w:type="dxa"/>
            <w:tcBorders>
              <w:top w:val="nil"/>
              <w:left w:val="nil"/>
              <w:bottom w:val="single" w:sz="4" w:space="0" w:color="auto"/>
              <w:right w:val="single" w:sz="4" w:space="0" w:color="auto"/>
            </w:tcBorders>
            <w:vAlign w:val="center"/>
            <w:hideMark/>
          </w:tcPr>
          <w:p w14:paraId="7F8D9CFA" w14:textId="77777777" w:rsidR="00D461BC" w:rsidRPr="009E2403" w:rsidRDefault="00D461BC" w:rsidP="00D461BC">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Gross Profit Ratio</w:t>
            </w:r>
          </w:p>
        </w:tc>
        <w:tc>
          <w:tcPr>
            <w:tcW w:w="1396" w:type="dxa"/>
            <w:tcBorders>
              <w:top w:val="nil"/>
              <w:left w:val="nil"/>
              <w:bottom w:val="single" w:sz="4" w:space="0" w:color="auto"/>
              <w:right w:val="single" w:sz="4" w:space="0" w:color="auto"/>
            </w:tcBorders>
            <w:vAlign w:val="center"/>
            <w:hideMark/>
          </w:tcPr>
          <w:p w14:paraId="76CC1229"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29%</w:t>
            </w:r>
          </w:p>
        </w:tc>
        <w:tc>
          <w:tcPr>
            <w:tcW w:w="1396" w:type="dxa"/>
            <w:tcBorders>
              <w:top w:val="nil"/>
              <w:left w:val="nil"/>
              <w:bottom w:val="single" w:sz="4" w:space="0" w:color="auto"/>
              <w:right w:val="single" w:sz="4" w:space="0" w:color="auto"/>
            </w:tcBorders>
            <w:vAlign w:val="center"/>
            <w:hideMark/>
          </w:tcPr>
          <w:p w14:paraId="0DE1ABF4"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23%</w:t>
            </w:r>
          </w:p>
        </w:tc>
        <w:tc>
          <w:tcPr>
            <w:tcW w:w="1402" w:type="dxa"/>
            <w:tcBorders>
              <w:top w:val="nil"/>
              <w:left w:val="nil"/>
              <w:bottom w:val="single" w:sz="4" w:space="0" w:color="auto"/>
              <w:right w:val="single" w:sz="4" w:space="0" w:color="auto"/>
            </w:tcBorders>
            <w:vAlign w:val="center"/>
            <w:hideMark/>
          </w:tcPr>
          <w:p w14:paraId="258E6943"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28%</w:t>
            </w:r>
          </w:p>
        </w:tc>
        <w:tc>
          <w:tcPr>
            <w:tcW w:w="1396" w:type="dxa"/>
            <w:tcBorders>
              <w:top w:val="nil"/>
              <w:left w:val="nil"/>
              <w:bottom w:val="single" w:sz="4" w:space="0" w:color="auto"/>
              <w:right w:val="single" w:sz="4" w:space="0" w:color="auto"/>
            </w:tcBorders>
            <w:vAlign w:val="center"/>
            <w:hideMark/>
          </w:tcPr>
          <w:p w14:paraId="6368FCF7"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29%</w:t>
            </w:r>
          </w:p>
        </w:tc>
        <w:tc>
          <w:tcPr>
            <w:tcW w:w="1396" w:type="dxa"/>
            <w:tcBorders>
              <w:top w:val="nil"/>
              <w:left w:val="nil"/>
              <w:bottom w:val="single" w:sz="4" w:space="0" w:color="auto"/>
              <w:right w:val="single" w:sz="4" w:space="0" w:color="auto"/>
            </w:tcBorders>
            <w:vAlign w:val="center"/>
            <w:hideMark/>
          </w:tcPr>
          <w:p w14:paraId="4DBD7076"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29%</w:t>
            </w:r>
          </w:p>
        </w:tc>
      </w:tr>
      <w:tr w:rsidR="00D461BC" w:rsidRPr="009E2403" w14:paraId="79880FC3" w14:textId="77777777" w:rsidTr="00FC43F6">
        <w:trPr>
          <w:trHeight w:val="771"/>
          <w:jc w:val="center"/>
        </w:trPr>
        <w:tc>
          <w:tcPr>
            <w:tcW w:w="1788" w:type="dxa"/>
            <w:vMerge/>
            <w:tcBorders>
              <w:top w:val="single" w:sz="4" w:space="0" w:color="auto"/>
              <w:left w:val="single" w:sz="4" w:space="0" w:color="auto"/>
              <w:bottom w:val="double" w:sz="6" w:space="0" w:color="000000"/>
              <w:right w:val="single" w:sz="4" w:space="0" w:color="auto"/>
            </w:tcBorders>
            <w:vAlign w:val="center"/>
            <w:hideMark/>
          </w:tcPr>
          <w:p w14:paraId="75B94872" w14:textId="77777777" w:rsidR="00D461BC" w:rsidRPr="009E2403" w:rsidRDefault="00D461BC" w:rsidP="00D461BC">
            <w:pPr>
              <w:spacing w:after="0" w:line="240" w:lineRule="auto"/>
              <w:rPr>
                <w:rFonts w:ascii="Arial" w:eastAsia="Times New Roman" w:hAnsi="Arial" w:cs="Arial"/>
                <w:color w:val="434343"/>
                <w:sz w:val="20"/>
                <w:szCs w:val="20"/>
                <w:lang w:val="en-US"/>
              </w:rPr>
            </w:pPr>
          </w:p>
        </w:tc>
        <w:tc>
          <w:tcPr>
            <w:tcW w:w="1837" w:type="dxa"/>
            <w:tcBorders>
              <w:top w:val="nil"/>
              <w:left w:val="nil"/>
              <w:bottom w:val="double" w:sz="6" w:space="0" w:color="auto"/>
              <w:right w:val="single" w:sz="4" w:space="0" w:color="auto"/>
            </w:tcBorders>
            <w:vAlign w:val="center"/>
            <w:hideMark/>
          </w:tcPr>
          <w:p w14:paraId="601D2E2E" w14:textId="77777777" w:rsidR="00D461BC" w:rsidRPr="009E2403" w:rsidRDefault="00D461BC" w:rsidP="00D461BC">
            <w:pPr>
              <w:spacing w:after="0" w:line="240" w:lineRule="auto"/>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Operating Profit Ratio</w:t>
            </w:r>
          </w:p>
        </w:tc>
        <w:tc>
          <w:tcPr>
            <w:tcW w:w="1396" w:type="dxa"/>
            <w:tcBorders>
              <w:top w:val="nil"/>
              <w:left w:val="nil"/>
              <w:bottom w:val="double" w:sz="6" w:space="0" w:color="auto"/>
              <w:right w:val="single" w:sz="4" w:space="0" w:color="auto"/>
            </w:tcBorders>
            <w:vAlign w:val="center"/>
            <w:hideMark/>
          </w:tcPr>
          <w:p w14:paraId="5A8182C9"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5%</w:t>
            </w:r>
          </w:p>
        </w:tc>
        <w:tc>
          <w:tcPr>
            <w:tcW w:w="1396" w:type="dxa"/>
            <w:tcBorders>
              <w:top w:val="nil"/>
              <w:left w:val="nil"/>
              <w:bottom w:val="double" w:sz="6" w:space="0" w:color="auto"/>
              <w:right w:val="single" w:sz="4" w:space="0" w:color="auto"/>
            </w:tcBorders>
            <w:vAlign w:val="center"/>
            <w:hideMark/>
          </w:tcPr>
          <w:p w14:paraId="35833E53"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26%</w:t>
            </w:r>
          </w:p>
        </w:tc>
        <w:tc>
          <w:tcPr>
            <w:tcW w:w="1402" w:type="dxa"/>
            <w:tcBorders>
              <w:top w:val="nil"/>
              <w:left w:val="nil"/>
              <w:bottom w:val="double" w:sz="6" w:space="0" w:color="auto"/>
              <w:right w:val="single" w:sz="4" w:space="0" w:color="auto"/>
            </w:tcBorders>
            <w:vAlign w:val="center"/>
            <w:hideMark/>
          </w:tcPr>
          <w:p w14:paraId="06FABFD0"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-4%</w:t>
            </w:r>
          </w:p>
        </w:tc>
        <w:tc>
          <w:tcPr>
            <w:tcW w:w="1396" w:type="dxa"/>
            <w:tcBorders>
              <w:top w:val="nil"/>
              <w:left w:val="nil"/>
              <w:bottom w:val="double" w:sz="6" w:space="0" w:color="auto"/>
              <w:right w:val="single" w:sz="4" w:space="0" w:color="auto"/>
            </w:tcBorders>
            <w:vAlign w:val="center"/>
            <w:hideMark/>
          </w:tcPr>
          <w:p w14:paraId="5C9D30E1"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-5%</w:t>
            </w:r>
          </w:p>
        </w:tc>
        <w:tc>
          <w:tcPr>
            <w:tcW w:w="1396" w:type="dxa"/>
            <w:tcBorders>
              <w:top w:val="nil"/>
              <w:left w:val="nil"/>
              <w:bottom w:val="double" w:sz="6" w:space="0" w:color="auto"/>
              <w:right w:val="single" w:sz="4" w:space="0" w:color="auto"/>
            </w:tcBorders>
            <w:vAlign w:val="center"/>
            <w:hideMark/>
          </w:tcPr>
          <w:p w14:paraId="156908EC" w14:textId="77777777" w:rsidR="00D461BC" w:rsidRPr="009E2403" w:rsidRDefault="00D461BC" w:rsidP="00D461BC">
            <w:pPr>
              <w:spacing w:after="0" w:line="240" w:lineRule="auto"/>
              <w:jc w:val="right"/>
              <w:rPr>
                <w:rFonts w:ascii="Arial" w:eastAsia="Times New Roman" w:hAnsi="Arial" w:cs="Arial"/>
                <w:color w:val="434343"/>
                <w:sz w:val="20"/>
                <w:szCs w:val="20"/>
                <w:lang w:val="en-US"/>
              </w:rPr>
            </w:pPr>
            <w:r w:rsidRPr="009E2403">
              <w:rPr>
                <w:rFonts w:ascii="Arial" w:eastAsia="Times New Roman" w:hAnsi="Arial" w:cs="Arial"/>
                <w:color w:val="434343"/>
                <w:sz w:val="20"/>
                <w:szCs w:val="20"/>
                <w:lang w:val="en-US"/>
              </w:rPr>
              <w:t>-9%</w:t>
            </w:r>
          </w:p>
        </w:tc>
      </w:tr>
      <w:tr w:rsidR="00D461BC" w:rsidRPr="009E2403" w14:paraId="2D4F4398" w14:textId="77777777" w:rsidTr="00FC43F6">
        <w:trPr>
          <w:trHeight w:val="312"/>
          <w:jc w:val="center"/>
        </w:trPr>
        <w:tc>
          <w:tcPr>
            <w:tcW w:w="1788" w:type="dxa"/>
            <w:tcBorders>
              <w:top w:val="nil"/>
              <w:left w:val="nil"/>
              <w:bottom w:val="nil"/>
              <w:right w:val="nil"/>
            </w:tcBorders>
            <w:noWrap/>
            <w:vAlign w:val="bottom"/>
            <w:hideMark/>
          </w:tcPr>
          <w:p w14:paraId="73D1975C"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837" w:type="dxa"/>
            <w:tcBorders>
              <w:top w:val="nil"/>
              <w:left w:val="nil"/>
              <w:bottom w:val="nil"/>
              <w:right w:val="nil"/>
            </w:tcBorders>
            <w:noWrap/>
            <w:vAlign w:val="bottom"/>
            <w:hideMark/>
          </w:tcPr>
          <w:p w14:paraId="4AA89770"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40C676A2"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18C2019E"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402" w:type="dxa"/>
            <w:tcBorders>
              <w:top w:val="nil"/>
              <w:left w:val="nil"/>
              <w:bottom w:val="nil"/>
              <w:right w:val="nil"/>
            </w:tcBorders>
            <w:noWrap/>
            <w:vAlign w:val="bottom"/>
            <w:hideMark/>
          </w:tcPr>
          <w:p w14:paraId="65C4B8ED"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46F75495"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1974B4F8"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r>
      <w:tr w:rsidR="00D461BC" w:rsidRPr="009E2403" w14:paraId="57C46DC9" w14:textId="77777777" w:rsidTr="00FC43F6">
        <w:trPr>
          <w:trHeight w:val="312"/>
          <w:jc w:val="center"/>
        </w:trPr>
        <w:tc>
          <w:tcPr>
            <w:tcW w:w="1788" w:type="dxa"/>
            <w:tcBorders>
              <w:top w:val="single" w:sz="4" w:space="0" w:color="auto"/>
              <w:left w:val="single" w:sz="4" w:space="0" w:color="auto"/>
              <w:bottom w:val="double" w:sz="6" w:space="0" w:color="auto"/>
              <w:right w:val="single" w:sz="4" w:space="0" w:color="auto"/>
            </w:tcBorders>
            <w:vAlign w:val="center"/>
            <w:hideMark/>
          </w:tcPr>
          <w:p w14:paraId="54E0EC38"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S.No</w:t>
            </w:r>
          </w:p>
        </w:tc>
        <w:tc>
          <w:tcPr>
            <w:tcW w:w="1837" w:type="dxa"/>
            <w:tcBorders>
              <w:top w:val="single" w:sz="4" w:space="0" w:color="auto"/>
              <w:left w:val="nil"/>
              <w:bottom w:val="double" w:sz="6" w:space="0" w:color="auto"/>
              <w:right w:val="single" w:sz="4" w:space="0" w:color="auto"/>
            </w:tcBorders>
            <w:vAlign w:val="center"/>
            <w:hideMark/>
          </w:tcPr>
          <w:p w14:paraId="53D2FD8E"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Ratio</w:t>
            </w:r>
          </w:p>
        </w:tc>
        <w:tc>
          <w:tcPr>
            <w:tcW w:w="1396" w:type="dxa"/>
            <w:tcBorders>
              <w:top w:val="single" w:sz="4" w:space="0" w:color="auto"/>
              <w:left w:val="nil"/>
              <w:bottom w:val="double" w:sz="6" w:space="0" w:color="auto"/>
              <w:right w:val="single" w:sz="4" w:space="0" w:color="auto"/>
            </w:tcBorders>
            <w:vAlign w:val="center"/>
            <w:hideMark/>
          </w:tcPr>
          <w:p w14:paraId="605608ED"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2020</w:t>
            </w:r>
          </w:p>
        </w:tc>
        <w:tc>
          <w:tcPr>
            <w:tcW w:w="1396" w:type="dxa"/>
            <w:tcBorders>
              <w:top w:val="single" w:sz="4" w:space="0" w:color="auto"/>
              <w:left w:val="nil"/>
              <w:bottom w:val="double" w:sz="6" w:space="0" w:color="auto"/>
              <w:right w:val="single" w:sz="4" w:space="0" w:color="auto"/>
            </w:tcBorders>
            <w:vAlign w:val="center"/>
            <w:hideMark/>
          </w:tcPr>
          <w:p w14:paraId="5FA14BDB"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2021</w:t>
            </w:r>
          </w:p>
        </w:tc>
        <w:tc>
          <w:tcPr>
            <w:tcW w:w="1402" w:type="dxa"/>
            <w:tcBorders>
              <w:top w:val="single" w:sz="4" w:space="0" w:color="auto"/>
              <w:left w:val="nil"/>
              <w:bottom w:val="double" w:sz="6" w:space="0" w:color="auto"/>
              <w:right w:val="single" w:sz="4" w:space="0" w:color="auto"/>
            </w:tcBorders>
            <w:vAlign w:val="center"/>
            <w:hideMark/>
          </w:tcPr>
          <w:p w14:paraId="49E7EFA4"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2022</w:t>
            </w:r>
          </w:p>
        </w:tc>
        <w:tc>
          <w:tcPr>
            <w:tcW w:w="1396" w:type="dxa"/>
            <w:tcBorders>
              <w:top w:val="single" w:sz="4" w:space="0" w:color="auto"/>
              <w:left w:val="nil"/>
              <w:bottom w:val="double" w:sz="6" w:space="0" w:color="auto"/>
              <w:right w:val="single" w:sz="4" w:space="0" w:color="auto"/>
            </w:tcBorders>
            <w:vAlign w:val="center"/>
            <w:hideMark/>
          </w:tcPr>
          <w:p w14:paraId="61E153AC"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2023</w:t>
            </w:r>
          </w:p>
        </w:tc>
        <w:tc>
          <w:tcPr>
            <w:tcW w:w="1396" w:type="dxa"/>
            <w:tcBorders>
              <w:top w:val="single" w:sz="4" w:space="0" w:color="auto"/>
              <w:left w:val="nil"/>
              <w:bottom w:val="double" w:sz="6" w:space="0" w:color="auto"/>
              <w:right w:val="single" w:sz="4" w:space="0" w:color="auto"/>
            </w:tcBorders>
            <w:vAlign w:val="center"/>
            <w:hideMark/>
          </w:tcPr>
          <w:p w14:paraId="1C53D94F"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2024</w:t>
            </w:r>
          </w:p>
        </w:tc>
      </w:tr>
      <w:tr w:rsidR="00D461BC" w:rsidRPr="009E2403" w14:paraId="6940A24D" w14:textId="77777777" w:rsidTr="00FC43F6">
        <w:trPr>
          <w:trHeight w:val="519"/>
          <w:jc w:val="center"/>
        </w:trPr>
        <w:tc>
          <w:tcPr>
            <w:tcW w:w="1788" w:type="dxa"/>
            <w:vMerge w:val="restart"/>
            <w:tcBorders>
              <w:top w:val="nil"/>
              <w:left w:val="single" w:sz="4" w:space="0" w:color="auto"/>
              <w:bottom w:val="double" w:sz="6" w:space="0" w:color="000000"/>
              <w:right w:val="single" w:sz="4" w:space="0" w:color="auto"/>
            </w:tcBorders>
            <w:vAlign w:val="center"/>
            <w:hideMark/>
          </w:tcPr>
          <w:p w14:paraId="25B499CE" w14:textId="77777777" w:rsidR="00D461BC" w:rsidRPr="009E2403" w:rsidRDefault="00D461BC" w:rsidP="00D461BC">
            <w:pPr>
              <w:spacing w:after="0" w:line="240" w:lineRule="auto"/>
              <w:jc w:val="center"/>
              <w:rPr>
                <w:rFonts w:ascii="Arial" w:eastAsia="Times New Roman" w:hAnsi="Arial" w:cs="Arial"/>
                <w:sz w:val="20"/>
                <w:szCs w:val="20"/>
                <w:lang w:val="en-US"/>
              </w:rPr>
            </w:pPr>
            <w:r w:rsidRPr="009E2403">
              <w:rPr>
                <w:rFonts w:ascii="Arial" w:eastAsia="Times New Roman" w:hAnsi="Arial" w:cs="Arial"/>
                <w:sz w:val="20"/>
                <w:szCs w:val="20"/>
                <w:lang w:val="en-US"/>
              </w:rPr>
              <w:t>Liquidity Ratios</w:t>
            </w:r>
          </w:p>
        </w:tc>
        <w:tc>
          <w:tcPr>
            <w:tcW w:w="1837" w:type="dxa"/>
            <w:tcBorders>
              <w:top w:val="nil"/>
              <w:left w:val="nil"/>
              <w:bottom w:val="single" w:sz="4" w:space="0" w:color="auto"/>
              <w:right w:val="single" w:sz="4" w:space="0" w:color="auto"/>
            </w:tcBorders>
            <w:vAlign w:val="center"/>
            <w:hideMark/>
          </w:tcPr>
          <w:p w14:paraId="1C7D28E3"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Current Ratio</w:t>
            </w:r>
          </w:p>
        </w:tc>
        <w:tc>
          <w:tcPr>
            <w:tcW w:w="1396" w:type="dxa"/>
            <w:tcBorders>
              <w:top w:val="nil"/>
              <w:left w:val="nil"/>
              <w:bottom w:val="single" w:sz="4" w:space="0" w:color="auto"/>
              <w:right w:val="single" w:sz="4" w:space="0" w:color="auto"/>
            </w:tcBorders>
            <w:vAlign w:val="center"/>
            <w:hideMark/>
          </w:tcPr>
          <w:p w14:paraId="08965706"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£1.82</w:t>
            </w:r>
          </w:p>
        </w:tc>
        <w:tc>
          <w:tcPr>
            <w:tcW w:w="1396" w:type="dxa"/>
            <w:tcBorders>
              <w:top w:val="nil"/>
              <w:left w:val="nil"/>
              <w:bottom w:val="single" w:sz="4" w:space="0" w:color="auto"/>
              <w:right w:val="single" w:sz="4" w:space="0" w:color="auto"/>
            </w:tcBorders>
            <w:vAlign w:val="center"/>
            <w:hideMark/>
          </w:tcPr>
          <w:p w14:paraId="0A952A65"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£1.56</w:t>
            </w:r>
          </w:p>
        </w:tc>
        <w:tc>
          <w:tcPr>
            <w:tcW w:w="1402" w:type="dxa"/>
            <w:tcBorders>
              <w:top w:val="nil"/>
              <w:left w:val="nil"/>
              <w:bottom w:val="single" w:sz="4" w:space="0" w:color="auto"/>
              <w:right w:val="single" w:sz="4" w:space="0" w:color="auto"/>
            </w:tcBorders>
            <w:vAlign w:val="center"/>
            <w:hideMark/>
          </w:tcPr>
          <w:p w14:paraId="1788146C"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£1.56</w:t>
            </w:r>
          </w:p>
        </w:tc>
        <w:tc>
          <w:tcPr>
            <w:tcW w:w="1396" w:type="dxa"/>
            <w:tcBorders>
              <w:top w:val="nil"/>
              <w:left w:val="nil"/>
              <w:bottom w:val="single" w:sz="4" w:space="0" w:color="auto"/>
              <w:right w:val="single" w:sz="4" w:space="0" w:color="auto"/>
            </w:tcBorders>
            <w:vAlign w:val="center"/>
            <w:hideMark/>
          </w:tcPr>
          <w:p w14:paraId="5A8441C2"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£1.61</w:t>
            </w:r>
          </w:p>
        </w:tc>
        <w:tc>
          <w:tcPr>
            <w:tcW w:w="1396" w:type="dxa"/>
            <w:tcBorders>
              <w:top w:val="nil"/>
              <w:left w:val="nil"/>
              <w:bottom w:val="single" w:sz="4" w:space="0" w:color="auto"/>
              <w:right w:val="single" w:sz="4" w:space="0" w:color="auto"/>
            </w:tcBorders>
            <w:vAlign w:val="center"/>
            <w:hideMark/>
          </w:tcPr>
          <w:p w14:paraId="1EDB971B"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£1.53</w:t>
            </w:r>
          </w:p>
        </w:tc>
      </w:tr>
      <w:tr w:rsidR="00D461BC" w:rsidRPr="009E2403" w14:paraId="4B0E70B4" w14:textId="77777777" w:rsidTr="00FC43F6">
        <w:trPr>
          <w:trHeight w:val="519"/>
          <w:jc w:val="center"/>
        </w:trPr>
        <w:tc>
          <w:tcPr>
            <w:tcW w:w="1788" w:type="dxa"/>
            <w:vMerge/>
            <w:tcBorders>
              <w:top w:val="nil"/>
              <w:left w:val="single" w:sz="4" w:space="0" w:color="auto"/>
              <w:bottom w:val="double" w:sz="6" w:space="0" w:color="000000"/>
              <w:right w:val="single" w:sz="4" w:space="0" w:color="auto"/>
            </w:tcBorders>
            <w:vAlign w:val="center"/>
            <w:hideMark/>
          </w:tcPr>
          <w:p w14:paraId="6F9F465A" w14:textId="77777777" w:rsidR="00D461BC" w:rsidRPr="009E2403" w:rsidRDefault="00D461BC" w:rsidP="00D461BC">
            <w:pPr>
              <w:spacing w:after="0" w:line="240" w:lineRule="auto"/>
              <w:rPr>
                <w:rFonts w:ascii="Arial" w:eastAsia="Times New Roman" w:hAnsi="Arial" w:cs="Arial"/>
                <w:sz w:val="20"/>
                <w:szCs w:val="20"/>
                <w:lang w:val="en-US"/>
              </w:rPr>
            </w:pPr>
          </w:p>
        </w:tc>
        <w:tc>
          <w:tcPr>
            <w:tcW w:w="1837" w:type="dxa"/>
            <w:tcBorders>
              <w:top w:val="nil"/>
              <w:left w:val="nil"/>
              <w:bottom w:val="double" w:sz="6" w:space="0" w:color="auto"/>
              <w:right w:val="single" w:sz="4" w:space="0" w:color="auto"/>
            </w:tcBorders>
            <w:vAlign w:val="center"/>
            <w:hideMark/>
          </w:tcPr>
          <w:p w14:paraId="4C5AD77E"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Quick Ratio</w:t>
            </w:r>
          </w:p>
        </w:tc>
        <w:tc>
          <w:tcPr>
            <w:tcW w:w="1396" w:type="dxa"/>
            <w:tcBorders>
              <w:top w:val="nil"/>
              <w:left w:val="nil"/>
              <w:bottom w:val="double" w:sz="6" w:space="0" w:color="auto"/>
              <w:right w:val="single" w:sz="4" w:space="0" w:color="auto"/>
            </w:tcBorders>
            <w:vAlign w:val="center"/>
            <w:hideMark/>
          </w:tcPr>
          <w:p w14:paraId="5409CCB9"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-£1.15</w:t>
            </w:r>
          </w:p>
        </w:tc>
        <w:tc>
          <w:tcPr>
            <w:tcW w:w="1396" w:type="dxa"/>
            <w:tcBorders>
              <w:top w:val="nil"/>
              <w:left w:val="nil"/>
              <w:bottom w:val="double" w:sz="6" w:space="0" w:color="auto"/>
              <w:right w:val="single" w:sz="4" w:space="0" w:color="auto"/>
            </w:tcBorders>
            <w:vAlign w:val="center"/>
            <w:hideMark/>
          </w:tcPr>
          <w:p w14:paraId="16FFA7C8"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-£0.93</w:t>
            </w:r>
          </w:p>
        </w:tc>
        <w:tc>
          <w:tcPr>
            <w:tcW w:w="1402" w:type="dxa"/>
            <w:tcBorders>
              <w:top w:val="nil"/>
              <w:left w:val="nil"/>
              <w:bottom w:val="double" w:sz="6" w:space="0" w:color="auto"/>
              <w:right w:val="single" w:sz="4" w:space="0" w:color="auto"/>
            </w:tcBorders>
            <w:vAlign w:val="center"/>
            <w:hideMark/>
          </w:tcPr>
          <w:p w14:paraId="68D45D93"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-£0.91</w:t>
            </w:r>
          </w:p>
        </w:tc>
        <w:tc>
          <w:tcPr>
            <w:tcW w:w="1396" w:type="dxa"/>
            <w:tcBorders>
              <w:top w:val="nil"/>
              <w:left w:val="nil"/>
              <w:bottom w:val="double" w:sz="6" w:space="0" w:color="auto"/>
              <w:right w:val="single" w:sz="4" w:space="0" w:color="auto"/>
            </w:tcBorders>
            <w:vAlign w:val="center"/>
            <w:hideMark/>
          </w:tcPr>
          <w:p w14:paraId="3616B9E7"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-£1.06</w:t>
            </w:r>
          </w:p>
        </w:tc>
        <w:tc>
          <w:tcPr>
            <w:tcW w:w="1396" w:type="dxa"/>
            <w:tcBorders>
              <w:top w:val="nil"/>
              <w:left w:val="nil"/>
              <w:bottom w:val="double" w:sz="6" w:space="0" w:color="auto"/>
              <w:right w:val="single" w:sz="4" w:space="0" w:color="auto"/>
            </w:tcBorders>
            <w:vAlign w:val="center"/>
            <w:hideMark/>
          </w:tcPr>
          <w:p w14:paraId="20E6A32B"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-£1.03</w:t>
            </w:r>
          </w:p>
        </w:tc>
      </w:tr>
      <w:tr w:rsidR="00D461BC" w:rsidRPr="009E2403" w14:paraId="7743A28C" w14:textId="77777777" w:rsidTr="00FC43F6">
        <w:trPr>
          <w:trHeight w:val="312"/>
          <w:jc w:val="center"/>
        </w:trPr>
        <w:tc>
          <w:tcPr>
            <w:tcW w:w="1788" w:type="dxa"/>
            <w:tcBorders>
              <w:top w:val="nil"/>
              <w:left w:val="nil"/>
              <w:bottom w:val="nil"/>
              <w:right w:val="nil"/>
            </w:tcBorders>
            <w:noWrap/>
            <w:vAlign w:val="bottom"/>
            <w:hideMark/>
          </w:tcPr>
          <w:p w14:paraId="04067931"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837" w:type="dxa"/>
            <w:tcBorders>
              <w:top w:val="nil"/>
              <w:left w:val="nil"/>
              <w:bottom w:val="nil"/>
              <w:right w:val="nil"/>
            </w:tcBorders>
            <w:noWrap/>
            <w:vAlign w:val="bottom"/>
            <w:hideMark/>
          </w:tcPr>
          <w:p w14:paraId="07641170"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24FDB7DA"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3482E895"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402" w:type="dxa"/>
            <w:tcBorders>
              <w:top w:val="nil"/>
              <w:left w:val="nil"/>
              <w:bottom w:val="nil"/>
              <w:right w:val="nil"/>
            </w:tcBorders>
            <w:noWrap/>
            <w:vAlign w:val="bottom"/>
            <w:hideMark/>
          </w:tcPr>
          <w:p w14:paraId="1D21736C"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2755C12A"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1FE03450"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r>
      <w:tr w:rsidR="00D461BC" w:rsidRPr="009E2403" w14:paraId="64D155D6" w14:textId="77777777" w:rsidTr="00FC43F6">
        <w:trPr>
          <w:trHeight w:val="312"/>
          <w:jc w:val="center"/>
        </w:trPr>
        <w:tc>
          <w:tcPr>
            <w:tcW w:w="1788" w:type="dxa"/>
            <w:tcBorders>
              <w:top w:val="single" w:sz="4" w:space="0" w:color="auto"/>
              <w:left w:val="single" w:sz="4" w:space="0" w:color="auto"/>
              <w:bottom w:val="double" w:sz="6" w:space="0" w:color="auto"/>
              <w:right w:val="single" w:sz="4" w:space="0" w:color="auto"/>
            </w:tcBorders>
            <w:vAlign w:val="center"/>
            <w:hideMark/>
          </w:tcPr>
          <w:p w14:paraId="78BFCB9E"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S.No</w:t>
            </w:r>
          </w:p>
        </w:tc>
        <w:tc>
          <w:tcPr>
            <w:tcW w:w="1837" w:type="dxa"/>
            <w:tcBorders>
              <w:top w:val="single" w:sz="4" w:space="0" w:color="auto"/>
              <w:left w:val="nil"/>
              <w:bottom w:val="double" w:sz="6" w:space="0" w:color="auto"/>
              <w:right w:val="single" w:sz="4" w:space="0" w:color="auto"/>
            </w:tcBorders>
            <w:vAlign w:val="center"/>
            <w:hideMark/>
          </w:tcPr>
          <w:p w14:paraId="70F368DA"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Ratio</w:t>
            </w:r>
          </w:p>
        </w:tc>
        <w:tc>
          <w:tcPr>
            <w:tcW w:w="1396" w:type="dxa"/>
            <w:tcBorders>
              <w:top w:val="single" w:sz="4" w:space="0" w:color="auto"/>
              <w:left w:val="nil"/>
              <w:bottom w:val="double" w:sz="6" w:space="0" w:color="auto"/>
              <w:right w:val="single" w:sz="4" w:space="0" w:color="auto"/>
            </w:tcBorders>
            <w:vAlign w:val="center"/>
            <w:hideMark/>
          </w:tcPr>
          <w:p w14:paraId="450A6829"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2020</w:t>
            </w:r>
          </w:p>
        </w:tc>
        <w:tc>
          <w:tcPr>
            <w:tcW w:w="1396" w:type="dxa"/>
            <w:tcBorders>
              <w:top w:val="single" w:sz="4" w:space="0" w:color="auto"/>
              <w:left w:val="nil"/>
              <w:bottom w:val="double" w:sz="6" w:space="0" w:color="auto"/>
              <w:right w:val="single" w:sz="4" w:space="0" w:color="auto"/>
            </w:tcBorders>
            <w:vAlign w:val="center"/>
            <w:hideMark/>
          </w:tcPr>
          <w:p w14:paraId="3B4AB533"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2021</w:t>
            </w:r>
          </w:p>
        </w:tc>
        <w:tc>
          <w:tcPr>
            <w:tcW w:w="1402" w:type="dxa"/>
            <w:tcBorders>
              <w:top w:val="single" w:sz="4" w:space="0" w:color="auto"/>
              <w:left w:val="nil"/>
              <w:bottom w:val="double" w:sz="6" w:space="0" w:color="auto"/>
              <w:right w:val="single" w:sz="4" w:space="0" w:color="auto"/>
            </w:tcBorders>
            <w:vAlign w:val="center"/>
            <w:hideMark/>
          </w:tcPr>
          <w:p w14:paraId="3C164A3B"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2022</w:t>
            </w:r>
          </w:p>
        </w:tc>
        <w:tc>
          <w:tcPr>
            <w:tcW w:w="1396" w:type="dxa"/>
            <w:tcBorders>
              <w:top w:val="single" w:sz="4" w:space="0" w:color="auto"/>
              <w:left w:val="nil"/>
              <w:bottom w:val="double" w:sz="6" w:space="0" w:color="auto"/>
              <w:right w:val="single" w:sz="4" w:space="0" w:color="auto"/>
            </w:tcBorders>
            <w:vAlign w:val="center"/>
            <w:hideMark/>
          </w:tcPr>
          <w:p w14:paraId="3E2A9812"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2023</w:t>
            </w:r>
          </w:p>
        </w:tc>
        <w:tc>
          <w:tcPr>
            <w:tcW w:w="1396" w:type="dxa"/>
            <w:tcBorders>
              <w:top w:val="single" w:sz="4" w:space="0" w:color="auto"/>
              <w:left w:val="nil"/>
              <w:bottom w:val="double" w:sz="6" w:space="0" w:color="auto"/>
              <w:right w:val="single" w:sz="4" w:space="0" w:color="auto"/>
            </w:tcBorders>
            <w:vAlign w:val="center"/>
            <w:hideMark/>
          </w:tcPr>
          <w:p w14:paraId="0318ADD4"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2024</w:t>
            </w:r>
          </w:p>
        </w:tc>
      </w:tr>
      <w:tr w:rsidR="00D461BC" w:rsidRPr="009E2403" w14:paraId="282DD45C" w14:textId="77777777" w:rsidTr="00DE0008">
        <w:trPr>
          <w:trHeight w:hRule="exact" w:val="720"/>
          <w:jc w:val="center"/>
        </w:trPr>
        <w:tc>
          <w:tcPr>
            <w:tcW w:w="1788" w:type="dxa"/>
            <w:vMerge w:val="restart"/>
            <w:tcBorders>
              <w:top w:val="nil"/>
              <w:left w:val="single" w:sz="4" w:space="0" w:color="auto"/>
              <w:bottom w:val="double" w:sz="6" w:space="0" w:color="000000"/>
              <w:right w:val="single" w:sz="4" w:space="0" w:color="auto"/>
            </w:tcBorders>
            <w:vAlign w:val="center"/>
            <w:hideMark/>
          </w:tcPr>
          <w:p w14:paraId="4DD6D8F2" w14:textId="77777777" w:rsidR="00D461BC" w:rsidRPr="009E2403" w:rsidRDefault="00D461BC" w:rsidP="00D461BC">
            <w:pPr>
              <w:spacing w:after="0" w:line="240" w:lineRule="auto"/>
              <w:jc w:val="center"/>
              <w:rPr>
                <w:rFonts w:ascii="Arial" w:eastAsia="Times New Roman" w:hAnsi="Arial" w:cs="Arial"/>
                <w:sz w:val="20"/>
                <w:szCs w:val="20"/>
                <w:lang w:val="en-US"/>
              </w:rPr>
            </w:pPr>
            <w:r w:rsidRPr="009E2403">
              <w:rPr>
                <w:rFonts w:ascii="Arial" w:eastAsia="Times New Roman" w:hAnsi="Arial" w:cs="Arial"/>
                <w:sz w:val="20"/>
                <w:szCs w:val="20"/>
                <w:lang w:val="en-US"/>
              </w:rPr>
              <w:t>Efficiency Ratios</w:t>
            </w:r>
          </w:p>
        </w:tc>
        <w:tc>
          <w:tcPr>
            <w:tcW w:w="1837" w:type="dxa"/>
            <w:tcBorders>
              <w:top w:val="nil"/>
              <w:left w:val="nil"/>
              <w:bottom w:val="single" w:sz="4" w:space="0" w:color="auto"/>
              <w:right w:val="single" w:sz="4" w:space="0" w:color="auto"/>
            </w:tcBorders>
            <w:vAlign w:val="center"/>
            <w:hideMark/>
          </w:tcPr>
          <w:p w14:paraId="464DA377"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Assets Turnover Ratio</w:t>
            </w:r>
          </w:p>
        </w:tc>
        <w:tc>
          <w:tcPr>
            <w:tcW w:w="1396" w:type="dxa"/>
            <w:tcBorders>
              <w:top w:val="nil"/>
              <w:left w:val="nil"/>
              <w:bottom w:val="single" w:sz="4" w:space="0" w:color="auto"/>
              <w:right w:val="single" w:sz="4" w:space="0" w:color="auto"/>
            </w:tcBorders>
            <w:vAlign w:val="center"/>
            <w:hideMark/>
          </w:tcPr>
          <w:p w14:paraId="2B84E71F"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£3.42</w:t>
            </w:r>
          </w:p>
        </w:tc>
        <w:tc>
          <w:tcPr>
            <w:tcW w:w="1396" w:type="dxa"/>
            <w:tcBorders>
              <w:top w:val="nil"/>
              <w:left w:val="nil"/>
              <w:bottom w:val="single" w:sz="4" w:space="0" w:color="auto"/>
              <w:right w:val="single" w:sz="4" w:space="0" w:color="auto"/>
            </w:tcBorders>
            <w:vAlign w:val="center"/>
            <w:hideMark/>
          </w:tcPr>
          <w:p w14:paraId="24A35067"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£2.78</w:t>
            </w:r>
          </w:p>
        </w:tc>
        <w:tc>
          <w:tcPr>
            <w:tcW w:w="1402" w:type="dxa"/>
            <w:tcBorders>
              <w:top w:val="nil"/>
              <w:left w:val="nil"/>
              <w:bottom w:val="single" w:sz="4" w:space="0" w:color="auto"/>
              <w:right w:val="single" w:sz="4" w:space="0" w:color="auto"/>
            </w:tcBorders>
            <w:vAlign w:val="center"/>
            <w:hideMark/>
          </w:tcPr>
          <w:p w14:paraId="2850457A"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£2.51</w:t>
            </w:r>
          </w:p>
        </w:tc>
        <w:tc>
          <w:tcPr>
            <w:tcW w:w="1396" w:type="dxa"/>
            <w:tcBorders>
              <w:top w:val="nil"/>
              <w:left w:val="nil"/>
              <w:bottom w:val="single" w:sz="4" w:space="0" w:color="auto"/>
              <w:right w:val="single" w:sz="4" w:space="0" w:color="auto"/>
            </w:tcBorders>
            <w:vAlign w:val="center"/>
            <w:hideMark/>
          </w:tcPr>
          <w:p w14:paraId="2A862CCB"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£2.61</w:t>
            </w:r>
          </w:p>
        </w:tc>
        <w:tc>
          <w:tcPr>
            <w:tcW w:w="1396" w:type="dxa"/>
            <w:tcBorders>
              <w:top w:val="nil"/>
              <w:left w:val="nil"/>
              <w:bottom w:val="single" w:sz="4" w:space="0" w:color="auto"/>
              <w:right w:val="single" w:sz="4" w:space="0" w:color="auto"/>
            </w:tcBorders>
            <w:vAlign w:val="center"/>
            <w:hideMark/>
          </w:tcPr>
          <w:p w14:paraId="7871288E"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£2.49</w:t>
            </w:r>
          </w:p>
        </w:tc>
      </w:tr>
      <w:tr w:rsidR="00D461BC" w:rsidRPr="009E2403" w14:paraId="54F6ABDD" w14:textId="77777777" w:rsidTr="00DE0008">
        <w:trPr>
          <w:trHeight w:hRule="exact" w:val="810"/>
          <w:jc w:val="center"/>
        </w:trPr>
        <w:tc>
          <w:tcPr>
            <w:tcW w:w="1788" w:type="dxa"/>
            <w:vMerge/>
            <w:tcBorders>
              <w:top w:val="nil"/>
              <w:left w:val="single" w:sz="4" w:space="0" w:color="auto"/>
              <w:bottom w:val="double" w:sz="6" w:space="0" w:color="000000"/>
              <w:right w:val="single" w:sz="4" w:space="0" w:color="auto"/>
            </w:tcBorders>
            <w:vAlign w:val="center"/>
            <w:hideMark/>
          </w:tcPr>
          <w:p w14:paraId="0138A22C" w14:textId="77777777" w:rsidR="00D461BC" w:rsidRPr="009E2403" w:rsidRDefault="00D461BC" w:rsidP="00D461BC">
            <w:pPr>
              <w:spacing w:after="0" w:line="240" w:lineRule="auto"/>
              <w:rPr>
                <w:rFonts w:ascii="Arial" w:eastAsia="Times New Roman" w:hAnsi="Arial" w:cs="Arial"/>
                <w:sz w:val="20"/>
                <w:szCs w:val="20"/>
                <w:lang w:val="en-US"/>
              </w:rPr>
            </w:pPr>
          </w:p>
        </w:tc>
        <w:tc>
          <w:tcPr>
            <w:tcW w:w="1837" w:type="dxa"/>
            <w:tcBorders>
              <w:top w:val="nil"/>
              <w:left w:val="nil"/>
              <w:bottom w:val="single" w:sz="4" w:space="0" w:color="auto"/>
              <w:right w:val="single" w:sz="4" w:space="0" w:color="auto"/>
            </w:tcBorders>
            <w:vAlign w:val="center"/>
            <w:hideMark/>
          </w:tcPr>
          <w:p w14:paraId="74B20FCE"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Stock Holding Period</w:t>
            </w:r>
          </w:p>
        </w:tc>
        <w:tc>
          <w:tcPr>
            <w:tcW w:w="1396" w:type="dxa"/>
            <w:tcBorders>
              <w:top w:val="nil"/>
              <w:left w:val="nil"/>
              <w:bottom w:val="single" w:sz="4" w:space="0" w:color="auto"/>
              <w:right w:val="single" w:sz="4" w:space="0" w:color="auto"/>
            </w:tcBorders>
            <w:vAlign w:val="center"/>
            <w:hideMark/>
          </w:tcPr>
          <w:p w14:paraId="6E1536EA"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100</w:t>
            </w:r>
          </w:p>
        </w:tc>
        <w:tc>
          <w:tcPr>
            <w:tcW w:w="1396" w:type="dxa"/>
            <w:tcBorders>
              <w:top w:val="nil"/>
              <w:left w:val="nil"/>
              <w:bottom w:val="single" w:sz="4" w:space="0" w:color="auto"/>
              <w:right w:val="single" w:sz="4" w:space="0" w:color="auto"/>
            </w:tcBorders>
            <w:vAlign w:val="center"/>
            <w:hideMark/>
          </w:tcPr>
          <w:p w14:paraId="3EE89596"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115</w:t>
            </w:r>
          </w:p>
        </w:tc>
        <w:tc>
          <w:tcPr>
            <w:tcW w:w="1402" w:type="dxa"/>
            <w:tcBorders>
              <w:top w:val="nil"/>
              <w:left w:val="nil"/>
              <w:bottom w:val="single" w:sz="4" w:space="0" w:color="auto"/>
              <w:right w:val="single" w:sz="4" w:space="0" w:color="auto"/>
            </w:tcBorders>
            <w:vAlign w:val="center"/>
            <w:hideMark/>
          </w:tcPr>
          <w:p w14:paraId="7BBF6897"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131</w:t>
            </w:r>
          </w:p>
        </w:tc>
        <w:tc>
          <w:tcPr>
            <w:tcW w:w="1396" w:type="dxa"/>
            <w:tcBorders>
              <w:top w:val="nil"/>
              <w:left w:val="nil"/>
              <w:bottom w:val="single" w:sz="4" w:space="0" w:color="auto"/>
              <w:right w:val="single" w:sz="4" w:space="0" w:color="auto"/>
            </w:tcBorders>
            <w:vAlign w:val="center"/>
            <w:hideMark/>
          </w:tcPr>
          <w:p w14:paraId="791C6588"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100</w:t>
            </w:r>
          </w:p>
        </w:tc>
        <w:tc>
          <w:tcPr>
            <w:tcW w:w="1396" w:type="dxa"/>
            <w:tcBorders>
              <w:top w:val="nil"/>
              <w:left w:val="nil"/>
              <w:bottom w:val="single" w:sz="4" w:space="0" w:color="auto"/>
              <w:right w:val="single" w:sz="4" w:space="0" w:color="auto"/>
            </w:tcBorders>
            <w:vAlign w:val="center"/>
            <w:hideMark/>
          </w:tcPr>
          <w:p w14:paraId="51701C33"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103</w:t>
            </w:r>
          </w:p>
        </w:tc>
      </w:tr>
      <w:tr w:rsidR="00D461BC" w:rsidRPr="009E2403" w14:paraId="00DE0D73" w14:textId="77777777" w:rsidTr="00DE0008">
        <w:trPr>
          <w:trHeight w:hRule="exact" w:val="1260"/>
          <w:jc w:val="center"/>
        </w:trPr>
        <w:tc>
          <w:tcPr>
            <w:tcW w:w="1788" w:type="dxa"/>
            <w:vMerge/>
            <w:tcBorders>
              <w:top w:val="nil"/>
              <w:left w:val="single" w:sz="4" w:space="0" w:color="auto"/>
              <w:bottom w:val="double" w:sz="6" w:space="0" w:color="000000"/>
              <w:right w:val="single" w:sz="4" w:space="0" w:color="auto"/>
            </w:tcBorders>
            <w:vAlign w:val="center"/>
            <w:hideMark/>
          </w:tcPr>
          <w:p w14:paraId="162C273D" w14:textId="77777777" w:rsidR="00D461BC" w:rsidRPr="009E2403" w:rsidRDefault="00D461BC" w:rsidP="00D461BC">
            <w:pPr>
              <w:spacing w:after="0" w:line="240" w:lineRule="auto"/>
              <w:rPr>
                <w:rFonts w:ascii="Arial" w:eastAsia="Times New Roman" w:hAnsi="Arial" w:cs="Arial"/>
                <w:sz w:val="20"/>
                <w:szCs w:val="20"/>
                <w:lang w:val="en-US"/>
              </w:rPr>
            </w:pPr>
          </w:p>
        </w:tc>
        <w:tc>
          <w:tcPr>
            <w:tcW w:w="1837" w:type="dxa"/>
            <w:tcBorders>
              <w:top w:val="nil"/>
              <w:left w:val="nil"/>
              <w:bottom w:val="single" w:sz="4" w:space="0" w:color="auto"/>
              <w:right w:val="single" w:sz="4" w:space="0" w:color="auto"/>
            </w:tcBorders>
            <w:vAlign w:val="center"/>
            <w:hideMark/>
          </w:tcPr>
          <w:p w14:paraId="36E9FC7E"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Average settlement period for receivables</w:t>
            </w:r>
          </w:p>
        </w:tc>
        <w:tc>
          <w:tcPr>
            <w:tcW w:w="1396" w:type="dxa"/>
            <w:tcBorders>
              <w:top w:val="nil"/>
              <w:left w:val="nil"/>
              <w:bottom w:val="single" w:sz="4" w:space="0" w:color="auto"/>
              <w:right w:val="single" w:sz="4" w:space="0" w:color="auto"/>
            </w:tcBorders>
            <w:vAlign w:val="center"/>
            <w:hideMark/>
          </w:tcPr>
          <w:p w14:paraId="4988437E"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-77</w:t>
            </w:r>
          </w:p>
        </w:tc>
        <w:tc>
          <w:tcPr>
            <w:tcW w:w="1396" w:type="dxa"/>
            <w:tcBorders>
              <w:top w:val="nil"/>
              <w:left w:val="nil"/>
              <w:bottom w:val="single" w:sz="4" w:space="0" w:color="auto"/>
              <w:right w:val="single" w:sz="4" w:space="0" w:color="auto"/>
            </w:tcBorders>
            <w:vAlign w:val="center"/>
            <w:hideMark/>
          </w:tcPr>
          <w:p w14:paraId="0B920AD3"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-78</w:t>
            </w:r>
          </w:p>
        </w:tc>
        <w:tc>
          <w:tcPr>
            <w:tcW w:w="1402" w:type="dxa"/>
            <w:tcBorders>
              <w:top w:val="nil"/>
              <w:left w:val="nil"/>
              <w:bottom w:val="single" w:sz="4" w:space="0" w:color="auto"/>
              <w:right w:val="single" w:sz="4" w:space="0" w:color="auto"/>
            </w:tcBorders>
            <w:vAlign w:val="center"/>
            <w:hideMark/>
          </w:tcPr>
          <w:p w14:paraId="7CB5F027"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-76</w:t>
            </w:r>
          </w:p>
        </w:tc>
        <w:tc>
          <w:tcPr>
            <w:tcW w:w="1396" w:type="dxa"/>
            <w:tcBorders>
              <w:top w:val="nil"/>
              <w:left w:val="nil"/>
              <w:bottom w:val="single" w:sz="4" w:space="0" w:color="auto"/>
              <w:right w:val="single" w:sz="4" w:space="0" w:color="auto"/>
            </w:tcBorders>
            <w:vAlign w:val="center"/>
            <w:hideMark/>
          </w:tcPr>
          <w:p w14:paraId="6ACB0E83"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-98</w:t>
            </w:r>
          </w:p>
        </w:tc>
        <w:tc>
          <w:tcPr>
            <w:tcW w:w="1396" w:type="dxa"/>
            <w:tcBorders>
              <w:top w:val="nil"/>
              <w:left w:val="nil"/>
              <w:bottom w:val="single" w:sz="4" w:space="0" w:color="auto"/>
              <w:right w:val="single" w:sz="4" w:space="0" w:color="auto"/>
            </w:tcBorders>
            <w:vAlign w:val="center"/>
            <w:hideMark/>
          </w:tcPr>
          <w:p w14:paraId="0AF8ABA8"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-106</w:t>
            </w:r>
          </w:p>
        </w:tc>
      </w:tr>
      <w:tr w:rsidR="00D461BC" w:rsidRPr="009E2403" w14:paraId="540D1843" w14:textId="77777777" w:rsidTr="00FC43F6">
        <w:trPr>
          <w:trHeight w:val="771"/>
          <w:jc w:val="center"/>
        </w:trPr>
        <w:tc>
          <w:tcPr>
            <w:tcW w:w="1788" w:type="dxa"/>
            <w:vMerge/>
            <w:tcBorders>
              <w:top w:val="nil"/>
              <w:left w:val="single" w:sz="4" w:space="0" w:color="auto"/>
              <w:bottom w:val="double" w:sz="6" w:space="0" w:color="000000"/>
              <w:right w:val="single" w:sz="4" w:space="0" w:color="auto"/>
            </w:tcBorders>
            <w:vAlign w:val="center"/>
            <w:hideMark/>
          </w:tcPr>
          <w:p w14:paraId="61B697D8" w14:textId="77777777" w:rsidR="00D461BC" w:rsidRPr="009E2403" w:rsidRDefault="00D461BC" w:rsidP="00D461BC">
            <w:pPr>
              <w:spacing w:after="0" w:line="240" w:lineRule="auto"/>
              <w:rPr>
                <w:rFonts w:ascii="Arial" w:eastAsia="Times New Roman" w:hAnsi="Arial" w:cs="Arial"/>
                <w:sz w:val="20"/>
                <w:szCs w:val="20"/>
                <w:lang w:val="en-US"/>
              </w:rPr>
            </w:pPr>
          </w:p>
        </w:tc>
        <w:tc>
          <w:tcPr>
            <w:tcW w:w="1837" w:type="dxa"/>
            <w:tcBorders>
              <w:top w:val="nil"/>
              <w:left w:val="nil"/>
              <w:bottom w:val="double" w:sz="6" w:space="0" w:color="auto"/>
              <w:right w:val="single" w:sz="4" w:space="0" w:color="auto"/>
            </w:tcBorders>
            <w:vAlign w:val="center"/>
            <w:hideMark/>
          </w:tcPr>
          <w:p w14:paraId="34EC139C"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Creditors Payment Period</w:t>
            </w:r>
          </w:p>
        </w:tc>
        <w:tc>
          <w:tcPr>
            <w:tcW w:w="1396" w:type="dxa"/>
            <w:tcBorders>
              <w:top w:val="nil"/>
              <w:left w:val="nil"/>
              <w:bottom w:val="double" w:sz="6" w:space="0" w:color="auto"/>
              <w:right w:val="single" w:sz="4" w:space="0" w:color="auto"/>
            </w:tcBorders>
            <w:vAlign w:val="center"/>
            <w:hideMark/>
          </w:tcPr>
          <w:p w14:paraId="5FB91A51"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69</w:t>
            </w:r>
          </w:p>
        </w:tc>
        <w:tc>
          <w:tcPr>
            <w:tcW w:w="1396" w:type="dxa"/>
            <w:tcBorders>
              <w:top w:val="nil"/>
              <w:left w:val="nil"/>
              <w:bottom w:val="double" w:sz="6" w:space="0" w:color="auto"/>
              <w:right w:val="single" w:sz="4" w:space="0" w:color="auto"/>
            </w:tcBorders>
            <w:vAlign w:val="center"/>
            <w:hideMark/>
          </w:tcPr>
          <w:p w14:paraId="5B337CAD"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79</w:t>
            </w:r>
          </w:p>
        </w:tc>
        <w:tc>
          <w:tcPr>
            <w:tcW w:w="1402" w:type="dxa"/>
            <w:tcBorders>
              <w:top w:val="nil"/>
              <w:left w:val="nil"/>
              <w:bottom w:val="double" w:sz="6" w:space="0" w:color="auto"/>
              <w:right w:val="single" w:sz="4" w:space="0" w:color="auto"/>
            </w:tcBorders>
            <w:vAlign w:val="center"/>
            <w:hideMark/>
          </w:tcPr>
          <w:p w14:paraId="6142DE39"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67</w:t>
            </w:r>
          </w:p>
        </w:tc>
        <w:tc>
          <w:tcPr>
            <w:tcW w:w="1396" w:type="dxa"/>
            <w:tcBorders>
              <w:top w:val="nil"/>
              <w:left w:val="nil"/>
              <w:bottom w:val="double" w:sz="6" w:space="0" w:color="auto"/>
              <w:right w:val="single" w:sz="4" w:space="0" w:color="auto"/>
            </w:tcBorders>
            <w:vAlign w:val="center"/>
            <w:hideMark/>
          </w:tcPr>
          <w:p w14:paraId="5D5427B1"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64</w:t>
            </w:r>
          </w:p>
        </w:tc>
        <w:tc>
          <w:tcPr>
            <w:tcW w:w="1396" w:type="dxa"/>
            <w:tcBorders>
              <w:top w:val="nil"/>
              <w:left w:val="nil"/>
              <w:bottom w:val="double" w:sz="6" w:space="0" w:color="auto"/>
              <w:right w:val="single" w:sz="4" w:space="0" w:color="auto"/>
            </w:tcBorders>
            <w:vAlign w:val="center"/>
            <w:hideMark/>
          </w:tcPr>
          <w:p w14:paraId="00839C3A"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94</w:t>
            </w:r>
          </w:p>
        </w:tc>
      </w:tr>
      <w:tr w:rsidR="00D461BC" w:rsidRPr="009E2403" w14:paraId="61AB9947" w14:textId="77777777" w:rsidTr="00FC43F6">
        <w:trPr>
          <w:trHeight w:val="312"/>
          <w:jc w:val="center"/>
        </w:trPr>
        <w:tc>
          <w:tcPr>
            <w:tcW w:w="1788" w:type="dxa"/>
            <w:tcBorders>
              <w:top w:val="nil"/>
              <w:left w:val="nil"/>
              <w:bottom w:val="nil"/>
              <w:right w:val="nil"/>
            </w:tcBorders>
            <w:noWrap/>
            <w:vAlign w:val="bottom"/>
            <w:hideMark/>
          </w:tcPr>
          <w:p w14:paraId="1568AF37"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837" w:type="dxa"/>
            <w:tcBorders>
              <w:top w:val="nil"/>
              <w:left w:val="nil"/>
              <w:bottom w:val="nil"/>
              <w:right w:val="nil"/>
            </w:tcBorders>
            <w:noWrap/>
            <w:vAlign w:val="bottom"/>
            <w:hideMark/>
          </w:tcPr>
          <w:p w14:paraId="6C168CFF"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382BFF6F"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0AF31547"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402" w:type="dxa"/>
            <w:tcBorders>
              <w:top w:val="nil"/>
              <w:left w:val="nil"/>
              <w:bottom w:val="nil"/>
              <w:right w:val="nil"/>
            </w:tcBorders>
            <w:noWrap/>
            <w:vAlign w:val="bottom"/>
            <w:hideMark/>
          </w:tcPr>
          <w:p w14:paraId="2A83F101"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22C16D49"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noWrap/>
            <w:vAlign w:val="bottom"/>
            <w:hideMark/>
          </w:tcPr>
          <w:p w14:paraId="718A4CA7"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r>
      <w:tr w:rsidR="00D461BC" w:rsidRPr="009E2403" w14:paraId="702FD8B5" w14:textId="77777777" w:rsidTr="00FC43F6">
        <w:trPr>
          <w:trHeight w:val="312"/>
          <w:jc w:val="center"/>
        </w:trPr>
        <w:tc>
          <w:tcPr>
            <w:tcW w:w="1788" w:type="dxa"/>
            <w:tcBorders>
              <w:top w:val="single" w:sz="4" w:space="0" w:color="auto"/>
              <w:left w:val="single" w:sz="4" w:space="0" w:color="auto"/>
              <w:bottom w:val="double" w:sz="6" w:space="0" w:color="auto"/>
              <w:right w:val="single" w:sz="4" w:space="0" w:color="auto"/>
            </w:tcBorders>
            <w:vAlign w:val="center"/>
            <w:hideMark/>
          </w:tcPr>
          <w:p w14:paraId="0F242751"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S.No</w:t>
            </w:r>
          </w:p>
        </w:tc>
        <w:tc>
          <w:tcPr>
            <w:tcW w:w="1837" w:type="dxa"/>
            <w:tcBorders>
              <w:top w:val="single" w:sz="4" w:space="0" w:color="auto"/>
              <w:left w:val="nil"/>
              <w:bottom w:val="double" w:sz="6" w:space="0" w:color="auto"/>
              <w:right w:val="single" w:sz="4" w:space="0" w:color="auto"/>
            </w:tcBorders>
            <w:vAlign w:val="center"/>
            <w:hideMark/>
          </w:tcPr>
          <w:p w14:paraId="7904FED4"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Ratio</w:t>
            </w:r>
          </w:p>
        </w:tc>
        <w:tc>
          <w:tcPr>
            <w:tcW w:w="1396" w:type="dxa"/>
            <w:tcBorders>
              <w:top w:val="single" w:sz="4" w:space="0" w:color="auto"/>
              <w:left w:val="nil"/>
              <w:bottom w:val="double" w:sz="6" w:space="0" w:color="auto"/>
              <w:right w:val="single" w:sz="4" w:space="0" w:color="auto"/>
            </w:tcBorders>
            <w:vAlign w:val="center"/>
            <w:hideMark/>
          </w:tcPr>
          <w:p w14:paraId="4FB0F1E4"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2020</w:t>
            </w:r>
          </w:p>
        </w:tc>
        <w:tc>
          <w:tcPr>
            <w:tcW w:w="1396" w:type="dxa"/>
            <w:tcBorders>
              <w:top w:val="single" w:sz="4" w:space="0" w:color="auto"/>
              <w:left w:val="nil"/>
              <w:bottom w:val="double" w:sz="6" w:space="0" w:color="auto"/>
              <w:right w:val="single" w:sz="4" w:space="0" w:color="auto"/>
            </w:tcBorders>
            <w:vAlign w:val="center"/>
            <w:hideMark/>
          </w:tcPr>
          <w:p w14:paraId="523CA0CD"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2021</w:t>
            </w:r>
          </w:p>
        </w:tc>
        <w:tc>
          <w:tcPr>
            <w:tcW w:w="1402" w:type="dxa"/>
            <w:tcBorders>
              <w:top w:val="single" w:sz="4" w:space="0" w:color="auto"/>
              <w:left w:val="nil"/>
              <w:bottom w:val="double" w:sz="6" w:space="0" w:color="auto"/>
              <w:right w:val="single" w:sz="4" w:space="0" w:color="auto"/>
            </w:tcBorders>
            <w:vAlign w:val="center"/>
            <w:hideMark/>
          </w:tcPr>
          <w:p w14:paraId="7AF1C4AA"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2022</w:t>
            </w:r>
          </w:p>
        </w:tc>
        <w:tc>
          <w:tcPr>
            <w:tcW w:w="1396" w:type="dxa"/>
            <w:tcBorders>
              <w:top w:val="single" w:sz="4" w:space="0" w:color="auto"/>
              <w:left w:val="nil"/>
              <w:bottom w:val="double" w:sz="6" w:space="0" w:color="auto"/>
              <w:right w:val="single" w:sz="4" w:space="0" w:color="auto"/>
            </w:tcBorders>
            <w:vAlign w:val="center"/>
            <w:hideMark/>
          </w:tcPr>
          <w:p w14:paraId="2812B90D"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2023</w:t>
            </w:r>
          </w:p>
        </w:tc>
        <w:tc>
          <w:tcPr>
            <w:tcW w:w="1396" w:type="dxa"/>
            <w:tcBorders>
              <w:top w:val="single" w:sz="4" w:space="0" w:color="auto"/>
              <w:left w:val="nil"/>
              <w:bottom w:val="double" w:sz="6" w:space="0" w:color="auto"/>
              <w:right w:val="single" w:sz="4" w:space="0" w:color="auto"/>
            </w:tcBorders>
            <w:vAlign w:val="center"/>
            <w:hideMark/>
          </w:tcPr>
          <w:p w14:paraId="7151F4F9"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2024</w:t>
            </w:r>
          </w:p>
        </w:tc>
      </w:tr>
      <w:tr w:rsidR="00D461BC" w:rsidRPr="009E2403" w14:paraId="4324428D" w14:textId="77777777" w:rsidTr="00FC43F6">
        <w:trPr>
          <w:trHeight w:val="771"/>
          <w:jc w:val="center"/>
        </w:trPr>
        <w:tc>
          <w:tcPr>
            <w:tcW w:w="1788" w:type="dxa"/>
            <w:vMerge w:val="restart"/>
            <w:tcBorders>
              <w:top w:val="nil"/>
              <w:left w:val="single" w:sz="4" w:space="0" w:color="auto"/>
              <w:bottom w:val="double" w:sz="6" w:space="0" w:color="000000"/>
              <w:right w:val="single" w:sz="4" w:space="0" w:color="auto"/>
            </w:tcBorders>
            <w:vAlign w:val="center"/>
            <w:hideMark/>
          </w:tcPr>
          <w:p w14:paraId="7699994D" w14:textId="77777777" w:rsidR="00D461BC" w:rsidRPr="009E2403" w:rsidRDefault="00D461BC" w:rsidP="00D461BC">
            <w:pPr>
              <w:spacing w:after="0" w:line="240" w:lineRule="auto"/>
              <w:jc w:val="center"/>
              <w:rPr>
                <w:rFonts w:ascii="Arial" w:eastAsia="Times New Roman" w:hAnsi="Arial" w:cs="Arial"/>
                <w:sz w:val="20"/>
                <w:szCs w:val="20"/>
                <w:lang w:val="en-US"/>
              </w:rPr>
            </w:pPr>
            <w:r w:rsidRPr="009E2403">
              <w:rPr>
                <w:rFonts w:ascii="Arial" w:eastAsia="Times New Roman" w:hAnsi="Arial" w:cs="Arial"/>
                <w:sz w:val="20"/>
                <w:szCs w:val="20"/>
                <w:lang w:val="en-US"/>
              </w:rPr>
              <w:t>Gearing Ratios</w:t>
            </w:r>
          </w:p>
        </w:tc>
        <w:tc>
          <w:tcPr>
            <w:tcW w:w="1837" w:type="dxa"/>
            <w:tcBorders>
              <w:top w:val="nil"/>
              <w:left w:val="nil"/>
              <w:bottom w:val="single" w:sz="4" w:space="0" w:color="auto"/>
              <w:right w:val="single" w:sz="4" w:space="0" w:color="auto"/>
            </w:tcBorders>
            <w:vAlign w:val="center"/>
            <w:hideMark/>
          </w:tcPr>
          <w:p w14:paraId="7D9B216B"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Interest Coverage Ratio</w:t>
            </w:r>
          </w:p>
        </w:tc>
        <w:tc>
          <w:tcPr>
            <w:tcW w:w="1396" w:type="dxa"/>
            <w:tcBorders>
              <w:top w:val="nil"/>
              <w:left w:val="nil"/>
              <w:bottom w:val="single" w:sz="4" w:space="0" w:color="auto"/>
              <w:right w:val="single" w:sz="4" w:space="0" w:color="auto"/>
            </w:tcBorders>
            <w:vAlign w:val="center"/>
            <w:hideMark/>
          </w:tcPr>
          <w:p w14:paraId="435E0F37" w14:textId="77777777" w:rsidR="00D461BC" w:rsidRPr="009E2403" w:rsidRDefault="00D461BC" w:rsidP="00D461BC">
            <w:pPr>
              <w:spacing w:after="0" w:line="240" w:lineRule="auto"/>
              <w:jc w:val="center"/>
              <w:rPr>
                <w:rFonts w:ascii="Arial" w:eastAsia="Times New Roman" w:hAnsi="Arial" w:cs="Arial"/>
                <w:sz w:val="20"/>
                <w:szCs w:val="20"/>
                <w:lang w:val="en-US"/>
              </w:rPr>
            </w:pPr>
            <w:r w:rsidRPr="009E2403">
              <w:rPr>
                <w:rFonts w:ascii="Arial" w:eastAsia="Times New Roman" w:hAnsi="Arial" w:cs="Arial"/>
                <w:sz w:val="20"/>
                <w:szCs w:val="20"/>
                <w:lang w:val="en-US"/>
              </w:rPr>
              <w:t>-26.21</w:t>
            </w:r>
          </w:p>
        </w:tc>
        <w:tc>
          <w:tcPr>
            <w:tcW w:w="1396" w:type="dxa"/>
            <w:tcBorders>
              <w:top w:val="nil"/>
              <w:left w:val="nil"/>
              <w:bottom w:val="single" w:sz="4" w:space="0" w:color="auto"/>
              <w:right w:val="single" w:sz="4" w:space="0" w:color="auto"/>
            </w:tcBorders>
            <w:vAlign w:val="center"/>
            <w:hideMark/>
          </w:tcPr>
          <w:p w14:paraId="0A7A88E0" w14:textId="77777777" w:rsidR="00D461BC" w:rsidRPr="009E2403" w:rsidRDefault="00D461BC" w:rsidP="00D461BC">
            <w:pPr>
              <w:spacing w:after="0" w:line="240" w:lineRule="auto"/>
              <w:jc w:val="center"/>
              <w:rPr>
                <w:rFonts w:ascii="Arial" w:eastAsia="Times New Roman" w:hAnsi="Arial" w:cs="Arial"/>
                <w:sz w:val="20"/>
                <w:szCs w:val="20"/>
                <w:lang w:val="en-US"/>
              </w:rPr>
            </w:pPr>
            <w:r w:rsidRPr="009E2403">
              <w:rPr>
                <w:rFonts w:ascii="Arial" w:eastAsia="Times New Roman" w:hAnsi="Arial" w:cs="Arial"/>
                <w:sz w:val="20"/>
                <w:szCs w:val="20"/>
                <w:lang w:val="en-US"/>
              </w:rPr>
              <w:t>-41.08</w:t>
            </w:r>
          </w:p>
        </w:tc>
        <w:tc>
          <w:tcPr>
            <w:tcW w:w="1402" w:type="dxa"/>
            <w:tcBorders>
              <w:top w:val="nil"/>
              <w:left w:val="nil"/>
              <w:bottom w:val="single" w:sz="4" w:space="0" w:color="auto"/>
              <w:right w:val="single" w:sz="4" w:space="0" w:color="auto"/>
            </w:tcBorders>
            <w:vAlign w:val="center"/>
            <w:hideMark/>
          </w:tcPr>
          <w:p w14:paraId="19E1AF53" w14:textId="77777777" w:rsidR="00D461BC" w:rsidRPr="009E2403" w:rsidRDefault="00D461BC" w:rsidP="00D461BC">
            <w:pPr>
              <w:spacing w:after="0" w:line="240" w:lineRule="auto"/>
              <w:jc w:val="center"/>
              <w:rPr>
                <w:rFonts w:ascii="Arial" w:eastAsia="Times New Roman" w:hAnsi="Arial" w:cs="Arial"/>
                <w:sz w:val="20"/>
                <w:szCs w:val="20"/>
                <w:lang w:val="en-US"/>
              </w:rPr>
            </w:pPr>
            <w:r w:rsidRPr="009E2403">
              <w:rPr>
                <w:rFonts w:ascii="Arial" w:eastAsia="Times New Roman" w:hAnsi="Arial" w:cs="Arial"/>
                <w:sz w:val="20"/>
                <w:szCs w:val="20"/>
                <w:lang w:val="en-US"/>
              </w:rPr>
              <w:t>-6.61</w:t>
            </w:r>
          </w:p>
        </w:tc>
        <w:tc>
          <w:tcPr>
            <w:tcW w:w="1396" w:type="dxa"/>
            <w:tcBorders>
              <w:top w:val="nil"/>
              <w:left w:val="nil"/>
              <w:bottom w:val="single" w:sz="4" w:space="0" w:color="auto"/>
              <w:right w:val="single" w:sz="4" w:space="0" w:color="auto"/>
            </w:tcBorders>
            <w:vAlign w:val="center"/>
            <w:hideMark/>
          </w:tcPr>
          <w:p w14:paraId="020FD49A" w14:textId="77777777" w:rsidR="00D461BC" w:rsidRPr="009E2403" w:rsidRDefault="00D461BC" w:rsidP="00D461BC">
            <w:pPr>
              <w:spacing w:after="0" w:line="240" w:lineRule="auto"/>
              <w:jc w:val="center"/>
              <w:rPr>
                <w:rFonts w:ascii="Arial" w:eastAsia="Times New Roman" w:hAnsi="Arial" w:cs="Arial"/>
                <w:sz w:val="20"/>
                <w:szCs w:val="20"/>
                <w:lang w:val="en-US"/>
              </w:rPr>
            </w:pPr>
            <w:r w:rsidRPr="009E2403">
              <w:rPr>
                <w:rFonts w:ascii="Arial" w:eastAsia="Times New Roman" w:hAnsi="Arial" w:cs="Arial"/>
                <w:sz w:val="20"/>
                <w:szCs w:val="20"/>
                <w:lang w:val="en-US"/>
              </w:rPr>
              <w:t>19.69</w:t>
            </w:r>
          </w:p>
        </w:tc>
        <w:tc>
          <w:tcPr>
            <w:tcW w:w="1396" w:type="dxa"/>
            <w:tcBorders>
              <w:top w:val="nil"/>
              <w:left w:val="nil"/>
              <w:bottom w:val="single" w:sz="4" w:space="0" w:color="auto"/>
              <w:right w:val="single" w:sz="4" w:space="0" w:color="auto"/>
            </w:tcBorders>
            <w:vAlign w:val="center"/>
            <w:hideMark/>
          </w:tcPr>
          <w:p w14:paraId="345BDC6E" w14:textId="77777777" w:rsidR="00D461BC" w:rsidRPr="009E2403" w:rsidRDefault="00D461BC" w:rsidP="00D461BC">
            <w:pPr>
              <w:spacing w:after="0" w:line="240" w:lineRule="auto"/>
              <w:jc w:val="center"/>
              <w:rPr>
                <w:rFonts w:ascii="Arial" w:eastAsia="Times New Roman" w:hAnsi="Arial" w:cs="Arial"/>
                <w:sz w:val="20"/>
                <w:szCs w:val="20"/>
                <w:lang w:val="en-US"/>
              </w:rPr>
            </w:pPr>
            <w:r w:rsidRPr="009E2403">
              <w:rPr>
                <w:rFonts w:ascii="Arial" w:eastAsia="Times New Roman" w:hAnsi="Arial" w:cs="Arial"/>
                <w:sz w:val="20"/>
                <w:szCs w:val="20"/>
                <w:lang w:val="en-US"/>
              </w:rPr>
              <w:t>4.55</w:t>
            </w:r>
          </w:p>
        </w:tc>
      </w:tr>
      <w:tr w:rsidR="00D461BC" w:rsidRPr="009E2403" w14:paraId="6A0F77B8" w14:textId="77777777" w:rsidTr="00DE0008">
        <w:trPr>
          <w:trHeight w:hRule="exact" w:val="468"/>
          <w:jc w:val="center"/>
        </w:trPr>
        <w:tc>
          <w:tcPr>
            <w:tcW w:w="1788" w:type="dxa"/>
            <w:vMerge/>
            <w:tcBorders>
              <w:top w:val="nil"/>
              <w:left w:val="single" w:sz="4" w:space="0" w:color="auto"/>
              <w:bottom w:val="double" w:sz="6" w:space="0" w:color="000000"/>
              <w:right w:val="single" w:sz="4" w:space="0" w:color="auto"/>
            </w:tcBorders>
            <w:vAlign w:val="center"/>
            <w:hideMark/>
          </w:tcPr>
          <w:p w14:paraId="6119FCDA" w14:textId="77777777" w:rsidR="00D461BC" w:rsidRPr="009E2403" w:rsidRDefault="00D461BC" w:rsidP="00D461BC">
            <w:pPr>
              <w:spacing w:after="0" w:line="240" w:lineRule="auto"/>
              <w:rPr>
                <w:rFonts w:ascii="Arial" w:eastAsia="Times New Roman" w:hAnsi="Arial" w:cs="Arial"/>
                <w:sz w:val="20"/>
                <w:szCs w:val="20"/>
                <w:lang w:val="en-US"/>
              </w:rPr>
            </w:pPr>
          </w:p>
        </w:tc>
        <w:tc>
          <w:tcPr>
            <w:tcW w:w="1837" w:type="dxa"/>
            <w:tcBorders>
              <w:top w:val="nil"/>
              <w:left w:val="nil"/>
              <w:bottom w:val="double" w:sz="6" w:space="0" w:color="auto"/>
              <w:right w:val="single" w:sz="4" w:space="0" w:color="auto"/>
            </w:tcBorders>
            <w:vAlign w:val="center"/>
            <w:hideMark/>
          </w:tcPr>
          <w:p w14:paraId="3D062B09"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Gearing Ratio</w:t>
            </w:r>
          </w:p>
        </w:tc>
        <w:tc>
          <w:tcPr>
            <w:tcW w:w="1396" w:type="dxa"/>
            <w:tcBorders>
              <w:top w:val="nil"/>
              <w:left w:val="nil"/>
              <w:bottom w:val="double" w:sz="6" w:space="0" w:color="auto"/>
              <w:right w:val="single" w:sz="4" w:space="0" w:color="auto"/>
            </w:tcBorders>
            <w:vAlign w:val="center"/>
            <w:hideMark/>
          </w:tcPr>
          <w:p w14:paraId="30ADCB11"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w:t>
            </w:r>
          </w:p>
        </w:tc>
        <w:tc>
          <w:tcPr>
            <w:tcW w:w="1396" w:type="dxa"/>
            <w:tcBorders>
              <w:top w:val="nil"/>
              <w:left w:val="nil"/>
              <w:bottom w:val="double" w:sz="6" w:space="0" w:color="auto"/>
              <w:right w:val="single" w:sz="4" w:space="0" w:color="auto"/>
            </w:tcBorders>
            <w:vAlign w:val="center"/>
            <w:hideMark/>
          </w:tcPr>
          <w:p w14:paraId="16541A01"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w:t>
            </w:r>
          </w:p>
        </w:tc>
        <w:tc>
          <w:tcPr>
            <w:tcW w:w="1402" w:type="dxa"/>
            <w:tcBorders>
              <w:top w:val="nil"/>
              <w:left w:val="nil"/>
              <w:bottom w:val="double" w:sz="6" w:space="0" w:color="auto"/>
              <w:right w:val="single" w:sz="4" w:space="0" w:color="auto"/>
            </w:tcBorders>
            <w:vAlign w:val="center"/>
            <w:hideMark/>
          </w:tcPr>
          <w:p w14:paraId="33764F23"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4%</w:t>
            </w:r>
          </w:p>
        </w:tc>
        <w:tc>
          <w:tcPr>
            <w:tcW w:w="1396" w:type="dxa"/>
            <w:tcBorders>
              <w:top w:val="nil"/>
              <w:left w:val="nil"/>
              <w:bottom w:val="double" w:sz="6" w:space="0" w:color="auto"/>
              <w:right w:val="single" w:sz="4" w:space="0" w:color="auto"/>
            </w:tcBorders>
            <w:vAlign w:val="center"/>
            <w:hideMark/>
          </w:tcPr>
          <w:p w14:paraId="5CC6C316"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4%</w:t>
            </w:r>
          </w:p>
        </w:tc>
        <w:tc>
          <w:tcPr>
            <w:tcW w:w="1396" w:type="dxa"/>
            <w:tcBorders>
              <w:top w:val="nil"/>
              <w:left w:val="nil"/>
              <w:bottom w:val="double" w:sz="6" w:space="0" w:color="auto"/>
              <w:right w:val="single" w:sz="4" w:space="0" w:color="auto"/>
            </w:tcBorders>
            <w:vAlign w:val="center"/>
            <w:hideMark/>
          </w:tcPr>
          <w:p w14:paraId="503706DF"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4%</w:t>
            </w:r>
          </w:p>
        </w:tc>
      </w:tr>
      <w:tr w:rsidR="00D461BC" w:rsidRPr="009E2403" w14:paraId="34AB1FC1" w14:textId="77777777" w:rsidTr="00FC43F6">
        <w:trPr>
          <w:trHeight w:val="312"/>
          <w:jc w:val="center"/>
        </w:trPr>
        <w:tc>
          <w:tcPr>
            <w:tcW w:w="1788" w:type="dxa"/>
            <w:tcBorders>
              <w:top w:val="nil"/>
              <w:left w:val="nil"/>
              <w:bottom w:val="nil"/>
              <w:right w:val="nil"/>
            </w:tcBorders>
            <w:vAlign w:val="center"/>
            <w:hideMark/>
          </w:tcPr>
          <w:p w14:paraId="6E70BE75" w14:textId="77777777" w:rsidR="00D461BC" w:rsidRPr="009E2403" w:rsidRDefault="00D461BC" w:rsidP="00D461BC">
            <w:pPr>
              <w:spacing w:after="0" w:line="240" w:lineRule="auto"/>
              <w:jc w:val="center"/>
              <w:rPr>
                <w:rFonts w:ascii="Arial" w:eastAsia="Times New Roman" w:hAnsi="Arial" w:cs="Arial"/>
                <w:color w:val="434343"/>
                <w:sz w:val="20"/>
                <w:szCs w:val="20"/>
                <w:lang w:val="en-US"/>
              </w:rPr>
            </w:pPr>
          </w:p>
        </w:tc>
        <w:tc>
          <w:tcPr>
            <w:tcW w:w="1837" w:type="dxa"/>
            <w:tcBorders>
              <w:top w:val="nil"/>
              <w:left w:val="nil"/>
              <w:bottom w:val="nil"/>
              <w:right w:val="nil"/>
            </w:tcBorders>
            <w:vAlign w:val="center"/>
            <w:hideMark/>
          </w:tcPr>
          <w:p w14:paraId="76478EEE"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vAlign w:val="center"/>
            <w:hideMark/>
          </w:tcPr>
          <w:p w14:paraId="3243270A"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c>
          <w:tcPr>
            <w:tcW w:w="1396" w:type="dxa"/>
            <w:tcBorders>
              <w:top w:val="nil"/>
              <w:left w:val="nil"/>
              <w:bottom w:val="nil"/>
              <w:right w:val="nil"/>
            </w:tcBorders>
            <w:vAlign w:val="center"/>
            <w:hideMark/>
          </w:tcPr>
          <w:p w14:paraId="553D77BC"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c>
          <w:tcPr>
            <w:tcW w:w="1402" w:type="dxa"/>
            <w:tcBorders>
              <w:top w:val="nil"/>
              <w:left w:val="nil"/>
              <w:bottom w:val="nil"/>
              <w:right w:val="nil"/>
            </w:tcBorders>
            <w:vAlign w:val="center"/>
            <w:hideMark/>
          </w:tcPr>
          <w:p w14:paraId="32273D9E"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c>
          <w:tcPr>
            <w:tcW w:w="1396" w:type="dxa"/>
            <w:tcBorders>
              <w:top w:val="nil"/>
              <w:left w:val="nil"/>
              <w:bottom w:val="nil"/>
              <w:right w:val="nil"/>
            </w:tcBorders>
            <w:vAlign w:val="center"/>
            <w:hideMark/>
          </w:tcPr>
          <w:p w14:paraId="26739378"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c>
          <w:tcPr>
            <w:tcW w:w="1396" w:type="dxa"/>
            <w:tcBorders>
              <w:top w:val="nil"/>
              <w:left w:val="nil"/>
              <w:bottom w:val="nil"/>
              <w:right w:val="nil"/>
            </w:tcBorders>
            <w:vAlign w:val="center"/>
            <w:hideMark/>
          </w:tcPr>
          <w:p w14:paraId="3AED177E"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r>
      <w:tr w:rsidR="00D461BC" w:rsidRPr="009E2403" w14:paraId="649303F6" w14:textId="77777777" w:rsidTr="00FC43F6">
        <w:trPr>
          <w:trHeight w:val="297"/>
          <w:jc w:val="center"/>
        </w:trPr>
        <w:tc>
          <w:tcPr>
            <w:tcW w:w="1788" w:type="dxa"/>
            <w:tcBorders>
              <w:top w:val="nil"/>
              <w:left w:val="nil"/>
              <w:bottom w:val="nil"/>
              <w:right w:val="nil"/>
            </w:tcBorders>
            <w:vAlign w:val="center"/>
            <w:hideMark/>
          </w:tcPr>
          <w:p w14:paraId="23EE06EE" w14:textId="77777777" w:rsidR="00D461BC" w:rsidRPr="009E2403" w:rsidRDefault="00D461BC" w:rsidP="00D461BC">
            <w:pPr>
              <w:spacing w:after="0" w:line="240" w:lineRule="auto"/>
              <w:jc w:val="center"/>
              <w:rPr>
                <w:rFonts w:ascii="Arial" w:eastAsia="Times New Roman" w:hAnsi="Arial" w:cs="Arial"/>
                <w:color w:val="434343"/>
                <w:sz w:val="20"/>
                <w:szCs w:val="20"/>
                <w:lang w:val="en-US"/>
              </w:rPr>
            </w:pPr>
          </w:p>
        </w:tc>
        <w:tc>
          <w:tcPr>
            <w:tcW w:w="1837" w:type="dxa"/>
            <w:tcBorders>
              <w:top w:val="nil"/>
              <w:left w:val="nil"/>
              <w:bottom w:val="nil"/>
              <w:right w:val="nil"/>
            </w:tcBorders>
            <w:vAlign w:val="center"/>
            <w:hideMark/>
          </w:tcPr>
          <w:p w14:paraId="7D8CADCD" w14:textId="77777777" w:rsidR="00D461BC" w:rsidRPr="009E2403" w:rsidRDefault="00D461BC" w:rsidP="00D461BC">
            <w:pPr>
              <w:spacing w:after="0" w:line="240" w:lineRule="auto"/>
              <w:rPr>
                <w:rFonts w:ascii="Arial" w:eastAsia="Times New Roman" w:hAnsi="Arial" w:cs="Arial"/>
                <w:color w:val="000000"/>
                <w:sz w:val="20"/>
                <w:szCs w:val="20"/>
                <w:lang w:val="en-US"/>
              </w:rPr>
            </w:pPr>
          </w:p>
        </w:tc>
        <w:tc>
          <w:tcPr>
            <w:tcW w:w="1396" w:type="dxa"/>
            <w:tcBorders>
              <w:top w:val="nil"/>
              <w:left w:val="nil"/>
              <w:bottom w:val="nil"/>
              <w:right w:val="nil"/>
            </w:tcBorders>
            <w:vAlign w:val="center"/>
            <w:hideMark/>
          </w:tcPr>
          <w:p w14:paraId="18F48D68"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c>
          <w:tcPr>
            <w:tcW w:w="1396" w:type="dxa"/>
            <w:tcBorders>
              <w:top w:val="nil"/>
              <w:left w:val="nil"/>
              <w:bottom w:val="nil"/>
              <w:right w:val="nil"/>
            </w:tcBorders>
            <w:vAlign w:val="center"/>
            <w:hideMark/>
          </w:tcPr>
          <w:p w14:paraId="78E192E3"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c>
          <w:tcPr>
            <w:tcW w:w="1402" w:type="dxa"/>
            <w:tcBorders>
              <w:top w:val="nil"/>
              <w:left w:val="nil"/>
              <w:bottom w:val="nil"/>
              <w:right w:val="nil"/>
            </w:tcBorders>
            <w:vAlign w:val="center"/>
            <w:hideMark/>
          </w:tcPr>
          <w:p w14:paraId="00CD12F1"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c>
          <w:tcPr>
            <w:tcW w:w="1396" w:type="dxa"/>
            <w:tcBorders>
              <w:top w:val="nil"/>
              <w:left w:val="nil"/>
              <w:bottom w:val="nil"/>
              <w:right w:val="nil"/>
            </w:tcBorders>
            <w:vAlign w:val="center"/>
            <w:hideMark/>
          </w:tcPr>
          <w:p w14:paraId="565C606C"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c>
          <w:tcPr>
            <w:tcW w:w="1396" w:type="dxa"/>
            <w:tcBorders>
              <w:top w:val="nil"/>
              <w:left w:val="nil"/>
              <w:bottom w:val="nil"/>
              <w:right w:val="nil"/>
            </w:tcBorders>
            <w:vAlign w:val="center"/>
            <w:hideMark/>
          </w:tcPr>
          <w:p w14:paraId="30EBE3E8" w14:textId="77777777" w:rsidR="00D461BC" w:rsidRPr="009E2403" w:rsidRDefault="00D461BC" w:rsidP="00D461BC">
            <w:pPr>
              <w:spacing w:after="0" w:line="240" w:lineRule="auto"/>
              <w:jc w:val="right"/>
              <w:rPr>
                <w:rFonts w:ascii="Arial" w:eastAsia="Times New Roman" w:hAnsi="Arial" w:cs="Arial"/>
                <w:color w:val="000000"/>
                <w:sz w:val="20"/>
                <w:szCs w:val="20"/>
                <w:lang w:val="en-US"/>
              </w:rPr>
            </w:pPr>
          </w:p>
        </w:tc>
      </w:tr>
      <w:tr w:rsidR="00D461BC" w:rsidRPr="009E2403" w14:paraId="160AA538" w14:textId="77777777" w:rsidTr="00FC43F6">
        <w:trPr>
          <w:trHeight w:val="312"/>
          <w:jc w:val="center"/>
        </w:trPr>
        <w:tc>
          <w:tcPr>
            <w:tcW w:w="1788" w:type="dxa"/>
            <w:tcBorders>
              <w:top w:val="single" w:sz="4" w:space="0" w:color="auto"/>
              <w:left w:val="single" w:sz="4" w:space="0" w:color="auto"/>
              <w:bottom w:val="double" w:sz="6" w:space="0" w:color="auto"/>
              <w:right w:val="single" w:sz="4" w:space="0" w:color="auto"/>
            </w:tcBorders>
            <w:vAlign w:val="center"/>
            <w:hideMark/>
          </w:tcPr>
          <w:p w14:paraId="770BD58C"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S.No</w:t>
            </w:r>
          </w:p>
        </w:tc>
        <w:tc>
          <w:tcPr>
            <w:tcW w:w="1837" w:type="dxa"/>
            <w:tcBorders>
              <w:top w:val="single" w:sz="4" w:space="0" w:color="auto"/>
              <w:left w:val="nil"/>
              <w:bottom w:val="double" w:sz="6" w:space="0" w:color="auto"/>
              <w:right w:val="single" w:sz="4" w:space="0" w:color="auto"/>
            </w:tcBorders>
            <w:vAlign w:val="center"/>
            <w:hideMark/>
          </w:tcPr>
          <w:p w14:paraId="1C0C4C41" w14:textId="77777777" w:rsidR="00D461BC" w:rsidRPr="009E2403" w:rsidRDefault="00D461BC" w:rsidP="00D461BC">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Ratio</w:t>
            </w:r>
          </w:p>
        </w:tc>
        <w:tc>
          <w:tcPr>
            <w:tcW w:w="1396" w:type="dxa"/>
            <w:tcBorders>
              <w:top w:val="single" w:sz="4" w:space="0" w:color="auto"/>
              <w:left w:val="nil"/>
              <w:bottom w:val="double" w:sz="6" w:space="0" w:color="auto"/>
              <w:right w:val="single" w:sz="4" w:space="0" w:color="auto"/>
            </w:tcBorders>
            <w:vAlign w:val="center"/>
            <w:hideMark/>
          </w:tcPr>
          <w:p w14:paraId="1ED61EC6"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2020</w:t>
            </w:r>
          </w:p>
        </w:tc>
        <w:tc>
          <w:tcPr>
            <w:tcW w:w="1396" w:type="dxa"/>
            <w:tcBorders>
              <w:top w:val="single" w:sz="4" w:space="0" w:color="auto"/>
              <w:left w:val="nil"/>
              <w:bottom w:val="double" w:sz="6" w:space="0" w:color="auto"/>
              <w:right w:val="single" w:sz="4" w:space="0" w:color="auto"/>
            </w:tcBorders>
            <w:vAlign w:val="center"/>
            <w:hideMark/>
          </w:tcPr>
          <w:p w14:paraId="17675E82"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2021</w:t>
            </w:r>
          </w:p>
        </w:tc>
        <w:tc>
          <w:tcPr>
            <w:tcW w:w="1402" w:type="dxa"/>
            <w:tcBorders>
              <w:top w:val="single" w:sz="4" w:space="0" w:color="auto"/>
              <w:left w:val="nil"/>
              <w:bottom w:val="double" w:sz="6" w:space="0" w:color="auto"/>
              <w:right w:val="single" w:sz="4" w:space="0" w:color="auto"/>
            </w:tcBorders>
            <w:vAlign w:val="center"/>
            <w:hideMark/>
          </w:tcPr>
          <w:p w14:paraId="73A16D20"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2022</w:t>
            </w:r>
          </w:p>
        </w:tc>
        <w:tc>
          <w:tcPr>
            <w:tcW w:w="1396" w:type="dxa"/>
            <w:tcBorders>
              <w:top w:val="single" w:sz="4" w:space="0" w:color="auto"/>
              <w:left w:val="nil"/>
              <w:bottom w:val="double" w:sz="6" w:space="0" w:color="auto"/>
              <w:right w:val="single" w:sz="4" w:space="0" w:color="auto"/>
            </w:tcBorders>
            <w:vAlign w:val="center"/>
            <w:hideMark/>
          </w:tcPr>
          <w:p w14:paraId="12E464E8"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2023</w:t>
            </w:r>
          </w:p>
        </w:tc>
        <w:tc>
          <w:tcPr>
            <w:tcW w:w="1396" w:type="dxa"/>
            <w:tcBorders>
              <w:top w:val="single" w:sz="4" w:space="0" w:color="auto"/>
              <w:left w:val="nil"/>
              <w:bottom w:val="double" w:sz="6" w:space="0" w:color="auto"/>
              <w:right w:val="single" w:sz="4" w:space="0" w:color="auto"/>
            </w:tcBorders>
            <w:vAlign w:val="center"/>
            <w:hideMark/>
          </w:tcPr>
          <w:p w14:paraId="5EFFCA8E" w14:textId="77777777" w:rsidR="00D461BC" w:rsidRPr="009E2403" w:rsidRDefault="00D461BC" w:rsidP="00D461BC">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2024</w:t>
            </w:r>
          </w:p>
        </w:tc>
      </w:tr>
      <w:tr w:rsidR="00D461BC" w:rsidRPr="009E2403" w14:paraId="79193ACB" w14:textId="77777777" w:rsidTr="00FC43F6">
        <w:trPr>
          <w:trHeight w:val="786"/>
          <w:jc w:val="center"/>
        </w:trPr>
        <w:tc>
          <w:tcPr>
            <w:tcW w:w="1788" w:type="dxa"/>
            <w:tcBorders>
              <w:top w:val="nil"/>
              <w:left w:val="single" w:sz="4" w:space="0" w:color="auto"/>
              <w:bottom w:val="double" w:sz="6" w:space="0" w:color="auto"/>
              <w:right w:val="single" w:sz="4" w:space="0" w:color="auto"/>
            </w:tcBorders>
            <w:vAlign w:val="center"/>
            <w:hideMark/>
          </w:tcPr>
          <w:p w14:paraId="317123F2"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Investment Ratio</w:t>
            </w:r>
          </w:p>
        </w:tc>
        <w:tc>
          <w:tcPr>
            <w:tcW w:w="1837" w:type="dxa"/>
            <w:tcBorders>
              <w:top w:val="nil"/>
              <w:left w:val="nil"/>
              <w:bottom w:val="double" w:sz="6" w:space="0" w:color="auto"/>
              <w:right w:val="single" w:sz="4" w:space="0" w:color="auto"/>
            </w:tcBorders>
            <w:vAlign w:val="center"/>
            <w:hideMark/>
          </w:tcPr>
          <w:p w14:paraId="5C7CC325" w14:textId="77777777" w:rsidR="00D461BC" w:rsidRPr="009E2403" w:rsidRDefault="00D461BC" w:rsidP="00D461BC">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Earnings Per Share</w:t>
            </w:r>
          </w:p>
        </w:tc>
        <w:tc>
          <w:tcPr>
            <w:tcW w:w="1396" w:type="dxa"/>
            <w:tcBorders>
              <w:top w:val="nil"/>
              <w:left w:val="nil"/>
              <w:bottom w:val="double" w:sz="6" w:space="0" w:color="auto"/>
              <w:right w:val="single" w:sz="4" w:space="0" w:color="auto"/>
            </w:tcBorders>
            <w:vAlign w:val="center"/>
            <w:hideMark/>
          </w:tcPr>
          <w:p w14:paraId="3957402D"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£2.78</w:t>
            </w:r>
          </w:p>
        </w:tc>
        <w:tc>
          <w:tcPr>
            <w:tcW w:w="1396" w:type="dxa"/>
            <w:tcBorders>
              <w:top w:val="nil"/>
              <w:left w:val="nil"/>
              <w:bottom w:val="double" w:sz="6" w:space="0" w:color="auto"/>
              <w:right w:val="single" w:sz="4" w:space="0" w:color="auto"/>
            </w:tcBorders>
            <w:vAlign w:val="center"/>
            <w:hideMark/>
          </w:tcPr>
          <w:p w14:paraId="6345E11A"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£0.39</w:t>
            </w:r>
          </w:p>
        </w:tc>
        <w:tc>
          <w:tcPr>
            <w:tcW w:w="1402" w:type="dxa"/>
            <w:tcBorders>
              <w:top w:val="nil"/>
              <w:left w:val="nil"/>
              <w:bottom w:val="double" w:sz="6" w:space="0" w:color="auto"/>
              <w:right w:val="single" w:sz="4" w:space="0" w:color="auto"/>
            </w:tcBorders>
            <w:vAlign w:val="center"/>
            <w:hideMark/>
          </w:tcPr>
          <w:p w14:paraId="0AD98BB9"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£0.03</w:t>
            </w:r>
          </w:p>
        </w:tc>
        <w:tc>
          <w:tcPr>
            <w:tcW w:w="1396" w:type="dxa"/>
            <w:tcBorders>
              <w:top w:val="nil"/>
              <w:left w:val="nil"/>
              <w:bottom w:val="double" w:sz="6" w:space="0" w:color="auto"/>
              <w:right w:val="single" w:sz="4" w:space="0" w:color="auto"/>
            </w:tcBorders>
            <w:vAlign w:val="center"/>
            <w:hideMark/>
          </w:tcPr>
          <w:p w14:paraId="56D1F38D"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-£7.64</w:t>
            </w:r>
          </w:p>
        </w:tc>
        <w:tc>
          <w:tcPr>
            <w:tcW w:w="1396" w:type="dxa"/>
            <w:tcBorders>
              <w:top w:val="nil"/>
              <w:left w:val="nil"/>
              <w:bottom w:val="double" w:sz="6" w:space="0" w:color="auto"/>
              <w:right w:val="single" w:sz="4" w:space="0" w:color="auto"/>
            </w:tcBorders>
            <w:vAlign w:val="center"/>
            <w:hideMark/>
          </w:tcPr>
          <w:p w14:paraId="4F793CAB" w14:textId="77777777" w:rsidR="00D461BC" w:rsidRPr="009E2403" w:rsidRDefault="00D461BC" w:rsidP="00D461BC">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-£1.85</w:t>
            </w:r>
          </w:p>
        </w:tc>
      </w:tr>
    </w:tbl>
    <w:p w14:paraId="57F1734F" w14:textId="77777777" w:rsidR="00DE0008" w:rsidRPr="009E2403" w:rsidRDefault="00DE0008" w:rsidP="00DE0008">
      <w:pPr>
        <w:pStyle w:val="Caption"/>
        <w:jc w:val="center"/>
        <w:rPr>
          <w:rFonts w:ascii="Arial" w:hAnsi="Arial" w:cs="Arial"/>
        </w:rPr>
      </w:pPr>
      <w:bookmarkStart w:id="30" w:name="_Toc214745431"/>
      <w:r w:rsidRPr="009E2403">
        <w:rPr>
          <w:rFonts w:ascii="Arial" w:hAnsi="Arial" w:cs="Arial"/>
        </w:rPr>
        <w:t xml:space="preserve">Table </w:t>
      </w:r>
      <w:r w:rsidRPr="009E2403">
        <w:rPr>
          <w:rFonts w:ascii="Arial" w:hAnsi="Arial" w:cs="Arial"/>
        </w:rPr>
        <w:fldChar w:fldCharType="begin"/>
      </w:r>
      <w:r w:rsidRPr="009E2403">
        <w:rPr>
          <w:rFonts w:ascii="Arial" w:hAnsi="Arial" w:cs="Arial"/>
        </w:rPr>
        <w:instrText xml:space="preserve"> SEQ Table \* ARABIC </w:instrText>
      </w:r>
      <w:r w:rsidRPr="009E2403">
        <w:rPr>
          <w:rFonts w:ascii="Arial" w:hAnsi="Arial" w:cs="Arial"/>
        </w:rPr>
        <w:fldChar w:fldCharType="separate"/>
      </w:r>
      <w:r w:rsidR="004471DE">
        <w:rPr>
          <w:rFonts w:ascii="Arial" w:hAnsi="Arial" w:cs="Arial"/>
          <w:noProof/>
        </w:rPr>
        <w:t>4</w:t>
      </w:r>
      <w:r w:rsidRPr="009E2403">
        <w:rPr>
          <w:rFonts w:ascii="Arial" w:hAnsi="Arial" w:cs="Arial"/>
        </w:rPr>
        <w:fldChar w:fldCharType="end"/>
      </w:r>
      <w:r w:rsidRPr="009E2403">
        <w:rPr>
          <w:rFonts w:ascii="Arial" w:hAnsi="Arial" w:cs="Arial"/>
        </w:rPr>
        <w:t xml:space="preserve"> Ratios of General Electronics</w:t>
      </w:r>
      <w:bookmarkEnd w:id="30"/>
    </w:p>
    <w:p w14:paraId="64E17763" w14:textId="77777777" w:rsidR="00DE0008" w:rsidRPr="009E2403" w:rsidRDefault="00DE0008" w:rsidP="00DE0008">
      <w:pPr>
        <w:tabs>
          <w:tab w:val="left" w:pos="5940"/>
        </w:tabs>
        <w:rPr>
          <w:rFonts w:ascii="Arial" w:hAnsi="Arial" w:cs="Arial"/>
          <w:i/>
        </w:rPr>
      </w:pPr>
      <w:r w:rsidRPr="009E2403">
        <w:rPr>
          <w:rFonts w:ascii="Arial" w:hAnsi="Arial" w:cs="Arial"/>
        </w:rPr>
        <w:tab/>
      </w:r>
      <w:r w:rsidRPr="009E2403">
        <w:rPr>
          <w:rFonts w:ascii="Arial" w:hAnsi="Arial" w:cs="Arial"/>
          <w:b/>
          <w:i/>
        </w:rPr>
        <w:t>Source</w:t>
      </w:r>
      <w:r w:rsidRPr="009E2403">
        <w:rPr>
          <w:rFonts w:ascii="Arial" w:hAnsi="Arial" w:cs="Arial"/>
          <w:i/>
        </w:rPr>
        <w:t>:s Author’s own work in MS Excel</w:t>
      </w:r>
    </w:p>
    <w:p w14:paraId="38ADFB10" w14:textId="77777777" w:rsidR="00DE0008" w:rsidRPr="009E2403" w:rsidRDefault="00DE0008" w:rsidP="00DE0008">
      <w:pPr>
        <w:rPr>
          <w:rFonts w:ascii="Arial" w:hAnsi="Arial" w:cs="Arial"/>
        </w:rPr>
      </w:pPr>
    </w:p>
    <w:p w14:paraId="05857673" w14:textId="77777777" w:rsidR="00F4027D" w:rsidRPr="009E2403" w:rsidRDefault="00F4027D" w:rsidP="00DE0008">
      <w:pPr>
        <w:rPr>
          <w:rFonts w:ascii="Arial" w:hAnsi="Arial" w:cs="Arial"/>
        </w:rPr>
        <w:sectPr w:rsidR="00F4027D" w:rsidRPr="009E2403" w:rsidSect="007C1235">
          <w:pgSz w:w="16838" w:h="11906" w:orient="landscape"/>
          <w:pgMar w:top="1440" w:right="1440" w:bottom="1440" w:left="1440" w:header="708" w:footer="708" w:gutter="0"/>
          <w:pgNumType w:start="17"/>
          <w:cols w:space="708"/>
          <w:docGrid w:linePitch="360"/>
        </w:sectPr>
      </w:pPr>
    </w:p>
    <w:p w14:paraId="6C1DC0E3" w14:textId="77777777" w:rsidR="00F4027D" w:rsidRPr="009E2403" w:rsidRDefault="00F4027D" w:rsidP="00F4027D">
      <w:pPr>
        <w:pStyle w:val="Heading1"/>
        <w:rPr>
          <w:rFonts w:ascii="Arial" w:hAnsi="Arial" w:cs="Arial"/>
        </w:rPr>
      </w:pPr>
      <w:bookmarkStart w:id="31" w:name="_Toc214745421"/>
      <w:r w:rsidRPr="009E2403">
        <w:rPr>
          <w:rFonts w:ascii="Arial" w:hAnsi="Arial" w:cs="Arial"/>
        </w:rPr>
        <w:t>Appendix-III Trends in Ratios</w:t>
      </w:r>
      <w:bookmarkEnd w:id="31"/>
    </w:p>
    <w:p w14:paraId="4C7DBDA0" w14:textId="77777777" w:rsidR="00F4027D" w:rsidRPr="009E2403" w:rsidRDefault="00F4027D" w:rsidP="00F4027D">
      <w:pPr>
        <w:rPr>
          <w:rFonts w:ascii="Arial" w:hAnsi="Arial" w:cs="Arial"/>
        </w:rPr>
      </w:pPr>
      <w:bookmarkStart w:id="32" w:name="_Toc210237860"/>
      <w:r w:rsidRPr="009E2403">
        <w:rPr>
          <w:rFonts w:ascii="Arial" w:hAnsi="Arial" w:cs="Arial"/>
        </w:rPr>
        <w:t xml:space="preserve">Profitability </w:t>
      </w:r>
      <w:proofErr w:type="spellStart"/>
      <w:r w:rsidRPr="009E2403">
        <w:rPr>
          <w:rFonts w:ascii="Arial" w:hAnsi="Arial" w:cs="Arial"/>
        </w:rPr>
        <w:t>Raitos</w:t>
      </w:r>
      <w:bookmarkEnd w:id="32"/>
      <w:proofErr w:type="spellEnd"/>
    </w:p>
    <w:p w14:paraId="0EE07207"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Return on Capital Employed</w:t>
      </w:r>
    </w:p>
    <w:p w14:paraId="53833448"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1E4E6E67" wp14:editId="41EE3238">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B79A1C5"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Return on Equity</w:t>
      </w:r>
    </w:p>
    <w:p w14:paraId="343FE6D2"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6A096F26" wp14:editId="06F9F8B9">
            <wp:extent cx="4572000" cy="2486025"/>
            <wp:effectExtent l="0" t="0" r="1905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286E17B" w14:textId="77777777" w:rsidR="00F4027D" w:rsidRPr="009E2403" w:rsidRDefault="00F4027D" w:rsidP="00F4027D">
      <w:pPr>
        <w:rPr>
          <w:rFonts w:ascii="Arial" w:eastAsia="Times New Roman" w:hAnsi="Arial" w:cs="Arial"/>
          <w:color w:val="404040"/>
          <w:sz w:val="24"/>
          <w:szCs w:val="24"/>
          <w:lang w:val="en-US"/>
        </w:rPr>
      </w:pPr>
      <w:r w:rsidRPr="009E2403">
        <w:rPr>
          <w:rFonts w:ascii="Arial" w:hAnsi="Arial" w:cs="Arial"/>
          <w:color w:val="404040"/>
        </w:rPr>
        <w:br w:type="page"/>
      </w:r>
    </w:p>
    <w:p w14:paraId="5B84E155"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 xml:space="preserve">Gross Profit Margin </w:t>
      </w:r>
    </w:p>
    <w:p w14:paraId="13C555D2"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3EC7849C" wp14:editId="07371F61">
            <wp:extent cx="4572000" cy="27432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147A07E6"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 xml:space="preserve">Operating Profit margin </w:t>
      </w:r>
    </w:p>
    <w:p w14:paraId="288DB548"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68BB8362" wp14:editId="7CAC3AD0">
            <wp:extent cx="4572000" cy="27432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F7063DF" w14:textId="77777777" w:rsidR="00F4027D" w:rsidRPr="009E2403" w:rsidRDefault="00F4027D" w:rsidP="00F4027D">
      <w:pPr>
        <w:rPr>
          <w:rFonts w:ascii="Arial" w:eastAsia="Times New Roman" w:hAnsi="Arial" w:cs="Arial"/>
          <w:color w:val="404040"/>
          <w:sz w:val="24"/>
          <w:szCs w:val="24"/>
          <w:lang w:val="en-US"/>
        </w:rPr>
      </w:pPr>
      <w:r w:rsidRPr="009E2403">
        <w:rPr>
          <w:rFonts w:ascii="Arial" w:hAnsi="Arial" w:cs="Arial"/>
          <w:color w:val="404040"/>
        </w:rPr>
        <w:br w:type="page"/>
      </w:r>
    </w:p>
    <w:p w14:paraId="75B43E3F" w14:textId="77777777" w:rsidR="00F4027D" w:rsidRPr="009E2403" w:rsidRDefault="00F4027D" w:rsidP="00F4027D">
      <w:pPr>
        <w:pStyle w:val="Heading3"/>
        <w:rPr>
          <w:rFonts w:ascii="Arial" w:hAnsi="Arial" w:cs="Arial"/>
        </w:rPr>
      </w:pPr>
      <w:bookmarkStart w:id="33" w:name="_Toc210237861"/>
      <w:bookmarkStart w:id="34" w:name="_Toc214745422"/>
      <w:r w:rsidRPr="009E2403">
        <w:rPr>
          <w:rFonts w:ascii="Arial" w:hAnsi="Arial" w:cs="Arial"/>
        </w:rPr>
        <w:t>Liquidity Ratio</w:t>
      </w:r>
      <w:bookmarkEnd w:id="33"/>
      <w:bookmarkEnd w:id="34"/>
    </w:p>
    <w:p w14:paraId="1EC4E7BB"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Current Ratio</w:t>
      </w:r>
    </w:p>
    <w:p w14:paraId="02FAB98B"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76593332" wp14:editId="570E0C1C">
            <wp:extent cx="4572000" cy="27432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7ACBD58"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Quick Ratio/Acid-test Ratio</w:t>
      </w:r>
    </w:p>
    <w:p w14:paraId="68E8CD7B" w14:textId="77777777" w:rsidR="00F4027D" w:rsidRPr="009E2403" w:rsidRDefault="00F4027D" w:rsidP="00F4027D">
      <w:pPr>
        <w:pStyle w:val="NormalWeb"/>
        <w:spacing w:before="0" w:beforeAutospacing="0" w:line="360" w:lineRule="auto"/>
        <w:rPr>
          <w:rFonts w:ascii="Arial" w:hAnsi="Arial" w:cs="Arial"/>
          <w:color w:val="404040"/>
        </w:rPr>
      </w:pPr>
    </w:p>
    <w:p w14:paraId="461FE9D6" w14:textId="77777777" w:rsidR="00F4027D" w:rsidRPr="009E2403" w:rsidRDefault="00F4027D" w:rsidP="00F4027D">
      <w:pPr>
        <w:pStyle w:val="NormalWeb"/>
        <w:spacing w:before="0" w:beforeAutospacing="0" w:line="360" w:lineRule="auto"/>
        <w:rPr>
          <w:rFonts w:ascii="Arial" w:hAnsi="Arial" w:cs="Arial"/>
          <w:color w:val="404040"/>
        </w:rPr>
      </w:pPr>
    </w:p>
    <w:p w14:paraId="515A7DC6"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50F36D41" wp14:editId="25B343B6">
            <wp:extent cx="4572000" cy="2743200"/>
            <wp:effectExtent l="0" t="0" r="19050" b="1905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797F644" w14:textId="77777777" w:rsidR="00F4027D" w:rsidRPr="009E2403" w:rsidRDefault="00F4027D" w:rsidP="00F4027D">
      <w:pPr>
        <w:rPr>
          <w:rFonts w:ascii="Arial" w:eastAsia="Times New Roman" w:hAnsi="Arial" w:cs="Arial"/>
          <w:color w:val="404040"/>
          <w:sz w:val="24"/>
          <w:szCs w:val="24"/>
          <w:lang w:val="en-US"/>
        </w:rPr>
      </w:pPr>
      <w:r w:rsidRPr="009E2403">
        <w:rPr>
          <w:rFonts w:ascii="Arial" w:hAnsi="Arial" w:cs="Arial"/>
          <w:color w:val="404040"/>
        </w:rPr>
        <w:br w:type="page"/>
      </w:r>
    </w:p>
    <w:p w14:paraId="3BCF404E" w14:textId="77777777" w:rsidR="00F4027D" w:rsidRPr="009E2403" w:rsidRDefault="00F4027D" w:rsidP="00F4027D">
      <w:pPr>
        <w:pStyle w:val="Heading3"/>
        <w:rPr>
          <w:rFonts w:ascii="Arial" w:hAnsi="Arial" w:cs="Arial"/>
        </w:rPr>
      </w:pPr>
      <w:bookmarkStart w:id="35" w:name="_Toc210237862"/>
      <w:bookmarkStart w:id="36" w:name="_Toc214745423"/>
      <w:r w:rsidRPr="009E2403">
        <w:rPr>
          <w:rFonts w:ascii="Arial" w:hAnsi="Arial" w:cs="Arial"/>
        </w:rPr>
        <w:t>Efficiency Ratios</w:t>
      </w:r>
      <w:bookmarkEnd w:id="35"/>
      <w:bookmarkEnd w:id="36"/>
    </w:p>
    <w:p w14:paraId="18E2D39E"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Assets Turnover Ratio</w:t>
      </w:r>
    </w:p>
    <w:p w14:paraId="50DD21B9" w14:textId="77777777" w:rsidR="00F4027D" w:rsidRPr="009E2403" w:rsidRDefault="00F4027D" w:rsidP="00F4027D">
      <w:pPr>
        <w:pStyle w:val="NormalWeb"/>
        <w:spacing w:before="0" w:beforeAutospacing="0" w:line="360" w:lineRule="auto"/>
        <w:rPr>
          <w:rFonts w:ascii="Arial" w:hAnsi="Arial" w:cs="Arial"/>
          <w:color w:val="404040"/>
        </w:rPr>
      </w:pPr>
    </w:p>
    <w:p w14:paraId="4E63A16E"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69396293" wp14:editId="598789DA">
            <wp:extent cx="4572000" cy="2743200"/>
            <wp:effectExtent l="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F34D007"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Stock Holding Period</w:t>
      </w:r>
    </w:p>
    <w:p w14:paraId="081D78EF" w14:textId="77777777" w:rsidR="00F4027D" w:rsidRPr="009E2403" w:rsidRDefault="00F4027D" w:rsidP="00F4027D">
      <w:pPr>
        <w:pStyle w:val="NormalWeb"/>
        <w:spacing w:before="0" w:beforeAutospacing="0" w:line="360" w:lineRule="auto"/>
        <w:rPr>
          <w:rFonts w:ascii="Arial" w:hAnsi="Arial" w:cs="Arial"/>
          <w:color w:val="404040"/>
        </w:rPr>
      </w:pPr>
    </w:p>
    <w:p w14:paraId="6DB51AE0"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3FC051FA" wp14:editId="5015BF3B">
            <wp:extent cx="4572000" cy="2743200"/>
            <wp:effectExtent l="0" t="0" r="19050" b="1905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7D4EA1A" w14:textId="77777777" w:rsidR="00F4027D" w:rsidRPr="009E2403" w:rsidRDefault="00F4027D" w:rsidP="00F4027D">
      <w:pPr>
        <w:rPr>
          <w:rFonts w:ascii="Arial" w:eastAsia="Times New Roman" w:hAnsi="Arial" w:cs="Arial"/>
          <w:color w:val="404040"/>
          <w:sz w:val="24"/>
          <w:szCs w:val="24"/>
          <w:lang w:val="en-US"/>
        </w:rPr>
      </w:pPr>
      <w:r w:rsidRPr="009E2403">
        <w:rPr>
          <w:rFonts w:ascii="Arial" w:hAnsi="Arial" w:cs="Arial"/>
          <w:color w:val="404040"/>
        </w:rPr>
        <w:br w:type="page"/>
      </w:r>
    </w:p>
    <w:p w14:paraId="1E25C27C"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Creditors Payment Period</w:t>
      </w:r>
    </w:p>
    <w:p w14:paraId="29A2DD20"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6D562B59" wp14:editId="1DC9EB46">
            <wp:extent cx="4572000" cy="2743200"/>
            <wp:effectExtent l="0" t="0" r="19050" b="1905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809D270"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Interest Coverage Ratio</w:t>
      </w:r>
    </w:p>
    <w:p w14:paraId="5BDB0D45"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66538C28" wp14:editId="2E34CF6C">
            <wp:extent cx="4572000" cy="2743200"/>
            <wp:effectExtent l="0" t="0" r="19050" b="1905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D98F032" w14:textId="77777777" w:rsidR="00F4027D" w:rsidRPr="009E2403" w:rsidRDefault="00F4027D" w:rsidP="00F4027D">
      <w:pPr>
        <w:rPr>
          <w:rFonts w:ascii="Arial" w:eastAsia="Times New Roman" w:hAnsi="Arial" w:cs="Arial"/>
          <w:color w:val="404040"/>
          <w:sz w:val="24"/>
          <w:szCs w:val="24"/>
          <w:lang w:val="en-US"/>
        </w:rPr>
      </w:pPr>
      <w:r w:rsidRPr="009E2403">
        <w:rPr>
          <w:rFonts w:ascii="Arial" w:hAnsi="Arial" w:cs="Arial"/>
          <w:color w:val="404040"/>
        </w:rPr>
        <w:br w:type="page"/>
      </w:r>
    </w:p>
    <w:p w14:paraId="6F43B016"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Gearing Ratio</w:t>
      </w:r>
    </w:p>
    <w:p w14:paraId="12C73AD9"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3B06237F" wp14:editId="758CA0FD">
            <wp:extent cx="4572000" cy="2743200"/>
            <wp:effectExtent l="0" t="0" r="19050" b="190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0295E3E" w14:textId="77777777" w:rsidR="00F4027D" w:rsidRPr="009E2403" w:rsidRDefault="00F4027D" w:rsidP="00F4027D">
      <w:pPr>
        <w:pStyle w:val="Heading3"/>
        <w:rPr>
          <w:rFonts w:ascii="Arial" w:hAnsi="Arial" w:cs="Arial"/>
        </w:rPr>
      </w:pPr>
      <w:bookmarkStart w:id="37" w:name="_Toc210237863"/>
      <w:bookmarkStart w:id="38" w:name="_Toc214745424"/>
      <w:r w:rsidRPr="009E2403">
        <w:rPr>
          <w:rFonts w:ascii="Arial" w:hAnsi="Arial" w:cs="Arial"/>
        </w:rPr>
        <w:t>Investment Ratio</w:t>
      </w:r>
      <w:bookmarkEnd w:id="37"/>
      <w:bookmarkEnd w:id="38"/>
    </w:p>
    <w:p w14:paraId="4E1127F8"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color w:val="404040"/>
        </w:rPr>
        <w:t>Earnings Per Share</w:t>
      </w:r>
    </w:p>
    <w:p w14:paraId="03373ED3" w14:textId="77777777" w:rsidR="00F4027D" w:rsidRPr="009E2403" w:rsidRDefault="00F4027D" w:rsidP="00F4027D">
      <w:pPr>
        <w:pStyle w:val="NormalWeb"/>
        <w:spacing w:before="0" w:beforeAutospacing="0" w:line="360" w:lineRule="auto"/>
        <w:rPr>
          <w:rFonts w:ascii="Arial" w:hAnsi="Arial" w:cs="Arial"/>
          <w:color w:val="404040"/>
        </w:rPr>
      </w:pPr>
      <w:r w:rsidRPr="009E2403">
        <w:rPr>
          <w:rFonts w:ascii="Arial" w:hAnsi="Arial" w:cs="Arial"/>
          <w:noProof/>
        </w:rPr>
        <w:drawing>
          <wp:inline distT="0" distB="0" distL="0" distR="0" wp14:anchorId="2F0912A8" wp14:editId="0A1D7D8B">
            <wp:extent cx="4572000" cy="2743200"/>
            <wp:effectExtent l="0" t="0" r="19050" b="1905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7971CB76" w14:textId="77777777" w:rsidR="00F4027D" w:rsidRPr="009E2403" w:rsidRDefault="00F4027D" w:rsidP="00F4027D">
      <w:pPr>
        <w:pStyle w:val="NormalWeb"/>
        <w:spacing w:before="0" w:beforeAutospacing="0" w:line="360" w:lineRule="auto"/>
        <w:rPr>
          <w:rFonts w:ascii="Arial" w:hAnsi="Arial" w:cs="Arial"/>
          <w:color w:val="404040"/>
        </w:rPr>
      </w:pPr>
    </w:p>
    <w:p w14:paraId="1D977185" w14:textId="77777777" w:rsidR="00297D6B" w:rsidRPr="009E2403" w:rsidRDefault="00297D6B" w:rsidP="00297D6B">
      <w:pPr>
        <w:pStyle w:val="Caption"/>
        <w:jc w:val="center"/>
        <w:rPr>
          <w:rFonts w:ascii="Arial" w:hAnsi="Arial" w:cs="Arial"/>
        </w:rPr>
      </w:pPr>
      <w:bookmarkStart w:id="39" w:name="_Toc214745439"/>
      <w:r w:rsidRPr="009E2403">
        <w:rPr>
          <w:rFonts w:ascii="Arial" w:hAnsi="Arial" w:cs="Arial"/>
        </w:rPr>
        <w:t xml:space="preserve">Figure </w:t>
      </w:r>
      <w:r w:rsidRPr="009E2403">
        <w:rPr>
          <w:rFonts w:ascii="Arial" w:hAnsi="Arial" w:cs="Arial"/>
        </w:rPr>
        <w:fldChar w:fldCharType="begin"/>
      </w:r>
      <w:r w:rsidRPr="009E2403">
        <w:rPr>
          <w:rFonts w:ascii="Arial" w:hAnsi="Arial" w:cs="Arial"/>
        </w:rPr>
        <w:instrText xml:space="preserve"> SEQ Figure \* ARABIC </w:instrText>
      </w:r>
      <w:r w:rsidRPr="009E2403">
        <w:rPr>
          <w:rFonts w:ascii="Arial" w:hAnsi="Arial" w:cs="Arial"/>
        </w:rPr>
        <w:fldChar w:fldCharType="separate"/>
      </w:r>
      <w:r w:rsidRPr="009E2403">
        <w:rPr>
          <w:rFonts w:ascii="Arial" w:hAnsi="Arial" w:cs="Arial"/>
          <w:noProof/>
        </w:rPr>
        <w:t>2</w:t>
      </w:r>
      <w:r w:rsidRPr="009E2403">
        <w:rPr>
          <w:rFonts w:ascii="Arial" w:hAnsi="Arial" w:cs="Arial"/>
        </w:rPr>
        <w:fldChar w:fldCharType="end"/>
      </w:r>
      <w:r w:rsidRPr="009E2403">
        <w:rPr>
          <w:rFonts w:ascii="Arial" w:hAnsi="Arial" w:cs="Arial"/>
        </w:rPr>
        <w:t xml:space="preserve"> Trends in Ratios of General Electronics</w:t>
      </w:r>
      <w:bookmarkEnd w:id="39"/>
    </w:p>
    <w:p w14:paraId="55EACB44" w14:textId="77777777" w:rsidR="00297D6B" w:rsidRPr="009E2403" w:rsidRDefault="00297D6B" w:rsidP="00297D6B">
      <w:pPr>
        <w:jc w:val="center"/>
        <w:rPr>
          <w:rFonts w:ascii="Arial" w:hAnsi="Arial" w:cs="Arial"/>
          <w:i/>
        </w:rPr>
      </w:pPr>
      <w:r w:rsidRPr="009E2403">
        <w:rPr>
          <w:rFonts w:ascii="Arial" w:hAnsi="Arial" w:cs="Arial"/>
          <w:b/>
          <w:i/>
        </w:rPr>
        <w:t>Source</w:t>
      </w:r>
      <w:r w:rsidRPr="009E2403">
        <w:rPr>
          <w:rFonts w:ascii="Arial" w:hAnsi="Arial" w:cs="Arial"/>
          <w:i/>
        </w:rPr>
        <w:t>: Author’s own work in MS Excel</w:t>
      </w:r>
    </w:p>
    <w:p w14:paraId="2B84C247" w14:textId="77777777" w:rsidR="00297D6B" w:rsidRPr="009E2403" w:rsidRDefault="00297D6B" w:rsidP="00297D6B">
      <w:pPr>
        <w:tabs>
          <w:tab w:val="left" w:pos="3090"/>
        </w:tabs>
        <w:rPr>
          <w:rFonts w:ascii="Arial" w:hAnsi="Arial" w:cs="Arial"/>
        </w:rPr>
      </w:pPr>
      <w:r w:rsidRPr="009E2403">
        <w:rPr>
          <w:rFonts w:ascii="Arial" w:hAnsi="Arial" w:cs="Arial"/>
        </w:rPr>
        <w:tab/>
      </w:r>
    </w:p>
    <w:p w14:paraId="1F1DD7B7" w14:textId="77777777" w:rsidR="00297D6B" w:rsidRPr="009E2403" w:rsidRDefault="00297D6B" w:rsidP="00297D6B">
      <w:pPr>
        <w:rPr>
          <w:rFonts w:ascii="Arial" w:hAnsi="Arial" w:cs="Arial"/>
        </w:rPr>
      </w:pPr>
    </w:p>
    <w:p w14:paraId="56E94A9D" w14:textId="77777777" w:rsidR="00F4027D" w:rsidRPr="009E2403" w:rsidRDefault="00F4027D" w:rsidP="00297D6B">
      <w:pPr>
        <w:rPr>
          <w:rFonts w:ascii="Arial" w:hAnsi="Arial" w:cs="Arial"/>
        </w:rPr>
        <w:sectPr w:rsidR="00F4027D" w:rsidRPr="009E2403" w:rsidSect="001D184D">
          <w:pgSz w:w="11906" w:h="16838"/>
          <w:pgMar w:top="1440" w:right="1440" w:bottom="1440" w:left="1440" w:header="708" w:footer="708" w:gutter="0"/>
          <w:pgNumType w:start="23"/>
          <w:cols w:space="708"/>
          <w:docGrid w:linePitch="360"/>
        </w:sectPr>
      </w:pPr>
    </w:p>
    <w:p w14:paraId="4EE05FA5" w14:textId="77777777" w:rsidR="00061153" w:rsidRPr="009E2403" w:rsidRDefault="00987360" w:rsidP="001B761E">
      <w:pPr>
        <w:pStyle w:val="Heading2"/>
        <w:rPr>
          <w:rFonts w:ascii="Arial" w:hAnsi="Arial" w:cs="Arial"/>
        </w:rPr>
      </w:pPr>
      <w:bookmarkStart w:id="40" w:name="_Toc214745425"/>
      <w:r w:rsidRPr="009E2403">
        <w:rPr>
          <w:rFonts w:ascii="Arial" w:hAnsi="Arial" w:cs="Arial"/>
        </w:rPr>
        <w:t>Appendix-</w:t>
      </w:r>
      <w:r w:rsidR="00CE5313" w:rsidRPr="009E2403">
        <w:rPr>
          <w:rFonts w:ascii="Arial" w:hAnsi="Arial" w:cs="Arial"/>
        </w:rPr>
        <w:t>I</w:t>
      </w:r>
      <w:r w:rsidR="0039590F" w:rsidRPr="009E2403">
        <w:rPr>
          <w:rFonts w:ascii="Arial" w:hAnsi="Arial" w:cs="Arial"/>
        </w:rPr>
        <w:t>V</w:t>
      </w:r>
      <w:r w:rsidRPr="009E2403">
        <w:rPr>
          <w:rFonts w:ascii="Arial" w:hAnsi="Arial" w:cs="Arial"/>
        </w:rPr>
        <w:t xml:space="preserve"> </w:t>
      </w:r>
      <w:r w:rsidR="00061153" w:rsidRPr="009E2403">
        <w:rPr>
          <w:rFonts w:ascii="Arial" w:hAnsi="Arial" w:cs="Arial"/>
          <w:lang w:val="en-US"/>
        </w:rPr>
        <w:t>Corporate failure prediction models (Altman Z-Score)</w:t>
      </w:r>
      <w:bookmarkEnd w:id="40"/>
      <w:r w:rsidR="00061153" w:rsidRPr="009E2403">
        <w:rPr>
          <w:rFonts w:ascii="Arial" w:eastAsia="Times New Roman" w:hAnsi="Arial" w:cs="Arial"/>
          <w:color w:val="61666B"/>
          <w:lang w:val="en-US"/>
        </w:rPr>
        <w:t xml:space="preserve"> </w:t>
      </w:r>
    </w:p>
    <w:p w14:paraId="10C22B64" w14:textId="77777777" w:rsidR="00536D78" w:rsidRPr="009E2403" w:rsidRDefault="00536D78" w:rsidP="0081282D">
      <w:pPr>
        <w:spacing w:after="0" w:line="240" w:lineRule="auto"/>
        <w:rPr>
          <w:rFonts w:ascii="Arial" w:eastAsia="Times New Roman" w:hAnsi="Arial" w:cs="Arial"/>
          <w:b/>
          <w:bCs/>
          <w:color w:val="61666B"/>
          <w:lang w:val="en-US"/>
        </w:rPr>
      </w:pPr>
      <w:r w:rsidRPr="009E2403">
        <w:rPr>
          <w:rFonts w:ascii="Arial" w:eastAsia="Times New Roman" w:hAnsi="Arial" w:cs="Arial"/>
          <w:b/>
          <w:bCs/>
          <w:color w:val="61666B"/>
          <w:lang w:val="en-US"/>
        </w:rPr>
        <w:t>Formula</w:t>
      </w:r>
    </w:p>
    <w:p w14:paraId="040744C4" w14:textId="77777777" w:rsidR="00536D78" w:rsidRPr="009E2403" w:rsidRDefault="00536D78" w:rsidP="0081282D">
      <w:pPr>
        <w:spacing w:after="0" w:line="240" w:lineRule="auto"/>
        <w:rPr>
          <w:rFonts w:ascii="Arial" w:eastAsia="Times New Roman" w:hAnsi="Arial" w:cs="Arial"/>
          <w:b/>
          <w:bCs/>
          <w:color w:val="61666B"/>
          <w:lang w:val="en-US"/>
        </w:rPr>
      </w:pPr>
    </w:p>
    <w:p w14:paraId="25E5D7D7" w14:textId="77777777" w:rsidR="00536D78" w:rsidRPr="009E2403" w:rsidRDefault="00536D78" w:rsidP="0081282D">
      <w:pPr>
        <w:spacing w:after="0" w:line="240" w:lineRule="auto"/>
        <w:rPr>
          <w:rFonts w:ascii="Arial" w:eastAsia="Times New Roman" w:hAnsi="Arial" w:cs="Arial"/>
          <w:b/>
          <w:bCs/>
          <w:color w:val="61666B"/>
          <w:lang w:val="en-US"/>
        </w:rPr>
      </w:pPr>
      <m:oMathPara>
        <m:oMath>
          <m:r>
            <m:rPr>
              <m:sty m:val="bi"/>
            </m:rPr>
            <w:rPr>
              <w:rFonts w:ascii="Cambria Math" w:eastAsia="Times New Roman" w:hAnsi="Cambria Math" w:cs="Arial"/>
              <w:color w:val="61666B"/>
              <w:lang w:val="en-US"/>
            </w:rPr>
            <m:t>Z-Score</m:t>
          </m:r>
          <m:r>
            <m:rPr>
              <m:sty m:val="b"/>
            </m:rPr>
            <w:rPr>
              <w:rFonts w:ascii="Cambria Math" w:eastAsia="Times New Roman" w:hAnsi="Cambria Math" w:cs="Arial"/>
              <w:color w:val="61666B"/>
              <w:lang w:val="en-US"/>
            </w:rPr>
            <m:t xml:space="preserve">=    1.2A+1.4B+3.3+0.6D+1.0E </m:t>
          </m:r>
          <m:r>
            <m:rPr>
              <m:sty m:val="bi"/>
            </m:rPr>
            <w:rPr>
              <w:rFonts w:ascii="Cambria Math" w:eastAsia="Times New Roman" w:hAnsi="Cambria Math" w:cs="Arial"/>
              <w:color w:val="61666B"/>
              <w:lang w:val="en-US"/>
            </w:rPr>
            <m:t xml:space="preserve">     </m:t>
          </m:r>
        </m:oMath>
      </m:oMathPara>
    </w:p>
    <w:p w14:paraId="7D961544" w14:textId="77777777" w:rsidR="00585DA7" w:rsidRPr="009E2403" w:rsidRDefault="00536D78" w:rsidP="001F675A">
      <w:pPr>
        <w:pStyle w:val="NormalWeb"/>
        <w:spacing w:before="0" w:beforeAutospacing="0" w:line="360" w:lineRule="auto"/>
        <w:rPr>
          <w:rFonts w:ascii="Arial" w:hAnsi="Arial" w:cs="Arial"/>
          <w:b/>
          <w:color w:val="404040"/>
        </w:rPr>
      </w:pPr>
      <w:r w:rsidRPr="009E2403">
        <w:rPr>
          <w:rFonts w:ascii="Arial" w:hAnsi="Arial" w:cs="Arial"/>
          <w:b/>
        </w:rPr>
        <w:t>Altman Z-Score Component Data (£m)</w:t>
      </w:r>
    </w:p>
    <w:tbl>
      <w:tblPr>
        <w:tblW w:w="8252" w:type="dxa"/>
        <w:jc w:val="center"/>
        <w:tblLook w:val="04A0" w:firstRow="1" w:lastRow="0" w:firstColumn="1" w:lastColumn="0" w:noHBand="0" w:noVBand="1"/>
      </w:tblPr>
      <w:tblGrid>
        <w:gridCol w:w="2617"/>
        <w:gridCol w:w="1127"/>
        <w:gridCol w:w="1127"/>
        <w:gridCol w:w="1127"/>
        <w:gridCol w:w="1127"/>
        <w:gridCol w:w="1127"/>
      </w:tblGrid>
      <w:tr w:rsidR="00536D78" w:rsidRPr="009E2403" w14:paraId="72455F7E" w14:textId="77777777" w:rsidTr="00FC43F6">
        <w:trPr>
          <w:trHeight w:val="286"/>
          <w:jc w:val="center"/>
        </w:trPr>
        <w:tc>
          <w:tcPr>
            <w:tcW w:w="2617" w:type="dxa"/>
            <w:tcBorders>
              <w:top w:val="single" w:sz="4" w:space="0" w:color="auto"/>
              <w:left w:val="single" w:sz="4" w:space="0" w:color="auto"/>
              <w:bottom w:val="double" w:sz="6" w:space="0" w:color="auto"/>
              <w:right w:val="single" w:sz="4" w:space="0" w:color="auto"/>
            </w:tcBorders>
            <w:vAlign w:val="center"/>
            <w:hideMark/>
          </w:tcPr>
          <w:p w14:paraId="01BABA75"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Item</w:t>
            </w:r>
          </w:p>
        </w:tc>
        <w:tc>
          <w:tcPr>
            <w:tcW w:w="1127" w:type="dxa"/>
            <w:tcBorders>
              <w:top w:val="single" w:sz="4" w:space="0" w:color="auto"/>
              <w:left w:val="nil"/>
              <w:bottom w:val="double" w:sz="6" w:space="0" w:color="auto"/>
              <w:right w:val="single" w:sz="4" w:space="0" w:color="auto"/>
            </w:tcBorders>
            <w:vAlign w:val="center"/>
            <w:hideMark/>
          </w:tcPr>
          <w:p w14:paraId="738FCB6E"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2020</w:t>
            </w:r>
          </w:p>
        </w:tc>
        <w:tc>
          <w:tcPr>
            <w:tcW w:w="1127" w:type="dxa"/>
            <w:tcBorders>
              <w:top w:val="single" w:sz="4" w:space="0" w:color="auto"/>
              <w:left w:val="nil"/>
              <w:bottom w:val="double" w:sz="6" w:space="0" w:color="auto"/>
              <w:right w:val="single" w:sz="4" w:space="0" w:color="auto"/>
            </w:tcBorders>
            <w:vAlign w:val="center"/>
            <w:hideMark/>
          </w:tcPr>
          <w:p w14:paraId="6E7C2C41"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2021</w:t>
            </w:r>
          </w:p>
        </w:tc>
        <w:tc>
          <w:tcPr>
            <w:tcW w:w="1127" w:type="dxa"/>
            <w:tcBorders>
              <w:top w:val="single" w:sz="4" w:space="0" w:color="auto"/>
              <w:left w:val="nil"/>
              <w:bottom w:val="double" w:sz="6" w:space="0" w:color="auto"/>
              <w:right w:val="single" w:sz="4" w:space="0" w:color="auto"/>
            </w:tcBorders>
            <w:vAlign w:val="center"/>
            <w:hideMark/>
          </w:tcPr>
          <w:p w14:paraId="2CBA9C98"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2022</w:t>
            </w:r>
          </w:p>
        </w:tc>
        <w:tc>
          <w:tcPr>
            <w:tcW w:w="1127" w:type="dxa"/>
            <w:tcBorders>
              <w:top w:val="single" w:sz="4" w:space="0" w:color="auto"/>
              <w:left w:val="nil"/>
              <w:bottom w:val="double" w:sz="6" w:space="0" w:color="auto"/>
              <w:right w:val="single" w:sz="4" w:space="0" w:color="auto"/>
            </w:tcBorders>
            <w:vAlign w:val="center"/>
            <w:hideMark/>
          </w:tcPr>
          <w:p w14:paraId="0E164B1D"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2023</w:t>
            </w:r>
          </w:p>
        </w:tc>
        <w:tc>
          <w:tcPr>
            <w:tcW w:w="1127" w:type="dxa"/>
            <w:tcBorders>
              <w:top w:val="single" w:sz="4" w:space="0" w:color="auto"/>
              <w:left w:val="nil"/>
              <w:bottom w:val="double" w:sz="6" w:space="0" w:color="auto"/>
              <w:right w:val="single" w:sz="4" w:space="0" w:color="auto"/>
            </w:tcBorders>
            <w:vAlign w:val="center"/>
            <w:hideMark/>
          </w:tcPr>
          <w:p w14:paraId="084C4D7D"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2024</w:t>
            </w:r>
          </w:p>
        </w:tc>
      </w:tr>
      <w:tr w:rsidR="00536D78" w:rsidRPr="009E2403" w14:paraId="1A5518A4" w14:textId="77777777" w:rsidTr="00FC43F6">
        <w:trPr>
          <w:trHeight w:val="286"/>
          <w:jc w:val="center"/>
        </w:trPr>
        <w:tc>
          <w:tcPr>
            <w:tcW w:w="2617" w:type="dxa"/>
            <w:tcBorders>
              <w:top w:val="nil"/>
              <w:left w:val="single" w:sz="4" w:space="0" w:color="auto"/>
              <w:bottom w:val="single" w:sz="4" w:space="0" w:color="auto"/>
              <w:right w:val="single" w:sz="4" w:space="0" w:color="auto"/>
            </w:tcBorders>
            <w:vAlign w:val="center"/>
            <w:hideMark/>
          </w:tcPr>
          <w:p w14:paraId="6A6D4F9E"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Current Assets</w:t>
            </w:r>
          </w:p>
        </w:tc>
        <w:tc>
          <w:tcPr>
            <w:tcW w:w="1127" w:type="dxa"/>
            <w:tcBorders>
              <w:top w:val="nil"/>
              <w:left w:val="nil"/>
              <w:bottom w:val="single" w:sz="4" w:space="0" w:color="auto"/>
              <w:right w:val="single" w:sz="4" w:space="0" w:color="auto"/>
            </w:tcBorders>
            <w:vAlign w:val="center"/>
            <w:hideMark/>
          </w:tcPr>
          <w:p w14:paraId="7E946159"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326,843</w:t>
            </w:r>
          </w:p>
        </w:tc>
        <w:tc>
          <w:tcPr>
            <w:tcW w:w="1127" w:type="dxa"/>
            <w:tcBorders>
              <w:top w:val="nil"/>
              <w:left w:val="nil"/>
              <w:bottom w:val="single" w:sz="4" w:space="0" w:color="auto"/>
              <w:right w:val="single" w:sz="4" w:space="0" w:color="auto"/>
            </w:tcBorders>
            <w:vAlign w:val="center"/>
            <w:hideMark/>
          </w:tcPr>
          <w:p w14:paraId="1D678454"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337,146</w:t>
            </w:r>
          </w:p>
        </w:tc>
        <w:tc>
          <w:tcPr>
            <w:tcW w:w="1127" w:type="dxa"/>
            <w:tcBorders>
              <w:top w:val="nil"/>
              <w:left w:val="nil"/>
              <w:bottom w:val="single" w:sz="4" w:space="0" w:color="auto"/>
              <w:right w:val="single" w:sz="4" w:space="0" w:color="auto"/>
            </w:tcBorders>
            <w:vAlign w:val="center"/>
            <w:hideMark/>
          </w:tcPr>
          <w:p w14:paraId="274C3AB2"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338,040</w:t>
            </w:r>
          </w:p>
        </w:tc>
        <w:tc>
          <w:tcPr>
            <w:tcW w:w="1127" w:type="dxa"/>
            <w:tcBorders>
              <w:top w:val="nil"/>
              <w:left w:val="nil"/>
              <w:bottom w:val="single" w:sz="4" w:space="0" w:color="auto"/>
              <w:right w:val="single" w:sz="4" w:space="0" w:color="auto"/>
            </w:tcBorders>
            <w:vAlign w:val="center"/>
            <w:hideMark/>
          </w:tcPr>
          <w:p w14:paraId="327490A3"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258,851</w:t>
            </w:r>
          </w:p>
        </w:tc>
        <w:tc>
          <w:tcPr>
            <w:tcW w:w="1127" w:type="dxa"/>
            <w:tcBorders>
              <w:top w:val="nil"/>
              <w:left w:val="nil"/>
              <w:bottom w:val="single" w:sz="4" w:space="0" w:color="auto"/>
              <w:right w:val="single" w:sz="4" w:space="0" w:color="auto"/>
            </w:tcBorders>
            <w:vAlign w:val="center"/>
            <w:hideMark/>
          </w:tcPr>
          <w:p w14:paraId="3CDD8C1D"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242,494</w:t>
            </w:r>
          </w:p>
        </w:tc>
      </w:tr>
      <w:tr w:rsidR="00536D78" w:rsidRPr="009E2403" w14:paraId="0109D5F4" w14:textId="77777777" w:rsidTr="00FC43F6">
        <w:trPr>
          <w:trHeight w:val="272"/>
          <w:jc w:val="center"/>
        </w:trPr>
        <w:tc>
          <w:tcPr>
            <w:tcW w:w="2617" w:type="dxa"/>
            <w:tcBorders>
              <w:top w:val="nil"/>
              <w:left w:val="single" w:sz="4" w:space="0" w:color="auto"/>
              <w:bottom w:val="single" w:sz="4" w:space="0" w:color="auto"/>
              <w:right w:val="single" w:sz="4" w:space="0" w:color="auto"/>
            </w:tcBorders>
            <w:vAlign w:val="center"/>
            <w:hideMark/>
          </w:tcPr>
          <w:p w14:paraId="4D9F18D4"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Current Liabilities</w:t>
            </w:r>
          </w:p>
        </w:tc>
        <w:tc>
          <w:tcPr>
            <w:tcW w:w="1127" w:type="dxa"/>
            <w:tcBorders>
              <w:top w:val="nil"/>
              <w:left w:val="nil"/>
              <w:bottom w:val="single" w:sz="4" w:space="0" w:color="auto"/>
              <w:right w:val="single" w:sz="4" w:space="0" w:color="auto"/>
            </w:tcBorders>
            <w:vAlign w:val="center"/>
            <w:hideMark/>
          </w:tcPr>
          <w:p w14:paraId="6B886144"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179,510</w:t>
            </w:r>
          </w:p>
        </w:tc>
        <w:tc>
          <w:tcPr>
            <w:tcW w:w="1127" w:type="dxa"/>
            <w:tcBorders>
              <w:top w:val="nil"/>
              <w:left w:val="nil"/>
              <w:bottom w:val="single" w:sz="4" w:space="0" w:color="auto"/>
              <w:right w:val="single" w:sz="4" w:space="0" w:color="auto"/>
            </w:tcBorders>
            <w:vAlign w:val="center"/>
            <w:hideMark/>
          </w:tcPr>
          <w:p w14:paraId="6A086F40"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216,787</w:t>
            </w:r>
          </w:p>
        </w:tc>
        <w:tc>
          <w:tcPr>
            <w:tcW w:w="1127" w:type="dxa"/>
            <w:tcBorders>
              <w:top w:val="nil"/>
              <w:left w:val="nil"/>
              <w:bottom w:val="single" w:sz="4" w:space="0" w:color="auto"/>
              <w:right w:val="single" w:sz="4" w:space="0" w:color="auto"/>
            </w:tcBorders>
            <w:vAlign w:val="center"/>
            <w:hideMark/>
          </w:tcPr>
          <w:p w14:paraId="60A0ECB3"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216,473</w:t>
            </w:r>
          </w:p>
        </w:tc>
        <w:tc>
          <w:tcPr>
            <w:tcW w:w="1127" w:type="dxa"/>
            <w:tcBorders>
              <w:top w:val="nil"/>
              <w:left w:val="nil"/>
              <w:bottom w:val="single" w:sz="4" w:space="0" w:color="auto"/>
              <w:right w:val="single" w:sz="4" w:space="0" w:color="auto"/>
            </w:tcBorders>
            <w:vAlign w:val="center"/>
            <w:hideMark/>
          </w:tcPr>
          <w:p w14:paraId="18A571EF"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161,148</w:t>
            </w:r>
          </w:p>
        </w:tc>
        <w:tc>
          <w:tcPr>
            <w:tcW w:w="1127" w:type="dxa"/>
            <w:tcBorders>
              <w:top w:val="nil"/>
              <w:left w:val="nil"/>
              <w:bottom w:val="single" w:sz="4" w:space="0" w:color="auto"/>
              <w:right w:val="single" w:sz="4" w:space="0" w:color="auto"/>
            </w:tcBorders>
            <w:vAlign w:val="center"/>
            <w:hideMark/>
          </w:tcPr>
          <w:p w14:paraId="1E10AEAD"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158,291</w:t>
            </w:r>
          </w:p>
        </w:tc>
      </w:tr>
      <w:tr w:rsidR="00536D78" w:rsidRPr="009E2403" w14:paraId="72D58D6C" w14:textId="77777777" w:rsidTr="00FC43F6">
        <w:trPr>
          <w:trHeight w:val="463"/>
          <w:jc w:val="center"/>
        </w:trPr>
        <w:tc>
          <w:tcPr>
            <w:tcW w:w="2617" w:type="dxa"/>
            <w:tcBorders>
              <w:top w:val="nil"/>
              <w:left w:val="single" w:sz="4" w:space="0" w:color="auto"/>
              <w:bottom w:val="single" w:sz="4" w:space="0" w:color="auto"/>
              <w:right w:val="single" w:sz="4" w:space="0" w:color="auto"/>
            </w:tcBorders>
            <w:vAlign w:val="center"/>
            <w:hideMark/>
          </w:tcPr>
          <w:p w14:paraId="7161A078"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Working Capital (A)</w:t>
            </w:r>
          </w:p>
        </w:tc>
        <w:tc>
          <w:tcPr>
            <w:tcW w:w="1127" w:type="dxa"/>
            <w:tcBorders>
              <w:top w:val="nil"/>
              <w:left w:val="nil"/>
              <w:bottom w:val="single" w:sz="4" w:space="0" w:color="auto"/>
              <w:right w:val="single" w:sz="4" w:space="0" w:color="auto"/>
            </w:tcBorders>
            <w:vAlign w:val="center"/>
            <w:hideMark/>
          </w:tcPr>
          <w:p w14:paraId="49560997"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147,333</w:t>
            </w:r>
          </w:p>
        </w:tc>
        <w:tc>
          <w:tcPr>
            <w:tcW w:w="1127" w:type="dxa"/>
            <w:tcBorders>
              <w:top w:val="nil"/>
              <w:left w:val="nil"/>
              <w:bottom w:val="single" w:sz="4" w:space="0" w:color="auto"/>
              <w:right w:val="single" w:sz="4" w:space="0" w:color="auto"/>
            </w:tcBorders>
            <w:vAlign w:val="center"/>
            <w:hideMark/>
          </w:tcPr>
          <w:p w14:paraId="04BABDC0"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120,359</w:t>
            </w:r>
          </w:p>
        </w:tc>
        <w:tc>
          <w:tcPr>
            <w:tcW w:w="1127" w:type="dxa"/>
            <w:tcBorders>
              <w:top w:val="nil"/>
              <w:left w:val="nil"/>
              <w:bottom w:val="single" w:sz="4" w:space="0" w:color="auto"/>
              <w:right w:val="single" w:sz="4" w:space="0" w:color="auto"/>
            </w:tcBorders>
            <w:vAlign w:val="center"/>
            <w:hideMark/>
          </w:tcPr>
          <w:p w14:paraId="0B0E24B4"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121,567</w:t>
            </w:r>
          </w:p>
        </w:tc>
        <w:tc>
          <w:tcPr>
            <w:tcW w:w="1127" w:type="dxa"/>
            <w:tcBorders>
              <w:top w:val="nil"/>
              <w:left w:val="nil"/>
              <w:bottom w:val="single" w:sz="4" w:space="0" w:color="auto"/>
              <w:right w:val="single" w:sz="4" w:space="0" w:color="auto"/>
            </w:tcBorders>
            <w:vAlign w:val="center"/>
            <w:hideMark/>
          </w:tcPr>
          <w:p w14:paraId="38A2B87A"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97,703</w:t>
            </w:r>
          </w:p>
        </w:tc>
        <w:tc>
          <w:tcPr>
            <w:tcW w:w="1127" w:type="dxa"/>
            <w:tcBorders>
              <w:top w:val="nil"/>
              <w:left w:val="nil"/>
              <w:bottom w:val="single" w:sz="4" w:space="0" w:color="auto"/>
              <w:right w:val="single" w:sz="4" w:space="0" w:color="auto"/>
            </w:tcBorders>
            <w:vAlign w:val="center"/>
            <w:hideMark/>
          </w:tcPr>
          <w:p w14:paraId="558BE4CE"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84,203</w:t>
            </w:r>
          </w:p>
        </w:tc>
      </w:tr>
      <w:tr w:rsidR="00536D78" w:rsidRPr="009E2403" w14:paraId="25FADBD5" w14:textId="77777777" w:rsidTr="00FC43F6">
        <w:trPr>
          <w:trHeight w:val="463"/>
          <w:jc w:val="center"/>
        </w:trPr>
        <w:tc>
          <w:tcPr>
            <w:tcW w:w="2617" w:type="dxa"/>
            <w:tcBorders>
              <w:top w:val="nil"/>
              <w:left w:val="single" w:sz="4" w:space="0" w:color="auto"/>
              <w:bottom w:val="single" w:sz="4" w:space="0" w:color="auto"/>
              <w:right w:val="single" w:sz="4" w:space="0" w:color="auto"/>
            </w:tcBorders>
            <w:vAlign w:val="center"/>
            <w:hideMark/>
          </w:tcPr>
          <w:p w14:paraId="059F593B"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Retained Earnings (B)</w:t>
            </w:r>
          </w:p>
        </w:tc>
        <w:tc>
          <w:tcPr>
            <w:tcW w:w="1127" w:type="dxa"/>
            <w:tcBorders>
              <w:top w:val="nil"/>
              <w:left w:val="nil"/>
              <w:bottom w:val="single" w:sz="4" w:space="0" w:color="auto"/>
              <w:right w:val="single" w:sz="4" w:space="0" w:color="auto"/>
            </w:tcBorders>
            <w:vAlign w:val="center"/>
            <w:hideMark/>
          </w:tcPr>
          <w:p w14:paraId="4D2EDC9D"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324,990</w:t>
            </w:r>
          </w:p>
        </w:tc>
        <w:tc>
          <w:tcPr>
            <w:tcW w:w="1127" w:type="dxa"/>
            <w:tcBorders>
              <w:top w:val="nil"/>
              <w:left w:val="nil"/>
              <w:bottom w:val="single" w:sz="4" w:space="0" w:color="auto"/>
              <w:right w:val="single" w:sz="4" w:space="0" w:color="auto"/>
            </w:tcBorders>
            <w:vAlign w:val="center"/>
            <w:hideMark/>
          </w:tcPr>
          <w:p w14:paraId="19D24502"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330,291</w:t>
            </w:r>
          </w:p>
        </w:tc>
        <w:tc>
          <w:tcPr>
            <w:tcW w:w="1127" w:type="dxa"/>
            <w:tcBorders>
              <w:top w:val="nil"/>
              <w:left w:val="nil"/>
              <w:bottom w:val="single" w:sz="4" w:space="0" w:color="auto"/>
              <w:right w:val="single" w:sz="4" w:space="0" w:color="auto"/>
            </w:tcBorders>
            <w:vAlign w:val="center"/>
            <w:hideMark/>
          </w:tcPr>
          <w:p w14:paraId="32AE2CA1"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330,698</w:t>
            </w:r>
          </w:p>
        </w:tc>
        <w:tc>
          <w:tcPr>
            <w:tcW w:w="1127" w:type="dxa"/>
            <w:tcBorders>
              <w:top w:val="nil"/>
              <w:left w:val="nil"/>
              <w:bottom w:val="single" w:sz="4" w:space="0" w:color="auto"/>
              <w:right w:val="single" w:sz="4" w:space="0" w:color="auto"/>
            </w:tcBorders>
            <w:vAlign w:val="center"/>
            <w:hideMark/>
          </w:tcPr>
          <w:p w14:paraId="5EF2DA3A"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232,460</w:t>
            </w:r>
          </w:p>
        </w:tc>
        <w:tc>
          <w:tcPr>
            <w:tcW w:w="1127" w:type="dxa"/>
            <w:tcBorders>
              <w:top w:val="nil"/>
              <w:left w:val="nil"/>
              <w:bottom w:val="single" w:sz="4" w:space="0" w:color="auto"/>
              <w:right w:val="single" w:sz="4" w:space="0" w:color="auto"/>
            </w:tcBorders>
            <w:vAlign w:val="center"/>
            <w:hideMark/>
          </w:tcPr>
          <w:p w14:paraId="25AAD6B0"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208,431</w:t>
            </w:r>
          </w:p>
        </w:tc>
      </w:tr>
      <w:tr w:rsidR="00536D78" w:rsidRPr="009E2403" w14:paraId="4EA8D548" w14:textId="77777777" w:rsidTr="00FC43F6">
        <w:trPr>
          <w:trHeight w:val="272"/>
          <w:jc w:val="center"/>
        </w:trPr>
        <w:tc>
          <w:tcPr>
            <w:tcW w:w="2617" w:type="dxa"/>
            <w:tcBorders>
              <w:top w:val="nil"/>
              <w:left w:val="single" w:sz="4" w:space="0" w:color="auto"/>
              <w:bottom w:val="single" w:sz="4" w:space="0" w:color="auto"/>
              <w:right w:val="single" w:sz="4" w:space="0" w:color="auto"/>
            </w:tcBorders>
            <w:vAlign w:val="center"/>
            <w:hideMark/>
          </w:tcPr>
          <w:p w14:paraId="23D02F35"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EBIT (C)</w:t>
            </w:r>
          </w:p>
        </w:tc>
        <w:tc>
          <w:tcPr>
            <w:tcW w:w="1127" w:type="dxa"/>
            <w:tcBorders>
              <w:top w:val="nil"/>
              <w:left w:val="nil"/>
              <w:bottom w:val="single" w:sz="4" w:space="0" w:color="auto"/>
              <w:right w:val="single" w:sz="4" w:space="0" w:color="auto"/>
            </w:tcBorders>
            <w:vAlign w:val="center"/>
            <w:hideMark/>
          </w:tcPr>
          <w:p w14:paraId="04AFB9E8"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37,267</w:t>
            </w:r>
          </w:p>
        </w:tc>
        <w:tc>
          <w:tcPr>
            <w:tcW w:w="1127" w:type="dxa"/>
            <w:tcBorders>
              <w:top w:val="nil"/>
              <w:left w:val="nil"/>
              <w:bottom w:val="single" w:sz="4" w:space="0" w:color="auto"/>
              <w:right w:val="single" w:sz="4" w:space="0" w:color="auto"/>
            </w:tcBorders>
            <w:vAlign w:val="center"/>
            <w:hideMark/>
          </w:tcPr>
          <w:p w14:paraId="647BAEDA"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23,253</w:t>
            </w:r>
          </w:p>
        </w:tc>
        <w:tc>
          <w:tcPr>
            <w:tcW w:w="1127" w:type="dxa"/>
            <w:tcBorders>
              <w:top w:val="nil"/>
              <w:left w:val="nil"/>
              <w:bottom w:val="single" w:sz="4" w:space="0" w:color="auto"/>
              <w:right w:val="single" w:sz="4" w:space="0" w:color="auto"/>
            </w:tcBorders>
            <w:vAlign w:val="center"/>
            <w:hideMark/>
          </w:tcPr>
          <w:p w14:paraId="77EFDC86"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14,548</w:t>
            </w:r>
          </w:p>
        </w:tc>
        <w:tc>
          <w:tcPr>
            <w:tcW w:w="1127" w:type="dxa"/>
            <w:tcBorders>
              <w:top w:val="nil"/>
              <w:left w:val="nil"/>
              <w:bottom w:val="single" w:sz="4" w:space="0" w:color="auto"/>
              <w:right w:val="single" w:sz="4" w:space="0" w:color="auto"/>
            </w:tcBorders>
            <w:vAlign w:val="center"/>
            <w:hideMark/>
          </w:tcPr>
          <w:p w14:paraId="47EC0022"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-85,301</w:t>
            </w:r>
          </w:p>
        </w:tc>
        <w:tc>
          <w:tcPr>
            <w:tcW w:w="1127" w:type="dxa"/>
            <w:tcBorders>
              <w:top w:val="nil"/>
              <w:left w:val="nil"/>
              <w:bottom w:val="single" w:sz="4" w:space="0" w:color="auto"/>
              <w:right w:val="single" w:sz="4" w:space="0" w:color="auto"/>
            </w:tcBorders>
            <w:vAlign w:val="center"/>
            <w:hideMark/>
          </w:tcPr>
          <w:p w14:paraId="43CDF124"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-15,297</w:t>
            </w:r>
          </w:p>
        </w:tc>
      </w:tr>
      <w:tr w:rsidR="00536D78" w:rsidRPr="009E2403" w14:paraId="23E0BBF2" w14:textId="77777777" w:rsidTr="00FC43F6">
        <w:trPr>
          <w:trHeight w:val="272"/>
          <w:jc w:val="center"/>
        </w:trPr>
        <w:tc>
          <w:tcPr>
            <w:tcW w:w="2617" w:type="dxa"/>
            <w:tcBorders>
              <w:top w:val="nil"/>
              <w:left w:val="single" w:sz="4" w:space="0" w:color="auto"/>
              <w:bottom w:val="single" w:sz="4" w:space="0" w:color="auto"/>
              <w:right w:val="single" w:sz="4" w:space="0" w:color="auto"/>
            </w:tcBorders>
            <w:vAlign w:val="center"/>
            <w:hideMark/>
          </w:tcPr>
          <w:p w14:paraId="3E0B17E1"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Total Equity (D)</w:t>
            </w:r>
          </w:p>
        </w:tc>
        <w:tc>
          <w:tcPr>
            <w:tcW w:w="1127" w:type="dxa"/>
            <w:tcBorders>
              <w:top w:val="nil"/>
              <w:left w:val="nil"/>
              <w:bottom w:val="single" w:sz="4" w:space="0" w:color="auto"/>
              <w:right w:val="single" w:sz="4" w:space="0" w:color="auto"/>
            </w:tcBorders>
            <w:vAlign w:val="center"/>
            <w:hideMark/>
          </w:tcPr>
          <w:p w14:paraId="4A9FDBB8"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313,301</w:t>
            </w:r>
          </w:p>
        </w:tc>
        <w:tc>
          <w:tcPr>
            <w:tcW w:w="1127" w:type="dxa"/>
            <w:tcBorders>
              <w:top w:val="nil"/>
              <w:left w:val="nil"/>
              <w:bottom w:val="single" w:sz="4" w:space="0" w:color="auto"/>
              <w:right w:val="single" w:sz="4" w:space="0" w:color="auto"/>
            </w:tcBorders>
            <w:vAlign w:val="center"/>
            <w:hideMark/>
          </w:tcPr>
          <w:p w14:paraId="71BCF888"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275,949</w:t>
            </w:r>
          </w:p>
        </w:tc>
        <w:tc>
          <w:tcPr>
            <w:tcW w:w="1127" w:type="dxa"/>
            <w:tcBorders>
              <w:top w:val="nil"/>
              <w:left w:val="nil"/>
              <w:bottom w:val="single" w:sz="4" w:space="0" w:color="auto"/>
              <w:right w:val="single" w:sz="4" w:space="0" w:color="auto"/>
            </w:tcBorders>
            <w:vAlign w:val="center"/>
            <w:hideMark/>
          </w:tcPr>
          <w:p w14:paraId="79977FAD"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268,406</w:t>
            </w:r>
          </w:p>
        </w:tc>
        <w:tc>
          <w:tcPr>
            <w:tcW w:w="1127" w:type="dxa"/>
            <w:tcBorders>
              <w:top w:val="nil"/>
              <w:left w:val="nil"/>
              <w:bottom w:val="single" w:sz="4" w:space="0" w:color="auto"/>
              <w:right w:val="single" w:sz="4" w:space="0" w:color="auto"/>
            </w:tcBorders>
            <w:vAlign w:val="center"/>
            <w:hideMark/>
          </w:tcPr>
          <w:p w14:paraId="4409FCDE"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178,920</w:t>
            </w:r>
          </w:p>
        </w:tc>
        <w:tc>
          <w:tcPr>
            <w:tcW w:w="1127" w:type="dxa"/>
            <w:tcBorders>
              <w:top w:val="nil"/>
              <w:left w:val="nil"/>
              <w:bottom w:val="single" w:sz="4" w:space="0" w:color="auto"/>
              <w:right w:val="single" w:sz="4" w:space="0" w:color="auto"/>
            </w:tcBorders>
            <w:vAlign w:val="center"/>
            <w:hideMark/>
          </w:tcPr>
          <w:p w14:paraId="4E36B594"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153,105</w:t>
            </w:r>
          </w:p>
        </w:tc>
      </w:tr>
      <w:tr w:rsidR="00536D78" w:rsidRPr="009E2403" w14:paraId="3C6F4F1E" w14:textId="77777777" w:rsidTr="00FC43F6">
        <w:trPr>
          <w:trHeight w:val="463"/>
          <w:jc w:val="center"/>
        </w:trPr>
        <w:tc>
          <w:tcPr>
            <w:tcW w:w="2617" w:type="dxa"/>
            <w:tcBorders>
              <w:top w:val="nil"/>
              <w:left w:val="single" w:sz="4" w:space="0" w:color="auto"/>
              <w:bottom w:val="single" w:sz="4" w:space="0" w:color="auto"/>
              <w:right w:val="single" w:sz="4" w:space="0" w:color="auto"/>
            </w:tcBorders>
            <w:vAlign w:val="center"/>
            <w:hideMark/>
          </w:tcPr>
          <w:p w14:paraId="7F96E9D5"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Total Liabilities (D)</w:t>
            </w:r>
          </w:p>
        </w:tc>
        <w:tc>
          <w:tcPr>
            <w:tcW w:w="1127" w:type="dxa"/>
            <w:tcBorders>
              <w:top w:val="nil"/>
              <w:left w:val="nil"/>
              <w:bottom w:val="single" w:sz="4" w:space="0" w:color="auto"/>
              <w:right w:val="single" w:sz="4" w:space="0" w:color="auto"/>
            </w:tcBorders>
            <w:vAlign w:val="center"/>
            <w:hideMark/>
          </w:tcPr>
          <w:p w14:paraId="5B95960D"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196,989</w:t>
            </w:r>
          </w:p>
        </w:tc>
        <w:tc>
          <w:tcPr>
            <w:tcW w:w="1127" w:type="dxa"/>
            <w:tcBorders>
              <w:top w:val="nil"/>
              <w:left w:val="nil"/>
              <w:bottom w:val="single" w:sz="4" w:space="0" w:color="auto"/>
              <w:right w:val="single" w:sz="4" w:space="0" w:color="auto"/>
            </w:tcBorders>
            <w:vAlign w:val="center"/>
            <w:hideMark/>
          </w:tcPr>
          <w:p w14:paraId="14AA4C5D"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234,399</w:t>
            </w:r>
          </w:p>
        </w:tc>
        <w:tc>
          <w:tcPr>
            <w:tcW w:w="1127" w:type="dxa"/>
            <w:tcBorders>
              <w:top w:val="nil"/>
              <w:left w:val="nil"/>
              <w:bottom w:val="single" w:sz="4" w:space="0" w:color="auto"/>
              <w:right w:val="single" w:sz="4" w:space="0" w:color="auto"/>
            </w:tcBorders>
            <w:vAlign w:val="center"/>
            <w:hideMark/>
          </w:tcPr>
          <w:p w14:paraId="644044E1"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235,757</w:t>
            </w:r>
          </w:p>
        </w:tc>
        <w:tc>
          <w:tcPr>
            <w:tcW w:w="1127" w:type="dxa"/>
            <w:tcBorders>
              <w:top w:val="nil"/>
              <w:left w:val="nil"/>
              <w:bottom w:val="single" w:sz="4" w:space="0" w:color="auto"/>
              <w:right w:val="single" w:sz="4" w:space="0" w:color="auto"/>
            </w:tcBorders>
            <w:vAlign w:val="center"/>
            <w:hideMark/>
          </w:tcPr>
          <w:p w14:paraId="109F5551"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176,952</w:t>
            </w:r>
          </w:p>
        </w:tc>
        <w:tc>
          <w:tcPr>
            <w:tcW w:w="1127" w:type="dxa"/>
            <w:tcBorders>
              <w:top w:val="nil"/>
              <w:left w:val="nil"/>
              <w:bottom w:val="single" w:sz="4" w:space="0" w:color="auto"/>
              <w:right w:val="single" w:sz="4" w:space="0" w:color="auto"/>
            </w:tcBorders>
            <w:vAlign w:val="center"/>
            <w:hideMark/>
          </w:tcPr>
          <w:p w14:paraId="4B98B547"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170,249</w:t>
            </w:r>
          </w:p>
        </w:tc>
      </w:tr>
      <w:tr w:rsidR="00536D78" w:rsidRPr="009E2403" w14:paraId="562353AB" w14:textId="77777777" w:rsidTr="00FC43F6">
        <w:trPr>
          <w:trHeight w:val="272"/>
          <w:jc w:val="center"/>
        </w:trPr>
        <w:tc>
          <w:tcPr>
            <w:tcW w:w="2617" w:type="dxa"/>
            <w:tcBorders>
              <w:top w:val="nil"/>
              <w:left w:val="single" w:sz="4" w:space="0" w:color="auto"/>
              <w:bottom w:val="single" w:sz="4" w:space="0" w:color="auto"/>
              <w:right w:val="single" w:sz="4" w:space="0" w:color="auto"/>
            </w:tcBorders>
            <w:vAlign w:val="center"/>
            <w:hideMark/>
          </w:tcPr>
          <w:p w14:paraId="153B0213"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Sales (E)</w:t>
            </w:r>
          </w:p>
        </w:tc>
        <w:tc>
          <w:tcPr>
            <w:tcW w:w="1127" w:type="dxa"/>
            <w:tcBorders>
              <w:top w:val="nil"/>
              <w:left w:val="nil"/>
              <w:bottom w:val="single" w:sz="4" w:space="0" w:color="auto"/>
              <w:right w:val="single" w:sz="4" w:space="0" w:color="auto"/>
            </w:tcBorders>
            <w:vAlign w:val="center"/>
            <w:hideMark/>
          </w:tcPr>
          <w:p w14:paraId="13CB5405"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614,680</w:t>
            </w:r>
          </w:p>
        </w:tc>
        <w:tc>
          <w:tcPr>
            <w:tcW w:w="1127" w:type="dxa"/>
            <w:tcBorders>
              <w:top w:val="nil"/>
              <w:left w:val="nil"/>
              <w:bottom w:val="single" w:sz="4" w:space="0" w:color="auto"/>
              <w:right w:val="single" w:sz="4" w:space="0" w:color="auto"/>
            </w:tcBorders>
            <w:vAlign w:val="center"/>
            <w:hideMark/>
          </w:tcPr>
          <w:p w14:paraId="7A62F15F"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601,602</w:t>
            </w:r>
          </w:p>
        </w:tc>
        <w:tc>
          <w:tcPr>
            <w:tcW w:w="1127" w:type="dxa"/>
            <w:tcBorders>
              <w:top w:val="nil"/>
              <w:left w:val="nil"/>
              <w:bottom w:val="single" w:sz="4" w:space="0" w:color="auto"/>
              <w:right w:val="single" w:sz="4" w:space="0" w:color="auto"/>
            </w:tcBorders>
            <w:vAlign w:val="center"/>
            <w:hideMark/>
          </w:tcPr>
          <w:p w14:paraId="40D2B423"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542,751</w:t>
            </w:r>
          </w:p>
        </w:tc>
        <w:tc>
          <w:tcPr>
            <w:tcW w:w="1127" w:type="dxa"/>
            <w:tcBorders>
              <w:top w:val="nil"/>
              <w:left w:val="nil"/>
              <w:bottom w:val="single" w:sz="4" w:space="0" w:color="auto"/>
              <w:right w:val="single" w:sz="4" w:space="0" w:color="auto"/>
            </w:tcBorders>
            <w:vAlign w:val="center"/>
            <w:hideMark/>
          </w:tcPr>
          <w:p w14:paraId="6E556878"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420,457</w:t>
            </w:r>
          </w:p>
        </w:tc>
        <w:tc>
          <w:tcPr>
            <w:tcW w:w="1127" w:type="dxa"/>
            <w:tcBorders>
              <w:top w:val="nil"/>
              <w:left w:val="nil"/>
              <w:bottom w:val="single" w:sz="4" w:space="0" w:color="auto"/>
              <w:right w:val="single" w:sz="4" w:space="0" w:color="auto"/>
            </w:tcBorders>
            <w:vAlign w:val="center"/>
            <w:hideMark/>
          </w:tcPr>
          <w:p w14:paraId="5D95C7EA"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394,879</w:t>
            </w:r>
          </w:p>
        </w:tc>
      </w:tr>
      <w:tr w:rsidR="00536D78" w:rsidRPr="009E2403" w14:paraId="2850669A" w14:textId="77777777" w:rsidTr="00FC43F6">
        <w:trPr>
          <w:trHeight w:val="477"/>
          <w:jc w:val="center"/>
        </w:trPr>
        <w:tc>
          <w:tcPr>
            <w:tcW w:w="2617" w:type="dxa"/>
            <w:tcBorders>
              <w:top w:val="nil"/>
              <w:left w:val="single" w:sz="4" w:space="0" w:color="auto"/>
              <w:bottom w:val="double" w:sz="6" w:space="0" w:color="auto"/>
              <w:right w:val="single" w:sz="4" w:space="0" w:color="auto"/>
            </w:tcBorders>
            <w:vAlign w:val="center"/>
            <w:hideMark/>
          </w:tcPr>
          <w:p w14:paraId="244DA409"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Total Assets (Denominator)</w:t>
            </w:r>
          </w:p>
        </w:tc>
        <w:tc>
          <w:tcPr>
            <w:tcW w:w="1127" w:type="dxa"/>
            <w:tcBorders>
              <w:top w:val="nil"/>
              <w:left w:val="nil"/>
              <w:bottom w:val="double" w:sz="6" w:space="0" w:color="auto"/>
              <w:right w:val="single" w:sz="4" w:space="0" w:color="auto"/>
            </w:tcBorders>
            <w:vAlign w:val="center"/>
            <w:hideMark/>
          </w:tcPr>
          <w:p w14:paraId="519AA9BC"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510,290</w:t>
            </w:r>
          </w:p>
        </w:tc>
        <w:tc>
          <w:tcPr>
            <w:tcW w:w="1127" w:type="dxa"/>
            <w:tcBorders>
              <w:top w:val="nil"/>
              <w:left w:val="nil"/>
              <w:bottom w:val="double" w:sz="6" w:space="0" w:color="auto"/>
              <w:right w:val="single" w:sz="4" w:space="0" w:color="auto"/>
            </w:tcBorders>
            <w:vAlign w:val="center"/>
            <w:hideMark/>
          </w:tcPr>
          <w:p w14:paraId="356E818A"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510,348</w:t>
            </w:r>
          </w:p>
        </w:tc>
        <w:tc>
          <w:tcPr>
            <w:tcW w:w="1127" w:type="dxa"/>
            <w:tcBorders>
              <w:top w:val="nil"/>
              <w:left w:val="nil"/>
              <w:bottom w:val="double" w:sz="6" w:space="0" w:color="auto"/>
              <w:right w:val="single" w:sz="4" w:space="0" w:color="auto"/>
            </w:tcBorders>
            <w:vAlign w:val="center"/>
            <w:hideMark/>
          </w:tcPr>
          <w:p w14:paraId="6B6C68B7"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504,163</w:t>
            </w:r>
          </w:p>
        </w:tc>
        <w:tc>
          <w:tcPr>
            <w:tcW w:w="1127" w:type="dxa"/>
            <w:tcBorders>
              <w:top w:val="nil"/>
              <w:left w:val="nil"/>
              <w:bottom w:val="double" w:sz="6" w:space="0" w:color="auto"/>
              <w:right w:val="single" w:sz="4" w:space="0" w:color="auto"/>
            </w:tcBorders>
            <w:vAlign w:val="center"/>
            <w:hideMark/>
          </w:tcPr>
          <w:p w14:paraId="38FA2FAA"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355,872</w:t>
            </w:r>
          </w:p>
        </w:tc>
        <w:tc>
          <w:tcPr>
            <w:tcW w:w="1127" w:type="dxa"/>
            <w:tcBorders>
              <w:top w:val="nil"/>
              <w:left w:val="nil"/>
              <w:bottom w:val="double" w:sz="6" w:space="0" w:color="auto"/>
              <w:right w:val="single" w:sz="4" w:space="0" w:color="auto"/>
            </w:tcBorders>
            <w:vAlign w:val="center"/>
            <w:hideMark/>
          </w:tcPr>
          <w:p w14:paraId="710357E9"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323,354</w:t>
            </w:r>
          </w:p>
        </w:tc>
      </w:tr>
    </w:tbl>
    <w:p w14:paraId="2F7CFD6F" w14:textId="77777777" w:rsidR="00536D78" w:rsidRPr="009E2403" w:rsidRDefault="00536D78" w:rsidP="001F675A">
      <w:pPr>
        <w:pStyle w:val="NormalWeb"/>
        <w:spacing w:before="0" w:beforeAutospacing="0" w:line="360" w:lineRule="auto"/>
        <w:rPr>
          <w:rFonts w:ascii="Arial" w:hAnsi="Arial" w:cs="Arial"/>
          <w:color w:val="404040"/>
        </w:rPr>
      </w:pPr>
      <w:r w:rsidRPr="009E2403">
        <w:rPr>
          <w:rFonts w:ascii="Arial" w:hAnsi="Arial" w:cs="Arial"/>
          <w:color w:val="404040"/>
        </w:rPr>
        <w:t xml:space="preserve"> </w:t>
      </w:r>
    </w:p>
    <w:p w14:paraId="69135CD8" w14:textId="77777777" w:rsidR="00536D78" w:rsidRPr="009E2403" w:rsidRDefault="00536D78" w:rsidP="001F675A">
      <w:pPr>
        <w:pStyle w:val="NormalWeb"/>
        <w:spacing w:before="0" w:beforeAutospacing="0" w:line="360" w:lineRule="auto"/>
        <w:rPr>
          <w:rFonts w:ascii="Arial" w:hAnsi="Arial" w:cs="Arial"/>
          <w:b/>
        </w:rPr>
      </w:pPr>
      <w:r w:rsidRPr="009E2403">
        <w:rPr>
          <w:rFonts w:ascii="Arial" w:hAnsi="Arial" w:cs="Arial"/>
          <w:b/>
        </w:rPr>
        <w:t>Calculated Altman Z-Score Ratios</w:t>
      </w:r>
    </w:p>
    <w:tbl>
      <w:tblPr>
        <w:tblW w:w="8162" w:type="dxa"/>
        <w:jc w:val="center"/>
        <w:tblLook w:val="04A0" w:firstRow="1" w:lastRow="0" w:firstColumn="1" w:lastColumn="0" w:noHBand="0" w:noVBand="1"/>
      </w:tblPr>
      <w:tblGrid>
        <w:gridCol w:w="1701"/>
        <w:gridCol w:w="3100"/>
        <w:gridCol w:w="661"/>
        <w:gridCol w:w="661"/>
        <w:gridCol w:w="661"/>
        <w:gridCol w:w="661"/>
        <w:gridCol w:w="717"/>
      </w:tblGrid>
      <w:tr w:rsidR="00B72D22" w:rsidRPr="009E2403" w14:paraId="13A5DC5E" w14:textId="77777777" w:rsidTr="00FC43F6">
        <w:trPr>
          <w:trHeight w:val="549"/>
          <w:jc w:val="center"/>
        </w:trPr>
        <w:tc>
          <w:tcPr>
            <w:tcW w:w="1702" w:type="dxa"/>
            <w:tcBorders>
              <w:top w:val="single" w:sz="4" w:space="0" w:color="auto"/>
              <w:left w:val="single" w:sz="4" w:space="0" w:color="auto"/>
              <w:bottom w:val="double" w:sz="6" w:space="0" w:color="auto"/>
              <w:right w:val="single" w:sz="4" w:space="0" w:color="auto"/>
            </w:tcBorders>
            <w:vAlign w:val="center"/>
            <w:hideMark/>
          </w:tcPr>
          <w:p w14:paraId="26DDBC49"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Ratio Component</w:t>
            </w:r>
          </w:p>
        </w:tc>
        <w:tc>
          <w:tcPr>
            <w:tcW w:w="3107" w:type="dxa"/>
            <w:tcBorders>
              <w:top w:val="single" w:sz="4" w:space="0" w:color="auto"/>
              <w:left w:val="nil"/>
              <w:bottom w:val="double" w:sz="6" w:space="0" w:color="auto"/>
              <w:right w:val="single" w:sz="4" w:space="0" w:color="auto"/>
            </w:tcBorders>
            <w:vAlign w:val="center"/>
            <w:hideMark/>
          </w:tcPr>
          <w:p w14:paraId="238D12FD"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Calculation</w:t>
            </w:r>
          </w:p>
        </w:tc>
        <w:tc>
          <w:tcPr>
            <w:tcW w:w="660" w:type="dxa"/>
            <w:tcBorders>
              <w:top w:val="single" w:sz="4" w:space="0" w:color="auto"/>
              <w:left w:val="nil"/>
              <w:bottom w:val="double" w:sz="6" w:space="0" w:color="auto"/>
              <w:right w:val="single" w:sz="4" w:space="0" w:color="auto"/>
            </w:tcBorders>
            <w:vAlign w:val="center"/>
            <w:hideMark/>
          </w:tcPr>
          <w:p w14:paraId="761E3EE9"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2020</w:t>
            </w:r>
          </w:p>
        </w:tc>
        <w:tc>
          <w:tcPr>
            <w:tcW w:w="660" w:type="dxa"/>
            <w:tcBorders>
              <w:top w:val="single" w:sz="4" w:space="0" w:color="auto"/>
              <w:left w:val="nil"/>
              <w:bottom w:val="double" w:sz="6" w:space="0" w:color="auto"/>
              <w:right w:val="single" w:sz="4" w:space="0" w:color="auto"/>
            </w:tcBorders>
            <w:vAlign w:val="center"/>
            <w:hideMark/>
          </w:tcPr>
          <w:p w14:paraId="01606A08"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2021</w:t>
            </w:r>
          </w:p>
        </w:tc>
        <w:tc>
          <w:tcPr>
            <w:tcW w:w="660" w:type="dxa"/>
            <w:tcBorders>
              <w:top w:val="single" w:sz="4" w:space="0" w:color="auto"/>
              <w:left w:val="nil"/>
              <w:bottom w:val="double" w:sz="6" w:space="0" w:color="auto"/>
              <w:right w:val="single" w:sz="4" w:space="0" w:color="auto"/>
            </w:tcBorders>
            <w:vAlign w:val="center"/>
            <w:hideMark/>
          </w:tcPr>
          <w:p w14:paraId="6AD07245"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2022</w:t>
            </w:r>
          </w:p>
        </w:tc>
        <w:tc>
          <w:tcPr>
            <w:tcW w:w="660" w:type="dxa"/>
            <w:tcBorders>
              <w:top w:val="single" w:sz="4" w:space="0" w:color="auto"/>
              <w:left w:val="nil"/>
              <w:bottom w:val="double" w:sz="6" w:space="0" w:color="auto"/>
              <w:right w:val="single" w:sz="4" w:space="0" w:color="auto"/>
            </w:tcBorders>
            <w:vAlign w:val="center"/>
            <w:hideMark/>
          </w:tcPr>
          <w:p w14:paraId="59BCB834"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2023</w:t>
            </w:r>
          </w:p>
        </w:tc>
        <w:tc>
          <w:tcPr>
            <w:tcW w:w="713" w:type="dxa"/>
            <w:tcBorders>
              <w:top w:val="single" w:sz="4" w:space="0" w:color="auto"/>
              <w:left w:val="nil"/>
              <w:bottom w:val="double" w:sz="6" w:space="0" w:color="auto"/>
              <w:right w:val="single" w:sz="4" w:space="0" w:color="auto"/>
            </w:tcBorders>
            <w:vAlign w:val="center"/>
            <w:hideMark/>
          </w:tcPr>
          <w:p w14:paraId="37F380ED" w14:textId="77777777" w:rsidR="00536D78" w:rsidRPr="009E2403" w:rsidRDefault="00536D78" w:rsidP="00536D78">
            <w:pPr>
              <w:spacing w:after="0" w:line="240" w:lineRule="auto"/>
              <w:jc w:val="right"/>
              <w:rPr>
                <w:rFonts w:ascii="Arial" w:eastAsia="Times New Roman" w:hAnsi="Arial" w:cs="Arial"/>
                <w:b/>
                <w:bCs/>
                <w:sz w:val="20"/>
                <w:szCs w:val="20"/>
                <w:lang w:val="en-US"/>
              </w:rPr>
            </w:pPr>
            <w:r w:rsidRPr="009E2403">
              <w:rPr>
                <w:rFonts w:ascii="Arial" w:eastAsia="Times New Roman" w:hAnsi="Arial" w:cs="Arial"/>
                <w:b/>
                <w:bCs/>
                <w:sz w:val="20"/>
                <w:szCs w:val="20"/>
                <w:lang w:val="en-US"/>
              </w:rPr>
              <w:t>2024</w:t>
            </w:r>
          </w:p>
        </w:tc>
      </w:tr>
      <w:tr w:rsidR="00B72D22" w:rsidRPr="009E2403" w14:paraId="7C0FD5F9" w14:textId="77777777" w:rsidTr="00FC43F6">
        <w:trPr>
          <w:trHeight w:val="329"/>
          <w:jc w:val="center"/>
        </w:trPr>
        <w:tc>
          <w:tcPr>
            <w:tcW w:w="1702" w:type="dxa"/>
            <w:tcBorders>
              <w:top w:val="nil"/>
              <w:left w:val="single" w:sz="4" w:space="0" w:color="auto"/>
              <w:bottom w:val="single" w:sz="4" w:space="0" w:color="auto"/>
              <w:right w:val="single" w:sz="4" w:space="0" w:color="auto"/>
            </w:tcBorders>
            <w:vAlign w:val="center"/>
            <w:hideMark/>
          </w:tcPr>
          <w:p w14:paraId="5D03B493"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Ratio A</w:t>
            </w:r>
          </w:p>
        </w:tc>
        <w:tc>
          <w:tcPr>
            <w:tcW w:w="3107" w:type="dxa"/>
            <w:tcBorders>
              <w:top w:val="nil"/>
              <w:left w:val="nil"/>
              <w:bottom w:val="single" w:sz="4" w:space="0" w:color="auto"/>
              <w:right w:val="single" w:sz="4" w:space="0" w:color="auto"/>
            </w:tcBorders>
            <w:vAlign w:val="center"/>
            <w:hideMark/>
          </w:tcPr>
          <w:p w14:paraId="72334E9B"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Working Capital / Total Assets</w:t>
            </w:r>
          </w:p>
        </w:tc>
        <w:tc>
          <w:tcPr>
            <w:tcW w:w="660" w:type="dxa"/>
            <w:tcBorders>
              <w:top w:val="nil"/>
              <w:left w:val="nil"/>
              <w:bottom w:val="single" w:sz="4" w:space="0" w:color="auto"/>
              <w:right w:val="single" w:sz="4" w:space="0" w:color="auto"/>
            </w:tcBorders>
            <w:vAlign w:val="center"/>
            <w:hideMark/>
          </w:tcPr>
          <w:p w14:paraId="355B7D08"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0.29</w:t>
            </w:r>
          </w:p>
        </w:tc>
        <w:tc>
          <w:tcPr>
            <w:tcW w:w="660" w:type="dxa"/>
            <w:tcBorders>
              <w:top w:val="nil"/>
              <w:left w:val="nil"/>
              <w:bottom w:val="single" w:sz="4" w:space="0" w:color="auto"/>
              <w:right w:val="single" w:sz="4" w:space="0" w:color="auto"/>
            </w:tcBorders>
            <w:vAlign w:val="center"/>
            <w:hideMark/>
          </w:tcPr>
          <w:p w14:paraId="11D864F7"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0.24</w:t>
            </w:r>
          </w:p>
        </w:tc>
        <w:tc>
          <w:tcPr>
            <w:tcW w:w="660" w:type="dxa"/>
            <w:tcBorders>
              <w:top w:val="nil"/>
              <w:left w:val="nil"/>
              <w:bottom w:val="single" w:sz="4" w:space="0" w:color="auto"/>
              <w:right w:val="single" w:sz="4" w:space="0" w:color="auto"/>
            </w:tcBorders>
            <w:vAlign w:val="center"/>
            <w:hideMark/>
          </w:tcPr>
          <w:p w14:paraId="35A60F07"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0.24</w:t>
            </w:r>
          </w:p>
        </w:tc>
        <w:tc>
          <w:tcPr>
            <w:tcW w:w="660" w:type="dxa"/>
            <w:tcBorders>
              <w:top w:val="nil"/>
              <w:left w:val="nil"/>
              <w:bottom w:val="single" w:sz="4" w:space="0" w:color="auto"/>
              <w:right w:val="single" w:sz="4" w:space="0" w:color="auto"/>
            </w:tcBorders>
            <w:vAlign w:val="center"/>
            <w:hideMark/>
          </w:tcPr>
          <w:p w14:paraId="3E9B5B55"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0.28</w:t>
            </w:r>
          </w:p>
        </w:tc>
        <w:tc>
          <w:tcPr>
            <w:tcW w:w="713" w:type="dxa"/>
            <w:tcBorders>
              <w:top w:val="nil"/>
              <w:left w:val="nil"/>
              <w:bottom w:val="single" w:sz="4" w:space="0" w:color="auto"/>
              <w:right w:val="single" w:sz="4" w:space="0" w:color="auto"/>
            </w:tcBorders>
            <w:vAlign w:val="center"/>
            <w:hideMark/>
          </w:tcPr>
          <w:p w14:paraId="690B92E9"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0.26</w:t>
            </w:r>
          </w:p>
        </w:tc>
      </w:tr>
      <w:tr w:rsidR="00B72D22" w:rsidRPr="009E2403" w14:paraId="1B9CE411" w14:textId="77777777" w:rsidTr="00FC43F6">
        <w:trPr>
          <w:trHeight w:val="314"/>
          <w:jc w:val="center"/>
        </w:trPr>
        <w:tc>
          <w:tcPr>
            <w:tcW w:w="1702" w:type="dxa"/>
            <w:tcBorders>
              <w:top w:val="nil"/>
              <w:left w:val="single" w:sz="4" w:space="0" w:color="auto"/>
              <w:bottom w:val="single" w:sz="4" w:space="0" w:color="auto"/>
              <w:right w:val="single" w:sz="4" w:space="0" w:color="auto"/>
            </w:tcBorders>
            <w:vAlign w:val="center"/>
            <w:hideMark/>
          </w:tcPr>
          <w:p w14:paraId="0690AFCA"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Ratio B</w:t>
            </w:r>
          </w:p>
        </w:tc>
        <w:tc>
          <w:tcPr>
            <w:tcW w:w="3107" w:type="dxa"/>
            <w:tcBorders>
              <w:top w:val="nil"/>
              <w:left w:val="nil"/>
              <w:bottom w:val="single" w:sz="4" w:space="0" w:color="auto"/>
              <w:right w:val="single" w:sz="4" w:space="0" w:color="auto"/>
            </w:tcBorders>
            <w:vAlign w:val="center"/>
            <w:hideMark/>
          </w:tcPr>
          <w:p w14:paraId="77B4954C"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Retained Earnings / Total Assets</w:t>
            </w:r>
          </w:p>
        </w:tc>
        <w:tc>
          <w:tcPr>
            <w:tcW w:w="660" w:type="dxa"/>
            <w:tcBorders>
              <w:top w:val="nil"/>
              <w:left w:val="nil"/>
              <w:bottom w:val="single" w:sz="4" w:space="0" w:color="auto"/>
              <w:right w:val="single" w:sz="4" w:space="0" w:color="auto"/>
            </w:tcBorders>
            <w:vAlign w:val="center"/>
            <w:hideMark/>
          </w:tcPr>
          <w:p w14:paraId="65D0784C"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0.64</w:t>
            </w:r>
          </w:p>
        </w:tc>
        <w:tc>
          <w:tcPr>
            <w:tcW w:w="660" w:type="dxa"/>
            <w:tcBorders>
              <w:top w:val="nil"/>
              <w:left w:val="nil"/>
              <w:bottom w:val="single" w:sz="4" w:space="0" w:color="auto"/>
              <w:right w:val="single" w:sz="4" w:space="0" w:color="auto"/>
            </w:tcBorders>
            <w:vAlign w:val="center"/>
            <w:hideMark/>
          </w:tcPr>
          <w:p w14:paraId="09A3E6D6"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0.65</w:t>
            </w:r>
          </w:p>
        </w:tc>
        <w:tc>
          <w:tcPr>
            <w:tcW w:w="660" w:type="dxa"/>
            <w:tcBorders>
              <w:top w:val="nil"/>
              <w:left w:val="nil"/>
              <w:bottom w:val="single" w:sz="4" w:space="0" w:color="auto"/>
              <w:right w:val="single" w:sz="4" w:space="0" w:color="auto"/>
            </w:tcBorders>
            <w:vAlign w:val="center"/>
            <w:hideMark/>
          </w:tcPr>
          <w:p w14:paraId="6FDB5071"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0.66</w:t>
            </w:r>
          </w:p>
        </w:tc>
        <w:tc>
          <w:tcPr>
            <w:tcW w:w="660" w:type="dxa"/>
            <w:tcBorders>
              <w:top w:val="nil"/>
              <w:left w:val="nil"/>
              <w:bottom w:val="single" w:sz="4" w:space="0" w:color="auto"/>
              <w:right w:val="single" w:sz="4" w:space="0" w:color="auto"/>
            </w:tcBorders>
            <w:vAlign w:val="center"/>
            <w:hideMark/>
          </w:tcPr>
          <w:p w14:paraId="4BAA01CD"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0.65</w:t>
            </w:r>
          </w:p>
        </w:tc>
        <w:tc>
          <w:tcPr>
            <w:tcW w:w="713" w:type="dxa"/>
            <w:tcBorders>
              <w:top w:val="nil"/>
              <w:left w:val="nil"/>
              <w:bottom w:val="single" w:sz="4" w:space="0" w:color="auto"/>
              <w:right w:val="single" w:sz="4" w:space="0" w:color="auto"/>
            </w:tcBorders>
            <w:vAlign w:val="center"/>
            <w:hideMark/>
          </w:tcPr>
          <w:p w14:paraId="5413EDF6"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0.645</w:t>
            </w:r>
          </w:p>
        </w:tc>
      </w:tr>
      <w:tr w:rsidR="00B72D22" w:rsidRPr="009E2403" w14:paraId="20ED59AF" w14:textId="77777777" w:rsidTr="00FC43F6">
        <w:trPr>
          <w:trHeight w:val="314"/>
          <w:jc w:val="center"/>
        </w:trPr>
        <w:tc>
          <w:tcPr>
            <w:tcW w:w="1702" w:type="dxa"/>
            <w:tcBorders>
              <w:top w:val="nil"/>
              <w:left w:val="single" w:sz="4" w:space="0" w:color="auto"/>
              <w:bottom w:val="single" w:sz="4" w:space="0" w:color="auto"/>
              <w:right w:val="single" w:sz="4" w:space="0" w:color="auto"/>
            </w:tcBorders>
            <w:vAlign w:val="center"/>
            <w:hideMark/>
          </w:tcPr>
          <w:p w14:paraId="6CE610A7"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Ratio C</w:t>
            </w:r>
          </w:p>
        </w:tc>
        <w:tc>
          <w:tcPr>
            <w:tcW w:w="3107" w:type="dxa"/>
            <w:tcBorders>
              <w:top w:val="nil"/>
              <w:left w:val="nil"/>
              <w:bottom w:val="single" w:sz="4" w:space="0" w:color="auto"/>
              <w:right w:val="single" w:sz="4" w:space="0" w:color="auto"/>
            </w:tcBorders>
            <w:vAlign w:val="center"/>
            <w:hideMark/>
          </w:tcPr>
          <w:p w14:paraId="5119C483"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EBIT / Total Assets</w:t>
            </w:r>
          </w:p>
        </w:tc>
        <w:tc>
          <w:tcPr>
            <w:tcW w:w="660" w:type="dxa"/>
            <w:tcBorders>
              <w:top w:val="nil"/>
              <w:left w:val="nil"/>
              <w:bottom w:val="single" w:sz="4" w:space="0" w:color="auto"/>
              <w:right w:val="single" w:sz="4" w:space="0" w:color="auto"/>
            </w:tcBorders>
            <w:vAlign w:val="center"/>
            <w:hideMark/>
          </w:tcPr>
          <w:p w14:paraId="6494BA5E"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0.07</w:t>
            </w:r>
          </w:p>
        </w:tc>
        <w:tc>
          <w:tcPr>
            <w:tcW w:w="660" w:type="dxa"/>
            <w:tcBorders>
              <w:top w:val="nil"/>
              <w:left w:val="nil"/>
              <w:bottom w:val="single" w:sz="4" w:space="0" w:color="auto"/>
              <w:right w:val="single" w:sz="4" w:space="0" w:color="auto"/>
            </w:tcBorders>
            <w:vAlign w:val="center"/>
            <w:hideMark/>
          </w:tcPr>
          <w:p w14:paraId="38BE8DC1"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0.05</w:t>
            </w:r>
          </w:p>
        </w:tc>
        <w:tc>
          <w:tcPr>
            <w:tcW w:w="660" w:type="dxa"/>
            <w:tcBorders>
              <w:top w:val="nil"/>
              <w:left w:val="nil"/>
              <w:bottom w:val="single" w:sz="4" w:space="0" w:color="auto"/>
              <w:right w:val="single" w:sz="4" w:space="0" w:color="auto"/>
            </w:tcBorders>
            <w:vAlign w:val="center"/>
            <w:hideMark/>
          </w:tcPr>
          <w:p w14:paraId="0150E448"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0.03</w:t>
            </w:r>
          </w:p>
        </w:tc>
        <w:tc>
          <w:tcPr>
            <w:tcW w:w="660" w:type="dxa"/>
            <w:tcBorders>
              <w:top w:val="nil"/>
              <w:left w:val="nil"/>
              <w:bottom w:val="single" w:sz="4" w:space="0" w:color="auto"/>
              <w:right w:val="single" w:sz="4" w:space="0" w:color="auto"/>
            </w:tcBorders>
            <w:vAlign w:val="center"/>
            <w:hideMark/>
          </w:tcPr>
          <w:p w14:paraId="1752565B"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-0.24</w:t>
            </w:r>
          </w:p>
        </w:tc>
        <w:tc>
          <w:tcPr>
            <w:tcW w:w="713" w:type="dxa"/>
            <w:tcBorders>
              <w:top w:val="nil"/>
              <w:left w:val="nil"/>
              <w:bottom w:val="single" w:sz="4" w:space="0" w:color="auto"/>
              <w:right w:val="single" w:sz="4" w:space="0" w:color="auto"/>
            </w:tcBorders>
            <w:vAlign w:val="center"/>
            <w:hideMark/>
          </w:tcPr>
          <w:p w14:paraId="4CC79D60"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-0.05</w:t>
            </w:r>
          </w:p>
        </w:tc>
      </w:tr>
      <w:tr w:rsidR="00B72D22" w:rsidRPr="009E2403" w14:paraId="7DF2142B" w14:textId="77777777" w:rsidTr="00FC43F6">
        <w:trPr>
          <w:trHeight w:val="533"/>
          <w:jc w:val="center"/>
        </w:trPr>
        <w:tc>
          <w:tcPr>
            <w:tcW w:w="1702" w:type="dxa"/>
            <w:tcBorders>
              <w:top w:val="nil"/>
              <w:left w:val="single" w:sz="4" w:space="0" w:color="auto"/>
              <w:bottom w:val="single" w:sz="4" w:space="0" w:color="auto"/>
              <w:right w:val="single" w:sz="4" w:space="0" w:color="auto"/>
            </w:tcBorders>
            <w:vAlign w:val="center"/>
            <w:hideMark/>
          </w:tcPr>
          <w:p w14:paraId="4C965CB9"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Ratio D</w:t>
            </w:r>
          </w:p>
        </w:tc>
        <w:tc>
          <w:tcPr>
            <w:tcW w:w="3107" w:type="dxa"/>
            <w:tcBorders>
              <w:top w:val="nil"/>
              <w:left w:val="nil"/>
              <w:bottom w:val="single" w:sz="4" w:space="0" w:color="auto"/>
              <w:right w:val="single" w:sz="4" w:space="0" w:color="auto"/>
            </w:tcBorders>
            <w:vAlign w:val="center"/>
            <w:hideMark/>
          </w:tcPr>
          <w:p w14:paraId="3F70105B"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Market Value of Equity / Total Liabilities</w:t>
            </w:r>
          </w:p>
        </w:tc>
        <w:tc>
          <w:tcPr>
            <w:tcW w:w="660" w:type="dxa"/>
            <w:tcBorders>
              <w:top w:val="nil"/>
              <w:left w:val="nil"/>
              <w:bottom w:val="single" w:sz="4" w:space="0" w:color="auto"/>
              <w:right w:val="single" w:sz="4" w:space="0" w:color="auto"/>
            </w:tcBorders>
            <w:vAlign w:val="center"/>
            <w:hideMark/>
          </w:tcPr>
          <w:p w14:paraId="49304328"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1.59</w:t>
            </w:r>
          </w:p>
        </w:tc>
        <w:tc>
          <w:tcPr>
            <w:tcW w:w="660" w:type="dxa"/>
            <w:tcBorders>
              <w:top w:val="nil"/>
              <w:left w:val="nil"/>
              <w:bottom w:val="single" w:sz="4" w:space="0" w:color="auto"/>
              <w:right w:val="single" w:sz="4" w:space="0" w:color="auto"/>
            </w:tcBorders>
            <w:vAlign w:val="center"/>
            <w:hideMark/>
          </w:tcPr>
          <w:p w14:paraId="5B8D360A"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1.18</w:t>
            </w:r>
          </w:p>
        </w:tc>
        <w:tc>
          <w:tcPr>
            <w:tcW w:w="660" w:type="dxa"/>
            <w:tcBorders>
              <w:top w:val="nil"/>
              <w:left w:val="nil"/>
              <w:bottom w:val="single" w:sz="4" w:space="0" w:color="auto"/>
              <w:right w:val="single" w:sz="4" w:space="0" w:color="auto"/>
            </w:tcBorders>
            <w:vAlign w:val="center"/>
            <w:hideMark/>
          </w:tcPr>
          <w:p w14:paraId="535EF5AC"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1.14</w:t>
            </w:r>
          </w:p>
        </w:tc>
        <w:tc>
          <w:tcPr>
            <w:tcW w:w="660" w:type="dxa"/>
            <w:tcBorders>
              <w:top w:val="nil"/>
              <w:left w:val="nil"/>
              <w:bottom w:val="single" w:sz="4" w:space="0" w:color="auto"/>
              <w:right w:val="single" w:sz="4" w:space="0" w:color="auto"/>
            </w:tcBorders>
            <w:vAlign w:val="center"/>
            <w:hideMark/>
          </w:tcPr>
          <w:p w14:paraId="7D03B1BB"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1.01</w:t>
            </w:r>
          </w:p>
        </w:tc>
        <w:tc>
          <w:tcPr>
            <w:tcW w:w="713" w:type="dxa"/>
            <w:tcBorders>
              <w:top w:val="nil"/>
              <w:left w:val="nil"/>
              <w:bottom w:val="single" w:sz="4" w:space="0" w:color="auto"/>
              <w:right w:val="single" w:sz="4" w:space="0" w:color="auto"/>
            </w:tcBorders>
            <w:vAlign w:val="center"/>
            <w:hideMark/>
          </w:tcPr>
          <w:p w14:paraId="11C64281"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0.899</w:t>
            </w:r>
          </w:p>
        </w:tc>
      </w:tr>
      <w:tr w:rsidR="00B72D22" w:rsidRPr="009E2403" w14:paraId="58209939" w14:textId="77777777" w:rsidTr="00FC43F6">
        <w:trPr>
          <w:trHeight w:val="329"/>
          <w:jc w:val="center"/>
        </w:trPr>
        <w:tc>
          <w:tcPr>
            <w:tcW w:w="1702" w:type="dxa"/>
            <w:tcBorders>
              <w:top w:val="nil"/>
              <w:left w:val="single" w:sz="4" w:space="0" w:color="auto"/>
              <w:bottom w:val="double" w:sz="6" w:space="0" w:color="auto"/>
              <w:right w:val="single" w:sz="4" w:space="0" w:color="auto"/>
            </w:tcBorders>
            <w:vAlign w:val="center"/>
            <w:hideMark/>
          </w:tcPr>
          <w:p w14:paraId="4AFCB67F"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Ratio E</w:t>
            </w:r>
          </w:p>
        </w:tc>
        <w:tc>
          <w:tcPr>
            <w:tcW w:w="3107" w:type="dxa"/>
            <w:tcBorders>
              <w:top w:val="nil"/>
              <w:left w:val="nil"/>
              <w:bottom w:val="double" w:sz="6" w:space="0" w:color="auto"/>
              <w:right w:val="single" w:sz="4" w:space="0" w:color="auto"/>
            </w:tcBorders>
            <w:vAlign w:val="center"/>
            <w:hideMark/>
          </w:tcPr>
          <w:p w14:paraId="5BF21029"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Sales / Total Assets</w:t>
            </w:r>
          </w:p>
        </w:tc>
        <w:tc>
          <w:tcPr>
            <w:tcW w:w="660" w:type="dxa"/>
            <w:tcBorders>
              <w:top w:val="nil"/>
              <w:left w:val="nil"/>
              <w:bottom w:val="double" w:sz="6" w:space="0" w:color="auto"/>
              <w:right w:val="single" w:sz="4" w:space="0" w:color="auto"/>
            </w:tcBorders>
            <w:vAlign w:val="center"/>
            <w:hideMark/>
          </w:tcPr>
          <w:p w14:paraId="7062CF8E"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1.21</w:t>
            </w:r>
          </w:p>
        </w:tc>
        <w:tc>
          <w:tcPr>
            <w:tcW w:w="660" w:type="dxa"/>
            <w:tcBorders>
              <w:top w:val="nil"/>
              <w:left w:val="nil"/>
              <w:bottom w:val="double" w:sz="6" w:space="0" w:color="auto"/>
              <w:right w:val="single" w:sz="4" w:space="0" w:color="auto"/>
            </w:tcBorders>
            <w:vAlign w:val="center"/>
            <w:hideMark/>
          </w:tcPr>
          <w:p w14:paraId="19C1728C"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1.18</w:t>
            </w:r>
          </w:p>
        </w:tc>
        <w:tc>
          <w:tcPr>
            <w:tcW w:w="660" w:type="dxa"/>
            <w:tcBorders>
              <w:top w:val="nil"/>
              <w:left w:val="nil"/>
              <w:bottom w:val="double" w:sz="6" w:space="0" w:color="auto"/>
              <w:right w:val="single" w:sz="4" w:space="0" w:color="auto"/>
            </w:tcBorders>
            <w:vAlign w:val="center"/>
            <w:hideMark/>
          </w:tcPr>
          <w:p w14:paraId="2D54375B"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1.08</w:t>
            </w:r>
          </w:p>
        </w:tc>
        <w:tc>
          <w:tcPr>
            <w:tcW w:w="660" w:type="dxa"/>
            <w:tcBorders>
              <w:top w:val="nil"/>
              <w:left w:val="nil"/>
              <w:bottom w:val="double" w:sz="6" w:space="0" w:color="auto"/>
              <w:right w:val="single" w:sz="4" w:space="0" w:color="auto"/>
            </w:tcBorders>
            <w:vAlign w:val="center"/>
            <w:hideMark/>
          </w:tcPr>
          <w:p w14:paraId="12DC7760"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1.18</w:t>
            </w:r>
          </w:p>
        </w:tc>
        <w:tc>
          <w:tcPr>
            <w:tcW w:w="713" w:type="dxa"/>
            <w:tcBorders>
              <w:top w:val="nil"/>
              <w:left w:val="nil"/>
              <w:bottom w:val="double" w:sz="6" w:space="0" w:color="auto"/>
              <w:right w:val="single" w:sz="4" w:space="0" w:color="auto"/>
            </w:tcBorders>
            <w:vAlign w:val="center"/>
            <w:hideMark/>
          </w:tcPr>
          <w:p w14:paraId="2EDC6522"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1.221</w:t>
            </w:r>
          </w:p>
        </w:tc>
      </w:tr>
    </w:tbl>
    <w:p w14:paraId="75A311AC" w14:textId="77777777" w:rsidR="00536D78" w:rsidRPr="009E2403" w:rsidRDefault="00536D78" w:rsidP="001F675A">
      <w:pPr>
        <w:pStyle w:val="NormalWeb"/>
        <w:spacing w:before="0" w:beforeAutospacing="0" w:line="360" w:lineRule="auto"/>
        <w:rPr>
          <w:rFonts w:ascii="Arial" w:hAnsi="Arial" w:cs="Arial"/>
          <w:color w:val="404040"/>
        </w:rPr>
      </w:pPr>
    </w:p>
    <w:p w14:paraId="0BE9D7E4" w14:textId="77777777" w:rsidR="00536D78" w:rsidRPr="009E2403" w:rsidRDefault="00536D78" w:rsidP="001F675A">
      <w:pPr>
        <w:pStyle w:val="NormalWeb"/>
        <w:spacing w:before="0" w:beforeAutospacing="0" w:line="360" w:lineRule="auto"/>
        <w:rPr>
          <w:rFonts w:ascii="Arial" w:hAnsi="Arial" w:cs="Arial"/>
          <w:b/>
        </w:rPr>
      </w:pPr>
      <w:r w:rsidRPr="009E2403">
        <w:rPr>
          <w:rFonts w:ascii="Arial" w:hAnsi="Arial" w:cs="Arial"/>
          <w:b/>
        </w:rPr>
        <w:t>Altman Z-Score Analysis</w:t>
      </w:r>
    </w:p>
    <w:tbl>
      <w:tblPr>
        <w:tblW w:w="8040" w:type="dxa"/>
        <w:jc w:val="center"/>
        <w:tblLook w:val="04A0" w:firstRow="1" w:lastRow="0" w:firstColumn="1" w:lastColumn="0" w:noHBand="0" w:noVBand="1"/>
      </w:tblPr>
      <w:tblGrid>
        <w:gridCol w:w="661"/>
        <w:gridCol w:w="1140"/>
        <w:gridCol w:w="880"/>
        <w:gridCol w:w="5359"/>
      </w:tblGrid>
      <w:tr w:rsidR="00536D78" w:rsidRPr="009E2403" w14:paraId="1954D8A8" w14:textId="77777777" w:rsidTr="00FC43F6">
        <w:trPr>
          <w:trHeight w:val="525"/>
          <w:jc w:val="center"/>
        </w:trPr>
        <w:tc>
          <w:tcPr>
            <w:tcW w:w="520" w:type="dxa"/>
            <w:tcBorders>
              <w:top w:val="single" w:sz="4" w:space="0" w:color="auto"/>
              <w:left w:val="single" w:sz="8" w:space="0" w:color="284E3F"/>
              <w:bottom w:val="double" w:sz="6" w:space="0" w:color="auto"/>
              <w:right w:val="single" w:sz="8" w:space="0" w:color="356854"/>
            </w:tcBorders>
            <w:vAlign w:val="center"/>
            <w:hideMark/>
          </w:tcPr>
          <w:p w14:paraId="250C0897"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Year</w:t>
            </w:r>
          </w:p>
        </w:tc>
        <w:tc>
          <w:tcPr>
            <w:tcW w:w="1340" w:type="dxa"/>
            <w:tcBorders>
              <w:top w:val="single" w:sz="4" w:space="0" w:color="auto"/>
              <w:left w:val="single" w:sz="8" w:space="0" w:color="CCCCCC"/>
              <w:bottom w:val="double" w:sz="6" w:space="0" w:color="auto"/>
              <w:right w:val="single" w:sz="8" w:space="0" w:color="356854"/>
            </w:tcBorders>
            <w:vAlign w:val="center"/>
            <w:hideMark/>
          </w:tcPr>
          <w:p w14:paraId="59B25CA0"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Z-Score Value</w:t>
            </w:r>
          </w:p>
        </w:tc>
        <w:tc>
          <w:tcPr>
            <w:tcW w:w="980" w:type="dxa"/>
            <w:tcBorders>
              <w:top w:val="single" w:sz="4" w:space="0" w:color="auto"/>
              <w:left w:val="single" w:sz="8" w:space="0" w:color="CCCCCC"/>
              <w:bottom w:val="double" w:sz="6" w:space="0" w:color="auto"/>
              <w:right w:val="single" w:sz="8" w:space="0" w:color="356854"/>
            </w:tcBorders>
            <w:vAlign w:val="center"/>
            <w:hideMark/>
          </w:tcPr>
          <w:p w14:paraId="2A9842D0"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Risk Zone</w:t>
            </w:r>
          </w:p>
        </w:tc>
        <w:tc>
          <w:tcPr>
            <w:tcW w:w="5200" w:type="dxa"/>
            <w:tcBorders>
              <w:top w:val="single" w:sz="4" w:space="0" w:color="auto"/>
              <w:left w:val="single" w:sz="8" w:space="0" w:color="CCCCCC"/>
              <w:bottom w:val="double" w:sz="6" w:space="0" w:color="auto"/>
              <w:right w:val="single" w:sz="8" w:space="0" w:color="284E3F"/>
            </w:tcBorders>
            <w:vAlign w:val="center"/>
            <w:hideMark/>
          </w:tcPr>
          <w:p w14:paraId="2E47F37D"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Z-Score Calculation</w:t>
            </w:r>
          </w:p>
        </w:tc>
      </w:tr>
      <w:tr w:rsidR="00536D78" w:rsidRPr="009E2403" w14:paraId="02FE50C0" w14:textId="77777777" w:rsidTr="00FC43F6">
        <w:trPr>
          <w:trHeight w:val="330"/>
          <w:jc w:val="center"/>
        </w:trPr>
        <w:tc>
          <w:tcPr>
            <w:tcW w:w="520" w:type="dxa"/>
            <w:tcBorders>
              <w:top w:val="nil"/>
              <w:left w:val="single" w:sz="8" w:space="0" w:color="284E3F"/>
              <w:bottom w:val="single" w:sz="8" w:space="0" w:color="F6F8F9"/>
              <w:right w:val="single" w:sz="8" w:space="0" w:color="FFFFFF"/>
            </w:tcBorders>
            <w:vAlign w:val="center"/>
            <w:hideMark/>
          </w:tcPr>
          <w:p w14:paraId="67085B21"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2020</w:t>
            </w:r>
          </w:p>
        </w:tc>
        <w:tc>
          <w:tcPr>
            <w:tcW w:w="1340" w:type="dxa"/>
            <w:tcBorders>
              <w:top w:val="nil"/>
              <w:left w:val="single" w:sz="8" w:space="0" w:color="CCCCCC"/>
              <w:bottom w:val="single" w:sz="8" w:space="0" w:color="F6F8F9"/>
              <w:right w:val="single" w:sz="8" w:space="0" w:color="FFFFFF"/>
            </w:tcBorders>
            <w:vAlign w:val="center"/>
            <w:hideMark/>
          </w:tcPr>
          <w:p w14:paraId="469CE05F"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3.64</w:t>
            </w:r>
          </w:p>
        </w:tc>
        <w:tc>
          <w:tcPr>
            <w:tcW w:w="980" w:type="dxa"/>
            <w:tcBorders>
              <w:top w:val="nil"/>
              <w:left w:val="single" w:sz="8" w:space="0" w:color="CCCCCC"/>
              <w:bottom w:val="single" w:sz="8" w:space="0" w:color="F6F8F9"/>
              <w:right w:val="single" w:sz="8" w:space="0" w:color="FFFFFF"/>
            </w:tcBorders>
            <w:vAlign w:val="center"/>
            <w:hideMark/>
          </w:tcPr>
          <w:p w14:paraId="0B587F1F"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Safe</w:t>
            </w:r>
          </w:p>
        </w:tc>
        <w:tc>
          <w:tcPr>
            <w:tcW w:w="5200" w:type="dxa"/>
            <w:tcBorders>
              <w:top w:val="nil"/>
              <w:left w:val="single" w:sz="8" w:space="0" w:color="CCCCCC"/>
              <w:bottom w:val="single" w:sz="8" w:space="0" w:color="F6F8F9"/>
              <w:right w:val="single" w:sz="8" w:space="0" w:color="284E3F"/>
            </w:tcBorders>
            <w:vAlign w:val="center"/>
            <w:hideMark/>
          </w:tcPr>
          <w:p w14:paraId="5D117D3C"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1.2(0.289)+1.4(0.637)+3.3(0.073)+0.6(1.590)+1.0(1.205)</w:t>
            </w:r>
          </w:p>
        </w:tc>
      </w:tr>
      <w:tr w:rsidR="00536D78" w:rsidRPr="009E2403" w14:paraId="4A0F2334" w14:textId="77777777" w:rsidTr="00FC43F6">
        <w:trPr>
          <w:trHeight w:val="315"/>
          <w:jc w:val="center"/>
        </w:trPr>
        <w:tc>
          <w:tcPr>
            <w:tcW w:w="520" w:type="dxa"/>
            <w:tcBorders>
              <w:top w:val="single" w:sz="8" w:space="0" w:color="CCCCCC"/>
              <w:left w:val="single" w:sz="8" w:space="0" w:color="284E3F"/>
              <w:bottom w:val="single" w:sz="8" w:space="0" w:color="F6F8F9"/>
              <w:right w:val="single" w:sz="8" w:space="0" w:color="F6F8F9"/>
            </w:tcBorders>
            <w:vAlign w:val="center"/>
            <w:hideMark/>
          </w:tcPr>
          <w:p w14:paraId="716C8314"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2021</w:t>
            </w:r>
          </w:p>
        </w:tc>
        <w:tc>
          <w:tcPr>
            <w:tcW w:w="1340" w:type="dxa"/>
            <w:tcBorders>
              <w:top w:val="single" w:sz="8" w:space="0" w:color="CCCCCC"/>
              <w:left w:val="single" w:sz="8" w:space="0" w:color="CCCCCC"/>
              <w:bottom w:val="single" w:sz="8" w:space="0" w:color="F6F8F9"/>
              <w:right w:val="single" w:sz="8" w:space="0" w:color="F6F8F9"/>
            </w:tcBorders>
            <w:vAlign w:val="center"/>
            <w:hideMark/>
          </w:tcPr>
          <w:p w14:paraId="6AED9259"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3.22</w:t>
            </w:r>
          </w:p>
        </w:tc>
        <w:tc>
          <w:tcPr>
            <w:tcW w:w="980" w:type="dxa"/>
            <w:tcBorders>
              <w:top w:val="single" w:sz="8" w:space="0" w:color="CCCCCC"/>
              <w:left w:val="single" w:sz="8" w:space="0" w:color="CCCCCC"/>
              <w:bottom w:val="single" w:sz="8" w:space="0" w:color="F6F8F9"/>
              <w:right w:val="single" w:sz="8" w:space="0" w:color="F6F8F9"/>
            </w:tcBorders>
            <w:vAlign w:val="center"/>
            <w:hideMark/>
          </w:tcPr>
          <w:p w14:paraId="3714494F"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Safe</w:t>
            </w:r>
          </w:p>
        </w:tc>
        <w:tc>
          <w:tcPr>
            <w:tcW w:w="5200" w:type="dxa"/>
            <w:tcBorders>
              <w:top w:val="single" w:sz="8" w:space="0" w:color="CCCCCC"/>
              <w:left w:val="single" w:sz="8" w:space="0" w:color="CCCCCC"/>
              <w:bottom w:val="single" w:sz="8" w:space="0" w:color="F6F8F9"/>
              <w:right w:val="single" w:sz="8" w:space="0" w:color="284E3F"/>
            </w:tcBorders>
            <w:vAlign w:val="center"/>
            <w:hideMark/>
          </w:tcPr>
          <w:p w14:paraId="204D219C"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1.2(0.236)+1.4(0.647)+3.3(0.046)+0.6(1.177)+1.0(1.179)</w:t>
            </w:r>
          </w:p>
        </w:tc>
      </w:tr>
      <w:tr w:rsidR="00536D78" w:rsidRPr="009E2403" w14:paraId="74029981" w14:textId="77777777" w:rsidTr="00FC43F6">
        <w:trPr>
          <w:trHeight w:val="315"/>
          <w:jc w:val="center"/>
        </w:trPr>
        <w:tc>
          <w:tcPr>
            <w:tcW w:w="520" w:type="dxa"/>
            <w:tcBorders>
              <w:top w:val="single" w:sz="8" w:space="0" w:color="CCCCCC"/>
              <w:left w:val="single" w:sz="8" w:space="0" w:color="284E3F"/>
              <w:bottom w:val="single" w:sz="8" w:space="0" w:color="F6F8F9"/>
              <w:right w:val="single" w:sz="8" w:space="0" w:color="FFFFFF"/>
            </w:tcBorders>
            <w:vAlign w:val="center"/>
            <w:hideMark/>
          </w:tcPr>
          <w:p w14:paraId="41C6714F"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2022</w:t>
            </w:r>
          </w:p>
        </w:tc>
        <w:tc>
          <w:tcPr>
            <w:tcW w:w="1340" w:type="dxa"/>
            <w:tcBorders>
              <w:top w:val="single" w:sz="8" w:space="0" w:color="CCCCCC"/>
              <w:left w:val="single" w:sz="8" w:space="0" w:color="CCCCCC"/>
              <w:bottom w:val="single" w:sz="8" w:space="0" w:color="F6F8F9"/>
              <w:right w:val="single" w:sz="8" w:space="0" w:color="FFFFFF"/>
            </w:tcBorders>
            <w:vAlign w:val="center"/>
            <w:hideMark/>
          </w:tcPr>
          <w:p w14:paraId="74F5C15B"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3.06</w:t>
            </w:r>
          </w:p>
        </w:tc>
        <w:tc>
          <w:tcPr>
            <w:tcW w:w="980" w:type="dxa"/>
            <w:tcBorders>
              <w:top w:val="single" w:sz="8" w:space="0" w:color="CCCCCC"/>
              <w:left w:val="single" w:sz="8" w:space="0" w:color="CCCCCC"/>
              <w:bottom w:val="single" w:sz="8" w:space="0" w:color="F6F8F9"/>
              <w:right w:val="single" w:sz="8" w:space="0" w:color="FFFFFF"/>
            </w:tcBorders>
            <w:vAlign w:val="center"/>
            <w:hideMark/>
          </w:tcPr>
          <w:p w14:paraId="1307C236"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Safe</w:t>
            </w:r>
          </w:p>
        </w:tc>
        <w:tc>
          <w:tcPr>
            <w:tcW w:w="5200" w:type="dxa"/>
            <w:tcBorders>
              <w:top w:val="single" w:sz="8" w:space="0" w:color="CCCCCC"/>
              <w:left w:val="single" w:sz="8" w:space="0" w:color="CCCCCC"/>
              <w:bottom w:val="single" w:sz="8" w:space="0" w:color="F6F8F9"/>
              <w:right w:val="single" w:sz="8" w:space="0" w:color="284E3F"/>
            </w:tcBorders>
            <w:vAlign w:val="center"/>
            <w:hideMark/>
          </w:tcPr>
          <w:p w14:paraId="2BB258BA"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1.2(0.241)+1.4(0.656)+3.3(0.029)+0.6(1.138)+1.0(1.077)</w:t>
            </w:r>
          </w:p>
        </w:tc>
      </w:tr>
      <w:tr w:rsidR="00536D78" w:rsidRPr="009E2403" w14:paraId="48604042" w14:textId="77777777" w:rsidTr="00FC43F6">
        <w:trPr>
          <w:trHeight w:val="315"/>
          <w:jc w:val="center"/>
        </w:trPr>
        <w:tc>
          <w:tcPr>
            <w:tcW w:w="520" w:type="dxa"/>
            <w:tcBorders>
              <w:top w:val="single" w:sz="8" w:space="0" w:color="CCCCCC"/>
              <w:left w:val="single" w:sz="8" w:space="0" w:color="284E3F"/>
              <w:bottom w:val="single" w:sz="8" w:space="0" w:color="F6F8F9"/>
              <w:right w:val="single" w:sz="8" w:space="0" w:color="F6F8F9"/>
            </w:tcBorders>
            <w:vAlign w:val="center"/>
            <w:hideMark/>
          </w:tcPr>
          <w:p w14:paraId="22C7E413"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2023</w:t>
            </w:r>
          </w:p>
        </w:tc>
        <w:tc>
          <w:tcPr>
            <w:tcW w:w="1340" w:type="dxa"/>
            <w:tcBorders>
              <w:top w:val="single" w:sz="8" w:space="0" w:color="CCCCCC"/>
              <w:left w:val="single" w:sz="8" w:space="0" w:color="CCCCCC"/>
              <w:bottom w:val="single" w:sz="8" w:space="0" w:color="F6F8F9"/>
              <w:right w:val="single" w:sz="8" w:space="0" w:color="F6F8F9"/>
            </w:tcBorders>
            <w:vAlign w:val="center"/>
            <w:hideMark/>
          </w:tcPr>
          <w:p w14:paraId="69856A44"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2.24</w:t>
            </w:r>
          </w:p>
        </w:tc>
        <w:tc>
          <w:tcPr>
            <w:tcW w:w="980" w:type="dxa"/>
            <w:tcBorders>
              <w:top w:val="single" w:sz="8" w:space="0" w:color="CCCCCC"/>
              <w:left w:val="single" w:sz="8" w:space="0" w:color="CCCCCC"/>
              <w:bottom w:val="single" w:sz="8" w:space="0" w:color="F6F8F9"/>
              <w:right w:val="single" w:sz="8" w:space="0" w:color="F6F8F9"/>
            </w:tcBorders>
            <w:vAlign w:val="center"/>
            <w:hideMark/>
          </w:tcPr>
          <w:p w14:paraId="3E4AA9D7"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Gray</w:t>
            </w:r>
          </w:p>
        </w:tc>
        <w:tc>
          <w:tcPr>
            <w:tcW w:w="5200" w:type="dxa"/>
            <w:tcBorders>
              <w:top w:val="single" w:sz="8" w:space="0" w:color="CCCCCC"/>
              <w:left w:val="single" w:sz="8" w:space="0" w:color="CCCCCC"/>
              <w:bottom w:val="single" w:sz="8" w:space="0" w:color="F6F8F9"/>
              <w:right w:val="single" w:sz="8" w:space="0" w:color="284E3F"/>
            </w:tcBorders>
            <w:vAlign w:val="center"/>
            <w:hideMark/>
          </w:tcPr>
          <w:p w14:paraId="51626F9A"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1.2(0.275)+1.4(0.653)+3.3(−0.240)+0.6(1.011)+1.0(1.181)</w:t>
            </w:r>
          </w:p>
        </w:tc>
      </w:tr>
      <w:tr w:rsidR="00536D78" w:rsidRPr="009E2403" w14:paraId="24E0969D" w14:textId="77777777" w:rsidTr="00FC43F6">
        <w:trPr>
          <w:trHeight w:val="315"/>
          <w:jc w:val="center"/>
        </w:trPr>
        <w:tc>
          <w:tcPr>
            <w:tcW w:w="520" w:type="dxa"/>
            <w:tcBorders>
              <w:top w:val="single" w:sz="8" w:space="0" w:color="CCCCCC"/>
              <w:left w:val="single" w:sz="8" w:space="0" w:color="284E3F"/>
              <w:bottom w:val="double" w:sz="6" w:space="0" w:color="auto"/>
              <w:right w:val="single" w:sz="8" w:space="0" w:color="FFFFFF"/>
            </w:tcBorders>
            <w:vAlign w:val="center"/>
            <w:hideMark/>
          </w:tcPr>
          <w:p w14:paraId="2F8E1199"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2024</w:t>
            </w:r>
          </w:p>
        </w:tc>
        <w:tc>
          <w:tcPr>
            <w:tcW w:w="1340" w:type="dxa"/>
            <w:tcBorders>
              <w:top w:val="single" w:sz="8" w:space="0" w:color="CCCCCC"/>
              <w:left w:val="single" w:sz="8" w:space="0" w:color="CCCCCC"/>
              <w:bottom w:val="double" w:sz="6" w:space="0" w:color="auto"/>
              <w:right w:val="single" w:sz="8" w:space="0" w:color="FFFFFF"/>
            </w:tcBorders>
            <w:vAlign w:val="center"/>
            <w:hideMark/>
          </w:tcPr>
          <w:p w14:paraId="7845EA74" w14:textId="77777777" w:rsidR="00536D78" w:rsidRPr="009E2403" w:rsidRDefault="00536D78" w:rsidP="00536D78">
            <w:pPr>
              <w:spacing w:after="0" w:line="240" w:lineRule="auto"/>
              <w:jc w:val="right"/>
              <w:rPr>
                <w:rFonts w:ascii="Arial" w:eastAsia="Times New Roman" w:hAnsi="Arial" w:cs="Arial"/>
                <w:sz w:val="20"/>
                <w:szCs w:val="20"/>
                <w:lang w:val="en-US"/>
              </w:rPr>
            </w:pPr>
            <w:r w:rsidRPr="009E2403">
              <w:rPr>
                <w:rFonts w:ascii="Arial" w:eastAsia="Times New Roman" w:hAnsi="Arial" w:cs="Arial"/>
                <w:sz w:val="20"/>
                <w:szCs w:val="20"/>
                <w:lang w:val="en-US"/>
              </w:rPr>
              <w:t>2.82</w:t>
            </w:r>
          </w:p>
        </w:tc>
        <w:tc>
          <w:tcPr>
            <w:tcW w:w="980" w:type="dxa"/>
            <w:tcBorders>
              <w:top w:val="single" w:sz="8" w:space="0" w:color="CCCCCC"/>
              <w:left w:val="single" w:sz="8" w:space="0" w:color="CCCCCC"/>
              <w:bottom w:val="double" w:sz="6" w:space="0" w:color="auto"/>
              <w:right w:val="single" w:sz="8" w:space="0" w:color="FFFFFF"/>
            </w:tcBorders>
            <w:vAlign w:val="center"/>
            <w:hideMark/>
          </w:tcPr>
          <w:p w14:paraId="2D40561C"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Gray</w:t>
            </w:r>
          </w:p>
        </w:tc>
        <w:tc>
          <w:tcPr>
            <w:tcW w:w="5200" w:type="dxa"/>
            <w:tcBorders>
              <w:top w:val="single" w:sz="8" w:space="0" w:color="CCCCCC"/>
              <w:left w:val="single" w:sz="8" w:space="0" w:color="CCCCCC"/>
              <w:bottom w:val="double" w:sz="6" w:space="0" w:color="auto"/>
              <w:right w:val="single" w:sz="8" w:space="0" w:color="284E3F"/>
            </w:tcBorders>
            <w:vAlign w:val="center"/>
            <w:hideMark/>
          </w:tcPr>
          <w:p w14:paraId="18342E4A"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1.2(0.260)+1.4(0.645)+3.3(−0.047)+0.6(0.899)+1.0(1.221)</w:t>
            </w:r>
          </w:p>
        </w:tc>
      </w:tr>
    </w:tbl>
    <w:p w14:paraId="56FED4AF" w14:textId="77777777" w:rsidR="00536D78" w:rsidRPr="009E2403" w:rsidRDefault="00536D78" w:rsidP="001F675A">
      <w:pPr>
        <w:pStyle w:val="NormalWeb"/>
        <w:spacing w:before="0" w:beforeAutospacing="0" w:line="360" w:lineRule="auto"/>
        <w:rPr>
          <w:rFonts w:ascii="Arial" w:hAnsi="Arial" w:cs="Arial"/>
          <w:color w:val="404040"/>
        </w:rPr>
      </w:pPr>
    </w:p>
    <w:p w14:paraId="09321AA4" w14:textId="77777777" w:rsidR="00536D78" w:rsidRPr="009E2403" w:rsidRDefault="00536D78" w:rsidP="001F675A">
      <w:pPr>
        <w:pStyle w:val="NormalWeb"/>
        <w:spacing w:before="0" w:beforeAutospacing="0" w:line="360" w:lineRule="auto"/>
        <w:rPr>
          <w:rFonts w:ascii="Arial" w:hAnsi="Arial" w:cs="Arial"/>
          <w:b/>
          <w:color w:val="404040"/>
        </w:rPr>
      </w:pPr>
      <w:r w:rsidRPr="009E2403">
        <w:rPr>
          <w:rFonts w:ascii="Arial" w:hAnsi="Arial" w:cs="Arial"/>
          <w:b/>
        </w:rPr>
        <w:t>Z-Score Risk Zone Definitions</w:t>
      </w:r>
    </w:p>
    <w:tbl>
      <w:tblPr>
        <w:tblW w:w="8054" w:type="dxa"/>
        <w:jc w:val="center"/>
        <w:tblLook w:val="04A0" w:firstRow="1" w:lastRow="0" w:firstColumn="1" w:lastColumn="0" w:noHBand="0" w:noVBand="1"/>
      </w:tblPr>
      <w:tblGrid>
        <w:gridCol w:w="1175"/>
        <w:gridCol w:w="1816"/>
        <w:gridCol w:w="5063"/>
      </w:tblGrid>
      <w:tr w:rsidR="00536D78" w:rsidRPr="009E2403" w14:paraId="78E93F1A" w14:textId="77777777" w:rsidTr="00FC43F6">
        <w:trPr>
          <w:trHeight w:val="464"/>
          <w:jc w:val="center"/>
        </w:trPr>
        <w:tc>
          <w:tcPr>
            <w:tcW w:w="1175" w:type="dxa"/>
            <w:tcBorders>
              <w:top w:val="single" w:sz="4" w:space="0" w:color="auto"/>
              <w:left w:val="single" w:sz="8" w:space="0" w:color="284E3F"/>
              <w:bottom w:val="double" w:sz="6" w:space="0" w:color="auto"/>
              <w:right w:val="single" w:sz="8" w:space="0" w:color="356854"/>
            </w:tcBorders>
            <w:vAlign w:val="center"/>
            <w:hideMark/>
          </w:tcPr>
          <w:p w14:paraId="6234A99E"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Zone</w:t>
            </w:r>
          </w:p>
        </w:tc>
        <w:tc>
          <w:tcPr>
            <w:tcW w:w="1816" w:type="dxa"/>
            <w:tcBorders>
              <w:top w:val="single" w:sz="4" w:space="0" w:color="auto"/>
              <w:left w:val="single" w:sz="8" w:space="0" w:color="CCCCCC"/>
              <w:bottom w:val="double" w:sz="6" w:space="0" w:color="auto"/>
              <w:right w:val="single" w:sz="8" w:space="0" w:color="356854"/>
            </w:tcBorders>
            <w:vAlign w:val="center"/>
            <w:hideMark/>
          </w:tcPr>
          <w:p w14:paraId="195BFA67"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Z-Score Value</w:t>
            </w:r>
          </w:p>
        </w:tc>
        <w:tc>
          <w:tcPr>
            <w:tcW w:w="5063" w:type="dxa"/>
            <w:tcBorders>
              <w:top w:val="single" w:sz="4" w:space="0" w:color="auto"/>
              <w:left w:val="single" w:sz="8" w:space="0" w:color="CCCCCC"/>
              <w:bottom w:val="double" w:sz="6" w:space="0" w:color="auto"/>
              <w:right w:val="single" w:sz="8" w:space="0" w:color="284E3F"/>
            </w:tcBorders>
            <w:vAlign w:val="center"/>
            <w:hideMark/>
          </w:tcPr>
          <w:p w14:paraId="78A1F963" w14:textId="77777777" w:rsidR="00536D78" w:rsidRPr="009E2403" w:rsidRDefault="00536D78" w:rsidP="00536D78">
            <w:pPr>
              <w:spacing w:after="0" w:line="240" w:lineRule="auto"/>
              <w:rPr>
                <w:rFonts w:ascii="Arial" w:eastAsia="Times New Roman" w:hAnsi="Arial" w:cs="Arial"/>
                <w:b/>
                <w:bCs/>
                <w:sz w:val="20"/>
                <w:szCs w:val="20"/>
                <w:lang w:val="en-US"/>
              </w:rPr>
            </w:pPr>
            <w:r w:rsidRPr="009E2403">
              <w:rPr>
                <w:rFonts w:ascii="Arial" w:eastAsia="Times New Roman" w:hAnsi="Arial" w:cs="Arial"/>
                <w:b/>
                <w:bCs/>
                <w:sz w:val="20"/>
                <w:szCs w:val="20"/>
                <w:lang w:val="en-US"/>
              </w:rPr>
              <w:t>Implication</w:t>
            </w:r>
          </w:p>
        </w:tc>
      </w:tr>
      <w:tr w:rsidR="00536D78" w:rsidRPr="009E2403" w14:paraId="7A07F148" w14:textId="77777777" w:rsidTr="00FC43F6">
        <w:trPr>
          <w:trHeight w:val="477"/>
          <w:jc w:val="center"/>
        </w:trPr>
        <w:tc>
          <w:tcPr>
            <w:tcW w:w="1175" w:type="dxa"/>
            <w:tcBorders>
              <w:top w:val="nil"/>
              <w:left w:val="single" w:sz="8" w:space="0" w:color="284E3F"/>
              <w:bottom w:val="single" w:sz="8" w:space="0" w:color="F6F8F9"/>
              <w:right w:val="single" w:sz="8" w:space="0" w:color="FFFFFF"/>
            </w:tcBorders>
            <w:shd w:val="clear" w:color="auto" w:fill="92D050"/>
            <w:vAlign w:val="center"/>
            <w:hideMark/>
          </w:tcPr>
          <w:p w14:paraId="2726B71E"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Safe</w:t>
            </w:r>
          </w:p>
        </w:tc>
        <w:tc>
          <w:tcPr>
            <w:tcW w:w="1816" w:type="dxa"/>
            <w:tcBorders>
              <w:top w:val="nil"/>
              <w:left w:val="single" w:sz="8" w:space="0" w:color="CCCCCC"/>
              <w:bottom w:val="single" w:sz="8" w:space="0" w:color="F6F8F9"/>
              <w:right w:val="single" w:sz="8" w:space="0" w:color="FFFFFF"/>
            </w:tcBorders>
            <w:shd w:val="clear" w:color="auto" w:fill="92D050"/>
            <w:vAlign w:val="center"/>
            <w:hideMark/>
          </w:tcPr>
          <w:p w14:paraId="134BB851"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&gt; 2.99</w:t>
            </w:r>
          </w:p>
        </w:tc>
        <w:tc>
          <w:tcPr>
            <w:tcW w:w="5063" w:type="dxa"/>
            <w:tcBorders>
              <w:top w:val="nil"/>
              <w:left w:val="single" w:sz="8" w:space="0" w:color="CCCCCC"/>
              <w:bottom w:val="single" w:sz="8" w:space="0" w:color="F6F8F9"/>
              <w:right w:val="single" w:sz="8" w:space="0" w:color="284E3F"/>
            </w:tcBorders>
            <w:shd w:val="clear" w:color="auto" w:fill="92D050"/>
            <w:vAlign w:val="center"/>
            <w:hideMark/>
          </w:tcPr>
          <w:p w14:paraId="5AEABAAA"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Low probability of financial distress/bankruptcy.</w:t>
            </w:r>
          </w:p>
        </w:tc>
      </w:tr>
      <w:tr w:rsidR="00536D78" w:rsidRPr="009E2403" w14:paraId="4FCA8D2C" w14:textId="77777777" w:rsidTr="00FC43F6">
        <w:trPr>
          <w:trHeight w:val="464"/>
          <w:jc w:val="center"/>
        </w:trPr>
        <w:tc>
          <w:tcPr>
            <w:tcW w:w="1175" w:type="dxa"/>
            <w:tcBorders>
              <w:top w:val="single" w:sz="8" w:space="0" w:color="CCCCCC"/>
              <w:left w:val="single" w:sz="8" w:space="0" w:color="284E3F"/>
              <w:bottom w:val="single" w:sz="8" w:space="0" w:color="F6F8F9"/>
              <w:right w:val="single" w:sz="8" w:space="0" w:color="F6F8F9"/>
            </w:tcBorders>
            <w:shd w:val="clear" w:color="auto" w:fill="D0CECE" w:themeFill="background2" w:themeFillShade="E6"/>
            <w:vAlign w:val="center"/>
            <w:hideMark/>
          </w:tcPr>
          <w:p w14:paraId="1DC05C15"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Gray</w:t>
            </w:r>
          </w:p>
        </w:tc>
        <w:tc>
          <w:tcPr>
            <w:tcW w:w="1816" w:type="dxa"/>
            <w:tcBorders>
              <w:top w:val="single" w:sz="8" w:space="0" w:color="CCCCCC"/>
              <w:left w:val="single" w:sz="8" w:space="0" w:color="CCCCCC"/>
              <w:bottom w:val="single" w:sz="8" w:space="0" w:color="F6F8F9"/>
              <w:right w:val="single" w:sz="8" w:space="0" w:color="F6F8F9"/>
            </w:tcBorders>
            <w:shd w:val="clear" w:color="auto" w:fill="D0CECE" w:themeFill="background2" w:themeFillShade="E6"/>
            <w:vAlign w:val="center"/>
            <w:hideMark/>
          </w:tcPr>
          <w:p w14:paraId="77994DF1"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1.81 to 2.99</w:t>
            </w:r>
          </w:p>
        </w:tc>
        <w:tc>
          <w:tcPr>
            <w:tcW w:w="5063" w:type="dxa"/>
            <w:tcBorders>
              <w:top w:val="single" w:sz="8" w:space="0" w:color="CCCCCC"/>
              <w:left w:val="single" w:sz="8" w:space="0" w:color="CCCCCC"/>
              <w:bottom w:val="single" w:sz="8" w:space="0" w:color="F6F8F9"/>
              <w:right w:val="single" w:sz="8" w:space="0" w:color="284E3F"/>
            </w:tcBorders>
            <w:shd w:val="clear" w:color="auto" w:fill="D0CECE" w:themeFill="background2" w:themeFillShade="E6"/>
            <w:vAlign w:val="center"/>
            <w:hideMark/>
          </w:tcPr>
          <w:p w14:paraId="4F501F38"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Caution zone; company is susceptible to financial distress.</w:t>
            </w:r>
          </w:p>
        </w:tc>
      </w:tr>
      <w:tr w:rsidR="00536D78" w:rsidRPr="009E2403" w14:paraId="08884A1D" w14:textId="77777777" w:rsidTr="00FC43F6">
        <w:trPr>
          <w:trHeight w:val="464"/>
          <w:jc w:val="center"/>
        </w:trPr>
        <w:tc>
          <w:tcPr>
            <w:tcW w:w="1175" w:type="dxa"/>
            <w:tcBorders>
              <w:top w:val="single" w:sz="8" w:space="0" w:color="CCCCCC"/>
              <w:left w:val="single" w:sz="8" w:space="0" w:color="284E3F"/>
              <w:bottom w:val="double" w:sz="6" w:space="0" w:color="auto"/>
              <w:right w:val="single" w:sz="8" w:space="0" w:color="FFFFFF"/>
            </w:tcBorders>
            <w:shd w:val="clear" w:color="auto" w:fill="BF8F00" w:themeFill="accent4" w:themeFillShade="BF"/>
            <w:vAlign w:val="center"/>
            <w:hideMark/>
          </w:tcPr>
          <w:p w14:paraId="2896A50E"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Distress</w:t>
            </w:r>
          </w:p>
        </w:tc>
        <w:tc>
          <w:tcPr>
            <w:tcW w:w="1816" w:type="dxa"/>
            <w:tcBorders>
              <w:top w:val="single" w:sz="8" w:space="0" w:color="CCCCCC"/>
              <w:left w:val="single" w:sz="8" w:space="0" w:color="CCCCCC"/>
              <w:bottom w:val="double" w:sz="6" w:space="0" w:color="auto"/>
              <w:right w:val="single" w:sz="8" w:space="0" w:color="FFFFFF"/>
            </w:tcBorders>
            <w:shd w:val="clear" w:color="auto" w:fill="BF8F00" w:themeFill="accent4" w:themeFillShade="BF"/>
            <w:vAlign w:val="center"/>
            <w:hideMark/>
          </w:tcPr>
          <w:p w14:paraId="3646DC48"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&lt; 1.81</w:t>
            </w:r>
          </w:p>
        </w:tc>
        <w:tc>
          <w:tcPr>
            <w:tcW w:w="5063" w:type="dxa"/>
            <w:tcBorders>
              <w:top w:val="single" w:sz="8" w:space="0" w:color="CCCCCC"/>
              <w:left w:val="single" w:sz="8" w:space="0" w:color="CCCCCC"/>
              <w:bottom w:val="double" w:sz="6" w:space="0" w:color="auto"/>
              <w:right w:val="single" w:sz="8" w:space="0" w:color="284E3F"/>
            </w:tcBorders>
            <w:shd w:val="clear" w:color="auto" w:fill="BF8F00" w:themeFill="accent4" w:themeFillShade="BF"/>
            <w:vAlign w:val="center"/>
            <w:hideMark/>
          </w:tcPr>
          <w:p w14:paraId="577D99F6" w14:textId="77777777" w:rsidR="00536D78" w:rsidRPr="009E2403" w:rsidRDefault="00536D78" w:rsidP="00536D78">
            <w:pPr>
              <w:spacing w:after="0" w:line="240" w:lineRule="auto"/>
              <w:rPr>
                <w:rFonts w:ascii="Arial" w:eastAsia="Times New Roman" w:hAnsi="Arial" w:cs="Arial"/>
                <w:sz w:val="20"/>
                <w:szCs w:val="20"/>
                <w:lang w:val="en-US"/>
              </w:rPr>
            </w:pPr>
            <w:r w:rsidRPr="009E2403">
              <w:rPr>
                <w:rFonts w:ascii="Arial" w:eastAsia="Times New Roman" w:hAnsi="Arial" w:cs="Arial"/>
                <w:sz w:val="20"/>
                <w:szCs w:val="20"/>
                <w:lang w:val="en-US"/>
              </w:rPr>
              <w:t>High probability of financial distress/bankruptcy.</w:t>
            </w:r>
          </w:p>
        </w:tc>
      </w:tr>
    </w:tbl>
    <w:p w14:paraId="6F8FE28B" w14:textId="77777777" w:rsidR="00617B37" w:rsidRPr="009E2403" w:rsidRDefault="00617B37" w:rsidP="00617B37">
      <w:pPr>
        <w:pStyle w:val="Caption"/>
        <w:jc w:val="center"/>
        <w:rPr>
          <w:rFonts w:ascii="Arial" w:hAnsi="Arial" w:cs="Arial"/>
          <w:b w:val="0"/>
          <w:i/>
        </w:rPr>
      </w:pPr>
      <w:bookmarkStart w:id="41" w:name="_Toc214745432"/>
      <w:r w:rsidRPr="009E2403">
        <w:rPr>
          <w:rFonts w:ascii="Arial" w:hAnsi="Arial" w:cs="Arial"/>
        </w:rPr>
        <w:t xml:space="preserve">Table </w:t>
      </w:r>
      <w:r w:rsidRPr="009E2403">
        <w:rPr>
          <w:rFonts w:ascii="Arial" w:hAnsi="Arial" w:cs="Arial"/>
        </w:rPr>
        <w:fldChar w:fldCharType="begin"/>
      </w:r>
      <w:r w:rsidRPr="009E2403">
        <w:rPr>
          <w:rFonts w:ascii="Arial" w:hAnsi="Arial" w:cs="Arial"/>
        </w:rPr>
        <w:instrText xml:space="preserve"> SEQ Table \* ARABIC </w:instrText>
      </w:r>
      <w:r w:rsidRPr="009E2403">
        <w:rPr>
          <w:rFonts w:ascii="Arial" w:hAnsi="Arial" w:cs="Arial"/>
        </w:rPr>
        <w:fldChar w:fldCharType="separate"/>
      </w:r>
      <w:r w:rsidR="004471DE">
        <w:rPr>
          <w:rFonts w:ascii="Arial" w:hAnsi="Arial" w:cs="Arial"/>
          <w:noProof/>
        </w:rPr>
        <w:t>5</w:t>
      </w:r>
      <w:r w:rsidRPr="009E2403">
        <w:rPr>
          <w:rFonts w:ascii="Arial" w:hAnsi="Arial" w:cs="Arial"/>
        </w:rPr>
        <w:fldChar w:fldCharType="end"/>
      </w:r>
      <w:r w:rsidRPr="009E2403">
        <w:rPr>
          <w:rFonts w:ascii="Arial" w:hAnsi="Arial" w:cs="Arial"/>
        </w:rPr>
        <w:t xml:space="preserve"> Altman Z-Score Analysis</w:t>
      </w:r>
      <w:bookmarkEnd w:id="41"/>
    </w:p>
    <w:p w14:paraId="7DF2EE8C" w14:textId="77777777" w:rsidR="00617B37" w:rsidRPr="00BD6F06" w:rsidRDefault="00617B37" w:rsidP="00617B37">
      <w:pPr>
        <w:jc w:val="center"/>
        <w:rPr>
          <w:rFonts w:ascii="Arial" w:hAnsi="Arial" w:cs="Arial"/>
          <w:i/>
          <w:sz w:val="18"/>
        </w:rPr>
      </w:pPr>
      <w:r w:rsidRPr="00BD6F06">
        <w:rPr>
          <w:rFonts w:ascii="Arial" w:hAnsi="Arial" w:cs="Arial"/>
          <w:b/>
          <w:i/>
          <w:sz w:val="18"/>
        </w:rPr>
        <w:t>Source</w:t>
      </w:r>
      <w:r w:rsidRPr="00BD6F06">
        <w:rPr>
          <w:rFonts w:ascii="Arial" w:hAnsi="Arial" w:cs="Arial"/>
          <w:i/>
          <w:sz w:val="18"/>
        </w:rPr>
        <w:t>: Author’s own work in MS Excel</w:t>
      </w:r>
    </w:p>
    <w:p w14:paraId="6BB65B08" w14:textId="77777777" w:rsidR="00987360" w:rsidRPr="009E2403" w:rsidRDefault="00F4453B" w:rsidP="009E2403">
      <w:pPr>
        <w:pStyle w:val="Heading1"/>
      </w:pPr>
      <w:bookmarkStart w:id="42" w:name="_Toc214745426"/>
      <w:r w:rsidRPr="009E2403">
        <w:t>Appendix-</w:t>
      </w:r>
      <w:r w:rsidR="00CE5313" w:rsidRPr="009E2403">
        <w:t>V</w:t>
      </w:r>
      <w:r w:rsidR="00987360" w:rsidRPr="009E2403">
        <w:t xml:space="preserve"> Capital Budgeting and investment appraisal’</w:t>
      </w:r>
      <w:bookmarkEnd w:id="42"/>
    </w:p>
    <w:p w14:paraId="4DCF2A95" w14:textId="77777777" w:rsidR="00987360" w:rsidRPr="009E2403" w:rsidRDefault="00987360" w:rsidP="00BD6F06">
      <w:pPr>
        <w:pStyle w:val="Heading2"/>
        <w:rPr>
          <w:lang w:val="en-US"/>
        </w:rPr>
      </w:pPr>
      <w:bookmarkStart w:id="43" w:name="_Toc214745427"/>
      <w:r w:rsidRPr="009E2403">
        <w:rPr>
          <w:lang w:val="en-US"/>
        </w:rPr>
        <w:t>Payback Period</w:t>
      </w:r>
      <w:bookmarkEnd w:id="43"/>
    </w:p>
    <w:p w14:paraId="1FA16687" w14:textId="77777777" w:rsidR="00987360" w:rsidRPr="009E2403" w:rsidRDefault="00DB66C6" w:rsidP="00987360">
      <w:pPr>
        <w:spacing w:line="360" w:lineRule="auto"/>
        <w:jc w:val="both"/>
        <w:rPr>
          <w:rFonts w:ascii="Arial" w:hAnsi="Arial" w:cs="Arial"/>
          <w:b/>
          <w:sz w:val="24"/>
          <w:szCs w:val="24"/>
          <w:lang w:val="en-US"/>
        </w:rPr>
      </w:pPr>
      <w:r w:rsidRPr="009E2403">
        <w:rPr>
          <w:rFonts w:ascii="Arial" w:hAnsi="Arial" w:cs="Arial"/>
          <w:b/>
          <w:sz w:val="24"/>
          <w:szCs w:val="24"/>
          <w:lang w:val="en-US"/>
        </w:rPr>
        <w:t>Project A</w:t>
      </w:r>
    </w:p>
    <w:tbl>
      <w:tblPr>
        <w:tblW w:w="4620" w:type="dxa"/>
        <w:jc w:val="center"/>
        <w:tblLook w:val="04A0" w:firstRow="1" w:lastRow="0" w:firstColumn="1" w:lastColumn="0" w:noHBand="0" w:noVBand="1"/>
      </w:tblPr>
      <w:tblGrid>
        <w:gridCol w:w="4620"/>
      </w:tblGrid>
      <w:tr w:rsidR="006D33C5" w:rsidRPr="006D33C5" w14:paraId="769F705E" w14:textId="77777777" w:rsidTr="00FC43F6">
        <w:trPr>
          <w:trHeight w:val="300"/>
          <w:jc w:val="center"/>
        </w:trPr>
        <w:tc>
          <w:tcPr>
            <w:tcW w:w="4620" w:type="dxa"/>
            <w:shd w:val="clear" w:color="000000" w:fill="EEECE1"/>
            <w:noWrap/>
            <w:vAlign w:val="bottom"/>
            <w:hideMark/>
          </w:tcPr>
          <w:p w14:paraId="0DE71F10"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FF0000"/>
                <w:lang w:val="en-US"/>
              </w:rPr>
              <w:t>Year      Net Cash Inflow     Cumulative Cash Flow</w:t>
            </w:r>
          </w:p>
        </w:tc>
      </w:tr>
      <w:tr w:rsidR="006D33C5" w:rsidRPr="006D33C5" w14:paraId="5F037FAC" w14:textId="77777777" w:rsidTr="00FC43F6">
        <w:trPr>
          <w:trHeight w:val="300"/>
          <w:jc w:val="center"/>
        </w:trPr>
        <w:tc>
          <w:tcPr>
            <w:tcW w:w="4620" w:type="dxa"/>
            <w:shd w:val="clear" w:color="000000" w:fill="EEECE1"/>
            <w:noWrap/>
            <w:vAlign w:val="bottom"/>
            <w:hideMark/>
          </w:tcPr>
          <w:p w14:paraId="5DA6B1E5"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w:t>
            </w:r>
          </w:p>
        </w:tc>
      </w:tr>
      <w:tr w:rsidR="006D33C5" w:rsidRPr="006D33C5" w14:paraId="2531E401" w14:textId="77777777" w:rsidTr="00FC43F6">
        <w:trPr>
          <w:trHeight w:val="300"/>
          <w:jc w:val="center"/>
        </w:trPr>
        <w:tc>
          <w:tcPr>
            <w:tcW w:w="4620" w:type="dxa"/>
            <w:shd w:val="clear" w:color="000000" w:fill="EEECE1"/>
            <w:noWrap/>
            <w:vAlign w:val="bottom"/>
            <w:hideMark/>
          </w:tcPr>
          <w:p w14:paraId="2445CF64"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0              –               –40</w:t>
            </w:r>
          </w:p>
        </w:tc>
      </w:tr>
      <w:tr w:rsidR="006D33C5" w:rsidRPr="006D33C5" w14:paraId="008A54DF" w14:textId="77777777" w:rsidTr="00FC43F6">
        <w:trPr>
          <w:trHeight w:val="300"/>
          <w:jc w:val="center"/>
        </w:trPr>
        <w:tc>
          <w:tcPr>
            <w:tcW w:w="4620" w:type="dxa"/>
            <w:shd w:val="clear" w:color="000000" w:fill="EEECE1"/>
            <w:noWrap/>
            <w:vAlign w:val="bottom"/>
            <w:hideMark/>
          </w:tcPr>
          <w:p w14:paraId="0604C871"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1             10               –30</w:t>
            </w:r>
          </w:p>
        </w:tc>
      </w:tr>
      <w:tr w:rsidR="006D33C5" w:rsidRPr="006D33C5" w14:paraId="0B1CD0C9" w14:textId="77777777" w:rsidTr="00FC43F6">
        <w:trPr>
          <w:trHeight w:val="300"/>
          <w:jc w:val="center"/>
        </w:trPr>
        <w:tc>
          <w:tcPr>
            <w:tcW w:w="4620" w:type="dxa"/>
            <w:shd w:val="clear" w:color="000000" w:fill="EEECE1"/>
            <w:noWrap/>
            <w:vAlign w:val="bottom"/>
            <w:hideMark/>
          </w:tcPr>
          <w:p w14:paraId="55E69CDE"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2             12               –18</w:t>
            </w:r>
          </w:p>
        </w:tc>
      </w:tr>
      <w:tr w:rsidR="006D33C5" w:rsidRPr="006D33C5" w14:paraId="06035D0D" w14:textId="77777777" w:rsidTr="00FC43F6">
        <w:trPr>
          <w:trHeight w:val="300"/>
          <w:jc w:val="center"/>
        </w:trPr>
        <w:tc>
          <w:tcPr>
            <w:tcW w:w="4620" w:type="dxa"/>
            <w:shd w:val="clear" w:color="000000" w:fill="EEECE1"/>
            <w:noWrap/>
            <w:vAlign w:val="bottom"/>
            <w:hideMark/>
          </w:tcPr>
          <w:p w14:paraId="6B826FAE"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3             14               –4</w:t>
            </w:r>
          </w:p>
        </w:tc>
      </w:tr>
      <w:tr w:rsidR="006D33C5" w:rsidRPr="006D33C5" w14:paraId="33D083C5" w14:textId="77777777" w:rsidTr="00FC43F6">
        <w:trPr>
          <w:trHeight w:val="300"/>
          <w:jc w:val="center"/>
        </w:trPr>
        <w:tc>
          <w:tcPr>
            <w:tcW w:w="4620" w:type="dxa"/>
            <w:shd w:val="clear" w:color="000000" w:fill="EEECE1"/>
            <w:noWrap/>
            <w:vAlign w:val="bottom"/>
            <w:hideMark/>
          </w:tcPr>
          <w:p w14:paraId="4A157258"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4             10                +6   → Recovery achieved</w:t>
            </w:r>
          </w:p>
        </w:tc>
      </w:tr>
      <w:tr w:rsidR="006D33C5" w:rsidRPr="006D33C5" w14:paraId="1D06681D" w14:textId="77777777" w:rsidTr="00FC43F6">
        <w:trPr>
          <w:trHeight w:val="315"/>
          <w:jc w:val="center"/>
        </w:trPr>
        <w:tc>
          <w:tcPr>
            <w:tcW w:w="4620" w:type="dxa"/>
            <w:shd w:val="clear" w:color="000000" w:fill="EEECE1"/>
            <w:noWrap/>
            <w:vAlign w:val="bottom"/>
            <w:hideMark/>
          </w:tcPr>
          <w:p w14:paraId="615BE253"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5              8                +14</w:t>
            </w:r>
          </w:p>
        </w:tc>
      </w:tr>
    </w:tbl>
    <w:p w14:paraId="19D4F1D6" w14:textId="77777777" w:rsidR="006D33C5" w:rsidRPr="009E2403" w:rsidRDefault="006D33C5" w:rsidP="00987360">
      <w:pPr>
        <w:spacing w:line="360" w:lineRule="auto"/>
        <w:jc w:val="both"/>
        <w:rPr>
          <w:rFonts w:ascii="Arial" w:hAnsi="Arial" w:cs="Arial"/>
          <w:sz w:val="24"/>
          <w:szCs w:val="24"/>
          <w:lang w:val="en-US"/>
        </w:rPr>
      </w:pPr>
    </w:p>
    <w:p w14:paraId="194E554B" w14:textId="77777777" w:rsidR="00987360" w:rsidRPr="009E2403" w:rsidRDefault="006D33C5" w:rsidP="00987360">
      <w:pPr>
        <w:spacing w:line="360" w:lineRule="auto"/>
        <w:jc w:val="both"/>
        <w:rPr>
          <w:rFonts w:ascii="Arial" w:hAnsi="Arial" w:cs="Arial"/>
          <w:color w:val="001D35"/>
          <w:shd w:val="clear" w:color="auto" w:fill="FFFFFF"/>
        </w:rPr>
      </w:pPr>
      <w:r w:rsidRPr="009E2403">
        <w:rPr>
          <w:rFonts w:ascii="Arial" w:hAnsi="Arial" w:cs="Arial"/>
          <w:noProof/>
          <w:lang w:val="en-US"/>
        </w:rPr>
        <w:drawing>
          <wp:inline distT="0" distB="0" distL="0" distR="0" wp14:anchorId="2865EE0D" wp14:editId="696A372C">
            <wp:extent cx="5731510" cy="7415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731510" cy="741545"/>
                    </a:xfrm>
                    <a:prstGeom prst="rect">
                      <a:avLst/>
                    </a:prstGeom>
                  </pic:spPr>
                </pic:pic>
              </a:graphicData>
            </a:graphic>
          </wp:inline>
        </w:drawing>
      </w:r>
    </w:p>
    <w:p w14:paraId="6D2ADAB6" w14:textId="77777777" w:rsidR="006D33C5" w:rsidRPr="006D33C5" w:rsidRDefault="006D33C5" w:rsidP="006D33C5">
      <w:pPr>
        <w:spacing w:before="100" w:beforeAutospacing="1" w:after="100" w:afterAutospacing="1" w:line="240" w:lineRule="auto"/>
        <w:rPr>
          <w:rFonts w:ascii="Arial" w:eastAsia="Times New Roman" w:hAnsi="Arial" w:cs="Arial"/>
          <w:sz w:val="24"/>
          <w:szCs w:val="24"/>
          <w:lang w:val="en-US"/>
        </w:rPr>
      </w:pPr>
      <w:r w:rsidRPr="006D33C5">
        <w:rPr>
          <w:rFonts w:ascii="Arial" w:eastAsia="Times New Roman" w:hAnsi="Arial" w:cs="Arial"/>
          <w:sz w:val="24"/>
          <w:szCs w:val="24"/>
          <w:lang w:val="en-US"/>
        </w:rPr>
        <w:t xml:space="preserve">Recovery occurs </w:t>
      </w:r>
      <w:r w:rsidRPr="009E2403">
        <w:rPr>
          <w:rFonts w:ascii="Arial" w:eastAsia="Times New Roman" w:hAnsi="Arial" w:cs="Arial"/>
          <w:b/>
          <w:bCs/>
          <w:sz w:val="24"/>
          <w:szCs w:val="24"/>
          <w:lang w:val="en-US"/>
        </w:rPr>
        <w:t>between Year 3 and Year 4</w:t>
      </w:r>
    </w:p>
    <w:p w14:paraId="2015685D" w14:textId="77777777" w:rsidR="006D33C5" w:rsidRPr="006D33C5" w:rsidRDefault="006D33C5" w:rsidP="006D33C5">
      <w:pPr>
        <w:spacing w:before="100" w:beforeAutospacing="1" w:after="100" w:afterAutospacing="1" w:line="240" w:lineRule="auto"/>
        <w:rPr>
          <w:rFonts w:ascii="Arial" w:eastAsia="Times New Roman" w:hAnsi="Arial" w:cs="Arial"/>
          <w:sz w:val="24"/>
          <w:szCs w:val="24"/>
          <w:lang w:val="en-US"/>
        </w:rPr>
      </w:pPr>
      <w:r w:rsidRPr="006D33C5">
        <w:rPr>
          <w:rFonts w:ascii="Arial" w:eastAsia="Times New Roman" w:hAnsi="Arial" w:cs="Arial"/>
          <w:sz w:val="24"/>
          <w:szCs w:val="24"/>
          <w:lang w:val="en-US"/>
        </w:rPr>
        <w:t xml:space="preserve">Unrecovered amount at start of Year 4 = </w:t>
      </w:r>
      <w:r w:rsidRPr="009E2403">
        <w:rPr>
          <w:rFonts w:ascii="Arial" w:eastAsia="Times New Roman" w:hAnsi="Arial" w:cs="Arial"/>
          <w:b/>
          <w:bCs/>
          <w:sz w:val="24"/>
          <w:szCs w:val="24"/>
          <w:lang w:val="en-US"/>
        </w:rPr>
        <w:t>£4m</w:t>
      </w:r>
    </w:p>
    <w:p w14:paraId="70516F01" w14:textId="77777777" w:rsidR="006D33C5" w:rsidRPr="006D33C5" w:rsidRDefault="006D33C5" w:rsidP="006D33C5">
      <w:pPr>
        <w:spacing w:before="100" w:beforeAutospacing="1" w:after="100" w:afterAutospacing="1" w:line="240" w:lineRule="auto"/>
        <w:rPr>
          <w:rFonts w:ascii="Arial" w:eastAsia="Times New Roman" w:hAnsi="Arial" w:cs="Arial"/>
          <w:sz w:val="24"/>
          <w:szCs w:val="24"/>
          <w:lang w:val="en-US"/>
        </w:rPr>
      </w:pPr>
      <w:r w:rsidRPr="006D33C5">
        <w:rPr>
          <w:rFonts w:ascii="Arial" w:eastAsia="Times New Roman" w:hAnsi="Arial" w:cs="Arial"/>
          <w:sz w:val="24"/>
          <w:szCs w:val="24"/>
          <w:lang w:val="en-US"/>
        </w:rPr>
        <w:t xml:space="preserve">Cash inflow in Year 4 = </w:t>
      </w:r>
      <w:r w:rsidRPr="009E2403">
        <w:rPr>
          <w:rFonts w:ascii="Arial" w:eastAsia="Times New Roman" w:hAnsi="Arial" w:cs="Arial"/>
          <w:b/>
          <w:bCs/>
          <w:sz w:val="24"/>
          <w:szCs w:val="24"/>
          <w:lang w:val="en-US"/>
        </w:rPr>
        <w:t>£10m</w:t>
      </w:r>
    </w:p>
    <w:p w14:paraId="7F1C748B" w14:textId="77777777" w:rsidR="00987360" w:rsidRPr="009E2403" w:rsidRDefault="00987360" w:rsidP="00987360">
      <w:pPr>
        <w:spacing w:line="360" w:lineRule="auto"/>
        <w:jc w:val="both"/>
        <w:rPr>
          <w:rFonts w:ascii="Arial" w:hAnsi="Arial" w:cs="Arial"/>
          <w:color w:val="001D35"/>
          <w:shd w:val="clear" w:color="auto" w:fill="FFFFFF"/>
        </w:rPr>
      </w:pPr>
      <w:r w:rsidRPr="009E2403">
        <w:rPr>
          <w:rFonts w:ascii="Arial" w:hAnsi="Arial" w:cs="Arial"/>
          <w:color w:val="001D35"/>
          <w:shd w:val="clear" w:color="auto" w:fill="FFFFFF"/>
        </w:rPr>
        <w:t>PBP = 3 + (4/10)</w:t>
      </w:r>
    </w:p>
    <w:p w14:paraId="01AFEA04" w14:textId="77777777" w:rsidR="00987360" w:rsidRPr="009E2403" w:rsidRDefault="00987360" w:rsidP="00987360">
      <w:pPr>
        <w:spacing w:line="360" w:lineRule="auto"/>
        <w:jc w:val="both"/>
        <w:rPr>
          <w:rFonts w:ascii="Arial" w:hAnsi="Arial" w:cs="Arial"/>
          <w:color w:val="001D35"/>
          <w:shd w:val="clear" w:color="auto" w:fill="FFFFFF"/>
        </w:rPr>
      </w:pPr>
      <w:r w:rsidRPr="009E2403">
        <w:rPr>
          <w:rFonts w:ascii="Arial" w:hAnsi="Arial" w:cs="Arial"/>
          <w:color w:val="001D35"/>
          <w:shd w:val="clear" w:color="auto" w:fill="FFFFFF"/>
        </w:rPr>
        <w:t>PBP = 3 + 0.4</w:t>
      </w:r>
    </w:p>
    <w:p w14:paraId="54B1561F" w14:textId="77777777" w:rsidR="00987360" w:rsidRPr="009E2403" w:rsidRDefault="00987360" w:rsidP="00987360">
      <w:pPr>
        <w:spacing w:line="360" w:lineRule="auto"/>
        <w:jc w:val="both"/>
        <w:rPr>
          <w:rFonts w:ascii="Arial" w:hAnsi="Arial" w:cs="Arial"/>
          <w:sz w:val="24"/>
          <w:szCs w:val="24"/>
          <w:lang w:val="en-US"/>
        </w:rPr>
      </w:pPr>
      <w:r w:rsidRPr="009E2403">
        <w:rPr>
          <w:rFonts w:ascii="Arial" w:hAnsi="Arial" w:cs="Arial"/>
          <w:color w:val="001D35"/>
          <w:shd w:val="clear" w:color="auto" w:fill="FFFFFF"/>
        </w:rPr>
        <w:t>PBP = 3.4 Years</w:t>
      </w:r>
    </w:p>
    <w:p w14:paraId="3241C5B9" w14:textId="77777777" w:rsidR="006D33C5" w:rsidRPr="009E2403" w:rsidRDefault="006D33C5">
      <w:pPr>
        <w:rPr>
          <w:rFonts w:ascii="Arial" w:hAnsi="Arial" w:cs="Arial"/>
          <w:b/>
        </w:rPr>
      </w:pPr>
      <w:r w:rsidRPr="009E2403">
        <w:rPr>
          <w:rFonts w:ascii="Arial" w:hAnsi="Arial" w:cs="Arial"/>
          <w:b/>
        </w:rPr>
        <w:br w:type="page"/>
      </w:r>
    </w:p>
    <w:p w14:paraId="204B0840" w14:textId="77777777" w:rsidR="00987360" w:rsidRPr="009E2403" w:rsidRDefault="00987360" w:rsidP="00987360">
      <w:pPr>
        <w:rPr>
          <w:rFonts w:ascii="Arial" w:hAnsi="Arial" w:cs="Arial"/>
          <w:b/>
          <w:sz w:val="24"/>
          <w:szCs w:val="24"/>
          <w:lang w:val="en-US"/>
        </w:rPr>
      </w:pPr>
      <w:r w:rsidRPr="009E2403">
        <w:rPr>
          <w:rFonts w:ascii="Arial" w:hAnsi="Arial" w:cs="Arial"/>
          <w:b/>
        </w:rPr>
        <w:t>Project B</w:t>
      </w:r>
    </w:p>
    <w:tbl>
      <w:tblPr>
        <w:tblW w:w="4620" w:type="dxa"/>
        <w:jc w:val="center"/>
        <w:tblLook w:val="04A0" w:firstRow="1" w:lastRow="0" w:firstColumn="1" w:lastColumn="0" w:noHBand="0" w:noVBand="1"/>
      </w:tblPr>
      <w:tblGrid>
        <w:gridCol w:w="4620"/>
      </w:tblGrid>
      <w:tr w:rsidR="006D33C5" w:rsidRPr="006D33C5" w14:paraId="7B5940DB" w14:textId="77777777" w:rsidTr="00FC43F6">
        <w:trPr>
          <w:trHeight w:val="300"/>
          <w:jc w:val="center"/>
        </w:trPr>
        <w:tc>
          <w:tcPr>
            <w:tcW w:w="4620" w:type="dxa"/>
            <w:tcBorders>
              <w:top w:val="nil"/>
              <w:left w:val="nil"/>
              <w:bottom w:val="nil"/>
              <w:right w:val="nil"/>
            </w:tcBorders>
            <w:shd w:val="clear" w:color="000000" w:fill="EEECE1"/>
            <w:noWrap/>
            <w:vAlign w:val="bottom"/>
            <w:hideMark/>
          </w:tcPr>
          <w:p w14:paraId="79884202" w14:textId="77777777" w:rsidR="006D33C5" w:rsidRPr="006D33C5" w:rsidRDefault="006D33C5" w:rsidP="006D33C5">
            <w:pPr>
              <w:spacing w:after="0" w:line="240" w:lineRule="auto"/>
              <w:rPr>
                <w:rFonts w:ascii="Arial" w:eastAsia="Times New Roman" w:hAnsi="Arial" w:cs="Arial"/>
                <w:color w:val="FF0000"/>
                <w:lang w:val="en-US"/>
              </w:rPr>
            </w:pPr>
            <w:r w:rsidRPr="006D33C5">
              <w:rPr>
                <w:rFonts w:ascii="Arial" w:eastAsia="Times New Roman" w:hAnsi="Arial" w:cs="Arial"/>
                <w:color w:val="FF0000"/>
                <w:lang w:val="en-US"/>
              </w:rPr>
              <w:t>Year      Net Cash Inflow</w:t>
            </w:r>
          </w:p>
        </w:tc>
      </w:tr>
      <w:tr w:rsidR="006D33C5" w:rsidRPr="006D33C5" w14:paraId="459572AC" w14:textId="77777777" w:rsidTr="00FC43F6">
        <w:trPr>
          <w:trHeight w:val="300"/>
          <w:jc w:val="center"/>
        </w:trPr>
        <w:tc>
          <w:tcPr>
            <w:tcW w:w="4620" w:type="dxa"/>
            <w:tcBorders>
              <w:top w:val="nil"/>
              <w:left w:val="nil"/>
              <w:bottom w:val="nil"/>
              <w:right w:val="nil"/>
            </w:tcBorders>
            <w:shd w:val="clear" w:color="000000" w:fill="EEECE1"/>
            <w:noWrap/>
            <w:vAlign w:val="bottom"/>
            <w:hideMark/>
          </w:tcPr>
          <w:p w14:paraId="2A1A149C"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w:t>
            </w:r>
          </w:p>
        </w:tc>
      </w:tr>
      <w:tr w:rsidR="006D33C5" w:rsidRPr="006D33C5" w14:paraId="39E33E01" w14:textId="77777777" w:rsidTr="00FC43F6">
        <w:trPr>
          <w:trHeight w:val="300"/>
          <w:jc w:val="center"/>
        </w:trPr>
        <w:tc>
          <w:tcPr>
            <w:tcW w:w="4620" w:type="dxa"/>
            <w:tcBorders>
              <w:top w:val="nil"/>
              <w:left w:val="nil"/>
              <w:bottom w:val="nil"/>
              <w:right w:val="nil"/>
            </w:tcBorders>
            <w:shd w:val="clear" w:color="000000" w:fill="EEECE1"/>
            <w:noWrap/>
            <w:vAlign w:val="bottom"/>
            <w:hideMark/>
          </w:tcPr>
          <w:p w14:paraId="115D0DB3"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0              –30</w:t>
            </w:r>
          </w:p>
        </w:tc>
      </w:tr>
      <w:tr w:rsidR="006D33C5" w:rsidRPr="006D33C5" w14:paraId="57E26058" w14:textId="77777777" w:rsidTr="00FC43F6">
        <w:trPr>
          <w:trHeight w:val="300"/>
          <w:jc w:val="center"/>
        </w:trPr>
        <w:tc>
          <w:tcPr>
            <w:tcW w:w="4620" w:type="dxa"/>
            <w:tcBorders>
              <w:top w:val="nil"/>
              <w:left w:val="nil"/>
              <w:bottom w:val="nil"/>
              <w:right w:val="nil"/>
            </w:tcBorders>
            <w:shd w:val="clear" w:color="000000" w:fill="EEECE1"/>
            <w:noWrap/>
            <w:vAlign w:val="bottom"/>
            <w:hideMark/>
          </w:tcPr>
          <w:p w14:paraId="5DCE8C1F"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1               6</w:t>
            </w:r>
          </w:p>
        </w:tc>
      </w:tr>
      <w:tr w:rsidR="006D33C5" w:rsidRPr="006D33C5" w14:paraId="15773AA3" w14:textId="77777777" w:rsidTr="00FC43F6">
        <w:trPr>
          <w:trHeight w:val="300"/>
          <w:jc w:val="center"/>
        </w:trPr>
        <w:tc>
          <w:tcPr>
            <w:tcW w:w="4620" w:type="dxa"/>
            <w:tcBorders>
              <w:top w:val="nil"/>
              <w:left w:val="nil"/>
              <w:bottom w:val="nil"/>
              <w:right w:val="nil"/>
            </w:tcBorders>
            <w:shd w:val="clear" w:color="000000" w:fill="EEECE1"/>
            <w:noWrap/>
            <w:vAlign w:val="bottom"/>
            <w:hideMark/>
          </w:tcPr>
          <w:p w14:paraId="2296FD11"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2               6</w:t>
            </w:r>
          </w:p>
        </w:tc>
      </w:tr>
      <w:tr w:rsidR="006D33C5" w:rsidRPr="006D33C5" w14:paraId="230308C2" w14:textId="77777777" w:rsidTr="00FC43F6">
        <w:trPr>
          <w:trHeight w:val="300"/>
          <w:jc w:val="center"/>
        </w:trPr>
        <w:tc>
          <w:tcPr>
            <w:tcW w:w="4620" w:type="dxa"/>
            <w:tcBorders>
              <w:top w:val="nil"/>
              <w:left w:val="nil"/>
              <w:bottom w:val="nil"/>
              <w:right w:val="nil"/>
            </w:tcBorders>
            <w:shd w:val="clear" w:color="000000" w:fill="EEECE1"/>
            <w:noWrap/>
            <w:vAlign w:val="bottom"/>
            <w:hideMark/>
          </w:tcPr>
          <w:p w14:paraId="1A11414E"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3               6</w:t>
            </w:r>
          </w:p>
        </w:tc>
      </w:tr>
      <w:tr w:rsidR="006D33C5" w:rsidRPr="006D33C5" w14:paraId="5F219898" w14:textId="77777777" w:rsidTr="00FC43F6">
        <w:trPr>
          <w:trHeight w:val="300"/>
          <w:jc w:val="center"/>
        </w:trPr>
        <w:tc>
          <w:tcPr>
            <w:tcW w:w="4620" w:type="dxa"/>
            <w:tcBorders>
              <w:top w:val="nil"/>
              <w:left w:val="nil"/>
              <w:bottom w:val="nil"/>
              <w:right w:val="nil"/>
            </w:tcBorders>
            <w:shd w:val="clear" w:color="000000" w:fill="EEECE1"/>
            <w:noWrap/>
            <w:vAlign w:val="bottom"/>
            <w:hideMark/>
          </w:tcPr>
          <w:p w14:paraId="4673AF87"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4               6</w:t>
            </w:r>
          </w:p>
        </w:tc>
      </w:tr>
      <w:tr w:rsidR="006D33C5" w:rsidRPr="006D33C5" w14:paraId="2BB4D5A0" w14:textId="77777777" w:rsidTr="00FC43F6">
        <w:trPr>
          <w:trHeight w:val="300"/>
          <w:jc w:val="center"/>
        </w:trPr>
        <w:tc>
          <w:tcPr>
            <w:tcW w:w="4620" w:type="dxa"/>
            <w:tcBorders>
              <w:top w:val="nil"/>
              <w:left w:val="nil"/>
              <w:bottom w:val="nil"/>
              <w:right w:val="nil"/>
            </w:tcBorders>
            <w:shd w:val="clear" w:color="000000" w:fill="EEECE1"/>
            <w:noWrap/>
            <w:vAlign w:val="bottom"/>
            <w:hideMark/>
          </w:tcPr>
          <w:p w14:paraId="26E7F528"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5               6</w:t>
            </w:r>
          </w:p>
        </w:tc>
      </w:tr>
    </w:tbl>
    <w:p w14:paraId="537429A6" w14:textId="77777777" w:rsidR="00987360" w:rsidRPr="009E2403" w:rsidRDefault="00987360" w:rsidP="00987360">
      <w:pPr>
        <w:rPr>
          <w:rFonts w:ascii="Arial" w:hAnsi="Arial" w:cs="Arial"/>
          <w:sz w:val="24"/>
          <w:szCs w:val="24"/>
          <w:lang w:val="en-US"/>
        </w:rPr>
      </w:pPr>
    </w:p>
    <w:p w14:paraId="2A6EACEF" w14:textId="77777777" w:rsidR="00987360" w:rsidRPr="009E2403" w:rsidRDefault="00987360" w:rsidP="00987360">
      <w:pPr>
        <w:rPr>
          <w:rFonts w:ascii="Arial" w:hAnsi="Arial" w:cs="Arial"/>
          <w:sz w:val="24"/>
          <w:szCs w:val="24"/>
          <w:lang w:val="en-US"/>
        </w:rPr>
      </w:pPr>
      <m:oMathPara>
        <m:oMathParaPr>
          <m:jc m:val="left"/>
        </m:oMathParaPr>
        <m:oMath>
          <m:r>
            <m:rPr>
              <m:sty m:val="p"/>
            </m:rPr>
            <w:rPr>
              <w:rFonts w:ascii="Cambria Math" w:hAnsi="Cambria Math" w:cs="Arial"/>
              <w:sz w:val="24"/>
              <w:szCs w:val="24"/>
              <w:lang w:val="en-US"/>
            </w:rPr>
            <m:t>PBP =</m:t>
          </m:r>
          <m:f>
            <m:fPr>
              <m:ctrlPr>
                <w:rPr>
                  <w:rFonts w:ascii="Cambria Math" w:hAnsi="Cambria Math" w:cs="Arial"/>
                  <w:sz w:val="24"/>
                  <w:szCs w:val="24"/>
                  <w:lang w:val="en-US"/>
                </w:rPr>
              </m:ctrlPr>
            </m:fPr>
            <m:num>
              <m:r>
                <m:rPr>
                  <m:sty m:val="p"/>
                </m:rPr>
                <w:rPr>
                  <w:rFonts w:ascii="Cambria Math" w:hAnsi="Cambria Math" w:cs="Arial"/>
                  <w:sz w:val="24"/>
                  <w:szCs w:val="24"/>
                </w:rPr>
                <m:t>30</m:t>
              </m:r>
            </m:num>
            <m:den>
              <m:r>
                <m:rPr>
                  <m:sty m:val="p"/>
                </m:rPr>
                <w:rPr>
                  <w:rFonts w:ascii="Cambria Math" w:hAnsi="Cambria Math" w:cs="Arial"/>
                  <w:sz w:val="24"/>
                  <w:szCs w:val="24"/>
                </w:rPr>
                <m:t>6</m:t>
              </m:r>
            </m:den>
          </m:f>
        </m:oMath>
      </m:oMathPara>
    </w:p>
    <w:p w14:paraId="72ED0851" w14:textId="77777777" w:rsidR="00987360" w:rsidRPr="009E2403" w:rsidRDefault="00987360" w:rsidP="00987360">
      <w:pPr>
        <w:rPr>
          <w:rFonts w:ascii="Arial" w:hAnsi="Arial" w:cs="Arial"/>
          <w:sz w:val="24"/>
          <w:szCs w:val="24"/>
          <w:lang w:val="en-US"/>
        </w:rPr>
      </w:pPr>
      <m:oMathPara>
        <m:oMathParaPr>
          <m:jc m:val="left"/>
        </m:oMathParaPr>
        <m:oMath>
          <m:r>
            <m:rPr>
              <m:sty m:val="p"/>
            </m:rPr>
            <w:rPr>
              <w:rFonts w:ascii="Cambria Math" w:hAnsi="Cambria Math" w:cs="Arial"/>
              <w:sz w:val="24"/>
              <w:szCs w:val="24"/>
              <w:lang w:val="en-US"/>
            </w:rPr>
            <m:t>PBP =5 Years</m:t>
          </m:r>
        </m:oMath>
      </m:oMathPara>
    </w:p>
    <w:p w14:paraId="0A64EDCF" w14:textId="77777777" w:rsidR="00987360" w:rsidRPr="009E2403" w:rsidRDefault="00987360" w:rsidP="00987360">
      <w:pPr>
        <w:rPr>
          <w:rFonts w:ascii="Arial" w:hAnsi="Arial" w:cs="Arial"/>
          <w:b/>
          <w:sz w:val="24"/>
          <w:szCs w:val="24"/>
          <w:lang w:val="en-US"/>
        </w:rPr>
      </w:pPr>
      <w:r w:rsidRPr="009E2403">
        <w:rPr>
          <w:rFonts w:ascii="Arial" w:hAnsi="Arial" w:cs="Arial"/>
          <w:b/>
          <w:sz w:val="24"/>
          <w:szCs w:val="24"/>
          <w:lang w:val="en-US"/>
        </w:rPr>
        <w:t>Project C</w:t>
      </w:r>
    </w:p>
    <w:tbl>
      <w:tblPr>
        <w:tblW w:w="4620" w:type="dxa"/>
        <w:jc w:val="center"/>
        <w:tblLook w:val="04A0" w:firstRow="1" w:lastRow="0" w:firstColumn="1" w:lastColumn="0" w:noHBand="0" w:noVBand="1"/>
      </w:tblPr>
      <w:tblGrid>
        <w:gridCol w:w="4620"/>
      </w:tblGrid>
      <w:tr w:rsidR="006D33C5" w:rsidRPr="006D33C5" w14:paraId="7969CAAB" w14:textId="77777777" w:rsidTr="00FC43F6">
        <w:trPr>
          <w:trHeight w:val="300"/>
          <w:jc w:val="center"/>
        </w:trPr>
        <w:tc>
          <w:tcPr>
            <w:tcW w:w="4620" w:type="dxa"/>
            <w:shd w:val="clear" w:color="000000" w:fill="EEECE1"/>
            <w:noWrap/>
            <w:vAlign w:val="bottom"/>
            <w:hideMark/>
          </w:tcPr>
          <w:p w14:paraId="5D03E4B5" w14:textId="77777777" w:rsidR="006D33C5" w:rsidRPr="006D33C5" w:rsidRDefault="006D33C5" w:rsidP="006D33C5">
            <w:pPr>
              <w:spacing w:after="0" w:line="240" w:lineRule="auto"/>
              <w:rPr>
                <w:rFonts w:ascii="Arial" w:eastAsia="Times New Roman" w:hAnsi="Arial" w:cs="Arial"/>
                <w:color w:val="FF0000"/>
                <w:lang w:val="en-US"/>
              </w:rPr>
            </w:pPr>
            <w:r w:rsidRPr="006D33C5">
              <w:rPr>
                <w:rFonts w:ascii="Arial" w:eastAsia="Times New Roman" w:hAnsi="Arial" w:cs="Arial"/>
                <w:color w:val="FF0000"/>
                <w:lang w:val="en-US"/>
              </w:rPr>
              <w:t>Year      Net Cash Inflow     Cumulative Cash Flow</w:t>
            </w:r>
          </w:p>
        </w:tc>
      </w:tr>
      <w:tr w:rsidR="006D33C5" w:rsidRPr="006D33C5" w14:paraId="565E0F8E" w14:textId="77777777" w:rsidTr="00FC43F6">
        <w:trPr>
          <w:trHeight w:val="300"/>
          <w:jc w:val="center"/>
        </w:trPr>
        <w:tc>
          <w:tcPr>
            <w:tcW w:w="4620" w:type="dxa"/>
            <w:shd w:val="clear" w:color="000000" w:fill="EEECE1"/>
            <w:noWrap/>
            <w:vAlign w:val="bottom"/>
            <w:hideMark/>
          </w:tcPr>
          <w:p w14:paraId="6A90F6EF"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w:t>
            </w:r>
          </w:p>
        </w:tc>
      </w:tr>
      <w:tr w:rsidR="006D33C5" w:rsidRPr="006D33C5" w14:paraId="7C32EA4A" w14:textId="77777777" w:rsidTr="00FC43F6">
        <w:trPr>
          <w:trHeight w:val="300"/>
          <w:jc w:val="center"/>
        </w:trPr>
        <w:tc>
          <w:tcPr>
            <w:tcW w:w="4620" w:type="dxa"/>
            <w:shd w:val="clear" w:color="000000" w:fill="EEECE1"/>
            <w:noWrap/>
            <w:vAlign w:val="bottom"/>
            <w:hideMark/>
          </w:tcPr>
          <w:p w14:paraId="7187A787"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0              –               –50</w:t>
            </w:r>
          </w:p>
        </w:tc>
      </w:tr>
      <w:tr w:rsidR="006D33C5" w:rsidRPr="006D33C5" w14:paraId="34A60D62" w14:textId="77777777" w:rsidTr="00FC43F6">
        <w:trPr>
          <w:trHeight w:val="300"/>
          <w:jc w:val="center"/>
        </w:trPr>
        <w:tc>
          <w:tcPr>
            <w:tcW w:w="4620" w:type="dxa"/>
            <w:shd w:val="clear" w:color="000000" w:fill="EEECE1"/>
            <w:noWrap/>
            <w:vAlign w:val="bottom"/>
            <w:hideMark/>
          </w:tcPr>
          <w:p w14:paraId="485309A6"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1              5               –45</w:t>
            </w:r>
          </w:p>
        </w:tc>
      </w:tr>
      <w:tr w:rsidR="006D33C5" w:rsidRPr="006D33C5" w14:paraId="2765C927" w14:textId="77777777" w:rsidTr="00FC43F6">
        <w:trPr>
          <w:trHeight w:val="300"/>
          <w:jc w:val="center"/>
        </w:trPr>
        <w:tc>
          <w:tcPr>
            <w:tcW w:w="4620" w:type="dxa"/>
            <w:shd w:val="clear" w:color="000000" w:fill="EEECE1"/>
            <w:noWrap/>
            <w:vAlign w:val="bottom"/>
            <w:hideMark/>
          </w:tcPr>
          <w:p w14:paraId="615C278A"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2             10               –35</w:t>
            </w:r>
          </w:p>
        </w:tc>
      </w:tr>
      <w:tr w:rsidR="006D33C5" w:rsidRPr="006D33C5" w14:paraId="40015704" w14:textId="77777777" w:rsidTr="00FC43F6">
        <w:trPr>
          <w:trHeight w:val="300"/>
          <w:jc w:val="center"/>
        </w:trPr>
        <w:tc>
          <w:tcPr>
            <w:tcW w:w="4620" w:type="dxa"/>
            <w:shd w:val="clear" w:color="000000" w:fill="EEECE1"/>
            <w:noWrap/>
            <w:vAlign w:val="bottom"/>
            <w:hideMark/>
          </w:tcPr>
          <w:p w14:paraId="06E2A5DA"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3             20               –15</w:t>
            </w:r>
          </w:p>
        </w:tc>
      </w:tr>
      <w:tr w:rsidR="006D33C5" w:rsidRPr="006D33C5" w14:paraId="12F6A035" w14:textId="77777777" w:rsidTr="00FC43F6">
        <w:trPr>
          <w:trHeight w:val="300"/>
          <w:jc w:val="center"/>
        </w:trPr>
        <w:tc>
          <w:tcPr>
            <w:tcW w:w="4620" w:type="dxa"/>
            <w:shd w:val="clear" w:color="000000" w:fill="EEECE1"/>
            <w:noWrap/>
            <w:vAlign w:val="bottom"/>
            <w:hideMark/>
          </w:tcPr>
          <w:p w14:paraId="0E73FE7C"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4             25               +10   → Recovery achieved</w:t>
            </w:r>
          </w:p>
        </w:tc>
      </w:tr>
      <w:tr w:rsidR="006D33C5" w:rsidRPr="006D33C5" w14:paraId="5D870048" w14:textId="77777777" w:rsidTr="00FC43F6">
        <w:trPr>
          <w:trHeight w:val="315"/>
          <w:jc w:val="center"/>
        </w:trPr>
        <w:tc>
          <w:tcPr>
            <w:tcW w:w="4620" w:type="dxa"/>
            <w:shd w:val="clear" w:color="000000" w:fill="EEECE1"/>
            <w:noWrap/>
            <w:vAlign w:val="bottom"/>
            <w:hideMark/>
          </w:tcPr>
          <w:p w14:paraId="1A6CDDD5" w14:textId="77777777" w:rsidR="006D33C5" w:rsidRPr="006D33C5" w:rsidRDefault="006D33C5" w:rsidP="006D33C5">
            <w:pPr>
              <w:spacing w:after="0" w:line="240" w:lineRule="auto"/>
              <w:rPr>
                <w:rFonts w:ascii="Arial" w:eastAsia="Times New Roman" w:hAnsi="Arial" w:cs="Arial"/>
                <w:color w:val="000000"/>
                <w:lang w:val="en-US"/>
              </w:rPr>
            </w:pPr>
            <w:r w:rsidRPr="006D33C5">
              <w:rPr>
                <w:rFonts w:ascii="Arial" w:eastAsia="Times New Roman" w:hAnsi="Arial" w:cs="Arial"/>
                <w:color w:val="000000"/>
                <w:lang w:val="en-US"/>
              </w:rPr>
              <w:t>5             15               +25</w:t>
            </w:r>
          </w:p>
        </w:tc>
      </w:tr>
    </w:tbl>
    <w:p w14:paraId="1F22A413" w14:textId="77777777" w:rsidR="00987360" w:rsidRDefault="00987360" w:rsidP="00987360">
      <w:pPr>
        <w:rPr>
          <w:rFonts w:ascii="Arial" w:hAnsi="Arial" w:cs="Arial"/>
          <w:sz w:val="24"/>
          <w:szCs w:val="24"/>
          <w:lang w:val="en-US"/>
        </w:rPr>
      </w:pPr>
    </w:p>
    <w:p w14:paraId="0EFD1F2F" w14:textId="77777777" w:rsidR="00BD6F06" w:rsidRPr="009E2403" w:rsidRDefault="00BD6F06" w:rsidP="00BD6F06">
      <w:pPr>
        <w:pStyle w:val="Caption"/>
        <w:jc w:val="center"/>
        <w:rPr>
          <w:rFonts w:ascii="Arial" w:hAnsi="Arial" w:cs="Arial"/>
          <w:sz w:val="24"/>
          <w:szCs w:val="24"/>
          <w:lang w:val="en-US"/>
        </w:rPr>
      </w:pPr>
      <w:bookmarkStart w:id="44" w:name="_Toc214745433"/>
      <w:r>
        <w:t xml:space="preserve">Table </w:t>
      </w:r>
      <w:r>
        <w:fldChar w:fldCharType="begin"/>
      </w:r>
      <w:r>
        <w:instrText xml:space="preserve"> SEQ Table \* ARABIC </w:instrText>
      </w:r>
      <w:r>
        <w:fldChar w:fldCharType="separate"/>
      </w:r>
      <w:r w:rsidR="004471DE">
        <w:rPr>
          <w:noProof/>
        </w:rPr>
        <w:t>6</w:t>
      </w:r>
      <w:r>
        <w:fldChar w:fldCharType="end"/>
      </w:r>
      <w:r>
        <w:t xml:space="preserve"> </w:t>
      </w:r>
      <w:r w:rsidRPr="004C29A1">
        <w:t>Payback Period</w:t>
      </w:r>
      <w:bookmarkEnd w:id="44"/>
    </w:p>
    <w:p w14:paraId="1FA1FCFB" w14:textId="77777777" w:rsidR="00BD6F06" w:rsidRPr="00BD6F06" w:rsidRDefault="00BD6F06" w:rsidP="00BD6F06">
      <w:pPr>
        <w:jc w:val="center"/>
        <w:rPr>
          <w:rFonts w:ascii="Arial" w:hAnsi="Arial" w:cs="Arial"/>
          <w:i/>
          <w:sz w:val="18"/>
        </w:rPr>
      </w:pPr>
      <w:r w:rsidRPr="00BD6F06">
        <w:rPr>
          <w:rFonts w:ascii="Arial" w:hAnsi="Arial" w:cs="Arial"/>
          <w:b/>
          <w:i/>
          <w:sz w:val="18"/>
        </w:rPr>
        <w:t>Source</w:t>
      </w:r>
      <w:r w:rsidRPr="00BD6F06">
        <w:rPr>
          <w:rFonts w:ascii="Arial" w:hAnsi="Arial" w:cs="Arial"/>
          <w:i/>
          <w:sz w:val="18"/>
        </w:rPr>
        <w:t>: Author’s own work in MS Excel</w:t>
      </w:r>
    </w:p>
    <w:p w14:paraId="2472F7C9" w14:textId="77777777" w:rsidR="00987360" w:rsidRPr="009E2403" w:rsidRDefault="00987360" w:rsidP="00BD6F06">
      <w:pPr>
        <w:tabs>
          <w:tab w:val="left" w:pos="3570"/>
        </w:tabs>
        <w:spacing w:line="360" w:lineRule="auto"/>
        <w:jc w:val="both"/>
        <w:rPr>
          <w:rFonts w:ascii="Arial" w:hAnsi="Arial" w:cs="Arial"/>
          <w:color w:val="001D35"/>
          <w:shd w:val="clear" w:color="auto" w:fill="FFFFFF"/>
        </w:rPr>
      </w:pPr>
      <w:r w:rsidRPr="009E2403">
        <w:rPr>
          <w:rFonts w:ascii="Arial" w:hAnsi="Arial" w:cs="Arial"/>
          <w:color w:val="001D35"/>
          <w:shd w:val="clear" w:color="auto" w:fill="FFFFFF"/>
        </w:rPr>
        <w:t>PBP = 3 + (15/25)</w:t>
      </w:r>
      <w:r w:rsidR="00BD6F06">
        <w:rPr>
          <w:rFonts w:ascii="Arial" w:hAnsi="Arial" w:cs="Arial"/>
          <w:color w:val="001D35"/>
          <w:shd w:val="clear" w:color="auto" w:fill="FFFFFF"/>
        </w:rPr>
        <w:tab/>
      </w:r>
    </w:p>
    <w:p w14:paraId="6998A240" w14:textId="77777777" w:rsidR="00987360" w:rsidRPr="009E2403" w:rsidRDefault="00987360" w:rsidP="00987360">
      <w:pPr>
        <w:spacing w:line="360" w:lineRule="auto"/>
        <w:jc w:val="both"/>
        <w:rPr>
          <w:rFonts w:ascii="Arial" w:hAnsi="Arial" w:cs="Arial"/>
          <w:color w:val="001D35"/>
          <w:shd w:val="clear" w:color="auto" w:fill="FFFFFF"/>
        </w:rPr>
      </w:pPr>
      <w:r w:rsidRPr="009E2403">
        <w:rPr>
          <w:rFonts w:ascii="Arial" w:hAnsi="Arial" w:cs="Arial"/>
          <w:color w:val="001D35"/>
          <w:shd w:val="clear" w:color="auto" w:fill="FFFFFF"/>
        </w:rPr>
        <w:t>PBP = 3 + 0.6</w:t>
      </w:r>
    </w:p>
    <w:p w14:paraId="1F954EFD" w14:textId="77777777" w:rsidR="00987360" w:rsidRPr="009E2403" w:rsidRDefault="00987360" w:rsidP="00987360">
      <w:pPr>
        <w:spacing w:line="360" w:lineRule="auto"/>
        <w:jc w:val="both"/>
        <w:rPr>
          <w:rFonts w:ascii="Arial" w:hAnsi="Arial" w:cs="Arial"/>
          <w:color w:val="001D35"/>
          <w:shd w:val="clear" w:color="auto" w:fill="FFFFFF"/>
        </w:rPr>
      </w:pPr>
      <w:r w:rsidRPr="009E2403">
        <w:rPr>
          <w:rFonts w:ascii="Arial" w:hAnsi="Arial" w:cs="Arial"/>
          <w:color w:val="001D35"/>
          <w:shd w:val="clear" w:color="auto" w:fill="FFFFFF"/>
        </w:rPr>
        <w:t>PBP = 3.6 Years</w:t>
      </w:r>
    </w:p>
    <w:p w14:paraId="3E03FC4E" w14:textId="77777777" w:rsidR="00987360" w:rsidRPr="009E2403" w:rsidRDefault="00987360">
      <w:pPr>
        <w:rPr>
          <w:rFonts w:ascii="Arial" w:eastAsia="Times New Roman" w:hAnsi="Arial" w:cs="Arial"/>
          <w:color w:val="5B9BD5" w:themeColor="accent1"/>
          <w:sz w:val="24"/>
          <w:szCs w:val="24"/>
          <w:lang w:val="en-US"/>
        </w:rPr>
      </w:pPr>
      <w:r w:rsidRPr="009E2403">
        <w:rPr>
          <w:rFonts w:ascii="Arial" w:eastAsia="Times New Roman" w:hAnsi="Arial" w:cs="Arial"/>
          <w:color w:val="5B9BD5" w:themeColor="accent1"/>
          <w:sz w:val="24"/>
          <w:szCs w:val="24"/>
          <w:lang w:val="en-US"/>
        </w:rPr>
        <w:t>Accounting Rate of Return</w:t>
      </w:r>
    </w:p>
    <w:p w14:paraId="39F2FF3F" w14:textId="77777777" w:rsidR="00987360" w:rsidRPr="009E2403" w:rsidRDefault="00987360" w:rsidP="00987360">
      <w:pPr>
        <w:spacing w:line="360" w:lineRule="auto"/>
        <w:jc w:val="both"/>
        <w:rPr>
          <w:rFonts w:ascii="Arial" w:hAnsi="Arial" w:cs="Arial"/>
          <w:b/>
          <w:sz w:val="24"/>
          <w:szCs w:val="24"/>
          <w:lang w:val="en-US"/>
        </w:rPr>
      </w:pPr>
      <w:r w:rsidRPr="009E2403">
        <w:rPr>
          <w:rFonts w:ascii="Arial" w:hAnsi="Arial" w:cs="Arial"/>
          <w:b/>
          <w:sz w:val="24"/>
          <w:szCs w:val="24"/>
          <w:lang w:val="en-US"/>
        </w:rPr>
        <w:t>Project A</w:t>
      </w:r>
    </w:p>
    <w:tbl>
      <w:tblPr>
        <w:tblW w:w="8436" w:type="dxa"/>
        <w:jc w:val="center"/>
        <w:tblLook w:val="04A0" w:firstRow="1" w:lastRow="0" w:firstColumn="1" w:lastColumn="0" w:noHBand="0" w:noVBand="1"/>
      </w:tblPr>
      <w:tblGrid>
        <w:gridCol w:w="1185"/>
        <w:gridCol w:w="193"/>
        <w:gridCol w:w="1038"/>
        <w:gridCol w:w="389"/>
        <w:gridCol w:w="325"/>
        <w:gridCol w:w="1042"/>
        <w:gridCol w:w="714"/>
        <w:gridCol w:w="714"/>
        <w:gridCol w:w="714"/>
        <w:gridCol w:w="714"/>
        <w:gridCol w:w="714"/>
        <w:gridCol w:w="714"/>
      </w:tblGrid>
      <w:tr w:rsidR="00C30903" w:rsidRPr="009E2403" w14:paraId="17F2B324" w14:textId="77777777" w:rsidTr="00FC43F6">
        <w:trPr>
          <w:trHeight w:val="307"/>
          <w:jc w:val="center"/>
        </w:trPr>
        <w:tc>
          <w:tcPr>
            <w:tcW w:w="1378" w:type="dxa"/>
            <w:gridSpan w:val="2"/>
            <w:tcBorders>
              <w:top w:val="nil"/>
              <w:left w:val="nil"/>
              <w:bottom w:val="nil"/>
              <w:right w:val="nil"/>
            </w:tcBorders>
            <w:shd w:val="clear" w:color="000000" w:fill="EEECE1"/>
            <w:noWrap/>
            <w:vAlign w:val="bottom"/>
            <w:hideMark/>
          </w:tcPr>
          <w:p w14:paraId="3A36F598"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highlight w:val="yellow"/>
                <w:lang w:val="en-US"/>
              </w:rPr>
              <w:t>Project A</w:t>
            </w:r>
          </w:p>
        </w:tc>
        <w:tc>
          <w:tcPr>
            <w:tcW w:w="1038" w:type="dxa"/>
            <w:tcBorders>
              <w:top w:val="nil"/>
              <w:left w:val="nil"/>
              <w:bottom w:val="nil"/>
              <w:right w:val="nil"/>
            </w:tcBorders>
            <w:shd w:val="clear" w:color="000000" w:fill="EEECE1"/>
            <w:noWrap/>
            <w:vAlign w:val="bottom"/>
            <w:hideMark/>
          </w:tcPr>
          <w:p w14:paraId="69789CA9"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gridSpan w:val="2"/>
            <w:tcBorders>
              <w:top w:val="nil"/>
              <w:left w:val="nil"/>
              <w:bottom w:val="nil"/>
              <w:right w:val="nil"/>
            </w:tcBorders>
            <w:shd w:val="clear" w:color="000000" w:fill="EEECE1"/>
            <w:noWrap/>
            <w:vAlign w:val="bottom"/>
            <w:hideMark/>
          </w:tcPr>
          <w:p w14:paraId="531EF46F"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022" w:type="dxa"/>
            <w:tcBorders>
              <w:top w:val="nil"/>
              <w:left w:val="nil"/>
              <w:bottom w:val="nil"/>
              <w:right w:val="nil"/>
            </w:tcBorders>
            <w:shd w:val="clear" w:color="000000" w:fill="EEECE1"/>
            <w:noWrap/>
            <w:vAlign w:val="bottom"/>
            <w:hideMark/>
          </w:tcPr>
          <w:p w14:paraId="65941585"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7D0A8F4A"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19281361"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317C2FB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043EE077"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7B35E10F"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5D08069E"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9E2403" w14:paraId="7ED2CBAF" w14:textId="77777777" w:rsidTr="00FC43F6">
        <w:trPr>
          <w:trHeight w:hRule="exact" w:val="432"/>
          <w:jc w:val="center"/>
        </w:trPr>
        <w:tc>
          <w:tcPr>
            <w:tcW w:w="2416" w:type="dxa"/>
            <w:gridSpan w:val="3"/>
            <w:tcBorders>
              <w:top w:val="nil"/>
              <w:left w:val="nil"/>
              <w:bottom w:val="nil"/>
              <w:right w:val="nil"/>
            </w:tcBorders>
            <w:shd w:val="clear" w:color="000000" w:fill="EEECE1"/>
            <w:noWrap/>
            <w:vAlign w:val="bottom"/>
            <w:hideMark/>
          </w:tcPr>
          <w:p w14:paraId="54CF3A7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gridSpan w:val="2"/>
            <w:tcBorders>
              <w:top w:val="nil"/>
              <w:left w:val="nil"/>
              <w:bottom w:val="nil"/>
              <w:right w:val="nil"/>
            </w:tcBorders>
            <w:shd w:val="clear" w:color="000000" w:fill="EEECE1"/>
            <w:noWrap/>
            <w:vAlign w:val="bottom"/>
            <w:hideMark/>
          </w:tcPr>
          <w:p w14:paraId="2D024DD5"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878" w:type="dxa"/>
            <w:gridSpan w:val="5"/>
            <w:tcBorders>
              <w:top w:val="nil"/>
              <w:left w:val="nil"/>
              <w:bottom w:val="nil"/>
              <w:right w:val="nil"/>
            </w:tcBorders>
            <w:shd w:val="clear" w:color="000000" w:fill="EEECE1"/>
            <w:noWrap/>
            <w:vAlign w:val="bottom"/>
            <w:hideMark/>
          </w:tcPr>
          <w:p w14:paraId="4C70A81D" w14:textId="77777777" w:rsidR="00C30903" w:rsidRPr="009E24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r w:rsidRPr="00C30903">
              <w:rPr>
                <w:rFonts w:ascii="Arial" w:eastAsia="Times New Roman" w:hAnsi="Arial" w:cs="Arial"/>
                <w:color w:val="000000"/>
                <w:highlight w:val="yellow"/>
                <w:lang w:val="en-US"/>
              </w:rPr>
              <w:t>Average profit</w:t>
            </w:r>
          </w:p>
          <w:p w14:paraId="18EE422B" w14:textId="77777777" w:rsidR="00C30903" w:rsidRPr="009E24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p w14:paraId="076D391A" w14:textId="77777777" w:rsidR="00C30903" w:rsidRPr="009E24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p w14:paraId="043446E2" w14:textId="77777777" w:rsidR="00C30903" w:rsidRPr="009E24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p w14:paraId="648FF490"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01A6157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5B91AE26"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9E2403" w14:paraId="3AF72101" w14:textId="77777777" w:rsidTr="00FC43F6">
        <w:trPr>
          <w:trHeight w:val="307"/>
          <w:jc w:val="center"/>
        </w:trPr>
        <w:tc>
          <w:tcPr>
            <w:tcW w:w="1185" w:type="dxa"/>
            <w:tcBorders>
              <w:top w:val="nil"/>
              <w:left w:val="nil"/>
              <w:bottom w:val="nil"/>
              <w:right w:val="nil"/>
            </w:tcBorders>
            <w:shd w:val="clear" w:color="000000" w:fill="EEECE1"/>
            <w:noWrap/>
            <w:vAlign w:val="bottom"/>
            <w:hideMark/>
          </w:tcPr>
          <w:p w14:paraId="77DCE2BF"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231" w:type="dxa"/>
            <w:gridSpan w:val="2"/>
            <w:tcBorders>
              <w:top w:val="nil"/>
              <w:left w:val="nil"/>
              <w:bottom w:val="nil"/>
              <w:right w:val="nil"/>
            </w:tcBorders>
            <w:shd w:val="clear" w:color="000000" w:fill="EEECE1"/>
            <w:noWrap/>
            <w:vAlign w:val="bottom"/>
            <w:hideMark/>
          </w:tcPr>
          <w:p w14:paraId="6FF3A20F" w14:textId="77777777" w:rsidR="00C30903" w:rsidRPr="00C30903" w:rsidRDefault="00C30903" w:rsidP="00C30903">
            <w:pPr>
              <w:spacing w:after="0" w:line="240" w:lineRule="auto"/>
              <w:rPr>
                <w:rFonts w:ascii="Arial" w:eastAsia="Times New Roman" w:hAnsi="Arial" w:cs="Arial"/>
                <w:b/>
                <w:bCs/>
                <w:color w:val="000000"/>
                <w:lang w:val="en-US"/>
              </w:rPr>
            </w:pPr>
            <w:r w:rsidRPr="00C30903">
              <w:rPr>
                <w:rFonts w:ascii="Arial" w:eastAsia="Times New Roman" w:hAnsi="Arial" w:cs="Arial"/>
                <w:b/>
                <w:bCs/>
                <w:color w:val="000000"/>
                <w:lang w:val="en-US"/>
              </w:rPr>
              <w:t>Year</w:t>
            </w:r>
          </w:p>
        </w:tc>
        <w:tc>
          <w:tcPr>
            <w:tcW w:w="714" w:type="dxa"/>
            <w:gridSpan w:val="2"/>
            <w:tcBorders>
              <w:top w:val="nil"/>
              <w:left w:val="nil"/>
              <w:bottom w:val="nil"/>
              <w:right w:val="nil"/>
            </w:tcBorders>
            <w:shd w:val="clear" w:color="000000" w:fill="EEECE1"/>
            <w:noWrap/>
            <w:vAlign w:val="bottom"/>
            <w:hideMark/>
          </w:tcPr>
          <w:p w14:paraId="709D1035"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1</w:t>
            </w:r>
          </w:p>
        </w:tc>
        <w:tc>
          <w:tcPr>
            <w:tcW w:w="1022" w:type="dxa"/>
            <w:tcBorders>
              <w:top w:val="nil"/>
              <w:left w:val="nil"/>
              <w:bottom w:val="nil"/>
              <w:right w:val="nil"/>
            </w:tcBorders>
            <w:shd w:val="clear" w:color="000000" w:fill="EEECE1"/>
            <w:noWrap/>
            <w:vAlign w:val="bottom"/>
            <w:hideMark/>
          </w:tcPr>
          <w:p w14:paraId="5483BDB5"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2</w:t>
            </w:r>
          </w:p>
        </w:tc>
        <w:tc>
          <w:tcPr>
            <w:tcW w:w="714" w:type="dxa"/>
            <w:tcBorders>
              <w:top w:val="nil"/>
              <w:left w:val="nil"/>
              <w:bottom w:val="nil"/>
              <w:right w:val="nil"/>
            </w:tcBorders>
            <w:shd w:val="clear" w:color="000000" w:fill="EEECE1"/>
            <w:noWrap/>
            <w:vAlign w:val="bottom"/>
            <w:hideMark/>
          </w:tcPr>
          <w:p w14:paraId="5D11BDB7"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3</w:t>
            </w:r>
          </w:p>
        </w:tc>
        <w:tc>
          <w:tcPr>
            <w:tcW w:w="714" w:type="dxa"/>
            <w:tcBorders>
              <w:top w:val="nil"/>
              <w:left w:val="nil"/>
              <w:bottom w:val="nil"/>
              <w:right w:val="nil"/>
            </w:tcBorders>
            <w:shd w:val="clear" w:color="000000" w:fill="EEECE1"/>
            <w:noWrap/>
            <w:vAlign w:val="bottom"/>
            <w:hideMark/>
          </w:tcPr>
          <w:p w14:paraId="0CA80414"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4</w:t>
            </w:r>
          </w:p>
        </w:tc>
        <w:tc>
          <w:tcPr>
            <w:tcW w:w="714" w:type="dxa"/>
            <w:tcBorders>
              <w:top w:val="nil"/>
              <w:left w:val="nil"/>
              <w:bottom w:val="nil"/>
              <w:right w:val="nil"/>
            </w:tcBorders>
            <w:shd w:val="clear" w:color="000000" w:fill="EEECE1"/>
            <w:noWrap/>
            <w:vAlign w:val="bottom"/>
            <w:hideMark/>
          </w:tcPr>
          <w:p w14:paraId="24B12AA4"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5</w:t>
            </w:r>
          </w:p>
        </w:tc>
        <w:tc>
          <w:tcPr>
            <w:tcW w:w="714" w:type="dxa"/>
            <w:tcBorders>
              <w:top w:val="nil"/>
              <w:left w:val="nil"/>
              <w:bottom w:val="nil"/>
              <w:right w:val="nil"/>
            </w:tcBorders>
            <w:shd w:val="clear" w:color="000000" w:fill="EEECE1"/>
            <w:noWrap/>
            <w:vAlign w:val="bottom"/>
            <w:hideMark/>
          </w:tcPr>
          <w:p w14:paraId="3BBD91F9"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7295C05E"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7601B7DA"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9E2403" w14:paraId="1D174889" w14:textId="77777777" w:rsidTr="00FC43F6">
        <w:trPr>
          <w:trHeight w:val="307"/>
          <w:jc w:val="center"/>
        </w:trPr>
        <w:tc>
          <w:tcPr>
            <w:tcW w:w="1185" w:type="dxa"/>
            <w:tcBorders>
              <w:top w:val="nil"/>
              <w:left w:val="nil"/>
              <w:bottom w:val="nil"/>
              <w:right w:val="nil"/>
            </w:tcBorders>
            <w:shd w:val="clear" w:color="000000" w:fill="EEECE1"/>
            <w:noWrap/>
            <w:vAlign w:val="bottom"/>
            <w:hideMark/>
          </w:tcPr>
          <w:p w14:paraId="35B9F21D"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231" w:type="dxa"/>
            <w:gridSpan w:val="2"/>
            <w:tcBorders>
              <w:top w:val="nil"/>
              <w:left w:val="nil"/>
              <w:bottom w:val="nil"/>
              <w:right w:val="nil"/>
            </w:tcBorders>
            <w:shd w:val="clear" w:color="000000" w:fill="EEECE1"/>
            <w:noWrap/>
            <w:vAlign w:val="bottom"/>
            <w:hideMark/>
          </w:tcPr>
          <w:p w14:paraId="398A18B4" w14:textId="77777777" w:rsidR="00C30903" w:rsidRPr="00C30903" w:rsidRDefault="00C30903" w:rsidP="00C30903">
            <w:pPr>
              <w:spacing w:after="0" w:line="240" w:lineRule="auto"/>
              <w:rPr>
                <w:rFonts w:ascii="Arial" w:eastAsia="Times New Roman" w:hAnsi="Arial" w:cs="Arial"/>
                <w:b/>
                <w:bCs/>
                <w:color w:val="000000"/>
                <w:lang w:val="en-US"/>
              </w:rPr>
            </w:pPr>
            <w:r w:rsidRPr="00C30903">
              <w:rPr>
                <w:rFonts w:ascii="Arial" w:eastAsia="Times New Roman" w:hAnsi="Arial" w:cs="Arial"/>
                <w:b/>
                <w:bCs/>
                <w:color w:val="000000"/>
                <w:lang w:val="en-US"/>
              </w:rPr>
              <w:t>Profit</w:t>
            </w:r>
          </w:p>
        </w:tc>
        <w:tc>
          <w:tcPr>
            <w:tcW w:w="714" w:type="dxa"/>
            <w:gridSpan w:val="2"/>
            <w:tcBorders>
              <w:top w:val="nil"/>
              <w:left w:val="nil"/>
              <w:bottom w:val="nil"/>
              <w:right w:val="nil"/>
            </w:tcBorders>
            <w:shd w:val="clear" w:color="000000" w:fill="EEECE1"/>
            <w:noWrap/>
            <w:vAlign w:val="bottom"/>
            <w:hideMark/>
          </w:tcPr>
          <w:p w14:paraId="01E286E3"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10</w:t>
            </w:r>
          </w:p>
        </w:tc>
        <w:tc>
          <w:tcPr>
            <w:tcW w:w="1022" w:type="dxa"/>
            <w:tcBorders>
              <w:top w:val="nil"/>
              <w:left w:val="nil"/>
              <w:bottom w:val="nil"/>
              <w:right w:val="nil"/>
            </w:tcBorders>
            <w:shd w:val="clear" w:color="000000" w:fill="EEECE1"/>
            <w:noWrap/>
            <w:vAlign w:val="bottom"/>
            <w:hideMark/>
          </w:tcPr>
          <w:p w14:paraId="6A5D6F9B"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12</w:t>
            </w:r>
          </w:p>
        </w:tc>
        <w:tc>
          <w:tcPr>
            <w:tcW w:w="714" w:type="dxa"/>
            <w:tcBorders>
              <w:top w:val="nil"/>
              <w:left w:val="nil"/>
              <w:bottom w:val="nil"/>
              <w:right w:val="nil"/>
            </w:tcBorders>
            <w:shd w:val="clear" w:color="000000" w:fill="EEECE1"/>
            <w:noWrap/>
            <w:vAlign w:val="bottom"/>
            <w:hideMark/>
          </w:tcPr>
          <w:p w14:paraId="1D8F6F8B"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14</w:t>
            </w:r>
          </w:p>
        </w:tc>
        <w:tc>
          <w:tcPr>
            <w:tcW w:w="714" w:type="dxa"/>
            <w:tcBorders>
              <w:top w:val="nil"/>
              <w:left w:val="nil"/>
              <w:bottom w:val="nil"/>
              <w:right w:val="nil"/>
            </w:tcBorders>
            <w:shd w:val="clear" w:color="000000" w:fill="EEECE1"/>
            <w:noWrap/>
            <w:vAlign w:val="bottom"/>
            <w:hideMark/>
          </w:tcPr>
          <w:p w14:paraId="22B6F6FF"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10</w:t>
            </w:r>
          </w:p>
        </w:tc>
        <w:tc>
          <w:tcPr>
            <w:tcW w:w="714" w:type="dxa"/>
            <w:tcBorders>
              <w:top w:val="nil"/>
              <w:left w:val="nil"/>
              <w:bottom w:val="nil"/>
              <w:right w:val="nil"/>
            </w:tcBorders>
            <w:shd w:val="clear" w:color="000000" w:fill="EEECE1"/>
            <w:noWrap/>
            <w:vAlign w:val="bottom"/>
            <w:hideMark/>
          </w:tcPr>
          <w:p w14:paraId="602E63C2"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8</w:t>
            </w:r>
          </w:p>
        </w:tc>
        <w:tc>
          <w:tcPr>
            <w:tcW w:w="714" w:type="dxa"/>
            <w:tcBorders>
              <w:top w:val="nil"/>
              <w:left w:val="nil"/>
              <w:bottom w:val="nil"/>
              <w:right w:val="nil"/>
            </w:tcBorders>
            <w:shd w:val="clear" w:color="000000" w:fill="EEECE1"/>
            <w:noWrap/>
            <w:vAlign w:val="bottom"/>
            <w:hideMark/>
          </w:tcPr>
          <w:p w14:paraId="6EB6027C"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54</w:t>
            </w:r>
          </w:p>
        </w:tc>
        <w:tc>
          <w:tcPr>
            <w:tcW w:w="714" w:type="dxa"/>
            <w:tcBorders>
              <w:top w:val="nil"/>
              <w:left w:val="nil"/>
              <w:bottom w:val="nil"/>
              <w:right w:val="nil"/>
            </w:tcBorders>
            <w:shd w:val="clear" w:color="000000" w:fill="EEECE1"/>
            <w:noWrap/>
            <w:vAlign w:val="bottom"/>
            <w:hideMark/>
          </w:tcPr>
          <w:p w14:paraId="578A364C"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6C51E6FC"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9E2403" w14:paraId="7E8C0C9C" w14:textId="77777777" w:rsidTr="00FC43F6">
        <w:trPr>
          <w:trHeight w:val="307"/>
          <w:jc w:val="center"/>
        </w:trPr>
        <w:tc>
          <w:tcPr>
            <w:tcW w:w="1185" w:type="dxa"/>
            <w:tcBorders>
              <w:top w:val="nil"/>
              <w:left w:val="nil"/>
              <w:bottom w:val="nil"/>
              <w:right w:val="nil"/>
            </w:tcBorders>
            <w:shd w:val="clear" w:color="000000" w:fill="EEECE1"/>
            <w:noWrap/>
            <w:vAlign w:val="bottom"/>
            <w:hideMark/>
          </w:tcPr>
          <w:p w14:paraId="21467455"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231" w:type="dxa"/>
            <w:gridSpan w:val="2"/>
            <w:tcBorders>
              <w:top w:val="nil"/>
              <w:left w:val="nil"/>
              <w:bottom w:val="nil"/>
              <w:right w:val="nil"/>
            </w:tcBorders>
            <w:shd w:val="clear" w:color="000000" w:fill="EEECE1"/>
            <w:noWrap/>
            <w:vAlign w:val="bottom"/>
            <w:hideMark/>
          </w:tcPr>
          <w:p w14:paraId="26E99C13" w14:textId="77777777" w:rsidR="00C30903" w:rsidRPr="00C30903" w:rsidRDefault="00C30903" w:rsidP="00C30903">
            <w:pPr>
              <w:spacing w:after="0" w:line="240" w:lineRule="auto"/>
              <w:rPr>
                <w:rFonts w:ascii="Arial" w:eastAsia="Times New Roman" w:hAnsi="Arial" w:cs="Arial"/>
                <w:b/>
                <w:bCs/>
                <w:color w:val="000000"/>
                <w:lang w:val="en-US"/>
              </w:rPr>
            </w:pPr>
            <w:r w:rsidRPr="00C30903">
              <w:rPr>
                <w:rFonts w:ascii="Arial" w:eastAsia="Times New Roman" w:hAnsi="Arial" w:cs="Arial"/>
                <w:b/>
                <w:bCs/>
                <w:color w:val="000000"/>
                <w:lang w:val="en-US"/>
              </w:rPr>
              <w:t xml:space="preserve">Average </w:t>
            </w:r>
            <w:r w:rsidRPr="00C30903">
              <w:rPr>
                <w:rFonts w:ascii="Arial" w:eastAsia="Times New Roman" w:hAnsi="Arial" w:cs="Arial"/>
                <w:b/>
                <w:bCs/>
                <w:color w:val="000000"/>
                <w:highlight w:val="green"/>
                <w:lang w:val="en-US"/>
              </w:rPr>
              <w:t>Profit</w:t>
            </w:r>
          </w:p>
        </w:tc>
        <w:tc>
          <w:tcPr>
            <w:tcW w:w="3878" w:type="dxa"/>
            <w:gridSpan w:val="6"/>
            <w:tcBorders>
              <w:top w:val="nil"/>
              <w:left w:val="nil"/>
              <w:bottom w:val="nil"/>
              <w:right w:val="nil"/>
            </w:tcBorders>
            <w:shd w:val="clear" w:color="000000" w:fill="EEECE1"/>
            <w:noWrap/>
            <w:vAlign w:val="bottom"/>
            <w:hideMark/>
          </w:tcPr>
          <w:p w14:paraId="6B154B68" w14:textId="77777777" w:rsidR="00C30903" w:rsidRPr="00C30903" w:rsidRDefault="00C30903" w:rsidP="00C30903">
            <w:pPr>
              <w:spacing w:after="0" w:line="240" w:lineRule="auto"/>
              <w:jc w:val="center"/>
              <w:rPr>
                <w:rFonts w:ascii="Arial" w:eastAsia="Times New Roman" w:hAnsi="Arial" w:cs="Arial"/>
                <w:color w:val="000000"/>
                <w:lang w:val="en-US"/>
              </w:rPr>
            </w:pPr>
            <w:r w:rsidRPr="00C30903">
              <w:rPr>
                <w:rFonts w:ascii="Arial" w:eastAsia="Times New Roman" w:hAnsi="Arial" w:cs="Arial"/>
                <w:color w:val="000000"/>
                <w:lang w:val="en-US"/>
              </w:rPr>
              <w:t>54/5</w:t>
            </w:r>
          </w:p>
        </w:tc>
        <w:tc>
          <w:tcPr>
            <w:tcW w:w="714" w:type="dxa"/>
            <w:tcBorders>
              <w:top w:val="nil"/>
              <w:left w:val="nil"/>
              <w:bottom w:val="nil"/>
              <w:right w:val="nil"/>
            </w:tcBorders>
            <w:shd w:val="clear" w:color="000000" w:fill="EEECE1"/>
            <w:noWrap/>
            <w:vAlign w:val="bottom"/>
            <w:hideMark/>
          </w:tcPr>
          <w:p w14:paraId="2AFAD210"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highlight w:val="green"/>
                <w:lang w:val="en-US"/>
              </w:rPr>
              <w:t>10.8</w:t>
            </w:r>
          </w:p>
        </w:tc>
        <w:tc>
          <w:tcPr>
            <w:tcW w:w="714" w:type="dxa"/>
            <w:tcBorders>
              <w:top w:val="nil"/>
              <w:left w:val="nil"/>
              <w:bottom w:val="nil"/>
              <w:right w:val="nil"/>
            </w:tcBorders>
            <w:shd w:val="clear" w:color="000000" w:fill="EEECE1"/>
            <w:noWrap/>
            <w:vAlign w:val="bottom"/>
            <w:hideMark/>
          </w:tcPr>
          <w:p w14:paraId="73597E42"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4B4DB0FF"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9E2403" w14:paraId="2965FF9F" w14:textId="77777777" w:rsidTr="00FC43F6">
        <w:trPr>
          <w:trHeight w:val="307"/>
          <w:jc w:val="center"/>
        </w:trPr>
        <w:tc>
          <w:tcPr>
            <w:tcW w:w="1185" w:type="dxa"/>
            <w:tcBorders>
              <w:top w:val="nil"/>
              <w:left w:val="nil"/>
              <w:bottom w:val="nil"/>
              <w:right w:val="nil"/>
            </w:tcBorders>
            <w:shd w:val="clear" w:color="000000" w:fill="EEECE1"/>
            <w:noWrap/>
            <w:vAlign w:val="bottom"/>
            <w:hideMark/>
          </w:tcPr>
          <w:p w14:paraId="5DCCC50A"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231" w:type="dxa"/>
            <w:gridSpan w:val="2"/>
            <w:tcBorders>
              <w:top w:val="nil"/>
              <w:left w:val="nil"/>
              <w:bottom w:val="nil"/>
              <w:right w:val="nil"/>
            </w:tcBorders>
            <w:shd w:val="clear" w:color="000000" w:fill="EEECE1"/>
            <w:noWrap/>
            <w:vAlign w:val="bottom"/>
            <w:hideMark/>
          </w:tcPr>
          <w:p w14:paraId="13B000F4" w14:textId="77777777" w:rsidR="00C30903" w:rsidRPr="00C30903" w:rsidRDefault="00C30903" w:rsidP="00C30903">
            <w:pPr>
              <w:spacing w:after="0" w:line="240" w:lineRule="auto"/>
              <w:rPr>
                <w:rFonts w:ascii="Arial" w:eastAsia="Times New Roman" w:hAnsi="Arial" w:cs="Arial"/>
                <w:b/>
                <w:bCs/>
                <w:color w:val="000000"/>
                <w:lang w:val="en-US"/>
              </w:rPr>
            </w:pPr>
            <w:r w:rsidRPr="00C30903">
              <w:rPr>
                <w:rFonts w:ascii="Arial" w:eastAsia="Times New Roman" w:hAnsi="Arial" w:cs="Arial"/>
                <w:b/>
                <w:bCs/>
                <w:color w:val="000000"/>
                <w:lang w:val="en-US"/>
              </w:rPr>
              <w:t> </w:t>
            </w:r>
          </w:p>
        </w:tc>
        <w:tc>
          <w:tcPr>
            <w:tcW w:w="714" w:type="dxa"/>
            <w:gridSpan w:val="2"/>
            <w:tcBorders>
              <w:top w:val="nil"/>
              <w:left w:val="nil"/>
              <w:bottom w:val="nil"/>
              <w:right w:val="nil"/>
            </w:tcBorders>
            <w:shd w:val="clear" w:color="000000" w:fill="EEECE1"/>
            <w:noWrap/>
            <w:vAlign w:val="bottom"/>
            <w:hideMark/>
          </w:tcPr>
          <w:p w14:paraId="62214ED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022" w:type="dxa"/>
            <w:tcBorders>
              <w:top w:val="nil"/>
              <w:left w:val="nil"/>
              <w:bottom w:val="nil"/>
              <w:right w:val="nil"/>
            </w:tcBorders>
            <w:shd w:val="clear" w:color="000000" w:fill="EEECE1"/>
            <w:noWrap/>
            <w:vAlign w:val="bottom"/>
            <w:hideMark/>
          </w:tcPr>
          <w:p w14:paraId="32DA121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72F454CA"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2265CD2F"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367D4B08"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7FB44C4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42DECF27"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78BDEE25"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9E2403" w14:paraId="7A607827" w14:textId="77777777" w:rsidTr="00FC43F6">
        <w:trPr>
          <w:trHeight w:val="353"/>
          <w:jc w:val="center"/>
        </w:trPr>
        <w:tc>
          <w:tcPr>
            <w:tcW w:w="1185" w:type="dxa"/>
            <w:tcBorders>
              <w:top w:val="nil"/>
              <w:left w:val="nil"/>
              <w:bottom w:val="nil"/>
              <w:right w:val="nil"/>
            </w:tcBorders>
            <w:shd w:val="clear" w:color="000000" w:fill="EEECE1"/>
            <w:noWrap/>
            <w:vAlign w:val="bottom"/>
            <w:hideMark/>
          </w:tcPr>
          <w:p w14:paraId="490C4C1B"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945" w:type="dxa"/>
            <w:gridSpan w:val="4"/>
            <w:tcBorders>
              <w:top w:val="nil"/>
              <w:left w:val="nil"/>
              <w:bottom w:val="nil"/>
              <w:right w:val="nil"/>
            </w:tcBorders>
            <w:shd w:val="clear" w:color="000000" w:fill="EEECE1"/>
            <w:noWrap/>
            <w:vAlign w:val="bottom"/>
            <w:hideMark/>
          </w:tcPr>
          <w:p w14:paraId="77D07D60" w14:textId="77777777" w:rsidR="00C30903" w:rsidRPr="00C30903" w:rsidRDefault="00C30903" w:rsidP="00C30903">
            <w:pPr>
              <w:spacing w:after="0" w:line="240" w:lineRule="auto"/>
              <w:rPr>
                <w:rFonts w:ascii="Arial" w:eastAsia="Times New Roman" w:hAnsi="Arial" w:cs="Arial"/>
                <w:b/>
                <w:bCs/>
                <w:color w:val="000000"/>
                <w:lang w:val="en-US"/>
              </w:rPr>
            </w:pPr>
            <w:r w:rsidRPr="00C30903">
              <w:rPr>
                <w:rFonts w:ascii="Arial" w:eastAsia="Times New Roman" w:hAnsi="Arial" w:cs="Arial"/>
                <w:b/>
                <w:bCs/>
                <w:color w:val="000000"/>
                <w:lang w:val="en-US"/>
              </w:rPr>
              <w:t>Average Investment</w:t>
            </w:r>
          </w:p>
        </w:tc>
        <w:tc>
          <w:tcPr>
            <w:tcW w:w="4592" w:type="dxa"/>
            <w:gridSpan w:val="6"/>
            <w:tcBorders>
              <w:top w:val="nil"/>
              <w:left w:val="nil"/>
              <w:bottom w:val="nil"/>
              <w:right w:val="nil"/>
            </w:tcBorders>
            <w:shd w:val="clear" w:color="000000" w:fill="EEECE1"/>
            <w:vAlign w:val="center"/>
            <w:hideMark/>
          </w:tcPr>
          <w:p w14:paraId="1466B65A" w14:textId="77777777" w:rsidR="00C30903" w:rsidRPr="00C30903" w:rsidRDefault="00C30903" w:rsidP="00C30903">
            <w:pPr>
              <w:spacing w:after="0" w:line="240" w:lineRule="auto"/>
              <w:jc w:val="center"/>
              <w:rPr>
                <w:rFonts w:ascii="Arial" w:eastAsia="Times New Roman" w:hAnsi="Arial" w:cs="Arial"/>
                <w:color w:val="374151"/>
                <w:sz w:val="24"/>
                <w:szCs w:val="24"/>
                <w:lang w:val="en-US"/>
              </w:rPr>
            </w:pPr>
            <w:r w:rsidRPr="00C30903">
              <w:rPr>
                <w:rFonts w:ascii="Arial" w:eastAsia="Times New Roman" w:hAnsi="Arial" w:cs="Arial"/>
                <w:color w:val="374151"/>
                <w:sz w:val="16"/>
                <w:szCs w:val="24"/>
                <w:lang w:val="en-US"/>
              </w:rPr>
              <w:t>(Book Value at Year 1 + Book Value at End of Useful Life) / 2</w:t>
            </w:r>
          </w:p>
        </w:tc>
        <w:tc>
          <w:tcPr>
            <w:tcW w:w="714" w:type="dxa"/>
            <w:tcBorders>
              <w:top w:val="nil"/>
              <w:left w:val="nil"/>
              <w:bottom w:val="nil"/>
              <w:right w:val="nil"/>
            </w:tcBorders>
            <w:shd w:val="clear" w:color="000000" w:fill="EEECE1"/>
            <w:noWrap/>
            <w:vAlign w:val="bottom"/>
            <w:hideMark/>
          </w:tcPr>
          <w:p w14:paraId="436E528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9E2403" w14:paraId="2B21F5C2" w14:textId="77777777" w:rsidTr="00FC43F6">
        <w:trPr>
          <w:trHeight w:val="323"/>
          <w:jc w:val="center"/>
        </w:trPr>
        <w:tc>
          <w:tcPr>
            <w:tcW w:w="1185" w:type="dxa"/>
            <w:tcBorders>
              <w:top w:val="nil"/>
              <w:left w:val="nil"/>
              <w:bottom w:val="nil"/>
              <w:right w:val="nil"/>
            </w:tcBorders>
            <w:shd w:val="clear" w:color="000000" w:fill="EEECE1"/>
            <w:noWrap/>
            <w:vAlign w:val="bottom"/>
            <w:hideMark/>
          </w:tcPr>
          <w:p w14:paraId="61EE671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620" w:type="dxa"/>
            <w:gridSpan w:val="3"/>
            <w:tcBorders>
              <w:top w:val="nil"/>
              <w:left w:val="nil"/>
              <w:bottom w:val="nil"/>
              <w:right w:val="nil"/>
            </w:tcBorders>
            <w:shd w:val="clear" w:color="000000" w:fill="EEECE1"/>
            <w:noWrap/>
            <w:vAlign w:val="bottom"/>
            <w:hideMark/>
          </w:tcPr>
          <w:p w14:paraId="11F54E4C"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25" w:type="dxa"/>
            <w:tcBorders>
              <w:top w:val="nil"/>
              <w:left w:val="nil"/>
              <w:bottom w:val="nil"/>
              <w:right w:val="nil"/>
            </w:tcBorders>
            <w:shd w:val="clear" w:color="000000" w:fill="EEECE1"/>
            <w:noWrap/>
            <w:vAlign w:val="bottom"/>
            <w:hideMark/>
          </w:tcPr>
          <w:p w14:paraId="0AC97FE5"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022" w:type="dxa"/>
            <w:tcBorders>
              <w:top w:val="nil"/>
              <w:left w:val="nil"/>
              <w:bottom w:val="nil"/>
              <w:right w:val="nil"/>
            </w:tcBorders>
            <w:shd w:val="clear" w:color="000000" w:fill="EEECE1"/>
            <w:noWrap/>
            <w:vAlign w:val="bottom"/>
            <w:hideMark/>
          </w:tcPr>
          <w:p w14:paraId="6F3C3633"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(40+0)/2</w:t>
            </w:r>
          </w:p>
        </w:tc>
        <w:tc>
          <w:tcPr>
            <w:tcW w:w="714" w:type="dxa"/>
            <w:tcBorders>
              <w:top w:val="nil"/>
              <w:left w:val="nil"/>
              <w:bottom w:val="nil"/>
              <w:right w:val="nil"/>
            </w:tcBorders>
            <w:shd w:val="clear" w:color="000000" w:fill="EEECE1"/>
            <w:noWrap/>
            <w:vAlign w:val="bottom"/>
            <w:hideMark/>
          </w:tcPr>
          <w:p w14:paraId="73F843B3"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164A2FED"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371D615A"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7D2C93C1"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322D600E"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11CAC631"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9E2403" w14:paraId="354C68E8" w14:textId="77777777" w:rsidTr="00FC43F6">
        <w:trPr>
          <w:trHeight w:val="307"/>
          <w:jc w:val="center"/>
        </w:trPr>
        <w:tc>
          <w:tcPr>
            <w:tcW w:w="1185" w:type="dxa"/>
            <w:tcBorders>
              <w:top w:val="nil"/>
              <w:left w:val="nil"/>
              <w:bottom w:val="nil"/>
              <w:right w:val="nil"/>
            </w:tcBorders>
            <w:shd w:val="clear" w:color="000000" w:fill="EEECE1"/>
            <w:noWrap/>
            <w:vAlign w:val="bottom"/>
            <w:hideMark/>
          </w:tcPr>
          <w:p w14:paraId="50DDD08B"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620" w:type="dxa"/>
            <w:gridSpan w:val="3"/>
            <w:tcBorders>
              <w:top w:val="nil"/>
              <w:left w:val="nil"/>
              <w:bottom w:val="nil"/>
              <w:right w:val="nil"/>
            </w:tcBorders>
            <w:shd w:val="clear" w:color="000000" w:fill="EEECE1"/>
            <w:noWrap/>
            <w:vAlign w:val="bottom"/>
            <w:hideMark/>
          </w:tcPr>
          <w:p w14:paraId="68963FC2"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roofErr w:type="spellStart"/>
            <w:r w:rsidRPr="009E2403">
              <w:rPr>
                <w:rFonts w:ascii="Arial" w:eastAsia="Times New Roman" w:hAnsi="Arial" w:cs="Arial"/>
                <w:color w:val="000000"/>
                <w:lang w:val="en-US"/>
              </w:rPr>
              <w:t>Avg</w:t>
            </w:r>
            <w:proofErr w:type="spellEnd"/>
            <w:r w:rsidRPr="009E2403">
              <w:rPr>
                <w:rFonts w:ascii="Arial" w:eastAsia="Times New Roman" w:hAnsi="Arial" w:cs="Arial"/>
                <w:color w:val="000000"/>
                <w:lang w:val="en-US"/>
              </w:rPr>
              <w:t xml:space="preserve"> Investment</w:t>
            </w:r>
          </w:p>
        </w:tc>
        <w:tc>
          <w:tcPr>
            <w:tcW w:w="325" w:type="dxa"/>
            <w:tcBorders>
              <w:top w:val="nil"/>
              <w:left w:val="nil"/>
              <w:bottom w:val="nil"/>
              <w:right w:val="nil"/>
            </w:tcBorders>
            <w:shd w:val="clear" w:color="000000" w:fill="EEECE1"/>
            <w:noWrap/>
            <w:vAlign w:val="bottom"/>
            <w:hideMark/>
          </w:tcPr>
          <w:p w14:paraId="6718D87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1022" w:type="dxa"/>
            <w:tcBorders>
              <w:top w:val="nil"/>
              <w:left w:val="nil"/>
              <w:bottom w:val="nil"/>
              <w:right w:val="nil"/>
            </w:tcBorders>
            <w:shd w:val="clear" w:color="000000" w:fill="EEECE1"/>
            <w:noWrap/>
            <w:vAlign w:val="bottom"/>
            <w:hideMark/>
          </w:tcPr>
          <w:p w14:paraId="3F34D852"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20</w:t>
            </w:r>
          </w:p>
        </w:tc>
        <w:tc>
          <w:tcPr>
            <w:tcW w:w="714" w:type="dxa"/>
            <w:tcBorders>
              <w:top w:val="nil"/>
              <w:left w:val="nil"/>
              <w:bottom w:val="nil"/>
              <w:right w:val="nil"/>
            </w:tcBorders>
            <w:shd w:val="clear" w:color="000000" w:fill="EEECE1"/>
            <w:noWrap/>
            <w:vAlign w:val="bottom"/>
            <w:hideMark/>
          </w:tcPr>
          <w:p w14:paraId="695B9721"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79C1C8EB"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1A45C9D9"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025D41A8"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4EAC89DF"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714" w:type="dxa"/>
            <w:tcBorders>
              <w:top w:val="nil"/>
              <w:left w:val="nil"/>
              <w:bottom w:val="nil"/>
              <w:right w:val="nil"/>
            </w:tcBorders>
            <w:shd w:val="clear" w:color="000000" w:fill="EEECE1"/>
            <w:noWrap/>
            <w:vAlign w:val="bottom"/>
            <w:hideMark/>
          </w:tcPr>
          <w:p w14:paraId="4C320090"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bl>
    <w:p w14:paraId="4F6168E4" w14:textId="77777777" w:rsidR="00C30903" w:rsidRPr="009E2403" w:rsidRDefault="00C30903" w:rsidP="00987360">
      <w:pPr>
        <w:spacing w:line="360" w:lineRule="auto"/>
        <w:jc w:val="both"/>
        <w:rPr>
          <w:rFonts w:ascii="Arial" w:hAnsi="Arial" w:cs="Arial"/>
          <w:sz w:val="24"/>
          <w:szCs w:val="24"/>
          <w:lang w:val="en-US"/>
        </w:rPr>
      </w:pPr>
      <w:r w:rsidRPr="009E2403">
        <w:rPr>
          <w:rFonts w:ascii="Arial" w:hAnsi="Arial" w:cs="Arial"/>
          <w:sz w:val="24"/>
          <w:szCs w:val="24"/>
          <w:lang w:val="en-US"/>
        </w:rPr>
        <w:t xml:space="preserve">  </w:t>
      </w:r>
    </w:p>
    <w:tbl>
      <w:tblPr>
        <w:tblW w:w="6260" w:type="dxa"/>
        <w:jc w:val="center"/>
        <w:tblLook w:val="04A0" w:firstRow="1" w:lastRow="0" w:firstColumn="1" w:lastColumn="0" w:noHBand="0" w:noVBand="1"/>
      </w:tblPr>
      <w:tblGrid>
        <w:gridCol w:w="1720"/>
        <w:gridCol w:w="3156"/>
        <w:gridCol w:w="346"/>
        <w:gridCol w:w="346"/>
        <w:gridCol w:w="346"/>
        <w:gridCol w:w="346"/>
      </w:tblGrid>
      <w:tr w:rsidR="00C30903" w:rsidRPr="00C30903" w14:paraId="4E00EC2B" w14:textId="77777777" w:rsidTr="00FC43F6">
        <w:trPr>
          <w:trHeight w:val="300"/>
          <w:jc w:val="center"/>
        </w:trPr>
        <w:tc>
          <w:tcPr>
            <w:tcW w:w="6260" w:type="dxa"/>
            <w:gridSpan w:val="6"/>
            <w:tcBorders>
              <w:top w:val="nil"/>
              <w:left w:val="nil"/>
              <w:bottom w:val="nil"/>
              <w:right w:val="nil"/>
            </w:tcBorders>
            <w:shd w:val="clear" w:color="000000" w:fill="EEECE1"/>
            <w:noWrap/>
            <w:vAlign w:val="bottom"/>
            <w:hideMark/>
          </w:tcPr>
          <w:p w14:paraId="6701E025" w14:textId="77777777" w:rsidR="00C30903" w:rsidRPr="00C30903" w:rsidRDefault="00C30903" w:rsidP="00C30903">
            <w:pPr>
              <w:spacing w:after="0" w:line="240" w:lineRule="auto"/>
              <w:rPr>
                <w:rFonts w:ascii="Arial" w:eastAsia="Times New Roman" w:hAnsi="Arial" w:cs="Arial"/>
                <w:b/>
                <w:bCs/>
                <w:color w:val="374151"/>
                <w:sz w:val="16"/>
                <w:szCs w:val="16"/>
                <w:lang w:val="en-US"/>
              </w:rPr>
            </w:pPr>
            <w:r w:rsidRPr="00C30903">
              <w:rPr>
                <w:rFonts w:ascii="Arial" w:eastAsia="Times New Roman" w:hAnsi="Arial" w:cs="Arial"/>
                <w:b/>
                <w:bCs/>
                <w:color w:val="374151"/>
                <w:sz w:val="16"/>
                <w:szCs w:val="16"/>
                <w:lang w:val="en-US"/>
              </w:rPr>
              <w:t>Accounting Rate of Return = Average Annual Profit / Average Investment</w:t>
            </w:r>
          </w:p>
        </w:tc>
      </w:tr>
      <w:tr w:rsidR="00C30903" w:rsidRPr="00C30903" w14:paraId="55A92767" w14:textId="77777777" w:rsidTr="00FC43F6">
        <w:trPr>
          <w:trHeight w:val="300"/>
          <w:jc w:val="center"/>
        </w:trPr>
        <w:tc>
          <w:tcPr>
            <w:tcW w:w="1720" w:type="dxa"/>
            <w:tcBorders>
              <w:top w:val="nil"/>
              <w:left w:val="nil"/>
              <w:bottom w:val="nil"/>
              <w:right w:val="nil"/>
            </w:tcBorders>
            <w:shd w:val="clear" w:color="000000" w:fill="EEECE1"/>
            <w:noWrap/>
            <w:vAlign w:val="bottom"/>
            <w:hideMark/>
          </w:tcPr>
          <w:p w14:paraId="147109B6"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156" w:type="dxa"/>
            <w:tcBorders>
              <w:top w:val="nil"/>
              <w:left w:val="nil"/>
              <w:bottom w:val="nil"/>
              <w:right w:val="nil"/>
            </w:tcBorders>
            <w:shd w:val="clear" w:color="000000" w:fill="EEECE1"/>
            <w:noWrap/>
            <w:vAlign w:val="bottom"/>
            <w:hideMark/>
          </w:tcPr>
          <w:p w14:paraId="4F8E47A9"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205FEF3F"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1B69F6FE"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4B351D1A"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4FAA5C70"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C30903" w14:paraId="471E49F3" w14:textId="77777777" w:rsidTr="00FC43F6">
        <w:trPr>
          <w:trHeight w:val="300"/>
          <w:jc w:val="center"/>
        </w:trPr>
        <w:tc>
          <w:tcPr>
            <w:tcW w:w="1720" w:type="dxa"/>
            <w:tcBorders>
              <w:top w:val="nil"/>
              <w:left w:val="nil"/>
              <w:bottom w:val="nil"/>
              <w:right w:val="nil"/>
            </w:tcBorders>
            <w:shd w:val="clear" w:color="000000" w:fill="EEECE1"/>
            <w:noWrap/>
            <w:vAlign w:val="bottom"/>
            <w:hideMark/>
          </w:tcPr>
          <w:p w14:paraId="555977C7"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ARR</w:t>
            </w:r>
          </w:p>
        </w:tc>
        <w:tc>
          <w:tcPr>
            <w:tcW w:w="3156" w:type="dxa"/>
            <w:tcBorders>
              <w:top w:val="nil"/>
              <w:left w:val="nil"/>
              <w:bottom w:val="nil"/>
              <w:right w:val="nil"/>
            </w:tcBorders>
            <w:shd w:val="clear" w:color="000000" w:fill="EEECE1"/>
            <w:noWrap/>
            <w:vAlign w:val="bottom"/>
            <w:hideMark/>
          </w:tcPr>
          <w:p w14:paraId="6454F391"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10.8/20</w:t>
            </w:r>
          </w:p>
        </w:tc>
        <w:tc>
          <w:tcPr>
            <w:tcW w:w="346" w:type="dxa"/>
            <w:tcBorders>
              <w:top w:val="nil"/>
              <w:left w:val="nil"/>
              <w:bottom w:val="nil"/>
              <w:right w:val="nil"/>
            </w:tcBorders>
            <w:shd w:val="clear" w:color="000000" w:fill="EEECE1"/>
            <w:noWrap/>
            <w:vAlign w:val="bottom"/>
            <w:hideMark/>
          </w:tcPr>
          <w:p w14:paraId="2A10FF8F"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6928CA6B"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5CEA50EC"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242F56B6"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r w:rsidR="00C30903" w:rsidRPr="00C30903" w14:paraId="6E25DD20" w14:textId="77777777" w:rsidTr="00FC43F6">
        <w:trPr>
          <w:trHeight w:val="300"/>
          <w:jc w:val="center"/>
        </w:trPr>
        <w:tc>
          <w:tcPr>
            <w:tcW w:w="1720" w:type="dxa"/>
            <w:tcBorders>
              <w:top w:val="nil"/>
              <w:left w:val="nil"/>
              <w:bottom w:val="nil"/>
              <w:right w:val="nil"/>
            </w:tcBorders>
            <w:shd w:val="clear" w:color="000000" w:fill="EEECE1"/>
            <w:noWrap/>
            <w:vAlign w:val="bottom"/>
            <w:hideMark/>
          </w:tcPr>
          <w:p w14:paraId="7007D434"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156" w:type="dxa"/>
            <w:tcBorders>
              <w:top w:val="nil"/>
              <w:left w:val="nil"/>
              <w:bottom w:val="nil"/>
              <w:right w:val="nil"/>
            </w:tcBorders>
            <w:shd w:val="clear" w:color="000000" w:fill="EEECE1"/>
            <w:noWrap/>
            <w:vAlign w:val="bottom"/>
            <w:hideMark/>
          </w:tcPr>
          <w:p w14:paraId="7764C26D" w14:textId="77777777" w:rsidR="00C30903" w:rsidRPr="00C30903" w:rsidRDefault="00C30903" w:rsidP="00C30903">
            <w:pPr>
              <w:spacing w:after="0" w:line="240" w:lineRule="auto"/>
              <w:jc w:val="right"/>
              <w:rPr>
                <w:rFonts w:ascii="Arial" w:eastAsia="Times New Roman" w:hAnsi="Arial" w:cs="Arial"/>
                <w:color w:val="000000"/>
                <w:lang w:val="en-US"/>
              </w:rPr>
            </w:pPr>
            <w:r w:rsidRPr="00C30903">
              <w:rPr>
                <w:rFonts w:ascii="Arial" w:eastAsia="Times New Roman" w:hAnsi="Arial" w:cs="Arial"/>
                <w:color w:val="000000"/>
                <w:lang w:val="en-US"/>
              </w:rPr>
              <w:t>54%</w:t>
            </w:r>
          </w:p>
        </w:tc>
        <w:tc>
          <w:tcPr>
            <w:tcW w:w="346" w:type="dxa"/>
            <w:tcBorders>
              <w:top w:val="nil"/>
              <w:left w:val="nil"/>
              <w:bottom w:val="nil"/>
              <w:right w:val="nil"/>
            </w:tcBorders>
            <w:shd w:val="clear" w:color="000000" w:fill="EEECE1"/>
            <w:noWrap/>
            <w:vAlign w:val="bottom"/>
            <w:hideMark/>
          </w:tcPr>
          <w:p w14:paraId="6F83D33E"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2F4BF746"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1059F4C0"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c>
          <w:tcPr>
            <w:tcW w:w="346" w:type="dxa"/>
            <w:tcBorders>
              <w:top w:val="nil"/>
              <w:left w:val="nil"/>
              <w:bottom w:val="nil"/>
              <w:right w:val="nil"/>
            </w:tcBorders>
            <w:shd w:val="clear" w:color="000000" w:fill="EEECE1"/>
            <w:noWrap/>
            <w:vAlign w:val="bottom"/>
            <w:hideMark/>
          </w:tcPr>
          <w:p w14:paraId="660F25B1" w14:textId="77777777" w:rsidR="00C30903" w:rsidRPr="00C30903" w:rsidRDefault="00C30903" w:rsidP="00C30903">
            <w:pPr>
              <w:spacing w:after="0" w:line="240" w:lineRule="auto"/>
              <w:rPr>
                <w:rFonts w:ascii="Arial" w:eastAsia="Times New Roman" w:hAnsi="Arial" w:cs="Arial"/>
                <w:color w:val="000000"/>
                <w:lang w:val="en-US"/>
              </w:rPr>
            </w:pPr>
            <w:r w:rsidRPr="00C30903">
              <w:rPr>
                <w:rFonts w:ascii="Arial" w:eastAsia="Times New Roman" w:hAnsi="Arial" w:cs="Arial"/>
                <w:color w:val="000000"/>
                <w:lang w:val="en-US"/>
              </w:rPr>
              <w:t> </w:t>
            </w:r>
          </w:p>
        </w:tc>
      </w:tr>
    </w:tbl>
    <w:p w14:paraId="3DA10F0F" w14:textId="77777777" w:rsidR="00987360" w:rsidRPr="009E2403" w:rsidRDefault="00987360" w:rsidP="00987360">
      <w:pPr>
        <w:spacing w:line="360" w:lineRule="auto"/>
        <w:jc w:val="both"/>
        <w:rPr>
          <w:rFonts w:ascii="Arial" w:hAnsi="Arial" w:cs="Arial"/>
          <w:sz w:val="24"/>
          <w:szCs w:val="24"/>
          <w:lang w:val="en-US"/>
        </w:rPr>
      </w:pPr>
    </w:p>
    <w:p w14:paraId="66CB84A5" w14:textId="77777777" w:rsidR="00FD6925" w:rsidRPr="009E2403" w:rsidRDefault="00FD6925" w:rsidP="00987360">
      <w:pPr>
        <w:spacing w:line="360" w:lineRule="auto"/>
        <w:jc w:val="both"/>
        <w:rPr>
          <w:rFonts w:ascii="Arial" w:hAnsi="Arial" w:cs="Arial"/>
          <w:sz w:val="24"/>
          <w:szCs w:val="24"/>
          <w:lang w:val="en-US"/>
        </w:rPr>
      </w:pPr>
      <w:r w:rsidRPr="009E2403">
        <w:rPr>
          <w:rFonts w:ascii="Arial" w:hAnsi="Arial" w:cs="Arial"/>
          <w:sz w:val="24"/>
          <w:szCs w:val="24"/>
          <w:lang w:val="en-US"/>
        </w:rPr>
        <w:t>Project B</w:t>
      </w:r>
    </w:p>
    <w:tbl>
      <w:tblPr>
        <w:tblW w:w="8262" w:type="dxa"/>
        <w:jc w:val="center"/>
        <w:tblLook w:val="04A0" w:firstRow="1" w:lastRow="0" w:firstColumn="1" w:lastColumn="0" w:noHBand="0" w:noVBand="1"/>
      </w:tblPr>
      <w:tblGrid>
        <w:gridCol w:w="1460"/>
        <w:gridCol w:w="960"/>
        <w:gridCol w:w="1042"/>
        <w:gridCol w:w="960"/>
        <w:gridCol w:w="960"/>
        <w:gridCol w:w="960"/>
        <w:gridCol w:w="960"/>
        <w:gridCol w:w="960"/>
      </w:tblGrid>
      <w:tr w:rsidR="00FC43F6" w:rsidRPr="009E2403" w14:paraId="29E84C52" w14:textId="77777777" w:rsidTr="00FC43F6">
        <w:trPr>
          <w:trHeight w:val="300"/>
          <w:jc w:val="center"/>
        </w:trPr>
        <w:tc>
          <w:tcPr>
            <w:tcW w:w="1460" w:type="dxa"/>
            <w:tcBorders>
              <w:top w:val="nil"/>
              <w:left w:val="nil"/>
              <w:bottom w:val="nil"/>
              <w:right w:val="nil"/>
            </w:tcBorders>
            <w:shd w:val="clear" w:color="000000" w:fill="EEECE1"/>
            <w:noWrap/>
            <w:vAlign w:val="bottom"/>
            <w:hideMark/>
          </w:tcPr>
          <w:p w14:paraId="28AC91BF"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r w:rsidRPr="00FD6925">
              <w:rPr>
                <w:rFonts w:ascii="Arial" w:eastAsia="Times New Roman" w:hAnsi="Arial" w:cs="Arial"/>
                <w:color w:val="000000"/>
                <w:highlight w:val="yellow"/>
                <w:lang w:val="en-US"/>
              </w:rPr>
              <w:t>Project B</w:t>
            </w:r>
          </w:p>
        </w:tc>
        <w:tc>
          <w:tcPr>
            <w:tcW w:w="960" w:type="dxa"/>
            <w:tcBorders>
              <w:top w:val="nil"/>
              <w:left w:val="nil"/>
              <w:bottom w:val="nil"/>
              <w:right w:val="nil"/>
            </w:tcBorders>
            <w:shd w:val="clear" w:color="000000" w:fill="EEECE1"/>
            <w:noWrap/>
            <w:vAlign w:val="bottom"/>
            <w:hideMark/>
          </w:tcPr>
          <w:p w14:paraId="7F602420"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1042" w:type="dxa"/>
            <w:tcBorders>
              <w:top w:val="nil"/>
              <w:left w:val="nil"/>
              <w:bottom w:val="nil"/>
              <w:right w:val="nil"/>
            </w:tcBorders>
            <w:shd w:val="clear" w:color="000000" w:fill="EEECE1"/>
            <w:noWrap/>
            <w:vAlign w:val="bottom"/>
            <w:hideMark/>
          </w:tcPr>
          <w:p w14:paraId="2656D45D"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6C1DCD79"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4E60850E"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67DD4BB7"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2FAE9F52"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5922DF95"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r w:rsidR="00FC43F6" w:rsidRPr="009E2403" w14:paraId="10EB22DA" w14:textId="77777777" w:rsidTr="00FC43F6">
        <w:trPr>
          <w:trHeight w:val="300"/>
          <w:jc w:val="center"/>
        </w:trPr>
        <w:tc>
          <w:tcPr>
            <w:tcW w:w="1460" w:type="dxa"/>
            <w:tcBorders>
              <w:top w:val="nil"/>
              <w:left w:val="nil"/>
              <w:bottom w:val="nil"/>
              <w:right w:val="nil"/>
            </w:tcBorders>
            <w:shd w:val="clear" w:color="000000" w:fill="EEECE1"/>
            <w:noWrap/>
            <w:vAlign w:val="bottom"/>
            <w:hideMark/>
          </w:tcPr>
          <w:p w14:paraId="4FC49C90"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5842" w:type="dxa"/>
            <w:gridSpan w:val="6"/>
            <w:tcBorders>
              <w:top w:val="nil"/>
              <w:left w:val="nil"/>
              <w:bottom w:val="nil"/>
              <w:right w:val="nil"/>
            </w:tcBorders>
            <w:shd w:val="clear" w:color="000000" w:fill="EEECE1"/>
            <w:noWrap/>
            <w:vAlign w:val="bottom"/>
            <w:hideMark/>
          </w:tcPr>
          <w:p w14:paraId="44B711AF" w14:textId="77777777" w:rsidR="00FC43F6" w:rsidRPr="00FD6925" w:rsidRDefault="00FC43F6" w:rsidP="00FD6925">
            <w:pPr>
              <w:spacing w:after="0" w:line="240" w:lineRule="auto"/>
              <w:jc w:val="center"/>
              <w:rPr>
                <w:rFonts w:ascii="Arial" w:eastAsia="Times New Roman" w:hAnsi="Arial" w:cs="Arial"/>
                <w:color w:val="000000"/>
                <w:lang w:val="en-US"/>
              </w:rPr>
            </w:pPr>
            <w:r w:rsidRPr="00FD6925">
              <w:rPr>
                <w:rFonts w:ascii="Arial" w:eastAsia="Times New Roman" w:hAnsi="Arial" w:cs="Arial"/>
                <w:color w:val="000000"/>
                <w:highlight w:val="yellow"/>
                <w:lang w:val="en-US"/>
              </w:rPr>
              <w:t>Average profit</w:t>
            </w:r>
          </w:p>
        </w:tc>
        <w:tc>
          <w:tcPr>
            <w:tcW w:w="960" w:type="dxa"/>
            <w:tcBorders>
              <w:top w:val="nil"/>
              <w:left w:val="nil"/>
              <w:bottom w:val="nil"/>
              <w:right w:val="nil"/>
            </w:tcBorders>
            <w:shd w:val="clear" w:color="000000" w:fill="EEECE1"/>
            <w:noWrap/>
            <w:vAlign w:val="bottom"/>
            <w:hideMark/>
          </w:tcPr>
          <w:p w14:paraId="3E2E4A74"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r w:rsidR="00FC43F6" w:rsidRPr="009E2403" w14:paraId="16F72E0C" w14:textId="77777777" w:rsidTr="00FC43F6">
        <w:trPr>
          <w:trHeight w:val="300"/>
          <w:jc w:val="center"/>
        </w:trPr>
        <w:tc>
          <w:tcPr>
            <w:tcW w:w="1460" w:type="dxa"/>
            <w:tcBorders>
              <w:top w:val="nil"/>
              <w:left w:val="nil"/>
              <w:bottom w:val="nil"/>
              <w:right w:val="nil"/>
            </w:tcBorders>
            <w:shd w:val="clear" w:color="000000" w:fill="EEECE1"/>
            <w:noWrap/>
            <w:vAlign w:val="bottom"/>
            <w:hideMark/>
          </w:tcPr>
          <w:p w14:paraId="27A4CF73" w14:textId="77777777" w:rsidR="00FC43F6" w:rsidRPr="00FD6925" w:rsidRDefault="00FC43F6" w:rsidP="00FD6925">
            <w:pPr>
              <w:spacing w:after="0" w:line="240" w:lineRule="auto"/>
              <w:rPr>
                <w:rFonts w:ascii="Arial" w:eastAsia="Times New Roman" w:hAnsi="Arial" w:cs="Arial"/>
                <w:b/>
                <w:bCs/>
                <w:color w:val="000000"/>
                <w:lang w:val="en-US"/>
              </w:rPr>
            </w:pPr>
            <w:r w:rsidRPr="00FD6925">
              <w:rPr>
                <w:rFonts w:ascii="Arial" w:eastAsia="Times New Roman" w:hAnsi="Arial" w:cs="Arial"/>
                <w:b/>
                <w:bCs/>
                <w:color w:val="000000"/>
                <w:lang w:val="en-US"/>
              </w:rPr>
              <w:t>Year</w:t>
            </w:r>
          </w:p>
        </w:tc>
        <w:tc>
          <w:tcPr>
            <w:tcW w:w="960" w:type="dxa"/>
            <w:tcBorders>
              <w:top w:val="nil"/>
              <w:left w:val="nil"/>
              <w:bottom w:val="nil"/>
              <w:right w:val="nil"/>
            </w:tcBorders>
            <w:shd w:val="clear" w:color="000000" w:fill="EEECE1"/>
            <w:noWrap/>
            <w:vAlign w:val="bottom"/>
            <w:hideMark/>
          </w:tcPr>
          <w:p w14:paraId="78B748D7"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1</w:t>
            </w:r>
          </w:p>
        </w:tc>
        <w:tc>
          <w:tcPr>
            <w:tcW w:w="1042" w:type="dxa"/>
            <w:tcBorders>
              <w:top w:val="nil"/>
              <w:left w:val="nil"/>
              <w:bottom w:val="nil"/>
              <w:right w:val="nil"/>
            </w:tcBorders>
            <w:shd w:val="clear" w:color="000000" w:fill="EEECE1"/>
            <w:noWrap/>
            <w:vAlign w:val="bottom"/>
            <w:hideMark/>
          </w:tcPr>
          <w:p w14:paraId="2A7246AF"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2</w:t>
            </w:r>
          </w:p>
        </w:tc>
        <w:tc>
          <w:tcPr>
            <w:tcW w:w="960" w:type="dxa"/>
            <w:tcBorders>
              <w:top w:val="nil"/>
              <w:left w:val="nil"/>
              <w:bottom w:val="nil"/>
              <w:right w:val="nil"/>
            </w:tcBorders>
            <w:shd w:val="clear" w:color="000000" w:fill="EEECE1"/>
            <w:noWrap/>
            <w:vAlign w:val="bottom"/>
            <w:hideMark/>
          </w:tcPr>
          <w:p w14:paraId="7D0E74AC"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3</w:t>
            </w:r>
          </w:p>
        </w:tc>
        <w:tc>
          <w:tcPr>
            <w:tcW w:w="960" w:type="dxa"/>
            <w:tcBorders>
              <w:top w:val="nil"/>
              <w:left w:val="nil"/>
              <w:bottom w:val="nil"/>
              <w:right w:val="nil"/>
            </w:tcBorders>
            <w:shd w:val="clear" w:color="000000" w:fill="EEECE1"/>
            <w:noWrap/>
            <w:vAlign w:val="bottom"/>
            <w:hideMark/>
          </w:tcPr>
          <w:p w14:paraId="2E9EE72B"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4</w:t>
            </w:r>
          </w:p>
        </w:tc>
        <w:tc>
          <w:tcPr>
            <w:tcW w:w="960" w:type="dxa"/>
            <w:tcBorders>
              <w:top w:val="nil"/>
              <w:left w:val="nil"/>
              <w:bottom w:val="nil"/>
              <w:right w:val="nil"/>
            </w:tcBorders>
            <w:shd w:val="clear" w:color="000000" w:fill="EEECE1"/>
            <w:noWrap/>
            <w:vAlign w:val="bottom"/>
            <w:hideMark/>
          </w:tcPr>
          <w:p w14:paraId="211719B1"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5</w:t>
            </w:r>
          </w:p>
        </w:tc>
        <w:tc>
          <w:tcPr>
            <w:tcW w:w="960" w:type="dxa"/>
            <w:tcBorders>
              <w:top w:val="nil"/>
              <w:left w:val="nil"/>
              <w:bottom w:val="nil"/>
              <w:right w:val="nil"/>
            </w:tcBorders>
            <w:shd w:val="clear" w:color="000000" w:fill="EEECE1"/>
            <w:noWrap/>
            <w:vAlign w:val="bottom"/>
            <w:hideMark/>
          </w:tcPr>
          <w:p w14:paraId="0E415034"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7AAE9781"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r w:rsidR="00FC43F6" w:rsidRPr="009E2403" w14:paraId="18663AA2" w14:textId="77777777" w:rsidTr="00FC43F6">
        <w:trPr>
          <w:trHeight w:val="300"/>
          <w:jc w:val="center"/>
        </w:trPr>
        <w:tc>
          <w:tcPr>
            <w:tcW w:w="1460" w:type="dxa"/>
            <w:tcBorders>
              <w:top w:val="nil"/>
              <w:left w:val="nil"/>
              <w:bottom w:val="nil"/>
              <w:right w:val="nil"/>
            </w:tcBorders>
            <w:shd w:val="clear" w:color="000000" w:fill="EEECE1"/>
            <w:noWrap/>
            <w:vAlign w:val="bottom"/>
            <w:hideMark/>
          </w:tcPr>
          <w:p w14:paraId="23AE3157" w14:textId="77777777" w:rsidR="00FC43F6" w:rsidRPr="00FD6925" w:rsidRDefault="00FC43F6" w:rsidP="00FD6925">
            <w:pPr>
              <w:spacing w:after="0" w:line="240" w:lineRule="auto"/>
              <w:rPr>
                <w:rFonts w:ascii="Arial" w:eastAsia="Times New Roman" w:hAnsi="Arial" w:cs="Arial"/>
                <w:b/>
                <w:bCs/>
                <w:color w:val="000000"/>
                <w:lang w:val="en-US"/>
              </w:rPr>
            </w:pPr>
            <w:r w:rsidRPr="00FD6925">
              <w:rPr>
                <w:rFonts w:ascii="Arial" w:eastAsia="Times New Roman" w:hAnsi="Arial" w:cs="Arial"/>
                <w:b/>
                <w:bCs/>
                <w:color w:val="000000"/>
                <w:lang w:val="en-US"/>
              </w:rPr>
              <w:t>Profit</w:t>
            </w:r>
          </w:p>
        </w:tc>
        <w:tc>
          <w:tcPr>
            <w:tcW w:w="960" w:type="dxa"/>
            <w:tcBorders>
              <w:top w:val="nil"/>
              <w:left w:val="nil"/>
              <w:bottom w:val="nil"/>
              <w:right w:val="nil"/>
            </w:tcBorders>
            <w:shd w:val="clear" w:color="000000" w:fill="EEECE1"/>
            <w:noWrap/>
            <w:vAlign w:val="bottom"/>
            <w:hideMark/>
          </w:tcPr>
          <w:p w14:paraId="6CA7AC2C"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6</w:t>
            </w:r>
          </w:p>
        </w:tc>
        <w:tc>
          <w:tcPr>
            <w:tcW w:w="1042" w:type="dxa"/>
            <w:tcBorders>
              <w:top w:val="nil"/>
              <w:left w:val="nil"/>
              <w:bottom w:val="nil"/>
              <w:right w:val="nil"/>
            </w:tcBorders>
            <w:shd w:val="clear" w:color="000000" w:fill="EEECE1"/>
            <w:noWrap/>
            <w:vAlign w:val="bottom"/>
            <w:hideMark/>
          </w:tcPr>
          <w:p w14:paraId="7784FE74"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6</w:t>
            </w:r>
          </w:p>
        </w:tc>
        <w:tc>
          <w:tcPr>
            <w:tcW w:w="960" w:type="dxa"/>
            <w:tcBorders>
              <w:top w:val="nil"/>
              <w:left w:val="nil"/>
              <w:bottom w:val="nil"/>
              <w:right w:val="nil"/>
            </w:tcBorders>
            <w:shd w:val="clear" w:color="000000" w:fill="EEECE1"/>
            <w:noWrap/>
            <w:vAlign w:val="bottom"/>
            <w:hideMark/>
          </w:tcPr>
          <w:p w14:paraId="4422ACB0"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6</w:t>
            </w:r>
          </w:p>
        </w:tc>
        <w:tc>
          <w:tcPr>
            <w:tcW w:w="960" w:type="dxa"/>
            <w:tcBorders>
              <w:top w:val="nil"/>
              <w:left w:val="nil"/>
              <w:bottom w:val="nil"/>
              <w:right w:val="nil"/>
            </w:tcBorders>
            <w:shd w:val="clear" w:color="000000" w:fill="EEECE1"/>
            <w:noWrap/>
            <w:vAlign w:val="bottom"/>
            <w:hideMark/>
          </w:tcPr>
          <w:p w14:paraId="0147C238"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6</w:t>
            </w:r>
          </w:p>
        </w:tc>
        <w:tc>
          <w:tcPr>
            <w:tcW w:w="960" w:type="dxa"/>
            <w:tcBorders>
              <w:top w:val="nil"/>
              <w:left w:val="nil"/>
              <w:bottom w:val="nil"/>
              <w:right w:val="nil"/>
            </w:tcBorders>
            <w:shd w:val="clear" w:color="000000" w:fill="EEECE1"/>
            <w:noWrap/>
            <w:vAlign w:val="bottom"/>
            <w:hideMark/>
          </w:tcPr>
          <w:p w14:paraId="38F28F7F"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6</w:t>
            </w:r>
          </w:p>
        </w:tc>
        <w:tc>
          <w:tcPr>
            <w:tcW w:w="960" w:type="dxa"/>
            <w:tcBorders>
              <w:top w:val="nil"/>
              <w:left w:val="nil"/>
              <w:bottom w:val="nil"/>
              <w:right w:val="nil"/>
            </w:tcBorders>
            <w:shd w:val="clear" w:color="000000" w:fill="EEECE1"/>
            <w:noWrap/>
            <w:vAlign w:val="bottom"/>
            <w:hideMark/>
          </w:tcPr>
          <w:p w14:paraId="4C77DAF9" w14:textId="77777777" w:rsidR="00FC43F6" w:rsidRPr="00FD6925" w:rsidRDefault="0057161F" w:rsidP="00FD6925">
            <w:pPr>
              <w:spacing w:after="0" w:line="240" w:lineRule="auto"/>
              <w:jc w:val="right"/>
              <w:rPr>
                <w:rFonts w:ascii="Arial" w:eastAsia="Times New Roman" w:hAnsi="Arial" w:cs="Arial"/>
                <w:color w:val="000000"/>
                <w:lang w:val="en-US"/>
              </w:rPr>
            </w:pPr>
            <w:r>
              <w:rPr>
                <w:rFonts w:ascii="Arial" w:eastAsia="Times New Roman" w:hAnsi="Arial" w:cs="Arial"/>
                <w:color w:val="000000"/>
                <w:lang w:val="en-US"/>
              </w:rPr>
              <w:t>30</w:t>
            </w:r>
          </w:p>
        </w:tc>
        <w:tc>
          <w:tcPr>
            <w:tcW w:w="960" w:type="dxa"/>
            <w:tcBorders>
              <w:top w:val="nil"/>
              <w:left w:val="nil"/>
              <w:bottom w:val="nil"/>
              <w:right w:val="nil"/>
            </w:tcBorders>
            <w:shd w:val="clear" w:color="000000" w:fill="EEECE1"/>
            <w:noWrap/>
            <w:vAlign w:val="bottom"/>
            <w:hideMark/>
          </w:tcPr>
          <w:p w14:paraId="2D184D9D"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r w:rsidR="00FC43F6" w:rsidRPr="009E2403" w14:paraId="25CAAD65" w14:textId="77777777" w:rsidTr="00FC43F6">
        <w:trPr>
          <w:trHeight w:val="300"/>
          <w:jc w:val="center"/>
        </w:trPr>
        <w:tc>
          <w:tcPr>
            <w:tcW w:w="1460" w:type="dxa"/>
            <w:tcBorders>
              <w:top w:val="nil"/>
              <w:left w:val="nil"/>
              <w:bottom w:val="nil"/>
              <w:right w:val="nil"/>
            </w:tcBorders>
            <w:shd w:val="clear" w:color="000000" w:fill="EEECE1"/>
            <w:noWrap/>
            <w:vAlign w:val="bottom"/>
            <w:hideMark/>
          </w:tcPr>
          <w:p w14:paraId="24E40DFA" w14:textId="77777777" w:rsidR="00FC43F6" w:rsidRPr="00FD6925" w:rsidRDefault="00FC43F6" w:rsidP="00FD6925">
            <w:pPr>
              <w:spacing w:after="0" w:line="240" w:lineRule="auto"/>
              <w:rPr>
                <w:rFonts w:ascii="Arial" w:eastAsia="Times New Roman" w:hAnsi="Arial" w:cs="Arial"/>
                <w:b/>
                <w:bCs/>
                <w:color w:val="000000"/>
                <w:lang w:val="en-US"/>
              </w:rPr>
            </w:pPr>
            <w:r w:rsidRPr="00FD6925">
              <w:rPr>
                <w:rFonts w:ascii="Arial" w:eastAsia="Times New Roman" w:hAnsi="Arial" w:cs="Arial"/>
                <w:b/>
                <w:bCs/>
                <w:color w:val="000000"/>
                <w:lang w:val="en-US"/>
              </w:rPr>
              <w:t>Average Profit</w:t>
            </w:r>
          </w:p>
        </w:tc>
        <w:tc>
          <w:tcPr>
            <w:tcW w:w="4882" w:type="dxa"/>
            <w:gridSpan w:val="5"/>
            <w:tcBorders>
              <w:top w:val="nil"/>
              <w:left w:val="nil"/>
              <w:bottom w:val="nil"/>
              <w:right w:val="nil"/>
            </w:tcBorders>
            <w:shd w:val="clear" w:color="000000" w:fill="EEECE1"/>
            <w:noWrap/>
            <w:vAlign w:val="bottom"/>
            <w:hideMark/>
          </w:tcPr>
          <w:p w14:paraId="5BF90157" w14:textId="77777777" w:rsidR="00FC43F6" w:rsidRPr="00FD6925" w:rsidRDefault="0057161F" w:rsidP="00FD6925">
            <w:pPr>
              <w:spacing w:after="0" w:line="240" w:lineRule="auto"/>
              <w:jc w:val="center"/>
              <w:rPr>
                <w:rFonts w:ascii="Arial" w:eastAsia="Times New Roman" w:hAnsi="Arial" w:cs="Arial"/>
                <w:color w:val="000000"/>
                <w:lang w:val="en-US"/>
              </w:rPr>
            </w:pPr>
            <w:r>
              <w:rPr>
                <w:rFonts w:ascii="Arial" w:eastAsia="Times New Roman" w:hAnsi="Arial" w:cs="Arial"/>
                <w:color w:val="000000"/>
                <w:lang w:val="en-US"/>
              </w:rPr>
              <w:t>30</w:t>
            </w:r>
            <w:r w:rsidR="00FC43F6" w:rsidRPr="00FD6925">
              <w:rPr>
                <w:rFonts w:ascii="Arial" w:eastAsia="Times New Roman" w:hAnsi="Arial" w:cs="Arial"/>
                <w:color w:val="000000"/>
                <w:lang w:val="en-US"/>
              </w:rPr>
              <w:t>/5</w:t>
            </w:r>
          </w:p>
        </w:tc>
        <w:tc>
          <w:tcPr>
            <w:tcW w:w="960" w:type="dxa"/>
            <w:tcBorders>
              <w:top w:val="nil"/>
              <w:left w:val="nil"/>
              <w:bottom w:val="nil"/>
              <w:right w:val="nil"/>
            </w:tcBorders>
            <w:shd w:val="clear" w:color="000000" w:fill="EEECE1"/>
            <w:noWrap/>
            <w:vAlign w:val="bottom"/>
            <w:hideMark/>
          </w:tcPr>
          <w:p w14:paraId="7AB5586B" w14:textId="77777777" w:rsidR="00FC43F6" w:rsidRPr="00FD6925" w:rsidRDefault="0057161F" w:rsidP="00FD6925">
            <w:pPr>
              <w:spacing w:after="0" w:line="240" w:lineRule="auto"/>
              <w:jc w:val="right"/>
              <w:rPr>
                <w:rFonts w:ascii="Arial" w:eastAsia="Times New Roman" w:hAnsi="Arial" w:cs="Arial"/>
                <w:color w:val="000000"/>
                <w:highlight w:val="green"/>
                <w:lang w:val="en-US"/>
              </w:rPr>
            </w:pPr>
            <w:r>
              <w:rPr>
                <w:rFonts w:ascii="Arial" w:eastAsia="Times New Roman" w:hAnsi="Arial" w:cs="Arial"/>
                <w:color w:val="000000"/>
                <w:highlight w:val="green"/>
                <w:lang w:val="en-US"/>
              </w:rPr>
              <w:t>6</w:t>
            </w:r>
          </w:p>
        </w:tc>
        <w:tc>
          <w:tcPr>
            <w:tcW w:w="960" w:type="dxa"/>
            <w:tcBorders>
              <w:top w:val="nil"/>
              <w:left w:val="nil"/>
              <w:bottom w:val="nil"/>
              <w:right w:val="nil"/>
            </w:tcBorders>
            <w:shd w:val="clear" w:color="000000" w:fill="EEECE1"/>
            <w:noWrap/>
            <w:vAlign w:val="bottom"/>
            <w:hideMark/>
          </w:tcPr>
          <w:p w14:paraId="1A0DFDB4" w14:textId="77777777" w:rsidR="00FC43F6" w:rsidRPr="00FD6925" w:rsidRDefault="00FC43F6" w:rsidP="00FD6925">
            <w:pPr>
              <w:spacing w:after="0" w:line="240" w:lineRule="auto"/>
              <w:rPr>
                <w:rFonts w:ascii="Arial" w:eastAsia="Times New Roman" w:hAnsi="Arial" w:cs="Arial"/>
                <w:color w:val="000000"/>
                <w:highlight w:val="green"/>
                <w:lang w:val="en-US"/>
              </w:rPr>
            </w:pPr>
            <w:r w:rsidRPr="00FD6925">
              <w:rPr>
                <w:rFonts w:ascii="Arial" w:eastAsia="Times New Roman" w:hAnsi="Arial" w:cs="Arial"/>
                <w:color w:val="000000"/>
                <w:highlight w:val="green"/>
                <w:lang w:val="en-US"/>
              </w:rPr>
              <w:t> </w:t>
            </w:r>
          </w:p>
        </w:tc>
      </w:tr>
      <w:tr w:rsidR="00FC43F6" w:rsidRPr="009E2403" w14:paraId="6F232269" w14:textId="77777777" w:rsidTr="00FC43F6">
        <w:trPr>
          <w:trHeight w:val="300"/>
          <w:jc w:val="center"/>
        </w:trPr>
        <w:tc>
          <w:tcPr>
            <w:tcW w:w="1460" w:type="dxa"/>
            <w:tcBorders>
              <w:top w:val="nil"/>
              <w:left w:val="nil"/>
              <w:bottom w:val="nil"/>
              <w:right w:val="nil"/>
            </w:tcBorders>
            <w:shd w:val="clear" w:color="000000" w:fill="EEECE1"/>
            <w:noWrap/>
            <w:vAlign w:val="bottom"/>
            <w:hideMark/>
          </w:tcPr>
          <w:p w14:paraId="6B6ACEB6" w14:textId="77777777" w:rsidR="00FC43F6" w:rsidRPr="00FD6925" w:rsidRDefault="00FC43F6" w:rsidP="00FD6925">
            <w:pPr>
              <w:spacing w:after="0" w:line="240" w:lineRule="auto"/>
              <w:rPr>
                <w:rFonts w:ascii="Arial" w:eastAsia="Times New Roman" w:hAnsi="Arial" w:cs="Arial"/>
                <w:b/>
                <w:bCs/>
                <w:color w:val="000000"/>
                <w:lang w:val="en-US"/>
              </w:rPr>
            </w:pPr>
            <w:r w:rsidRPr="00FD6925">
              <w:rPr>
                <w:rFonts w:ascii="Arial" w:eastAsia="Times New Roman" w:hAnsi="Arial" w:cs="Arial"/>
                <w:b/>
                <w:bCs/>
                <w:color w:val="000000"/>
                <w:lang w:val="en-US"/>
              </w:rPr>
              <w:t> </w:t>
            </w:r>
          </w:p>
        </w:tc>
        <w:tc>
          <w:tcPr>
            <w:tcW w:w="960" w:type="dxa"/>
            <w:tcBorders>
              <w:top w:val="nil"/>
              <w:left w:val="nil"/>
              <w:bottom w:val="nil"/>
              <w:right w:val="nil"/>
            </w:tcBorders>
            <w:shd w:val="clear" w:color="000000" w:fill="EEECE1"/>
            <w:noWrap/>
            <w:vAlign w:val="bottom"/>
            <w:hideMark/>
          </w:tcPr>
          <w:p w14:paraId="7B88FFD8"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1042" w:type="dxa"/>
            <w:tcBorders>
              <w:top w:val="nil"/>
              <w:left w:val="nil"/>
              <w:bottom w:val="nil"/>
              <w:right w:val="nil"/>
            </w:tcBorders>
            <w:shd w:val="clear" w:color="000000" w:fill="EEECE1"/>
            <w:noWrap/>
            <w:vAlign w:val="bottom"/>
            <w:hideMark/>
          </w:tcPr>
          <w:p w14:paraId="51CBF8AE"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191004C1"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169315EA"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23BC7585"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0FF53C0C"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4E0D4BD6"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r w:rsidR="00FC43F6" w:rsidRPr="009E2403" w14:paraId="28753248" w14:textId="77777777" w:rsidTr="00FC43F6">
        <w:trPr>
          <w:trHeight w:val="300"/>
          <w:jc w:val="center"/>
        </w:trPr>
        <w:tc>
          <w:tcPr>
            <w:tcW w:w="2420" w:type="dxa"/>
            <w:gridSpan w:val="2"/>
            <w:tcBorders>
              <w:top w:val="nil"/>
              <w:left w:val="nil"/>
              <w:bottom w:val="nil"/>
              <w:right w:val="nil"/>
            </w:tcBorders>
            <w:shd w:val="clear" w:color="000000" w:fill="EEECE1"/>
            <w:noWrap/>
            <w:vAlign w:val="bottom"/>
            <w:hideMark/>
          </w:tcPr>
          <w:p w14:paraId="31EC15E6" w14:textId="77777777" w:rsidR="00FC43F6" w:rsidRPr="00FD6925" w:rsidRDefault="00FC43F6" w:rsidP="00FD6925">
            <w:pPr>
              <w:spacing w:after="0" w:line="240" w:lineRule="auto"/>
              <w:rPr>
                <w:rFonts w:ascii="Arial" w:eastAsia="Times New Roman" w:hAnsi="Arial" w:cs="Arial"/>
                <w:b/>
                <w:bCs/>
                <w:color w:val="000000"/>
                <w:lang w:val="en-US"/>
              </w:rPr>
            </w:pPr>
            <w:r w:rsidRPr="00FD6925">
              <w:rPr>
                <w:rFonts w:ascii="Arial" w:eastAsia="Times New Roman" w:hAnsi="Arial" w:cs="Arial"/>
                <w:b/>
                <w:bCs/>
                <w:color w:val="000000"/>
                <w:lang w:val="en-US"/>
              </w:rPr>
              <w:t>Average Investment</w:t>
            </w:r>
          </w:p>
        </w:tc>
        <w:tc>
          <w:tcPr>
            <w:tcW w:w="5842" w:type="dxa"/>
            <w:gridSpan w:val="6"/>
            <w:tcBorders>
              <w:top w:val="nil"/>
              <w:left w:val="nil"/>
              <w:bottom w:val="nil"/>
              <w:right w:val="nil"/>
            </w:tcBorders>
            <w:shd w:val="clear" w:color="000000" w:fill="EEECE1"/>
            <w:vAlign w:val="center"/>
            <w:hideMark/>
          </w:tcPr>
          <w:p w14:paraId="4910E6DB" w14:textId="77777777" w:rsidR="00FC43F6" w:rsidRPr="00FD6925" w:rsidRDefault="00FC43F6" w:rsidP="00FD6925">
            <w:pPr>
              <w:spacing w:after="0" w:line="240" w:lineRule="auto"/>
              <w:jc w:val="center"/>
              <w:rPr>
                <w:rFonts w:ascii="Arial" w:eastAsia="Times New Roman" w:hAnsi="Arial" w:cs="Arial"/>
                <w:color w:val="374151"/>
                <w:sz w:val="16"/>
                <w:szCs w:val="16"/>
                <w:lang w:val="en-US"/>
              </w:rPr>
            </w:pPr>
            <w:r w:rsidRPr="00FD6925">
              <w:rPr>
                <w:rFonts w:ascii="Arial" w:eastAsia="Times New Roman" w:hAnsi="Arial" w:cs="Arial"/>
                <w:color w:val="374151"/>
                <w:sz w:val="16"/>
                <w:szCs w:val="16"/>
                <w:lang w:val="en-US"/>
              </w:rPr>
              <w:t>(Book Value at Year 1 + Book Value at End of Useful Life) / 2</w:t>
            </w:r>
          </w:p>
        </w:tc>
      </w:tr>
      <w:tr w:rsidR="00FC43F6" w:rsidRPr="009E2403" w14:paraId="74C10A50" w14:textId="77777777" w:rsidTr="00FC43F6">
        <w:trPr>
          <w:trHeight w:val="315"/>
          <w:jc w:val="center"/>
        </w:trPr>
        <w:tc>
          <w:tcPr>
            <w:tcW w:w="1460" w:type="dxa"/>
            <w:tcBorders>
              <w:top w:val="nil"/>
              <w:left w:val="nil"/>
              <w:bottom w:val="nil"/>
              <w:right w:val="nil"/>
            </w:tcBorders>
            <w:shd w:val="clear" w:color="000000" w:fill="EEECE1"/>
            <w:noWrap/>
            <w:vAlign w:val="bottom"/>
            <w:hideMark/>
          </w:tcPr>
          <w:p w14:paraId="3316BC03"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0A37A05A"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1042" w:type="dxa"/>
            <w:tcBorders>
              <w:top w:val="nil"/>
              <w:left w:val="nil"/>
              <w:bottom w:val="nil"/>
              <w:right w:val="nil"/>
            </w:tcBorders>
            <w:shd w:val="clear" w:color="000000" w:fill="EEECE1"/>
            <w:noWrap/>
            <w:vAlign w:val="bottom"/>
            <w:hideMark/>
          </w:tcPr>
          <w:p w14:paraId="130F4755"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(30+0)/2</w:t>
            </w:r>
          </w:p>
        </w:tc>
        <w:tc>
          <w:tcPr>
            <w:tcW w:w="960" w:type="dxa"/>
            <w:tcBorders>
              <w:top w:val="nil"/>
              <w:left w:val="nil"/>
              <w:bottom w:val="nil"/>
              <w:right w:val="nil"/>
            </w:tcBorders>
            <w:shd w:val="clear" w:color="000000" w:fill="EEECE1"/>
            <w:noWrap/>
            <w:vAlign w:val="bottom"/>
            <w:hideMark/>
          </w:tcPr>
          <w:p w14:paraId="4C3048EB"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736A2C52"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4B333488"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06733115"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0C2EA6C8"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r w:rsidR="00FC43F6" w:rsidRPr="009E2403" w14:paraId="77E80555" w14:textId="77777777" w:rsidTr="00FC43F6">
        <w:trPr>
          <w:trHeight w:val="300"/>
          <w:jc w:val="center"/>
        </w:trPr>
        <w:tc>
          <w:tcPr>
            <w:tcW w:w="1460" w:type="dxa"/>
            <w:tcBorders>
              <w:top w:val="nil"/>
              <w:left w:val="nil"/>
              <w:bottom w:val="nil"/>
              <w:right w:val="nil"/>
            </w:tcBorders>
            <w:shd w:val="clear" w:color="000000" w:fill="EEECE1"/>
            <w:noWrap/>
            <w:vAlign w:val="bottom"/>
            <w:hideMark/>
          </w:tcPr>
          <w:p w14:paraId="2CB5A017"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4ECB63F4"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1042" w:type="dxa"/>
            <w:tcBorders>
              <w:top w:val="nil"/>
              <w:left w:val="nil"/>
              <w:bottom w:val="nil"/>
              <w:right w:val="nil"/>
            </w:tcBorders>
            <w:shd w:val="clear" w:color="000000" w:fill="EEECE1"/>
            <w:noWrap/>
            <w:vAlign w:val="bottom"/>
            <w:hideMark/>
          </w:tcPr>
          <w:p w14:paraId="6BC65A0F" w14:textId="77777777" w:rsidR="00FC43F6" w:rsidRPr="00FD6925" w:rsidRDefault="00FC43F6" w:rsidP="00FD6925">
            <w:pPr>
              <w:spacing w:after="0" w:line="240" w:lineRule="auto"/>
              <w:jc w:val="right"/>
              <w:rPr>
                <w:rFonts w:ascii="Arial" w:eastAsia="Times New Roman" w:hAnsi="Arial" w:cs="Arial"/>
                <w:color w:val="000000"/>
                <w:lang w:val="en-US"/>
              </w:rPr>
            </w:pPr>
            <w:r w:rsidRPr="00FD6925">
              <w:rPr>
                <w:rFonts w:ascii="Arial" w:eastAsia="Times New Roman" w:hAnsi="Arial" w:cs="Arial"/>
                <w:color w:val="000000"/>
                <w:lang w:val="en-US"/>
              </w:rPr>
              <w:t>15</w:t>
            </w:r>
          </w:p>
        </w:tc>
        <w:tc>
          <w:tcPr>
            <w:tcW w:w="960" w:type="dxa"/>
            <w:tcBorders>
              <w:top w:val="nil"/>
              <w:left w:val="nil"/>
              <w:bottom w:val="nil"/>
              <w:right w:val="nil"/>
            </w:tcBorders>
            <w:shd w:val="clear" w:color="000000" w:fill="EEECE1"/>
            <w:noWrap/>
            <w:vAlign w:val="bottom"/>
            <w:hideMark/>
          </w:tcPr>
          <w:p w14:paraId="3379EA29"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6718F258"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431616CD"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4175817A"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53F4F857" w14:textId="77777777" w:rsidR="00FC43F6" w:rsidRPr="00FD6925" w:rsidRDefault="00FC43F6"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bl>
    <w:p w14:paraId="1B218504" w14:textId="77777777" w:rsidR="00FD6925" w:rsidRPr="009E2403" w:rsidRDefault="00FD6925" w:rsidP="00987360">
      <w:pPr>
        <w:spacing w:line="360" w:lineRule="auto"/>
        <w:jc w:val="both"/>
        <w:rPr>
          <w:rFonts w:ascii="Arial" w:hAnsi="Arial" w:cs="Arial"/>
          <w:sz w:val="24"/>
          <w:szCs w:val="24"/>
          <w:lang w:val="en-US"/>
        </w:rPr>
      </w:pPr>
    </w:p>
    <w:tbl>
      <w:tblPr>
        <w:tblW w:w="6260" w:type="dxa"/>
        <w:jc w:val="center"/>
        <w:tblLook w:val="04A0" w:firstRow="1" w:lastRow="0" w:firstColumn="1" w:lastColumn="0" w:noHBand="0" w:noVBand="1"/>
      </w:tblPr>
      <w:tblGrid>
        <w:gridCol w:w="1864"/>
        <w:gridCol w:w="2896"/>
        <w:gridCol w:w="375"/>
        <w:gridCol w:w="375"/>
        <w:gridCol w:w="375"/>
        <w:gridCol w:w="375"/>
      </w:tblGrid>
      <w:tr w:rsidR="00FD6925" w:rsidRPr="00FD6925" w14:paraId="34758F98" w14:textId="77777777" w:rsidTr="00FC43F6">
        <w:trPr>
          <w:trHeight w:val="300"/>
          <w:jc w:val="center"/>
        </w:trPr>
        <w:tc>
          <w:tcPr>
            <w:tcW w:w="6260" w:type="dxa"/>
            <w:gridSpan w:val="6"/>
            <w:tcBorders>
              <w:top w:val="nil"/>
              <w:left w:val="nil"/>
              <w:bottom w:val="nil"/>
              <w:right w:val="nil"/>
            </w:tcBorders>
            <w:shd w:val="clear" w:color="000000" w:fill="EEECE1"/>
            <w:noWrap/>
            <w:vAlign w:val="bottom"/>
            <w:hideMark/>
          </w:tcPr>
          <w:p w14:paraId="6FF8BCF2" w14:textId="77777777" w:rsidR="00FD6925" w:rsidRPr="00FD6925" w:rsidRDefault="00FD6925" w:rsidP="00FD6925">
            <w:pPr>
              <w:spacing w:after="0" w:line="240" w:lineRule="auto"/>
              <w:rPr>
                <w:rFonts w:ascii="Arial" w:eastAsia="Times New Roman" w:hAnsi="Arial" w:cs="Arial"/>
                <w:b/>
                <w:bCs/>
                <w:color w:val="374151"/>
                <w:sz w:val="16"/>
                <w:szCs w:val="16"/>
                <w:lang w:val="en-US"/>
              </w:rPr>
            </w:pPr>
            <w:r w:rsidRPr="00FD6925">
              <w:rPr>
                <w:rFonts w:ascii="Arial" w:eastAsia="Times New Roman" w:hAnsi="Arial" w:cs="Arial"/>
                <w:b/>
                <w:bCs/>
                <w:color w:val="374151"/>
                <w:sz w:val="16"/>
                <w:szCs w:val="16"/>
                <w:lang w:val="en-US"/>
              </w:rPr>
              <w:t>Accounting Rate of Return = Average Annual Profit / Average Investment</w:t>
            </w:r>
          </w:p>
        </w:tc>
      </w:tr>
      <w:tr w:rsidR="00FD6925" w:rsidRPr="00FD6925" w14:paraId="3EA36747" w14:textId="77777777" w:rsidTr="00FC43F6">
        <w:trPr>
          <w:trHeight w:val="300"/>
          <w:jc w:val="center"/>
        </w:trPr>
        <w:tc>
          <w:tcPr>
            <w:tcW w:w="1864" w:type="dxa"/>
            <w:tcBorders>
              <w:top w:val="nil"/>
              <w:left w:val="nil"/>
              <w:bottom w:val="nil"/>
              <w:right w:val="nil"/>
            </w:tcBorders>
            <w:shd w:val="clear" w:color="000000" w:fill="EEECE1"/>
            <w:noWrap/>
            <w:vAlign w:val="bottom"/>
            <w:hideMark/>
          </w:tcPr>
          <w:p w14:paraId="1D12817A"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2896" w:type="dxa"/>
            <w:tcBorders>
              <w:top w:val="nil"/>
              <w:left w:val="nil"/>
              <w:bottom w:val="nil"/>
              <w:right w:val="nil"/>
            </w:tcBorders>
            <w:shd w:val="clear" w:color="000000" w:fill="EEECE1"/>
            <w:noWrap/>
            <w:vAlign w:val="bottom"/>
            <w:hideMark/>
          </w:tcPr>
          <w:p w14:paraId="69FDF531"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4EB44AC4"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75A5259B"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5BA0946E"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3A6B3A2B"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r w:rsidR="00FD6925" w:rsidRPr="00FD6925" w14:paraId="7133BF02" w14:textId="77777777" w:rsidTr="00FC43F6">
        <w:trPr>
          <w:trHeight w:val="300"/>
          <w:jc w:val="center"/>
        </w:trPr>
        <w:tc>
          <w:tcPr>
            <w:tcW w:w="1864" w:type="dxa"/>
            <w:tcBorders>
              <w:top w:val="nil"/>
              <w:left w:val="nil"/>
              <w:bottom w:val="nil"/>
              <w:right w:val="nil"/>
            </w:tcBorders>
            <w:shd w:val="clear" w:color="000000" w:fill="EEECE1"/>
            <w:noWrap/>
            <w:vAlign w:val="bottom"/>
            <w:hideMark/>
          </w:tcPr>
          <w:p w14:paraId="1DBDD89A"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ARR</w:t>
            </w:r>
          </w:p>
        </w:tc>
        <w:tc>
          <w:tcPr>
            <w:tcW w:w="2896" w:type="dxa"/>
            <w:tcBorders>
              <w:top w:val="nil"/>
              <w:left w:val="nil"/>
              <w:bottom w:val="nil"/>
              <w:right w:val="nil"/>
            </w:tcBorders>
            <w:shd w:val="clear" w:color="000000" w:fill="EEECE1"/>
            <w:noWrap/>
            <w:vAlign w:val="bottom"/>
            <w:hideMark/>
          </w:tcPr>
          <w:p w14:paraId="172B3C34" w14:textId="77777777" w:rsidR="00FD6925" w:rsidRPr="00FD6925" w:rsidRDefault="0057161F" w:rsidP="00FD6925">
            <w:pPr>
              <w:spacing w:after="0" w:line="240" w:lineRule="auto"/>
              <w:rPr>
                <w:rFonts w:ascii="Arial" w:eastAsia="Times New Roman" w:hAnsi="Arial" w:cs="Arial"/>
                <w:color w:val="000000"/>
                <w:lang w:val="en-US"/>
              </w:rPr>
            </w:pPr>
            <w:r>
              <w:rPr>
                <w:rFonts w:ascii="Arial" w:eastAsia="Times New Roman" w:hAnsi="Arial" w:cs="Arial"/>
                <w:color w:val="000000"/>
                <w:lang w:val="en-US"/>
              </w:rPr>
              <w:t>30</w:t>
            </w:r>
            <w:r w:rsidR="00FD6925" w:rsidRPr="00FD6925">
              <w:rPr>
                <w:rFonts w:ascii="Arial" w:eastAsia="Times New Roman" w:hAnsi="Arial" w:cs="Arial"/>
                <w:color w:val="000000"/>
                <w:lang w:val="en-US"/>
              </w:rPr>
              <w:t>/15</w:t>
            </w:r>
          </w:p>
        </w:tc>
        <w:tc>
          <w:tcPr>
            <w:tcW w:w="375" w:type="dxa"/>
            <w:tcBorders>
              <w:top w:val="nil"/>
              <w:left w:val="nil"/>
              <w:bottom w:val="nil"/>
              <w:right w:val="nil"/>
            </w:tcBorders>
            <w:shd w:val="clear" w:color="000000" w:fill="EEECE1"/>
            <w:noWrap/>
            <w:vAlign w:val="bottom"/>
            <w:hideMark/>
          </w:tcPr>
          <w:p w14:paraId="70B14977"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5C5C4B5F"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5BC45FFD"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17A35D01"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r w:rsidR="00FD6925" w:rsidRPr="00FD6925" w14:paraId="2BF2DD22" w14:textId="77777777" w:rsidTr="00FC43F6">
        <w:trPr>
          <w:trHeight w:val="300"/>
          <w:jc w:val="center"/>
        </w:trPr>
        <w:tc>
          <w:tcPr>
            <w:tcW w:w="1864" w:type="dxa"/>
            <w:tcBorders>
              <w:top w:val="nil"/>
              <w:left w:val="nil"/>
              <w:bottom w:val="nil"/>
              <w:right w:val="nil"/>
            </w:tcBorders>
            <w:shd w:val="clear" w:color="000000" w:fill="EEECE1"/>
            <w:noWrap/>
            <w:vAlign w:val="bottom"/>
            <w:hideMark/>
          </w:tcPr>
          <w:p w14:paraId="6933B326"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2896" w:type="dxa"/>
            <w:tcBorders>
              <w:top w:val="nil"/>
              <w:left w:val="nil"/>
              <w:bottom w:val="nil"/>
              <w:right w:val="nil"/>
            </w:tcBorders>
            <w:shd w:val="clear" w:color="000000" w:fill="EEECE1"/>
            <w:noWrap/>
            <w:vAlign w:val="bottom"/>
            <w:hideMark/>
          </w:tcPr>
          <w:p w14:paraId="7F6CA991" w14:textId="77777777" w:rsidR="00FD6925" w:rsidRPr="00FD6925" w:rsidRDefault="0057161F" w:rsidP="00FD6925">
            <w:pPr>
              <w:spacing w:after="0" w:line="240" w:lineRule="auto"/>
              <w:jc w:val="right"/>
              <w:rPr>
                <w:rFonts w:ascii="Arial" w:eastAsia="Times New Roman" w:hAnsi="Arial" w:cs="Arial"/>
                <w:color w:val="000000"/>
                <w:lang w:val="en-US"/>
              </w:rPr>
            </w:pPr>
            <w:r>
              <w:rPr>
                <w:rFonts w:ascii="Arial" w:eastAsia="Times New Roman" w:hAnsi="Arial" w:cs="Arial"/>
                <w:color w:val="000000"/>
                <w:lang w:val="en-US"/>
              </w:rPr>
              <w:t>40</w:t>
            </w:r>
            <w:r w:rsidR="00FD6925" w:rsidRPr="00FD6925">
              <w:rPr>
                <w:rFonts w:ascii="Arial" w:eastAsia="Times New Roman" w:hAnsi="Arial" w:cs="Arial"/>
                <w:color w:val="000000"/>
                <w:lang w:val="en-US"/>
              </w:rPr>
              <w:t>%</w:t>
            </w:r>
          </w:p>
        </w:tc>
        <w:tc>
          <w:tcPr>
            <w:tcW w:w="375" w:type="dxa"/>
            <w:tcBorders>
              <w:top w:val="nil"/>
              <w:left w:val="nil"/>
              <w:bottom w:val="nil"/>
              <w:right w:val="nil"/>
            </w:tcBorders>
            <w:shd w:val="clear" w:color="000000" w:fill="EEECE1"/>
            <w:noWrap/>
            <w:vAlign w:val="bottom"/>
            <w:hideMark/>
          </w:tcPr>
          <w:p w14:paraId="06B22E0B"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7C9D13F7"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3113DEDF"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c>
          <w:tcPr>
            <w:tcW w:w="375" w:type="dxa"/>
            <w:tcBorders>
              <w:top w:val="nil"/>
              <w:left w:val="nil"/>
              <w:bottom w:val="nil"/>
              <w:right w:val="nil"/>
            </w:tcBorders>
            <w:shd w:val="clear" w:color="000000" w:fill="EEECE1"/>
            <w:noWrap/>
            <w:vAlign w:val="bottom"/>
            <w:hideMark/>
          </w:tcPr>
          <w:p w14:paraId="6259D951" w14:textId="77777777" w:rsidR="00FD6925" w:rsidRPr="00FD6925" w:rsidRDefault="00FD6925" w:rsidP="00FD6925">
            <w:pPr>
              <w:spacing w:after="0" w:line="240" w:lineRule="auto"/>
              <w:rPr>
                <w:rFonts w:ascii="Arial" w:eastAsia="Times New Roman" w:hAnsi="Arial" w:cs="Arial"/>
                <w:color w:val="000000"/>
                <w:lang w:val="en-US"/>
              </w:rPr>
            </w:pPr>
            <w:r w:rsidRPr="00FD6925">
              <w:rPr>
                <w:rFonts w:ascii="Arial" w:eastAsia="Times New Roman" w:hAnsi="Arial" w:cs="Arial"/>
                <w:color w:val="000000"/>
                <w:lang w:val="en-US"/>
              </w:rPr>
              <w:t> </w:t>
            </w:r>
          </w:p>
        </w:tc>
      </w:tr>
    </w:tbl>
    <w:p w14:paraId="1F1A19A0" w14:textId="77777777" w:rsidR="00FD6925" w:rsidRPr="009E2403" w:rsidRDefault="00FD6925" w:rsidP="00987360">
      <w:pPr>
        <w:spacing w:line="360" w:lineRule="auto"/>
        <w:jc w:val="both"/>
        <w:rPr>
          <w:rFonts w:ascii="Arial" w:hAnsi="Arial" w:cs="Arial"/>
          <w:sz w:val="24"/>
          <w:szCs w:val="24"/>
          <w:lang w:val="en-US"/>
        </w:rPr>
      </w:pPr>
    </w:p>
    <w:p w14:paraId="4755D269" w14:textId="77777777" w:rsidR="005A4611" w:rsidRPr="009E2403" w:rsidRDefault="005A4611" w:rsidP="00987360">
      <w:pPr>
        <w:spacing w:line="360" w:lineRule="auto"/>
        <w:jc w:val="both"/>
        <w:rPr>
          <w:rFonts w:ascii="Arial" w:hAnsi="Arial" w:cs="Arial"/>
          <w:sz w:val="24"/>
          <w:szCs w:val="24"/>
          <w:lang w:val="en-US"/>
        </w:rPr>
      </w:pPr>
      <w:r w:rsidRPr="009E2403">
        <w:rPr>
          <w:rFonts w:ascii="Arial" w:hAnsi="Arial" w:cs="Arial"/>
          <w:sz w:val="24"/>
          <w:szCs w:val="24"/>
          <w:lang w:val="en-US"/>
        </w:rPr>
        <w:t>Project C</w:t>
      </w:r>
    </w:p>
    <w:tbl>
      <w:tblPr>
        <w:tblW w:w="8180" w:type="dxa"/>
        <w:tblInd w:w="93" w:type="dxa"/>
        <w:tblLook w:val="04A0" w:firstRow="1" w:lastRow="0" w:firstColumn="1" w:lastColumn="0" w:noHBand="0" w:noVBand="1"/>
      </w:tblPr>
      <w:tblGrid>
        <w:gridCol w:w="1460"/>
        <w:gridCol w:w="960"/>
        <w:gridCol w:w="1042"/>
        <w:gridCol w:w="960"/>
        <w:gridCol w:w="960"/>
        <w:gridCol w:w="960"/>
        <w:gridCol w:w="960"/>
        <w:gridCol w:w="960"/>
      </w:tblGrid>
      <w:tr w:rsidR="00FC43F6" w:rsidRPr="00FC43F6" w14:paraId="16D15230" w14:textId="77777777" w:rsidTr="00FC43F6">
        <w:trPr>
          <w:trHeight w:val="300"/>
        </w:trPr>
        <w:tc>
          <w:tcPr>
            <w:tcW w:w="1460" w:type="dxa"/>
            <w:tcBorders>
              <w:top w:val="nil"/>
              <w:left w:val="nil"/>
              <w:bottom w:val="nil"/>
              <w:right w:val="nil"/>
            </w:tcBorders>
            <w:shd w:val="clear" w:color="000000" w:fill="EEECE1"/>
            <w:noWrap/>
            <w:vAlign w:val="bottom"/>
            <w:hideMark/>
          </w:tcPr>
          <w:p w14:paraId="4275E454"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highlight w:val="yellow"/>
                <w:lang w:val="en-US"/>
              </w:rPr>
              <w:t>Project C</w:t>
            </w:r>
          </w:p>
        </w:tc>
        <w:tc>
          <w:tcPr>
            <w:tcW w:w="960" w:type="dxa"/>
            <w:tcBorders>
              <w:top w:val="nil"/>
              <w:left w:val="nil"/>
              <w:bottom w:val="nil"/>
              <w:right w:val="nil"/>
            </w:tcBorders>
            <w:shd w:val="clear" w:color="000000" w:fill="EEECE1"/>
            <w:noWrap/>
            <w:vAlign w:val="bottom"/>
            <w:hideMark/>
          </w:tcPr>
          <w:p w14:paraId="3FC550B8"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0FB67365"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6575A748"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6D9F5AD5"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156C89E1"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7FF230CF"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09477E9F"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r w:rsidR="00FC43F6" w:rsidRPr="00FC43F6" w14:paraId="2AE24EB9" w14:textId="77777777" w:rsidTr="00FC43F6">
        <w:trPr>
          <w:trHeight w:val="300"/>
        </w:trPr>
        <w:tc>
          <w:tcPr>
            <w:tcW w:w="1460" w:type="dxa"/>
            <w:tcBorders>
              <w:top w:val="nil"/>
              <w:left w:val="nil"/>
              <w:bottom w:val="nil"/>
              <w:right w:val="nil"/>
            </w:tcBorders>
            <w:shd w:val="clear" w:color="000000" w:fill="EEECE1"/>
            <w:noWrap/>
            <w:vAlign w:val="bottom"/>
            <w:hideMark/>
          </w:tcPr>
          <w:p w14:paraId="774AA64B"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5760" w:type="dxa"/>
            <w:gridSpan w:val="6"/>
            <w:tcBorders>
              <w:top w:val="nil"/>
              <w:left w:val="nil"/>
              <w:bottom w:val="nil"/>
              <w:right w:val="nil"/>
            </w:tcBorders>
            <w:shd w:val="clear" w:color="000000" w:fill="EEECE1"/>
            <w:noWrap/>
            <w:vAlign w:val="bottom"/>
            <w:hideMark/>
          </w:tcPr>
          <w:p w14:paraId="05DA878E" w14:textId="77777777" w:rsidR="00FC43F6" w:rsidRPr="00FC43F6" w:rsidRDefault="00FC43F6" w:rsidP="00FC43F6">
            <w:pPr>
              <w:spacing w:after="0" w:line="240" w:lineRule="auto"/>
              <w:jc w:val="center"/>
              <w:rPr>
                <w:rFonts w:ascii="Arial" w:eastAsia="Times New Roman" w:hAnsi="Arial" w:cs="Arial"/>
                <w:color w:val="000000"/>
                <w:lang w:val="en-US"/>
              </w:rPr>
            </w:pPr>
            <w:r w:rsidRPr="00FC43F6">
              <w:rPr>
                <w:rFonts w:ascii="Arial" w:eastAsia="Times New Roman" w:hAnsi="Arial" w:cs="Arial"/>
                <w:color w:val="000000"/>
                <w:highlight w:val="yellow"/>
                <w:lang w:val="en-US"/>
              </w:rPr>
              <w:t>Average profit</w:t>
            </w:r>
          </w:p>
        </w:tc>
        <w:tc>
          <w:tcPr>
            <w:tcW w:w="960" w:type="dxa"/>
            <w:tcBorders>
              <w:top w:val="nil"/>
              <w:left w:val="nil"/>
              <w:bottom w:val="nil"/>
              <w:right w:val="nil"/>
            </w:tcBorders>
            <w:shd w:val="clear" w:color="000000" w:fill="EEECE1"/>
            <w:noWrap/>
            <w:vAlign w:val="bottom"/>
            <w:hideMark/>
          </w:tcPr>
          <w:p w14:paraId="2B8F1340"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r w:rsidR="00FC43F6" w:rsidRPr="00FC43F6" w14:paraId="42416B63" w14:textId="77777777" w:rsidTr="00FC43F6">
        <w:trPr>
          <w:trHeight w:val="300"/>
        </w:trPr>
        <w:tc>
          <w:tcPr>
            <w:tcW w:w="1460" w:type="dxa"/>
            <w:tcBorders>
              <w:top w:val="nil"/>
              <w:left w:val="nil"/>
              <w:bottom w:val="nil"/>
              <w:right w:val="nil"/>
            </w:tcBorders>
            <w:shd w:val="clear" w:color="000000" w:fill="EEECE1"/>
            <w:noWrap/>
            <w:vAlign w:val="bottom"/>
            <w:hideMark/>
          </w:tcPr>
          <w:p w14:paraId="46F2EC31" w14:textId="77777777" w:rsidR="00FC43F6" w:rsidRPr="00FC43F6" w:rsidRDefault="00FC43F6" w:rsidP="00FC43F6">
            <w:pPr>
              <w:spacing w:after="0" w:line="240" w:lineRule="auto"/>
              <w:rPr>
                <w:rFonts w:ascii="Arial" w:eastAsia="Times New Roman" w:hAnsi="Arial" w:cs="Arial"/>
                <w:b/>
                <w:bCs/>
                <w:color w:val="000000"/>
                <w:lang w:val="en-US"/>
              </w:rPr>
            </w:pPr>
            <w:r w:rsidRPr="00FC43F6">
              <w:rPr>
                <w:rFonts w:ascii="Arial" w:eastAsia="Times New Roman" w:hAnsi="Arial" w:cs="Arial"/>
                <w:b/>
                <w:bCs/>
                <w:color w:val="000000"/>
                <w:lang w:val="en-US"/>
              </w:rPr>
              <w:t>Year</w:t>
            </w:r>
          </w:p>
        </w:tc>
        <w:tc>
          <w:tcPr>
            <w:tcW w:w="960" w:type="dxa"/>
            <w:tcBorders>
              <w:top w:val="nil"/>
              <w:left w:val="nil"/>
              <w:bottom w:val="nil"/>
              <w:right w:val="nil"/>
            </w:tcBorders>
            <w:shd w:val="clear" w:color="000000" w:fill="EEECE1"/>
            <w:noWrap/>
            <w:vAlign w:val="bottom"/>
            <w:hideMark/>
          </w:tcPr>
          <w:p w14:paraId="705BFD99"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1</w:t>
            </w:r>
          </w:p>
        </w:tc>
        <w:tc>
          <w:tcPr>
            <w:tcW w:w="960" w:type="dxa"/>
            <w:tcBorders>
              <w:top w:val="nil"/>
              <w:left w:val="nil"/>
              <w:bottom w:val="nil"/>
              <w:right w:val="nil"/>
            </w:tcBorders>
            <w:shd w:val="clear" w:color="000000" w:fill="EEECE1"/>
            <w:noWrap/>
            <w:vAlign w:val="bottom"/>
            <w:hideMark/>
          </w:tcPr>
          <w:p w14:paraId="141CC2B5"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2</w:t>
            </w:r>
          </w:p>
        </w:tc>
        <w:tc>
          <w:tcPr>
            <w:tcW w:w="960" w:type="dxa"/>
            <w:tcBorders>
              <w:top w:val="nil"/>
              <w:left w:val="nil"/>
              <w:bottom w:val="nil"/>
              <w:right w:val="nil"/>
            </w:tcBorders>
            <w:shd w:val="clear" w:color="000000" w:fill="EEECE1"/>
            <w:noWrap/>
            <w:vAlign w:val="bottom"/>
            <w:hideMark/>
          </w:tcPr>
          <w:p w14:paraId="2E66516D"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3</w:t>
            </w:r>
          </w:p>
        </w:tc>
        <w:tc>
          <w:tcPr>
            <w:tcW w:w="960" w:type="dxa"/>
            <w:tcBorders>
              <w:top w:val="nil"/>
              <w:left w:val="nil"/>
              <w:bottom w:val="nil"/>
              <w:right w:val="nil"/>
            </w:tcBorders>
            <w:shd w:val="clear" w:color="000000" w:fill="EEECE1"/>
            <w:noWrap/>
            <w:vAlign w:val="bottom"/>
            <w:hideMark/>
          </w:tcPr>
          <w:p w14:paraId="264E9ADD"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4</w:t>
            </w:r>
          </w:p>
        </w:tc>
        <w:tc>
          <w:tcPr>
            <w:tcW w:w="960" w:type="dxa"/>
            <w:tcBorders>
              <w:top w:val="nil"/>
              <w:left w:val="nil"/>
              <w:bottom w:val="nil"/>
              <w:right w:val="nil"/>
            </w:tcBorders>
            <w:shd w:val="clear" w:color="000000" w:fill="EEECE1"/>
            <w:noWrap/>
            <w:vAlign w:val="bottom"/>
            <w:hideMark/>
          </w:tcPr>
          <w:p w14:paraId="3097E914"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5</w:t>
            </w:r>
          </w:p>
        </w:tc>
        <w:tc>
          <w:tcPr>
            <w:tcW w:w="960" w:type="dxa"/>
            <w:tcBorders>
              <w:top w:val="nil"/>
              <w:left w:val="nil"/>
              <w:bottom w:val="nil"/>
              <w:right w:val="nil"/>
            </w:tcBorders>
            <w:shd w:val="clear" w:color="000000" w:fill="EEECE1"/>
            <w:noWrap/>
            <w:vAlign w:val="bottom"/>
            <w:hideMark/>
          </w:tcPr>
          <w:p w14:paraId="4ED5611B"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6AFB3587"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r w:rsidR="00FC43F6" w:rsidRPr="00FC43F6" w14:paraId="72A69057" w14:textId="77777777" w:rsidTr="00FC43F6">
        <w:trPr>
          <w:trHeight w:val="300"/>
        </w:trPr>
        <w:tc>
          <w:tcPr>
            <w:tcW w:w="1460" w:type="dxa"/>
            <w:tcBorders>
              <w:top w:val="nil"/>
              <w:left w:val="nil"/>
              <w:bottom w:val="nil"/>
              <w:right w:val="nil"/>
            </w:tcBorders>
            <w:shd w:val="clear" w:color="000000" w:fill="EEECE1"/>
            <w:noWrap/>
            <w:vAlign w:val="bottom"/>
            <w:hideMark/>
          </w:tcPr>
          <w:p w14:paraId="62C18BA8" w14:textId="77777777" w:rsidR="00FC43F6" w:rsidRPr="00FC43F6" w:rsidRDefault="00FC43F6" w:rsidP="00FC43F6">
            <w:pPr>
              <w:spacing w:after="0" w:line="240" w:lineRule="auto"/>
              <w:rPr>
                <w:rFonts w:ascii="Arial" w:eastAsia="Times New Roman" w:hAnsi="Arial" w:cs="Arial"/>
                <w:b/>
                <w:bCs/>
                <w:color w:val="000000"/>
                <w:lang w:val="en-US"/>
              </w:rPr>
            </w:pPr>
            <w:r w:rsidRPr="00FC43F6">
              <w:rPr>
                <w:rFonts w:ascii="Arial" w:eastAsia="Times New Roman" w:hAnsi="Arial" w:cs="Arial"/>
                <w:b/>
                <w:bCs/>
                <w:color w:val="000000"/>
                <w:lang w:val="en-US"/>
              </w:rPr>
              <w:t>Profit</w:t>
            </w:r>
          </w:p>
        </w:tc>
        <w:tc>
          <w:tcPr>
            <w:tcW w:w="960" w:type="dxa"/>
            <w:tcBorders>
              <w:top w:val="nil"/>
              <w:left w:val="nil"/>
              <w:bottom w:val="nil"/>
              <w:right w:val="nil"/>
            </w:tcBorders>
            <w:shd w:val="clear" w:color="000000" w:fill="EEECE1"/>
            <w:noWrap/>
            <w:vAlign w:val="bottom"/>
            <w:hideMark/>
          </w:tcPr>
          <w:p w14:paraId="36178BF1"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5</w:t>
            </w:r>
          </w:p>
        </w:tc>
        <w:tc>
          <w:tcPr>
            <w:tcW w:w="960" w:type="dxa"/>
            <w:tcBorders>
              <w:top w:val="nil"/>
              <w:left w:val="nil"/>
              <w:bottom w:val="nil"/>
              <w:right w:val="nil"/>
            </w:tcBorders>
            <w:shd w:val="clear" w:color="000000" w:fill="EEECE1"/>
            <w:noWrap/>
            <w:vAlign w:val="bottom"/>
            <w:hideMark/>
          </w:tcPr>
          <w:p w14:paraId="40606335"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10</w:t>
            </w:r>
          </w:p>
        </w:tc>
        <w:tc>
          <w:tcPr>
            <w:tcW w:w="960" w:type="dxa"/>
            <w:tcBorders>
              <w:top w:val="nil"/>
              <w:left w:val="nil"/>
              <w:bottom w:val="nil"/>
              <w:right w:val="nil"/>
            </w:tcBorders>
            <w:shd w:val="clear" w:color="000000" w:fill="EEECE1"/>
            <w:noWrap/>
            <w:vAlign w:val="bottom"/>
            <w:hideMark/>
          </w:tcPr>
          <w:p w14:paraId="4CCACD1B"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20</w:t>
            </w:r>
          </w:p>
        </w:tc>
        <w:tc>
          <w:tcPr>
            <w:tcW w:w="960" w:type="dxa"/>
            <w:tcBorders>
              <w:top w:val="nil"/>
              <w:left w:val="nil"/>
              <w:bottom w:val="nil"/>
              <w:right w:val="nil"/>
            </w:tcBorders>
            <w:shd w:val="clear" w:color="000000" w:fill="EEECE1"/>
            <w:noWrap/>
            <w:vAlign w:val="bottom"/>
            <w:hideMark/>
          </w:tcPr>
          <w:p w14:paraId="1B2B7162"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25</w:t>
            </w:r>
          </w:p>
        </w:tc>
        <w:tc>
          <w:tcPr>
            <w:tcW w:w="960" w:type="dxa"/>
            <w:tcBorders>
              <w:top w:val="nil"/>
              <w:left w:val="nil"/>
              <w:bottom w:val="nil"/>
              <w:right w:val="nil"/>
            </w:tcBorders>
            <w:shd w:val="clear" w:color="000000" w:fill="EEECE1"/>
            <w:noWrap/>
            <w:vAlign w:val="bottom"/>
            <w:hideMark/>
          </w:tcPr>
          <w:p w14:paraId="6CA977A5"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15</w:t>
            </w:r>
          </w:p>
        </w:tc>
        <w:tc>
          <w:tcPr>
            <w:tcW w:w="960" w:type="dxa"/>
            <w:tcBorders>
              <w:top w:val="nil"/>
              <w:left w:val="nil"/>
              <w:bottom w:val="nil"/>
              <w:right w:val="nil"/>
            </w:tcBorders>
            <w:shd w:val="clear" w:color="000000" w:fill="EEECE1"/>
            <w:noWrap/>
            <w:vAlign w:val="bottom"/>
            <w:hideMark/>
          </w:tcPr>
          <w:p w14:paraId="3C5FD3E0"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75</w:t>
            </w:r>
          </w:p>
        </w:tc>
        <w:tc>
          <w:tcPr>
            <w:tcW w:w="960" w:type="dxa"/>
            <w:tcBorders>
              <w:top w:val="nil"/>
              <w:left w:val="nil"/>
              <w:bottom w:val="nil"/>
              <w:right w:val="nil"/>
            </w:tcBorders>
            <w:shd w:val="clear" w:color="000000" w:fill="EEECE1"/>
            <w:noWrap/>
            <w:vAlign w:val="bottom"/>
            <w:hideMark/>
          </w:tcPr>
          <w:p w14:paraId="4350179C"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r w:rsidR="00FC43F6" w:rsidRPr="00FC43F6" w14:paraId="276D44D5" w14:textId="77777777" w:rsidTr="00FC43F6">
        <w:trPr>
          <w:trHeight w:val="300"/>
        </w:trPr>
        <w:tc>
          <w:tcPr>
            <w:tcW w:w="1460" w:type="dxa"/>
            <w:tcBorders>
              <w:top w:val="nil"/>
              <w:left w:val="nil"/>
              <w:bottom w:val="nil"/>
              <w:right w:val="nil"/>
            </w:tcBorders>
            <w:shd w:val="clear" w:color="000000" w:fill="EEECE1"/>
            <w:noWrap/>
            <w:vAlign w:val="bottom"/>
            <w:hideMark/>
          </w:tcPr>
          <w:p w14:paraId="7AFC3D2F" w14:textId="77777777" w:rsidR="00FC43F6" w:rsidRPr="00FC43F6" w:rsidRDefault="00FC43F6" w:rsidP="00FC43F6">
            <w:pPr>
              <w:spacing w:after="0" w:line="240" w:lineRule="auto"/>
              <w:rPr>
                <w:rFonts w:ascii="Arial" w:eastAsia="Times New Roman" w:hAnsi="Arial" w:cs="Arial"/>
                <w:b/>
                <w:bCs/>
                <w:color w:val="000000"/>
                <w:lang w:val="en-US"/>
              </w:rPr>
            </w:pPr>
            <w:r w:rsidRPr="00FC43F6">
              <w:rPr>
                <w:rFonts w:ascii="Arial" w:eastAsia="Times New Roman" w:hAnsi="Arial" w:cs="Arial"/>
                <w:b/>
                <w:bCs/>
                <w:color w:val="000000"/>
                <w:lang w:val="en-US"/>
              </w:rPr>
              <w:t>Average Profit</w:t>
            </w:r>
          </w:p>
        </w:tc>
        <w:tc>
          <w:tcPr>
            <w:tcW w:w="4800" w:type="dxa"/>
            <w:gridSpan w:val="5"/>
            <w:tcBorders>
              <w:top w:val="nil"/>
              <w:left w:val="nil"/>
              <w:bottom w:val="nil"/>
              <w:right w:val="nil"/>
            </w:tcBorders>
            <w:shd w:val="clear" w:color="000000" w:fill="EEECE1"/>
            <w:noWrap/>
            <w:vAlign w:val="bottom"/>
            <w:hideMark/>
          </w:tcPr>
          <w:p w14:paraId="39C41D59" w14:textId="77777777" w:rsidR="00FC43F6" w:rsidRPr="00FC43F6" w:rsidRDefault="00FC43F6" w:rsidP="00FC43F6">
            <w:pPr>
              <w:spacing w:after="0" w:line="240" w:lineRule="auto"/>
              <w:jc w:val="center"/>
              <w:rPr>
                <w:rFonts w:ascii="Arial" w:eastAsia="Times New Roman" w:hAnsi="Arial" w:cs="Arial"/>
                <w:color w:val="000000"/>
                <w:lang w:val="en-US"/>
              </w:rPr>
            </w:pPr>
            <w:r w:rsidRPr="00FC43F6">
              <w:rPr>
                <w:rFonts w:ascii="Arial" w:eastAsia="Times New Roman" w:hAnsi="Arial" w:cs="Arial"/>
                <w:color w:val="000000"/>
                <w:lang w:val="en-US"/>
              </w:rPr>
              <w:t>75/5</w:t>
            </w:r>
          </w:p>
        </w:tc>
        <w:tc>
          <w:tcPr>
            <w:tcW w:w="960" w:type="dxa"/>
            <w:tcBorders>
              <w:top w:val="nil"/>
              <w:left w:val="nil"/>
              <w:bottom w:val="nil"/>
              <w:right w:val="nil"/>
            </w:tcBorders>
            <w:shd w:val="clear" w:color="000000" w:fill="EEECE1"/>
            <w:noWrap/>
            <w:vAlign w:val="bottom"/>
            <w:hideMark/>
          </w:tcPr>
          <w:p w14:paraId="33A6C11D"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highlight w:val="green"/>
                <w:lang w:val="en-US"/>
              </w:rPr>
              <w:t>15</w:t>
            </w:r>
          </w:p>
        </w:tc>
        <w:tc>
          <w:tcPr>
            <w:tcW w:w="960" w:type="dxa"/>
            <w:tcBorders>
              <w:top w:val="nil"/>
              <w:left w:val="nil"/>
              <w:bottom w:val="nil"/>
              <w:right w:val="nil"/>
            </w:tcBorders>
            <w:shd w:val="clear" w:color="000000" w:fill="EEECE1"/>
            <w:noWrap/>
            <w:vAlign w:val="bottom"/>
            <w:hideMark/>
          </w:tcPr>
          <w:p w14:paraId="1F4B50F3"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r w:rsidR="00FC43F6" w:rsidRPr="00FC43F6" w14:paraId="27154658" w14:textId="77777777" w:rsidTr="00FC43F6">
        <w:trPr>
          <w:trHeight w:val="300"/>
        </w:trPr>
        <w:tc>
          <w:tcPr>
            <w:tcW w:w="1460" w:type="dxa"/>
            <w:tcBorders>
              <w:top w:val="nil"/>
              <w:left w:val="nil"/>
              <w:bottom w:val="nil"/>
              <w:right w:val="nil"/>
            </w:tcBorders>
            <w:shd w:val="clear" w:color="000000" w:fill="EEECE1"/>
            <w:noWrap/>
            <w:vAlign w:val="bottom"/>
            <w:hideMark/>
          </w:tcPr>
          <w:p w14:paraId="25F66EF4" w14:textId="77777777" w:rsidR="00FC43F6" w:rsidRPr="00FC43F6" w:rsidRDefault="00FC43F6" w:rsidP="00FC43F6">
            <w:pPr>
              <w:spacing w:after="0" w:line="240" w:lineRule="auto"/>
              <w:rPr>
                <w:rFonts w:ascii="Arial" w:eastAsia="Times New Roman" w:hAnsi="Arial" w:cs="Arial"/>
                <w:b/>
                <w:bCs/>
                <w:color w:val="000000"/>
                <w:lang w:val="en-US"/>
              </w:rPr>
            </w:pPr>
            <w:r w:rsidRPr="00FC43F6">
              <w:rPr>
                <w:rFonts w:ascii="Arial" w:eastAsia="Times New Roman" w:hAnsi="Arial" w:cs="Arial"/>
                <w:b/>
                <w:bCs/>
                <w:color w:val="000000"/>
                <w:lang w:val="en-US"/>
              </w:rPr>
              <w:t> </w:t>
            </w:r>
          </w:p>
        </w:tc>
        <w:tc>
          <w:tcPr>
            <w:tcW w:w="960" w:type="dxa"/>
            <w:tcBorders>
              <w:top w:val="nil"/>
              <w:left w:val="nil"/>
              <w:bottom w:val="nil"/>
              <w:right w:val="nil"/>
            </w:tcBorders>
            <w:shd w:val="clear" w:color="000000" w:fill="EEECE1"/>
            <w:noWrap/>
            <w:vAlign w:val="bottom"/>
            <w:hideMark/>
          </w:tcPr>
          <w:p w14:paraId="7A0B5CBB"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20F166D3"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68026DEA"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403F8BDD"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60E57FAA"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5F5F898D"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6F2CDC88"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r w:rsidR="00FC43F6" w:rsidRPr="00FC43F6" w14:paraId="45E33BFB" w14:textId="77777777" w:rsidTr="00FC43F6">
        <w:trPr>
          <w:trHeight w:val="300"/>
        </w:trPr>
        <w:tc>
          <w:tcPr>
            <w:tcW w:w="2420" w:type="dxa"/>
            <w:gridSpan w:val="2"/>
            <w:tcBorders>
              <w:top w:val="nil"/>
              <w:left w:val="nil"/>
              <w:bottom w:val="nil"/>
              <w:right w:val="nil"/>
            </w:tcBorders>
            <w:shd w:val="clear" w:color="000000" w:fill="EEECE1"/>
            <w:noWrap/>
            <w:vAlign w:val="bottom"/>
            <w:hideMark/>
          </w:tcPr>
          <w:p w14:paraId="763857E3" w14:textId="77777777" w:rsidR="00FC43F6" w:rsidRPr="00FC43F6" w:rsidRDefault="00FC43F6" w:rsidP="00FC43F6">
            <w:pPr>
              <w:spacing w:after="0" w:line="240" w:lineRule="auto"/>
              <w:rPr>
                <w:rFonts w:ascii="Arial" w:eastAsia="Times New Roman" w:hAnsi="Arial" w:cs="Arial"/>
                <w:b/>
                <w:bCs/>
                <w:color w:val="000000"/>
                <w:lang w:val="en-US"/>
              </w:rPr>
            </w:pPr>
            <w:r w:rsidRPr="00FC43F6">
              <w:rPr>
                <w:rFonts w:ascii="Arial" w:eastAsia="Times New Roman" w:hAnsi="Arial" w:cs="Arial"/>
                <w:b/>
                <w:bCs/>
                <w:color w:val="000000"/>
                <w:lang w:val="en-US"/>
              </w:rPr>
              <w:t>Average Investment</w:t>
            </w:r>
          </w:p>
        </w:tc>
        <w:tc>
          <w:tcPr>
            <w:tcW w:w="5760" w:type="dxa"/>
            <w:gridSpan w:val="6"/>
            <w:tcBorders>
              <w:top w:val="nil"/>
              <w:left w:val="nil"/>
              <w:bottom w:val="nil"/>
              <w:right w:val="nil"/>
            </w:tcBorders>
            <w:shd w:val="clear" w:color="000000" w:fill="EEECE1"/>
            <w:vAlign w:val="center"/>
            <w:hideMark/>
          </w:tcPr>
          <w:p w14:paraId="6A9088F6" w14:textId="77777777" w:rsidR="00FC43F6" w:rsidRPr="00FC43F6" w:rsidRDefault="00FC43F6" w:rsidP="00FC43F6">
            <w:pPr>
              <w:spacing w:after="0" w:line="240" w:lineRule="auto"/>
              <w:jc w:val="center"/>
              <w:rPr>
                <w:rFonts w:ascii="Arial" w:eastAsia="Times New Roman" w:hAnsi="Arial" w:cs="Arial"/>
                <w:color w:val="374151"/>
                <w:sz w:val="16"/>
                <w:szCs w:val="16"/>
                <w:lang w:val="en-US"/>
              </w:rPr>
            </w:pPr>
            <w:r w:rsidRPr="00FC43F6">
              <w:rPr>
                <w:rFonts w:ascii="Arial" w:eastAsia="Times New Roman" w:hAnsi="Arial" w:cs="Arial"/>
                <w:color w:val="374151"/>
                <w:sz w:val="16"/>
                <w:szCs w:val="16"/>
                <w:lang w:val="en-US"/>
              </w:rPr>
              <w:t>(Book Value at Year 1 + Book Value at End of Useful Life) / 2</w:t>
            </w:r>
          </w:p>
        </w:tc>
      </w:tr>
      <w:tr w:rsidR="00FC43F6" w:rsidRPr="00FC43F6" w14:paraId="7E45C01C" w14:textId="77777777" w:rsidTr="00FC43F6">
        <w:trPr>
          <w:trHeight w:val="315"/>
        </w:trPr>
        <w:tc>
          <w:tcPr>
            <w:tcW w:w="1460" w:type="dxa"/>
            <w:tcBorders>
              <w:top w:val="nil"/>
              <w:left w:val="nil"/>
              <w:bottom w:val="nil"/>
              <w:right w:val="nil"/>
            </w:tcBorders>
            <w:shd w:val="clear" w:color="000000" w:fill="EEECE1"/>
            <w:noWrap/>
            <w:vAlign w:val="bottom"/>
            <w:hideMark/>
          </w:tcPr>
          <w:p w14:paraId="3980D444"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1E5C0481"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4B258D7F"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(50+0)/2</w:t>
            </w:r>
          </w:p>
        </w:tc>
        <w:tc>
          <w:tcPr>
            <w:tcW w:w="960" w:type="dxa"/>
            <w:tcBorders>
              <w:top w:val="nil"/>
              <w:left w:val="nil"/>
              <w:bottom w:val="nil"/>
              <w:right w:val="nil"/>
            </w:tcBorders>
            <w:shd w:val="clear" w:color="000000" w:fill="EEECE1"/>
            <w:noWrap/>
            <w:vAlign w:val="bottom"/>
            <w:hideMark/>
          </w:tcPr>
          <w:p w14:paraId="7AB229A9"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1FF52126"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1A055FBC"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5B367A39"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53FBCF1F"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r w:rsidR="00FC43F6" w:rsidRPr="00FC43F6" w14:paraId="3B49AC5E" w14:textId="77777777" w:rsidTr="00FC43F6">
        <w:trPr>
          <w:trHeight w:val="300"/>
        </w:trPr>
        <w:tc>
          <w:tcPr>
            <w:tcW w:w="1460" w:type="dxa"/>
            <w:tcBorders>
              <w:top w:val="nil"/>
              <w:left w:val="nil"/>
              <w:bottom w:val="nil"/>
              <w:right w:val="nil"/>
            </w:tcBorders>
            <w:shd w:val="clear" w:color="000000" w:fill="EEECE1"/>
            <w:noWrap/>
            <w:vAlign w:val="bottom"/>
            <w:hideMark/>
          </w:tcPr>
          <w:p w14:paraId="54E7E8EF"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5FDFEEEA"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2CDD7BE6"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25</w:t>
            </w:r>
          </w:p>
        </w:tc>
        <w:tc>
          <w:tcPr>
            <w:tcW w:w="960" w:type="dxa"/>
            <w:tcBorders>
              <w:top w:val="nil"/>
              <w:left w:val="nil"/>
              <w:bottom w:val="nil"/>
              <w:right w:val="nil"/>
            </w:tcBorders>
            <w:shd w:val="clear" w:color="000000" w:fill="EEECE1"/>
            <w:noWrap/>
            <w:vAlign w:val="bottom"/>
            <w:hideMark/>
          </w:tcPr>
          <w:p w14:paraId="47E6E7D1"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00581EC9"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4FA1C109"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0B776312"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960" w:type="dxa"/>
            <w:tcBorders>
              <w:top w:val="nil"/>
              <w:left w:val="nil"/>
              <w:bottom w:val="nil"/>
              <w:right w:val="nil"/>
            </w:tcBorders>
            <w:shd w:val="clear" w:color="000000" w:fill="EEECE1"/>
            <w:noWrap/>
            <w:vAlign w:val="bottom"/>
            <w:hideMark/>
          </w:tcPr>
          <w:p w14:paraId="7E206182"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bl>
    <w:p w14:paraId="14665A75" w14:textId="77777777" w:rsidR="005A4611" w:rsidRPr="009E2403" w:rsidRDefault="005A4611" w:rsidP="00987360">
      <w:pPr>
        <w:spacing w:line="360" w:lineRule="auto"/>
        <w:jc w:val="both"/>
        <w:rPr>
          <w:rFonts w:ascii="Arial" w:hAnsi="Arial" w:cs="Arial"/>
          <w:sz w:val="24"/>
          <w:szCs w:val="24"/>
          <w:lang w:val="en-US"/>
        </w:rPr>
      </w:pPr>
    </w:p>
    <w:tbl>
      <w:tblPr>
        <w:tblW w:w="6261" w:type="dxa"/>
        <w:jc w:val="center"/>
        <w:tblLook w:val="04A0" w:firstRow="1" w:lastRow="0" w:firstColumn="1" w:lastColumn="0" w:noHBand="0" w:noVBand="1"/>
      </w:tblPr>
      <w:tblGrid>
        <w:gridCol w:w="1945"/>
        <w:gridCol w:w="2748"/>
        <w:gridCol w:w="392"/>
        <w:gridCol w:w="392"/>
        <w:gridCol w:w="392"/>
        <w:gridCol w:w="392"/>
      </w:tblGrid>
      <w:tr w:rsidR="00FC43F6" w:rsidRPr="00FC43F6" w14:paraId="2E5F551B" w14:textId="77777777" w:rsidTr="00FC43F6">
        <w:trPr>
          <w:trHeight w:val="300"/>
          <w:jc w:val="center"/>
        </w:trPr>
        <w:tc>
          <w:tcPr>
            <w:tcW w:w="6261" w:type="dxa"/>
            <w:gridSpan w:val="6"/>
            <w:tcBorders>
              <w:top w:val="nil"/>
              <w:left w:val="nil"/>
              <w:bottom w:val="nil"/>
              <w:right w:val="nil"/>
            </w:tcBorders>
            <w:shd w:val="clear" w:color="000000" w:fill="EEECE1"/>
            <w:noWrap/>
            <w:vAlign w:val="bottom"/>
            <w:hideMark/>
          </w:tcPr>
          <w:p w14:paraId="35A8F8D8" w14:textId="77777777" w:rsidR="00FC43F6" w:rsidRPr="00FC43F6" w:rsidRDefault="00FC43F6" w:rsidP="00FC43F6">
            <w:pPr>
              <w:spacing w:after="0" w:line="240" w:lineRule="auto"/>
              <w:rPr>
                <w:rFonts w:ascii="Arial" w:eastAsia="Times New Roman" w:hAnsi="Arial" w:cs="Arial"/>
                <w:b/>
                <w:bCs/>
                <w:color w:val="374151"/>
                <w:sz w:val="16"/>
                <w:szCs w:val="16"/>
                <w:lang w:val="en-US"/>
              </w:rPr>
            </w:pPr>
            <w:r w:rsidRPr="00FC43F6">
              <w:rPr>
                <w:rFonts w:ascii="Arial" w:eastAsia="Times New Roman" w:hAnsi="Arial" w:cs="Arial"/>
                <w:b/>
                <w:bCs/>
                <w:color w:val="374151"/>
                <w:sz w:val="16"/>
                <w:szCs w:val="16"/>
                <w:lang w:val="en-US"/>
              </w:rPr>
              <w:t>Accounting Rate of Return = Average Annual Profit / Average Investment</w:t>
            </w:r>
          </w:p>
        </w:tc>
      </w:tr>
      <w:tr w:rsidR="00FC43F6" w:rsidRPr="00FC43F6" w14:paraId="123BC9DC" w14:textId="77777777" w:rsidTr="00FC43F6">
        <w:trPr>
          <w:trHeight w:val="300"/>
          <w:jc w:val="center"/>
        </w:trPr>
        <w:tc>
          <w:tcPr>
            <w:tcW w:w="1945" w:type="dxa"/>
            <w:tcBorders>
              <w:top w:val="nil"/>
              <w:left w:val="nil"/>
              <w:bottom w:val="nil"/>
              <w:right w:val="nil"/>
            </w:tcBorders>
            <w:shd w:val="clear" w:color="000000" w:fill="EEECE1"/>
            <w:noWrap/>
            <w:vAlign w:val="bottom"/>
            <w:hideMark/>
          </w:tcPr>
          <w:p w14:paraId="1A50B019"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2748" w:type="dxa"/>
            <w:tcBorders>
              <w:top w:val="nil"/>
              <w:left w:val="nil"/>
              <w:bottom w:val="nil"/>
              <w:right w:val="nil"/>
            </w:tcBorders>
            <w:shd w:val="clear" w:color="000000" w:fill="EEECE1"/>
            <w:noWrap/>
            <w:vAlign w:val="bottom"/>
            <w:hideMark/>
          </w:tcPr>
          <w:p w14:paraId="248066E8"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6CF8921E"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170A7FD0"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08D60C3B"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169FF9B8"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r w:rsidR="00FC43F6" w:rsidRPr="00FC43F6" w14:paraId="7485E436" w14:textId="77777777" w:rsidTr="00FC43F6">
        <w:trPr>
          <w:trHeight w:val="300"/>
          <w:jc w:val="center"/>
        </w:trPr>
        <w:tc>
          <w:tcPr>
            <w:tcW w:w="1945" w:type="dxa"/>
            <w:tcBorders>
              <w:top w:val="nil"/>
              <w:left w:val="nil"/>
              <w:bottom w:val="nil"/>
              <w:right w:val="nil"/>
            </w:tcBorders>
            <w:shd w:val="clear" w:color="000000" w:fill="EEECE1"/>
            <w:noWrap/>
            <w:vAlign w:val="bottom"/>
            <w:hideMark/>
          </w:tcPr>
          <w:p w14:paraId="1ABBB160"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ARR</w:t>
            </w:r>
          </w:p>
        </w:tc>
        <w:tc>
          <w:tcPr>
            <w:tcW w:w="2748" w:type="dxa"/>
            <w:tcBorders>
              <w:top w:val="nil"/>
              <w:left w:val="nil"/>
              <w:bottom w:val="nil"/>
              <w:right w:val="nil"/>
            </w:tcBorders>
            <w:shd w:val="clear" w:color="000000" w:fill="EEECE1"/>
            <w:noWrap/>
            <w:vAlign w:val="bottom"/>
            <w:hideMark/>
          </w:tcPr>
          <w:p w14:paraId="2D90690C"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15/25</w:t>
            </w:r>
          </w:p>
        </w:tc>
        <w:tc>
          <w:tcPr>
            <w:tcW w:w="392" w:type="dxa"/>
            <w:tcBorders>
              <w:top w:val="nil"/>
              <w:left w:val="nil"/>
              <w:bottom w:val="nil"/>
              <w:right w:val="nil"/>
            </w:tcBorders>
            <w:shd w:val="clear" w:color="000000" w:fill="EEECE1"/>
            <w:noWrap/>
            <w:vAlign w:val="bottom"/>
            <w:hideMark/>
          </w:tcPr>
          <w:p w14:paraId="181ABB8B"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5499703A"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1D734BC5"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6B2E9137"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r w:rsidR="00FC43F6" w:rsidRPr="00FC43F6" w14:paraId="5EB46A51" w14:textId="77777777" w:rsidTr="00FC43F6">
        <w:trPr>
          <w:trHeight w:val="300"/>
          <w:jc w:val="center"/>
        </w:trPr>
        <w:tc>
          <w:tcPr>
            <w:tcW w:w="1945" w:type="dxa"/>
            <w:tcBorders>
              <w:top w:val="nil"/>
              <w:left w:val="nil"/>
              <w:bottom w:val="nil"/>
              <w:right w:val="nil"/>
            </w:tcBorders>
            <w:shd w:val="clear" w:color="000000" w:fill="EEECE1"/>
            <w:noWrap/>
            <w:vAlign w:val="bottom"/>
            <w:hideMark/>
          </w:tcPr>
          <w:p w14:paraId="4F90E7C6"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2748" w:type="dxa"/>
            <w:tcBorders>
              <w:top w:val="nil"/>
              <w:left w:val="nil"/>
              <w:bottom w:val="nil"/>
              <w:right w:val="nil"/>
            </w:tcBorders>
            <w:shd w:val="clear" w:color="000000" w:fill="EEECE1"/>
            <w:noWrap/>
            <w:vAlign w:val="bottom"/>
            <w:hideMark/>
          </w:tcPr>
          <w:p w14:paraId="05187006" w14:textId="77777777" w:rsidR="00FC43F6" w:rsidRPr="00FC43F6" w:rsidRDefault="00FC43F6" w:rsidP="00FC43F6">
            <w:pPr>
              <w:spacing w:after="0" w:line="240" w:lineRule="auto"/>
              <w:jc w:val="right"/>
              <w:rPr>
                <w:rFonts w:ascii="Arial" w:eastAsia="Times New Roman" w:hAnsi="Arial" w:cs="Arial"/>
                <w:color w:val="000000"/>
                <w:lang w:val="en-US"/>
              </w:rPr>
            </w:pPr>
            <w:r w:rsidRPr="00FC43F6">
              <w:rPr>
                <w:rFonts w:ascii="Arial" w:eastAsia="Times New Roman" w:hAnsi="Arial" w:cs="Arial"/>
                <w:color w:val="000000"/>
                <w:lang w:val="en-US"/>
              </w:rPr>
              <w:t>60%</w:t>
            </w:r>
          </w:p>
        </w:tc>
        <w:tc>
          <w:tcPr>
            <w:tcW w:w="392" w:type="dxa"/>
            <w:tcBorders>
              <w:top w:val="nil"/>
              <w:left w:val="nil"/>
              <w:bottom w:val="nil"/>
              <w:right w:val="nil"/>
            </w:tcBorders>
            <w:shd w:val="clear" w:color="000000" w:fill="EEECE1"/>
            <w:noWrap/>
            <w:vAlign w:val="bottom"/>
            <w:hideMark/>
          </w:tcPr>
          <w:p w14:paraId="158E4889"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0E8165A5"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1525356C"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c>
          <w:tcPr>
            <w:tcW w:w="392" w:type="dxa"/>
            <w:tcBorders>
              <w:top w:val="nil"/>
              <w:left w:val="nil"/>
              <w:bottom w:val="nil"/>
              <w:right w:val="nil"/>
            </w:tcBorders>
            <w:shd w:val="clear" w:color="000000" w:fill="EEECE1"/>
            <w:noWrap/>
            <w:vAlign w:val="bottom"/>
            <w:hideMark/>
          </w:tcPr>
          <w:p w14:paraId="4F7F38D7" w14:textId="77777777" w:rsidR="00FC43F6" w:rsidRPr="00FC43F6" w:rsidRDefault="00FC43F6" w:rsidP="00FC43F6">
            <w:pPr>
              <w:spacing w:after="0" w:line="240" w:lineRule="auto"/>
              <w:rPr>
                <w:rFonts w:ascii="Arial" w:eastAsia="Times New Roman" w:hAnsi="Arial" w:cs="Arial"/>
                <w:color w:val="000000"/>
                <w:lang w:val="en-US"/>
              </w:rPr>
            </w:pPr>
            <w:r w:rsidRPr="00FC43F6">
              <w:rPr>
                <w:rFonts w:ascii="Arial" w:eastAsia="Times New Roman" w:hAnsi="Arial" w:cs="Arial"/>
                <w:color w:val="000000"/>
                <w:lang w:val="en-US"/>
              </w:rPr>
              <w:t> </w:t>
            </w:r>
          </w:p>
        </w:tc>
      </w:tr>
    </w:tbl>
    <w:p w14:paraId="4A5F99F0" w14:textId="77777777" w:rsidR="00A444C1" w:rsidRPr="009E2403" w:rsidRDefault="00A444C1" w:rsidP="00A444C1">
      <w:pPr>
        <w:tabs>
          <w:tab w:val="left" w:pos="201"/>
        </w:tabs>
        <w:rPr>
          <w:rFonts w:ascii="Arial" w:hAnsi="Arial" w:cs="Arial"/>
          <w:b/>
          <w:lang w:val="en-US"/>
        </w:rPr>
      </w:pPr>
      <w:r w:rsidRPr="009E2403">
        <w:rPr>
          <w:rFonts w:ascii="Arial" w:hAnsi="Arial" w:cs="Arial"/>
          <w:b/>
        </w:rPr>
        <w:t xml:space="preserve">Summary </w:t>
      </w:r>
      <w:r w:rsidRPr="009E2403">
        <w:rPr>
          <w:rFonts w:ascii="Arial" w:hAnsi="Arial" w:cs="Arial"/>
          <w:b/>
          <w:lang w:val="en-US"/>
        </w:rPr>
        <w:t xml:space="preserve">Result </w:t>
      </w:r>
    </w:p>
    <w:tbl>
      <w:tblPr>
        <w:tblW w:w="4940" w:type="dxa"/>
        <w:jc w:val="center"/>
        <w:tblLook w:val="04A0" w:firstRow="1" w:lastRow="0" w:firstColumn="1" w:lastColumn="0" w:noHBand="0" w:noVBand="1"/>
      </w:tblPr>
      <w:tblGrid>
        <w:gridCol w:w="2470"/>
        <w:gridCol w:w="2470"/>
      </w:tblGrid>
      <w:tr w:rsidR="00040338" w:rsidRPr="00040338" w14:paraId="10A3601E" w14:textId="77777777" w:rsidTr="00D572EF">
        <w:trPr>
          <w:trHeight w:val="304"/>
          <w:jc w:val="center"/>
        </w:trPr>
        <w:tc>
          <w:tcPr>
            <w:tcW w:w="2470" w:type="dxa"/>
            <w:tcBorders>
              <w:top w:val="nil"/>
              <w:left w:val="nil"/>
              <w:bottom w:val="nil"/>
              <w:right w:val="nil"/>
            </w:tcBorders>
            <w:shd w:val="clear" w:color="000000" w:fill="EEECE1"/>
            <w:noWrap/>
            <w:vAlign w:val="bottom"/>
            <w:hideMark/>
          </w:tcPr>
          <w:p w14:paraId="50A17756" w14:textId="77777777" w:rsidR="00040338" w:rsidRPr="00040338" w:rsidRDefault="00040338" w:rsidP="00040338">
            <w:pPr>
              <w:spacing w:after="0" w:line="240" w:lineRule="auto"/>
              <w:rPr>
                <w:rFonts w:ascii="Arial" w:eastAsia="Times New Roman" w:hAnsi="Arial" w:cs="Arial"/>
                <w:b/>
                <w:bCs/>
                <w:color w:val="FF0000"/>
                <w:lang w:val="en-US"/>
              </w:rPr>
            </w:pPr>
            <w:r w:rsidRPr="00040338">
              <w:rPr>
                <w:rFonts w:ascii="Arial" w:eastAsia="Times New Roman" w:hAnsi="Arial" w:cs="Arial"/>
                <w:b/>
                <w:bCs/>
                <w:color w:val="FF0000"/>
                <w:lang w:val="en-US"/>
              </w:rPr>
              <w:t xml:space="preserve">Project </w:t>
            </w:r>
          </w:p>
        </w:tc>
        <w:tc>
          <w:tcPr>
            <w:tcW w:w="2470" w:type="dxa"/>
            <w:tcBorders>
              <w:top w:val="nil"/>
              <w:left w:val="nil"/>
              <w:bottom w:val="nil"/>
              <w:right w:val="nil"/>
            </w:tcBorders>
            <w:shd w:val="clear" w:color="000000" w:fill="EEECE1"/>
            <w:noWrap/>
            <w:vAlign w:val="bottom"/>
            <w:hideMark/>
          </w:tcPr>
          <w:p w14:paraId="5D6BEE57" w14:textId="77777777" w:rsidR="00040338" w:rsidRPr="00040338" w:rsidRDefault="00040338" w:rsidP="00040338">
            <w:pPr>
              <w:spacing w:after="0" w:line="240" w:lineRule="auto"/>
              <w:rPr>
                <w:rFonts w:ascii="Arial" w:eastAsia="Times New Roman" w:hAnsi="Arial" w:cs="Arial"/>
                <w:b/>
                <w:bCs/>
                <w:color w:val="FF0000"/>
                <w:lang w:val="en-US"/>
              </w:rPr>
            </w:pPr>
            <w:r w:rsidRPr="00040338">
              <w:rPr>
                <w:rFonts w:ascii="Arial" w:eastAsia="Times New Roman" w:hAnsi="Arial" w:cs="Arial"/>
                <w:b/>
                <w:bCs/>
                <w:color w:val="FF0000"/>
                <w:lang w:val="en-US"/>
              </w:rPr>
              <w:t>ARR</w:t>
            </w:r>
          </w:p>
        </w:tc>
      </w:tr>
      <w:tr w:rsidR="00040338" w:rsidRPr="00040338" w14:paraId="7DBCECDF" w14:textId="77777777" w:rsidTr="00D572EF">
        <w:trPr>
          <w:trHeight w:val="350"/>
          <w:jc w:val="center"/>
        </w:trPr>
        <w:tc>
          <w:tcPr>
            <w:tcW w:w="2470" w:type="dxa"/>
            <w:tcBorders>
              <w:top w:val="nil"/>
              <w:left w:val="nil"/>
              <w:bottom w:val="nil"/>
              <w:right w:val="nil"/>
            </w:tcBorders>
            <w:shd w:val="clear" w:color="000000" w:fill="EEECE1"/>
            <w:noWrap/>
            <w:vAlign w:val="bottom"/>
            <w:hideMark/>
          </w:tcPr>
          <w:p w14:paraId="66AB1093" w14:textId="77777777" w:rsidR="00040338" w:rsidRPr="00040338" w:rsidRDefault="00040338" w:rsidP="00040338">
            <w:pPr>
              <w:spacing w:after="0" w:line="240" w:lineRule="auto"/>
              <w:rPr>
                <w:rFonts w:ascii="Arial" w:eastAsia="Times New Roman" w:hAnsi="Arial" w:cs="Arial"/>
                <w:color w:val="000000"/>
                <w:lang w:val="en-US"/>
              </w:rPr>
            </w:pPr>
            <w:r w:rsidRPr="00040338">
              <w:rPr>
                <w:rFonts w:ascii="Arial" w:eastAsia="Times New Roman" w:hAnsi="Arial" w:cs="Arial"/>
                <w:color w:val="000000"/>
                <w:lang w:val="en-US"/>
              </w:rPr>
              <w:t>Project A</w:t>
            </w:r>
          </w:p>
        </w:tc>
        <w:tc>
          <w:tcPr>
            <w:tcW w:w="2470" w:type="dxa"/>
            <w:tcBorders>
              <w:top w:val="nil"/>
              <w:left w:val="nil"/>
              <w:bottom w:val="nil"/>
              <w:right w:val="nil"/>
            </w:tcBorders>
            <w:shd w:val="clear" w:color="000000" w:fill="EEECE1"/>
            <w:noWrap/>
            <w:vAlign w:val="bottom"/>
            <w:hideMark/>
          </w:tcPr>
          <w:p w14:paraId="4BA7C1A6" w14:textId="77777777" w:rsidR="00040338" w:rsidRPr="00040338" w:rsidRDefault="00040338" w:rsidP="00040338">
            <w:pPr>
              <w:spacing w:after="0" w:line="240" w:lineRule="auto"/>
              <w:jc w:val="right"/>
              <w:rPr>
                <w:rFonts w:ascii="Arial" w:eastAsia="Times New Roman" w:hAnsi="Arial" w:cs="Arial"/>
                <w:color w:val="000000"/>
                <w:lang w:val="en-US"/>
              </w:rPr>
            </w:pPr>
            <w:r w:rsidRPr="00040338">
              <w:rPr>
                <w:rFonts w:ascii="Arial" w:eastAsia="Times New Roman" w:hAnsi="Arial" w:cs="Arial"/>
                <w:color w:val="000000"/>
                <w:lang w:val="en-US"/>
              </w:rPr>
              <w:t>54%</w:t>
            </w:r>
          </w:p>
        </w:tc>
      </w:tr>
      <w:tr w:rsidR="00040338" w:rsidRPr="00040338" w14:paraId="1EE43221" w14:textId="77777777" w:rsidTr="00D572EF">
        <w:trPr>
          <w:trHeight w:val="319"/>
          <w:jc w:val="center"/>
        </w:trPr>
        <w:tc>
          <w:tcPr>
            <w:tcW w:w="2470" w:type="dxa"/>
            <w:tcBorders>
              <w:top w:val="nil"/>
              <w:left w:val="nil"/>
              <w:bottom w:val="nil"/>
              <w:right w:val="nil"/>
            </w:tcBorders>
            <w:shd w:val="clear" w:color="000000" w:fill="EEECE1"/>
            <w:noWrap/>
            <w:vAlign w:val="bottom"/>
            <w:hideMark/>
          </w:tcPr>
          <w:p w14:paraId="53D8129C" w14:textId="77777777" w:rsidR="00040338" w:rsidRPr="00040338" w:rsidRDefault="00040338" w:rsidP="00040338">
            <w:pPr>
              <w:spacing w:after="0" w:line="240" w:lineRule="auto"/>
              <w:rPr>
                <w:rFonts w:ascii="Arial" w:eastAsia="Times New Roman" w:hAnsi="Arial" w:cs="Arial"/>
                <w:color w:val="000000"/>
                <w:lang w:val="en-US"/>
              </w:rPr>
            </w:pPr>
            <w:r w:rsidRPr="00040338">
              <w:rPr>
                <w:rFonts w:ascii="Arial" w:eastAsia="Times New Roman" w:hAnsi="Arial" w:cs="Arial"/>
                <w:color w:val="000000"/>
                <w:lang w:val="en-US"/>
              </w:rPr>
              <w:t>Project B</w:t>
            </w:r>
          </w:p>
        </w:tc>
        <w:tc>
          <w:tcPr>
            <w:tcW w:w="2470" w:type="dxa"/>
            <w:tcBorders>
              <w:top w:val="nil"/>
              <w:left w:val="nil"/>
              <w:bottom w:val="nil"/>
              <w:right w:val="nil"/>
            </w:tcBorders>
            <w:shd w:val="clear" w:color="000000" w:fill="EEECE1"/>
            <w:noWrap/>
            <w:vAlign w:val="bottom"/>
            <w:hideMark/>
          </w:tcPr>
          <w:p w14:paraId="234EBE38" w14:textId="77777777" w:rsidR="00040338" w:rsidRPr="00040338" w:rsidRDefault="00E21F3A" w:rsidP="00040338">
            <w:pPr>
              <w:spacing w:after="0" w:line="240" w:lineRule="auto"/>
              <w:jc w:val="right"/>
              <w:rPr>
                <w:rFonts w:ascii="Arial" w:eastAsia="Times New Roman" w:hAnsi="Arial" w:cs="Arial"/>
                <w:color w:val="000000"/>
                <w:lang w:val="en-US"/>
              </w:rPr>
            </w:pPr>
            <w:r>
              <w:rPr>
                <w:rFonts w:ascii="Arial" w:eastAsia="Times New Roman" w:hAnsi="Arial" w:cs="Arial"/>
                <w:color w:val="000000"/>
                <w:lang w:val="en-US"/>
              </w:rPr>
              <w:t>40</w:t>
            </w:r>
            <w:r w:rsidR="00040338" w:rsidRPr="00040338">
              <w:rPr>
                <w:rFonts w:ascii="Arial" w:eastAsia="Times New Roman" w:hAnsi="Arial" w:cs="Arial"/>
                <w:color w:val="000000"/>
                <w:lang w:val="en-US"/>
              </w:rPr>
              <w:t>%</w:t>
            </w:r>
          </w:p>
        </w:tc>
      </w:tr>
      <w:tr w:rsidR="00040338" w:rsidRPr="00040338" w14:paraId="11CCC7A8" w14:textId="77777777" w:rsidTr="00D572EF">
        <w:trPr>
          <w:trHeight w:val="304"/>
          <w:jc w:val="center"/>
        </w:trPr>
        <w:tc>
          <w:tcPr>
            <w:tcW w:w="2470" w:type="dxa"/>
            <w:tcBorders>
              <w:top w:val="nil"/>
              <w:left w:val="nil"/>
              <w:bottom w:val="nil"/>
              <w:right w:val="nil"/>
            </w:tcBorders>
            <w:shd w:val="clear" w:color="000000" w:fill="EEECE1"/>
            <w:noWrap/>
            <w:vAlign w:val="bottom"/>
            <w:hideMark/>
          </w:tcPr>
          <w:p w14:paraId="3363CFEA" w14:textId="77777777" w:rsidR="00040338" w:rsidRPr="00040338" w:rsidRDefault="00040338" w:rsidP="00040338">
            <w:pPr>
              <w:spacing w:after="0" w:line="240" w:lineRule="auto"/>
              <w:rPr>
                <w:rFonts w:ascii="Arial" w:eastAsia="Times New Roman" w:hAnsi="Arial" w:cs="Arial"/>
                <w:color w:val="000000"/>
                <w:lang w:val="en-US"/>
              </w:rPr>
            </w:pPr>
            <w:r w:rsidRPr="00040338">
              <w:rPr>
                <w:rFonts w:ascii="Arial" w:eastAsia="Times New Roman" w:hAnsi="Arial" w:cs="Arial"/>
                <w:color w:val="000000"/>
                <w:lang w:val="en-US"/>
              </w:rPr>
              <w:t>Project C</w:t>
            </w:r>
          </w:p>
        </w:tc>
        <w:tc>
          <w:tcPr>
            <w:tcW w:w="2470" w:type="dxa"/>
            <w:tcBorders>
              <w:top w:val="nil"/>
              <w:left w:val="nil"/>
              <w:bottom w:val="nil"/>
              <w:right w:val="nil"/>
            </w:tcBorders>
            <w:shd w:val="clear" w:color="000000" w:fill="EEECE1"/>
            <w:noWrap/>
            <w:vAlign w:val="bottom"/>
            <w:hideMark/>
          </w:tcPr>
          <w:p w14:paraId="172C1921" w14:textId="77777777" w:rsidR="00040338" w:rsidRPr="00040338" w:rsidRDefault="00040338" w:rsidP="00040338">
            <w:pPr>
              <w:spacing w:after="0" w:line="240" w:lineRule="auto"/>
              <w:jc w:val="right"/>
              <w:rPr>
                <w:rFonts w:ascii="Arial" w:eastAsia="Times New Roman" w:hAnsi="Arial" w:cs="Arial"/>
                <w:color w:val="000000"/>
                <w:lang w:val="en-US"/>
              </w:rPr>
            </w:pPr>
            <w:r w:rsidRPr="00040338">
              <w:rPr>
                <w:rFonts w:ascii="Arial" w:eastAsia="Times New Roman" w:hAnsi="Arial" w:cs="Arial"/>
                <w:color w:val="000000"/>
                <w:lang w:val="en-US"/>
              </w:rPr>
              <w:t>60%</w:t>
            </w:r>
          </w:p>
        </w:tc>
      </w:tr>
    </w:tbl>
    <w:p w14:paraId="78142223" w14:textId="77777777" w:rsidR="00C57B83" w:rsidRDefault="00BD6F06" w:rsidP="00BD6F06">
      <w:pPr>
        <w:pStyle w:val="Caption"/>
        <w:jc w:val="center"/>
        <w:rPr>
          <w:rFonts w:ascii="Arial" w:hAnsi="Arial" w:cs="Arial"/>
          <w:sz w:val="24"/>
          <w:szCs w:val="24"/>
          <w:lang w:val="en-US"/>
        </w:rPr>
      </w:pPr>
      <w:bookmarkStart w:id="45" w:name="_Toc214745434"/>
      <w:r>
        <w:t xml:space="preserve">Table </w:t>
      </w:r>
      <w:r>
        <w:fldChar w:fldCharType="begin"/>
      </w:r>
      <w:r>
        <w:instrText xml:space="preserve"> SEQ Table \* ARABIC </w:instrText>
      </w:r>
      <w:r>
        <w:fldChar w:fldCharType="separate"/>
      </w:r>
      <w:r w:rsidR="004471DE">
        <w:rPr>
          <w:noProof/>
        </w:rPr>
        <w:t>7</w:t>
      </w:r>
      <w:r>
        <w:fldChar w:fldCharType="end"/>
      </w:r>
      <w:r>
        <w:t xml:space="preserve"> ARR</w:t>
      </w:r>
      <w:bookmarkEnd w:id="45"/>
    </w:p>
    <w:p w14:paraId="376E9C11" w14:textId="77777777" w:rsidR="00BD6F06" w:rsidRPr="00BD6F06" w:rsidRDefault="00BD6F06" w:rsidP="00BD6F06">
      <w:pPr>
        <w:jc w:val="center"/>
        <w:rPr>
          <w:rFonts w:ascii="Arial" w:hAnsi="Arial" w:cs="Arial"/>
          <w:i/>
          <w:sz w:val="18"/>
        </w:rPr>
      </w:pPr>
      <w:r w:rsidRPr="00BD6F06">
        <w:rPr>
          <w:rFonts w:ascii="Arial" w:hAnsi="Arial" w:cs="Arial"/>
          <w:b/>
          <w:i/>
          <w:sz w:val="18"/>
        </w:rPr>
        <w:t>Source</w:t>
      </w:r>
      <w:r w:rsidRPr="00BD6F06">
        <w:rPr>
          <w:rFonts w:ascii="Arial" w:hAnsi="Arial" w:cs="Arial"/>
          <w:i/>
          <w:sz w:val="18"/>
        </w:rPr>
        <w:t>: Author’s own work in MS Excel</w:t>
      </w:r>
    </w:p>
    <w:p w14:paraId="2965FBB0" w14:textId="77777777" w:rsidR="00BD6F06" w:rsidRPr="009E2403" w:rsidRDefault="00BD6F06" w:rsidP="00987360">
      <w:pPr>
        <w:spacing w:line="360" w:lineRule="auto"/>
        <w:jc w:val="both"/>
        <w:rPr>
          <w:rFonts w:ascii="Arial" w:hAnsi="Arial" w:cs="Arial"/>
          <w:sz w:val="24"/>
          <w:szCs w:val="24"/>
          <w:lang w:val="en-US"/>
        </w:rPr>
      </w:pPr>
    </w:p>
    <w:p w14:paraId="48755BAA" w14:textId="77777777" w:rsidR="00040338" w:rsidRPr="009E2403" w:rsidRDefault="006309D4" w:rsidP="00987360">
      <w:pPr>
        <w:spacing w:line="360" w:lineRule="auto"/>
        <w:jc w:val="both"/>
        <w:rPr>
          <w:rFonts w:ascii="Arial" w:hAnsi="Arial" w:cs="Arial"/>
          <w:b/>
          <w:sz w:val="24"/>
          <w:szCs w:val="24"/>
          <w:lang w:val="en-US"/>
        </w:rPr>
      </w:pPr>
      <w:r w:rsidRPr="009E2403">
        <w:rPr>
          <w:rFonts w:ascii="Arial" w:hAnsi="Arial" w:cs="Arial"/>
          <w:b/>
          <w:sz w:val="24"/>
          <w:szCs w:val="24"/>
          <w:lang w:val="en-US"/>
        </w:rPr>
        <w:t>Profitability Index</w:t>
      </w:r>
    </w:p>
    <w:p w14:paraId="594A6298" w14:textId="77777777" w:rsidR="006309D4" w:rsidRPr="009E2403" w:rsidRDefault="006309D4" w:rsidP="006309D4">
      <w:pPr>
        <w:rPr>
          <w:rFonts w:ascii="Arial" w:eastAsiaTheme="minorEastAsia" w:hAnsi="Arial" w:cs="Arial"/>
          <w:sz w:val="24"/>
        </w:rPr>
      </w:pPr>
      <m:oMathPara>
        <m:oMath>
          <m:r>
            <m:rPr>
              <m:sty m:val="p"/>
            </m:rPr>
            <w:rPr>
              <w:rFonts w:ascii="Cambria Math" w:hAnsi="Cambria Math" w:cs="Arial"/>
              <w:sz w:val="24"/>
            </w:rPr>
            <m:t>Profitability Index =</m:t>
          </m:r>
          <m:f>
            <m:fPr>
              <m:ctrlPr>
                <w:rPr>
                  <w:rFonts w:ascii="Cambria Math" w:hAnsi="Cambria Math" w:cs="Arial"/>
                  <w:sz w:val="24"/>
                </w:rPr>
              </m:ctrlPr>
            </m:fPr>
            <m:num>
              <m:r>
                <w:rPr>
                  <w:rFonts w:ascii="Cambria Math" w:hAnsi="Cambria Math" w:cs="Arial"/>
                  <w:sz w:val="24"/>
                </w:rPr>
                <m:t>Present value of future cash flows</m:t>
              </m:r>
            </m:num>
            <m:den>
              <m:r>
                <w:rPr>
                  <w:rFonts w:ascii="Cambria Math" w:hAnsi="Cambria Math" w:cs="Arial"/>
                  <w:sz w:val="24"/>
                </w:rPr>
                <m:t>Initial Investment</m:t>
              </m:r>
            </m:den>
          </m:f>
        </m:oMath>
      </m:oMathPara>
    </w:p>
    <w:tbl>
      <w:tblPr>
        <w:tblW w:w="9266" w:type="dxa"/>
        <w:tblCellMar>
          <w:left w:w="0" w:type="dxa"/>
          <w:right w:w="0" w:type="dxa"/>
        </w:tblCellMar>
        <w:tblLook w:val="04A0" w:firstRow="1" w:lastRow="0" w:firstColumn="1" w:lastColumn="0" w:noHBand="0" w:noVBand="1"/>
      </w:tblPr>
      <w:tblGrid>
        <w:gridCol w:w="1380"/>
        <w:gridCol w:w="1946"/>
        <w:gridCol w:w="1834"/>
        <w:gridCol w:w="2825"/>
        <w:gridCol w:w="1281"/>
      </w:tblGrid>
      <w:tr w:rsidR="001C41BB" w:rsidRPr="009E2403" w14:paraId="79AFF92F" w14:textId="77777777" w:rsidTr="00286E19">
        <w:trPr>
          <w:trHeight w:val="315"/>
        </w:trPr>
        <w:tc>
          <w:tcPr>
            <w:tcW w:w="1380" w:type="dxa"/>
            <w:tcBorders>
              <w:top w:val="single" w:sz="6" w:space="0" w:color="284E3F"/>
              <w:left w:val="single" w:sz="6" w:space="0" w:color="284E3F"/>
              <w:bottom w:val="single" w:sz="6" w:space="0" w:color="284E3F"/>
              <w:right w:val="single" w:sz="6" w:space="0" w:color="356854"/>
            </w:tcBorders>
            <w:shd w:val="clear" w:color="auto" w:fill="AEAAAA" w:themeFill="background2" w:themeFillShade="BF"/>
            <w:tcMar>
              <w:top w:w="30" w:type="dxa"/>
              <w:left w:w="120" w:type="dxa"/>
              <w:bottom w:w="30" w:type="dxa"/>
              <w:right w:w="120" w:type="dxa"/>
            </w:tcMar>
            <w:vAlign w:val="center"/>
            <w:hideMark/>
          </w:tcPr>
          <w:p w14:paraId="15B55942"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Project</w:t>
            </w:r>
          </w:p>
        </w:tc>
        <w:tc>
          <w:tcPr>
            <w:tcW w:w="1946" w:type="dxa"/>
            <w:tcBorders>
              <w:top w:val="single" w:sz="6" w:space="0" w:color="284E3F"/>
              <w:left w:val="single" w:sz="6" w:space="0" w:color="CCCCCC"/>
              <w:bottom w:val="single" w:sz="6" w:space="0" w:color="284E3F"/>
              <w:right w:val="single" w:sz="6" w:space="0" w:color="356854"/>
            </w:tcBorders>
            <w:shd w:val="clear" w:color="auto" w:fill="AEAAAA" w:themeFill="background2" w:themeFillShade="BF"/>
            <w:tcMar>
              <w:top w:w="30" w:type="dxa"/>
              <w:left w:w="120" w:type="dxa"/>
              <w:bottom w:w="30" w:type="dxa"/>
              <w:right w:w="120" w:type="dxa"/>
            </w:tcMar>
            <w:vAlign w:val="center"/>
            <w:hideMark/>
          </w:tcPr>
          <w:p w14:paraId="692DEC00"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Initial Investment (C0​)</w:t>
            </w:r>
          </w:p>
        </w:tc>
        <w:tc>
          <w:tcPr>
            <w:tcW w:w="1834" w:type="dxa"/>
            <w:tcBorders>
              <w:top w:val="single" w:sz="6" w:space="0" w:color="284E3F"/>
              <w:left w:val="single" w:sz="6" w:space="0" w:color="CCCCCC"/>
              <w:bottom w:val="single" w:sz="6" w:space="0" w:color="284E3F"/>
              <w:right w:val="single" w:sz="6" w:space="0" w:color="356854"/>
            </w:tcBorders>
            <w:shd w:val="clear" w:color="auto" w:fill="AEAAAA" w:themeFill="background2" w:themeFillShade="BF"/>
            <w:tcMar>
              <w:top w:w="30" w:type="dxa"/>
              <w:left w:w="120" w:type="dxa"/>
              <w:bottom w:w="30" w:type="dxa"/>
              <w:right w:w="120" w:type="dxa"/>
            </w:tcMar>
            <w:vAlign w:val="center"/>
            <w:hideMark/>
          </w:tcPr>
          <w:p w14:paraId="21C3B097"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Net Present Value (NPV)</w:t>
            </w:r>
          </w:p>
        </w:tc>
        <w:tc>
          <w:tcPr>
            <w:tcW w:w="2825" w:type="dxa"/>
            <w:tcBorders>
              <w:top w:val="single" w:sz="6" w:space="0" w:color="284E3F"/>
              <w:left w:val="single" w:sz="6" w:space="0" w:color="CCCCCC"/>
              <w:bottom w:val="single" w:sz="6" w:space="0" w:color="284E3F"/>
              <w:right w:val="single" w:sz="6" w:space="0" w:color="356854"/>
            </w:tcBorders>
            <w:shd w:val="clear" w:color="auto" w:fill="AEAAAA" w:themeFill="background2" w:themeFillShade="BF"/>
            <w:tcMar>
              <w:top w:w="30" w:type="dxa"/>
              <w:left w:w="120" w:type="dxa"/>
              <w:bottom w:w="30" w:type="dxa"/>
              <w:right w:w="120" w:type="dxa"/>
            </w:tcMar>
            <w:vAlign w:val="center"/>
            <w:hideMark/>
          </w:tcPr>
          <w:p w14:paraId="6B5A5C9B"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Profitability Index (PI)</w:t>
            </w:r>
          </w:p>
        </w:tc>
        <w:tc>
          <w:tcPr>
            <w:tcW w:w="0" w:type="auto"/>
            <w:tcBorders>
              <w:top w:val="single" w:sz="6" w:space="0" w:color="284E3F"/>
              <w:left w:val="single" w:sz="6" w:space="0" w:color="CCCCCC"/>
              <w:bottom w:val="single" w:sz="6" w:space="0" w:color="284E3F"/>
              <w:right w:val="single" w:sz="6" w:space="0" w:color="284E3F"/>
            </w:tcBorders>
            <w:shd w:val="clear" w:color="auto" w:fill="AEAAAA" w:themeFill="background2" w:themeFillShade="BF"/>
            <w:tcMar>
              <w:top w:w="30" w:type="dxa"/>
              <w:left w:w="120" w:type="dxa"/>
              <w:bottom w:w="30" w:type="dxa"/>
              <w:right w:w="120" w:type="dxa"/>
            </w:tcMar>
            <w:vAlign w:val="center"/>
            <w:hideMark/>
          </w:tcPr>
          <w:p w14:paraId="049F98A7"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PI Ranking</w:t>
            </w:r>
          </w:p>
        </w:tc>
      </w:tr>
      <w:tr w:rsidR="001C41BB" w:rsidRPr="009E2403" w14:paraId="36FAD70C" w14:textId="77777777" w:rsidTr="004F73C4">
        <w:trPr>
          <w:trHeight w:val="315"/>
        </w:trPr>
        <w:tc>
          <w:tcPr>
            <w:tcW w:w="1380" w:type="dxa"/>
            <w:tcBorders>
              <w:top w:val="single" w:sz="6" w:space="0" w:color="CCCCCC"/>
              <w:left w:val="single" w:sz="6" w:space="0" w:color="284E3F"/>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6EF77AF4"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Project-A</w:t>
            </w:r>
          </w:p>
        </w:tc>
        <w:tc>
          <w:tcPr>
            <w:tcW w:w="1946"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2734DEA6"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£40 Mn</w:t>
            </w:r>
          </w:p>
        </w:tc>
        <w:tc>
          <w:tcPr>
            <w:tcW w:w="1834"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324E5175"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£1.32 Mn</w:t>
            </w:r>
          </w:p>
        </w:tc>
        <w:tc>
          <w:tcPr>
            <w:tcW w:w="2825" w:type="dxa"/>
            <w:tcBorders>
              <w:top w:val="single" w:sz="6" w:space="0" w:color="CCCCCC"/>
              <w:left w:val="single" w:sz="6" w:space="0" w:color="CCCCCC"/>
              <w:bottom w:val="single" w:sz="6" w:space="0" w:color="F6F8F9"/>
              <w:right w:val="single" w:sz="6" w:space="0" w:color="FFFFFF"/>
            </w:tcBorders>
            <w:shd w:val="clear" w:color="auto" w:fill="FFFFFF"/>
            <w:tcMar>
              <w:top w:w="30" w:type="dxa"/>
              <w:left w:w="120" w:type="dxa"/>
              <w:bottom w:w="30" w:type="dxa"/>
              <w:right w:w="120" w:type="dxa"/>
            </w:tcMar>
            <w:vAlign w:val="center"/>
            <w:hideMark/>
          </w:tcPr>
          <w:p w14:paraId="0197D677" w14:textId="77777777" w:rsidR="001C41BB" w:rsidRPr="009E2403" w:rsidRDefault="001C41BB" w:rsidP="004F73C4">
            <w:pPr>
              <w:spacing w:after="0" w:line="240" w:lineRule="auto"/>
              <w:rPr>
                <w:rFonts w:ascii="Arial" w:eastAsia="Times New Roman" w:hAnsi="Arial" w:cs="Arial"/>
                <w:u w:val="single"/>
                <w:lang w:val="en-US"/>
              </w:rPr>
            </w:pPr>
            <w:r w:rsidRPr="009E2403">
              <w:rPr>
                <w:rFonts w:ascii="Arial" w:eastAsia="Times New Roman" w:hAnsi="Arial" w:cs="Arial"/>
                <w:u w:val="single"/>
                <w:lang w:val="en-US"/>
              </w:rPr>
              <w:t>1.32</w:t>
            </w:r>
            <w:r w:rsidRPr="009E2403">
              <w:rPr>
                <w:rFonts w:ascii="Arial" w:eastAsia="Times New Roman" w:hAnsi="Arial" w:cs="Arial"/>
                <w:lang w:val="en-US"/>
              </w:rPr>
              <w:t>​</w:t>
            </w:r>
            <w:r w:rsidRPr="009E2403">
              <w:rPr>
                <w:rFonts w:ascii="Arial" w:eastAsia="Times New Roman" w:hAnsi="Arial" w:cs="Arial"/>
                <w:u w:val="single"/>
                <w:lang w:val="en-US"/>
              </w:rPr>
              <w:t xml:space="preserve">  </w:t>
            </w:r>
            <w:r w:rsidRPr="009E2403">
              <w:rPr>
                <w:rFonts w:ascii="Arial" w:eastAsia="Times New Roman" w:hAnsi="Arial" w:cs="Arial"/>
                <w:lang w:val="en-US"/>
              </w:rPr>
              <w:t xml:space="preserve">   x 100</w:t>
            </w:r>
          </w:p>
          <w:p w14:paraId="390B485B"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40                       =3%</w:t>
            </w:r>
          </w:p>
        </w:tc>
        <w:tc>
          <w:tcPr>
            <w:tcW w:w="0" w:type="auto"/>
            <w:tcBorders>
              <w:top w:val="single" w:sz="6" w:space="0" w:color="CCCCCC"/>
              <w:left w:val="single" w:sz="6" w:space="0" w:color="CCCCCC"/>
              <w:bottom w:val="single" w:sz="6" w:space="0" w:color="F6F8F9"/>
              <w:right w:val="single" w:sz="6" w:space="0" w:color="284E3F"/>
            </w:tcBorders>
            <w:shd w:val="clear" w:color="auto" w:fill="FFFFFF"/>
            <w:tcMar>
              <w:top w:w="30" w:type="dxa"/>
              <w:left w:w="120" w:type="dxa"/>
              <w:bottom w:w="30" w:type="dxa"/>
              <w:right w:w="120" w:type="dxa"/>
            </w:tcMar>
            <w:vAlign w:val="center"/>
            <w:hideMark/>
          </w:tcPr>
          <w:p w14:paraId="00E39C96"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2nd</w:t>
            </w:r>
          </w:p>
        </w:tc>
      </w:tr>
      <w:tr w:rsidR="001C41BB" w:rsidRPr="009E2403" w14:paraId="522EEEE9" w14:textId="77777777" w:rsidTr="004F73C4">
        <w:trPr>
          <w:trHeight w:val="315"/>
        </w:trPr>
        <w:tc>
          <w:tcPr>
            <w:tcW w:w="1380" w:type="dxa"/>
            <w:tcBorders>
              <w:top w:val="single" w:sz="6" w:space="0" w:color="CCCCCC"/>
              <w:left w:val="single" w:sz="6" w:space="0" w:color="284E3F"/>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5018B5CF"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Project-B</w:t>
            </w:r>
          </w:p>
        </w:tc>
        <w:tc>
          <w:tcPr>
            <w:tcW w:w="1946"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5F03B252"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£30 Mn</w:t>
            </w:r>
          </w:p>
        </w:tc>
        <w:tc>
          <w:tcPr>
            <w:tcW w:w="1834"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2BDCD1C0"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-£7.26 Mn</w:t>
            </w:r>
          </w:p>
        </w:tc>
        <w:tc>
          <w:tcPr>
            <w:tcW w:w="2825" w:type="dxa"/>
            <w:tcBorders>
              <w:top w:val="single" w:sz="6" w:space="0" w:color="CCCCCC"/>
              <w:left w:val="single" w:sz="6" w:space="0" w:color="CCCCCC"/>
              <w:bottom w:val="single" w:sz="6" w:space="0" w:color="F6F8F9"/>
              <w:right w:val="single" w:sz="6" w:space="0" w:color="F6F8F9"/>
            </w:tcBorders>
            <w:shd w:val="clear" w:color="auto" w:fill="F6F8F9"/>
            <w:tcMar>
              <w:top w:w="30" w:type="dxa"/>
              <w:left w:w="120" w:type="dxa"/>
              <w:bottom w:w="30" w:type="dxa"/>
              <w:right w:w="120" w:type="dxa"/>
            </w:tcMar>
            <w:vAlign w:val="center"/>
            <w:hideMark/>
          </w:tcPr>
          <w:p w14:paraId="5167840C" w14:textId="77777777" w:rsidR="001C41BB" w:rsidRPr="009E2403" w:rsidRDefault="001C41BB" w:rsidP="004F73C4">
            <w:pPr>
              <w:spacing w:after="0" w:line="240" w:lineRule="auto"/>
              <w:rPr>
                <w:rFonts w:ascii="Arial" w:eastAsia="Times New Roman" w:hAnsi="Arial" w:cs="Arial"/>
                <w:u w:val="single"/>
                <w:lang w:val="en-US"/>
              </w:rPr>
            </w:pPr>
            <w:r w:rsidRPr="009E2403">
              <w:rPr>
                <w:rFonts w:ascii="Arial" w:eastAsia="Times New Roman" w:hAnsi="Arial" w:cs="Arial"/>
                <w:u w:val="single"/>
                <w:lang w:val="en-US"/>
              </w:rPr>
              <w:t xml:space="preserve">−7.26  </w:t>
            </w:r>
            <w:r w:rsidRPr="009E2403">
              <w:rPr>
                <w:rFonts w:ascii="Arial" w:eastAsia="Times New Roman" w:hAnsi="Arial" w:cs="Arial"/>
                <w:lang w:val="en-US"/>
              </w:rPr>
              <w:t xml:space="preserve">   x 100</w:t>
            </w:r>
          </w:p>
          <w:p w14:paraId="0B419D46"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30</w:t>
            </w:r>
          </w:p>
          <w:p w14:paraId="6F3B42E5"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                          =-24%</w:t>
            </w:r>
          </w:p>
        </w:tc>
        <w:tc>
          <w:tcPr>
            <w:tcW w:w="0" w:type="auto"/>
            <w:tcBorders>
              <w:top w:val="single" w:sz="6" w:space="0" w:color="CCCCCC"/>
              <w:left w:val="single" w:sz="6" w:space="0" w:color="CCCCCC"/>
              <w:bottom w:val="single" w:sz="6" w:space="0" w:color="F6F8F9"/>
              <w:right w:val="single" w:sz="6" w:space="0" w:color="284E3F"/>
            </w:tcBorders>
            <w:shd w:val="clear" w:color="auto" w:fill="F6F8F9"/>
            <w:tcMar>
              <w:top w:w="30" w:type="dxa"/>
              <w:left w:w="120" w:type="dxa"/>
              <w:bottom w:w="30" w:type="dxa"/>
              <w:right w:w="120" w:type="dxa"/>
            </w:tcMar>
            <w:vAlign w:val="center"/>
            <w:hideMark/>
          </w:tcPr>
          <w:p w14:paraId="4F823B6F"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3rd</w:t>
            </w:r>
          </w:p>
        </w:tc>
      </w:tr>
      <w:tr w:rsidR="001C41BB" w:rsidRPr="009E2403" w14:paraId="110C0B61" w14:textId="77777777" w:rsidTr="004F73C4">
        <w:trPr>
          <w:trHeight w:val="315"/>
        </w:trPr>
        <w:tc>
          <w:tcPr>
            <w:tcW w:w="1380" w:type="dxa"/>
            <w:tcBorders>
              <w:top w:val="single" w:sz="6" w:space="0" w:color="CCCCCC"/>
              <w:left w:val="single" w:sz="6" w:space="0" w:color="284E3F"/>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6D903576"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Project-C</w:t>
            </w:r>
          </w:p>
        </w:tc>
        <w:tc>
          <w:tcPr>
            <w:tcW w:w="1946" w:type="dxa"/>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505FE162"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£50 Mn</w:t>
            </w:r>
          </w:p>
        </w:tc>
        <w:tc>
          <w:tcPr>
            <w:tcW w:w="1834" w:type="dxa"/>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09564DA3"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£4.23 Mn</w:t>
            </w:r>
          </w:p>
        </w:tc>
        <w:tc>
          <w:tcPr>
            <w:tcW w:w="2825" w:type="dxa"/>
            <w:tcBorders>
              <w:top w:val="single" w:sz="6" w:space="0" w:color="CCCCCC"/>
              <w:left w:val="single" w:sz="6" w:space="0" w:color="CCCCCC"/>
              <w:bottom w:val="single" w:sz="6" w:space="0" w:color="284E3F"/>
              <w:right w:val="single" w:sz="6" w:space="0" w:color="FFFFFF"/>
            </w:tcBorders>
            <w:shd w:val="clear" w:color="auto" w:fill="FFFFFF"/>
            <w:tcMar>
              <w:top w:w="30" w:type="dxa"/>
              <w:left w:w="120" w:type="dxa"/>
              <w:bottom w:w="30" w:type="dxa"/>
              <w:right w:w="120" w:type="dxa"/>
            </w:tcMar>
            <w:vAlign w:val="center"/>
            <w:hideMark/>
          </w:tcPr>
          <w:p w14:paraId="4EED224F"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u w:val="single"/>
                <w:lang w:val="en-US"/>
              </w:rPr>
              <w:t>4.23</w:t>
            </w:r>
            <w:r w:rsidRPr="009E2403">
              <w:rPr>
                <w:rFonts w:ascii="Arial" w:eastAsia="Times New Roman" w:hAnsi="Arial" w:cs="Arial"/>
                <w:lang w:val="en-US"/>
              </w:rPr>
              <w:t>​  x 100</w:t>
            </w:r>
          </w:p>
          <w:p w14:paraId="7A49FE19"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50                       =8%</w:t>
            </w:r>
          </w:p>
        </w:tc>
        <w:tc>
          <w:tcPr>
            <w:tcW w:w="0" w:type="auto"/>
            <w:tcBorders>
              <w:top w:val="single" w:sz="6" w:space="0" w:color="CCCCCC"/>
              <w:left w:val="single" w:sz="6" w:space="0" w:color="CCCCCC"/>
              <w:bottom w:val="single" w:sz="6" w:space="0" w:color="284E3F"/>
              <w:right w:val="single" w:sz="6" w:space="0" w:color="284E3F"/>
            </w:tcBorders>
            <w:shd w:val="clear" w:color="auto" w:fill="FFFFFF"/>
            <w:tcMar>
              <w:top w:w="30" w:type="dxa"/>
              <w:left w:w="120" w:type="dxa"/>
              <w:bottom w:w="30" w:type="dxa"/>
              <w:right w:w="120" w:type="dxa"/>
            </w:tcMar>
            <w:vAlign w:val="center"/>
            <w:hideMark/>
          </w:tcPr>
          <w:p w14:paraId="03A5F747" w14:textId="77777777" w:rsidR="001C41BB" w:rsidRPr="009E2403" w:rsidRDefault="001C41BB" w:rsidP="004F73C4">
            <w:pPr>
              <w:spacing w:after="0" w:line="240" w:lineRule="auto"/>
              <w:rPr>
                <w:rFonts w:ascii="Arial" w:eastAsia="Times New Roman" w:hAnsi="Arial" w:cs="Arial"/>
                <w:lang w:val="en-US"/>
              </w:rPr>
            </w:pPr>
            <w:r w:rsidRPr="009E2403">
              <w:rPr>
                <w:rFonts w:ascii="Arial" w:eastAsia="Times New Roman" w:hAnsi="Arial" w:cs="Arial"/>
                <w:lang w:val="en-US"/>
              </w:rPr>
              <w:t>1st</w:t>
            </w:r>
          </w:p>
        </w:tc>
      </w:tr>
    </w:tbl>
    <w:p w14:paraId="161D3EA4" w14:textId="77777777" w:rsidR="006309D4" w:rsidRDefault="00615675" w:rsidP="00615675">
      <w:pPr>
        <w:pStyle w:val="Caption"/>
        <w:jc w:val="center"/>
        <w:rPr>
          <w:rFonts w:ascii="Arial" w:hAnsi="Arial" w:cs="Arial"/>
          <w:sz w:val="24"/>
          <w:szCs w:val="24"/>
          <w:lang w:val="en-US"/>
        </w:rPr>
      </w:pPr>
      <w:bookmarkStart w:id="46" w:name="_Toc214745435"/>
      <w:r>
        <w:t xml:space="preserve">Table </w:t>
      </w:r>
      <w:r>
        <w:fldChar w:fldCharType="begin"/>
      </w:r>
      <w:r>
        <w:instrText xml:space="preserve"> SEQ Table \* ARABIC </w:instrText>
      </w:r>
      <w:r>
        <w:fldChar w:fldCharType="separate"/>
      </w:r>
      <w:r w:rsidR="004471DE">
        <w:rPr>
          <w:noProof/>
        </w:rPr>
        <w:t>8</w:t>
      </w:r>
      <w:r>
        <w:fldChar w:fldCharType="end"/>
      </w:r>
      <w:r>
        <w:t xml:space="preserve"> PI</w:t>
      </w:r>
      <w:bookmarkEnd w:id="46"/>
    </w:p>
    <w:p w14:paraId="7AF8C81B" w14:textId="77777777" w:rsidR="00615675" w:rsidRPr="00BD6F06" w:rsidRDefault="00615675" w:rsidP="00615675">
      <w:pPr>
        <w:jc w:val="center"/>
        <w:rPr>
          <w:rFonts w:ascii="Arial" w:hAnsi="Arial" w:cs="Arial"/>
          <w:i/>
          <w:sz w:val="18"/>
        </w:rPr>
      </w:pPr>
      <w:r w:rsidRPr="00BD6F06">
        <w:rPr>
          <w:rFonts w:ascii="Arial" w:hAnsi="Arial" w:cs="Arial"/>
          <w:b/>
          <w:i/>
          <w:sz w:val="18"/>
        </w:rPr>
        <w:t>Source</w:t>
      </w:r>
      <w:r w:rsidRPr="00BD6F06">
        <w:rPr>
          <w:rFonts w:ascii="Arial" w:hAnsi="Arial" w:cs="Arial"/>
          <w:i/>
          <w:sz w:val="18"/>
        </w:rPr>
        <w:t>: Author’s own work in MS Excel</w:t>
      </w:r>
    </w:p>
    <w:p w14:paraId="3521AC4B" w14:textId="77777777" w:rsidR="00615675" w:rsidRPr="009E2403" w:rsidRDefault="00615675" w:rsidP="00987360">
      <w:pPr>
        <w:spacing w:line="360" w:lineRule="auto"/>
        <w:jc w:val="both"/>
        <w:rPr>
          <w:rFonts w:ascii="Arial" w:hAnsi="Arial" w:cs="Arial"/>
          <w:sz w:val="24"/>
          <w:szCs w:val="24"/>
          <w:lang w:val="en-US"/>
        </w:rPr>
      </w:pPr>
    </w:p>
    <w:p w14:paraId="67DB9615" w14:textId="77777777" w:rsidR="00987360" w:rsidRPr="009E2403" w:rsidRDefault="00987360" w:rsidP="00CE7101">
      <w:pPr>
        <w:pStyle w:val="NormalWeb"/>
        <w:spacing w:before="0" w:beforeAutospacing="0" w:line="360" w:lineRule="auto"/>
        <w:rPr>
          <w:rFonts w:ascii="Arial" w:hAnsi="Arial" w:cs="Arial"/>
          <w:color w:val="5B9BD5" w:themeColor="accent1"/>
        </w:rPr>
      </w:pPr>
      <w:r w:rsidRPr="009E2403">
        <w:rPr>
          <w:rFonts w:ascii="Arial" w:hAnsi="Arial" w:cs="Arial"/>
          <w:color w:val="5B9BD5" w:themeColor="accent1"/>
        </w:rPr>
        <w:t>Net Present Value</w:t>
      </w:r>
    </w:p>
    <w:p w14:paraId="6E197F7D" w14:textId="77777777" w:rsidR="00987360" w:rsidRPr="009E2403" w:rsidRDefault="00987360" w:rsidP="00987360">
      <w:pPr>
        <w:tabs>
          <w:tab w:val="left" w:pos="201"/>
        </w:tabs>
        <w:rPr>
          <w:rFonts w:ascii="Arial" w:hAnsi="Arial" w:cs="Arial"/>
          <w:sz w:val="24"/>
          <w:szCs w:val="24"/>
          <w:lang w:val="en-US"/>
        </w:rPr>
      </w:pPr>
      <w:r w:rsidRPr="009E2403">
        <w:rPr>
          <w:rFonts w:ascii="Arial" w:hAnsi="Arial" w:cs="Arial"/>
          <w:sz w:val="24"/>
          <w:szCs w:val="24"/>
          <w:lang w:val="en-US"/>
        </w:rPr>
        <w:t>Project A</w:t>
      </w:r>
    </w:p>
    <w:tbl>
      <w:tblPr>
        <w:tblW w:w="4800" w:type="dxa"/>
        <w:jc w:val="center"/>
        <w:tblLook w:val="04A0" w:firstRow="1" w:lastRow="0" w:firstColumn="1" w:lastColumn="0" w:noHBand="0" w:noVBand="1"/>
      </w:tblPr>
      <w:tblGrid>
        <w:gridCol w:w="4542"/>
        <w:gridCol w:w="278"/>
        <w:gridCol w:w="278"/>
      </w:tblGrid>
      <w:tr w:rsidR="00E13145" w:rsidRPr="00E13145" w14:paraId="2F6ED337" w14:textId="77777777" w:rsidTr="00CF08C9">
        <w:trPr>
          <w:trHeight w:val="300"/>
          <w:jc w:val="center"/>
        </w:trPr>
        <w:tc>
          <w:tcPr>
            <w:tcW w:w="4800" w:type="dxa"/>
            <w:gridSpan w:val="3"/>
            <w:tcBorders>
              <w:top w:val="nil"/>
              <w:left w:val="nil"/>
              <w:bottom w:val="nil"/>
              <w:right w:val="nil"/>
            </w:tcBorders>
            <w:shd w:val="clear" w:color="000000" w:fill="EEECE1"/>
            <w:noWrap/>
            <w:vAlign w:val="bottom"/>
            <w:hideMark/>
          </w:tcPr>
          <w:p w14:paraId="633CD2C6" w14:textId="77777777" w:rsidR="00E13145" w:rsidRPr="00E13145" w:rsidRDefault="00E13145" w:rsidP="00E13145">
            <w:pPr>
              <w:spacing w:after="0" w:line="240" w:lineRule="auto"/>
              <w:rPr>
                <w:rFonts w:ascii="Arial" w:eastAsia="Times New Roman" w:hAnsi="Arial" w:cs="Arial"/>
                <w:color w:val="FF0000"/>
                <w:lang w:val="en-US"/>
              </w:rPr>
            </w:pPr>
            <w:r w:rsidRPr="00E13145">
              <w:rPr>
                <w:rFonts w:ascii="Arial" w:eastAsia="Times New Roman" w:hAnsi="Arial" w:cs="Arial"/>
                <w:color w:val="FF0000"/>
                <w:lang w:val="en-US"/>
              </w:rPr>
              <w:t>Year    Cash Flow    PV Factor    Present Value</w:t>
            </w:r>
          </w:p>
        </w:tc>
      </w:tr>
      <w:tr w:rsidR="00E13145" w:rsidRPr="00E13145" w14:paraId="68BE9BC6" w14:textId="77777777" w:rsidTr="00CF08C9">
        <w:trPr>
          <w:trHeight w:val="300"/>
          <w:jc w:val="center"/>
        </w:trPr>
        <w:tc>
          <w:tcPr>
            <w:tcW w:w="4671" w:type="dxa"/>
            <w:gridSpan w:val="2"/>
            <w:tcBorders>
              <w:top w:val="nil"/>
              <w:left w:val="nil"/>
              <w:bottom w:val="nil"/>
              <w:right w:val="nil"/>
            </w:tcBorders>
            <w:shd w:val="clear" w:color="000000" w:fill="EEECE1"/>
            <w:noWrap/>
            <w:vAlign w:val="bottom"/>
            <w:hideMark/>
          </w:tcPr>
          <w:p w14:paraId="49A9C44A" w14:textId="77777777" w:rsidR="00E13145" w:rsidRPr="00E13145" w:rsidRDefault="00E13145" w:rsidP="00E13145">
            <w:pPr>
              <w:spacing w:after="0" w:line="240" w:lineRule="auto"/>
              <w:rPr>
                <w:rFonts w:ascii="Arial" w:eastAsia="Times New Roman" w:hAnsi="Arial" w:cs="Arial"/>
                <w:color w:val="FF0000"/>
                <w:lang w:val="en-US"/>
              </w:rPr>
            </w:pPr>
            <w:r w:rsidRPr="00E13145">
              <w:rPr>
                <w:rFonts w:ascii="Arial" w:eastAsia="Times New Roman" w:hAnsi="Arial" w:cs="Arial"/>
                <w:color w:val="FF0000"/>
                <w:lang w:val="en-US"/>
              </w:rPr>
              <w:t>-----------------------------------------------</w:t>
            </w:r>
          </w:p>
        </w:tc>
        <w:tc>
          <w:tcPr>
            <w:tcW w:w="129" w:type="dxa"/>
            <w:tcBorders>
              <w:top w:val="nil"/>
              <w:left w:val="nil"/>
              <w:bottom w:val="nil"/>
              <w:right w:val="nil"/>
            </w:tcBorders>
            <w:shd w:val="clear" w:color="000000" w:fill="EEECE1"/>
            <w:noWrap/>
            <w:vAlign w:val="bottom"/>
            <w:hideMark/>
          </w:tcPr>
          <w:p w14:paraId="10DC2686"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5C761607" w14:textId="77777777" w:rsidTr="00CF08C9">
        <w:trPr>
          <w:trHeight w:val="300"/>
          <w:jc w:val="center"/>
        </w:trPr>
        <w:tc>
          <w:tcPr>
            <w:tcW w:w="4542" w:type="dxa"/>
            <w:tcBorders>
              <w:top w:val="nil"/>
              <w:left w:val="nil"/>
              <w:bottom w:val="nil"/>
              <w:right w:val="nil"/>
            </w:tcBorders>
            <w:shd w:val="clear" w:color="000000" w:fill="EEECE1"/>
            <w:noWrap/>
            <w:vAlign w:val="bottom"/>
            <w:hideMark/>
          </w:tcPr>
          <w:p w14:paraId="736AE480"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1         10           0.909          9.09</w:t>
            </w:r>
          </w:p>
        </w:tc>
        <w:tc>
          <w:tcPr>
            <w:tcW w:w="129" w:type="dxa"/>
            <w:tcBorders>
              <w:top w:val="nil"/>
              <w:left w:val="nil"/>
              <w:bottom w:val="nil"/>
              <w:right w:val="nil"/>
            </w:tcBorders>
            <w:shd w:val="clear" w:color="000000" w:fill="EEECE1"/>
            <w:noWrap/>
            <w:vAlign w:val="bottom"/>
            <w:hideMark/>
          </w:tcPr>
          <w:p w14:paraId="66CD0014"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c>
          <w:tcPr>
            <w:tcW w:w="129" w:type="dxa"/>
            <w:tcBorders>
              <w:top w:val="nil"/>
              <w:left w:val="nil"/>
              <w:bottom w:val="nil"/>
              <w:right w:val="nil"/>
            </w:tcBorders>
            <w:shd w:val="clear" w:color="000000" w:fill="EEECE1"/>
            <w:noWrap/>
            <w:vAlign w:val="bottom"/>
            <w:hideMark/>
          </w:tcPr>
          <w:p w14:paraId="6188E996"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4BB8466B" w14:textId="77777777" w:rsidTr="00CF08C9">
        <w:trPr>
          <w:trHeight w:val="300"/>
          <w:jc w:val="center"/>
        </w:trPr>
        <w:tc>
          <w:tcPr>
            <w:tcW w:w="4542" w:type="dxa"/>
            <w:tcBorders>
              <w:top w:val="nil"/>
              <w:left w:val="nil"/>
              <w:bottom w:val="nil"/>
              <w:right w:val="nil"/>
            </w:tcBorders>
            <w:shd w:val="clear" w:color="000000" w:fill="EEECE1"/>
            <w:noWrap/>
            <w:vAlign w:val="bottom"/>
            <w:hideMark/>
          </w:tcPr>
          <w:p w14:paraId="3937F205"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2         12           0.826          9.92</w:t>
            </w:r>
          </w:p>
        </w:tc>
        <w:tc>
          <w:tcPr>
            <w:tcW w:w="129" w:type="dxa"/>
            <w:tcBorders>
              <w:top w:val="nil"/>
              <w:left w:val="nil"/>
              <w:bottom w:val="nil"/>
              <w:right w:val="nil"/>
            </w:tcBorders>
            <w:shd w:val="clear" w:color="000000" w:fill="EEECE1"/>
            <w:noWrap/>
            <w:vAlign w:val="bottom"/>
            <w:hideMark/>
          </w:tcPr>
          <w:p w14:paraId="324C7DBD"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c>
          <w:tcPr>
            <w:tcW w:w="129" w:type="dxa"/>
            <w:tcBorders>
              <w:top w:val="nil"/>
              <w:left w:val="nil"/>
              <w:bottom w:val="nil"/>
              <w:right w:val="nil"/>
            </w:tcBorders>
            <w:shd w:val="clear" w:color="000000" w:fill="EEECE1"/>
            <w:noWrap/>
            <w:vAlign w:val="bottom"/>
            <w:hideMark/>
          </w:tcPr>
          <w:p w14:paraId="3B807FEC"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0B251787" w14:textId="77777777" w:rsidTr="00CF08C9">
        <w:trPr>
          <w:trHeight w:val="300"/>
          <w:jc w:val="center"/>
        </w:trPr>
        <w:tc>
          <w:tcPr>
            <w:tcW w:w="4542" w:type="dxa"/>
            <w:tcBorders>
              <w:top w:val="nil"/>
              <w:left w:val="nil"/>
              <w:bottom w:val="nil"/>
              <w:right w:val="nil"/>
            </w:tcBorders>
            <w:shd w:val="clear" w:color="000000" w:fill="EEECE1"/>
            <w:noWrap/>
            <w:vAlign w:val="bottom"/>
            <w:hideMark/>
          </w:tcPr>
          <w:p w14:paraId="77724DDC"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3         14           0.751         10.52</w:t>
            </w:r>
          </w:p>
        </w:tc>
        <w:tc>
          <w:tcPr>
            <w:tcW w:w="129" w:type="dxa"/>
            <w:tcBorders>
              <w:top w:val="nil"/>
              <w:left w:val="nil"/>
              <w:bottom w:val="nil"/>
              <w:right w:val="nil"/>
            </w:tcBorders>
            <w:shd w:val="clear" w:color="000000" w:fill="EEECE1"/>
            <w:noWrap/>
            <w:vAlign w:val="bottom"/>
            <w:hideMark/>
          </w:tcPr>
          <w:p w14:paraId="7721ECB3"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c>
          <w:tcPr>
            <w:tcW w:w="129" w:type="dxa"/>
            <w:tcBorders>
              <w:top w:val="nil"/>
              <w:left w:val="nil"/>
              <w:bottom w:val="nil"/>
              <w:right w:val="nil"/>
            </w:tcBorders>
            <w:shd w:val="clear" w:color="000000" w:fill="EEECE1"/>
            <w:noWrap/>
            <w:vAlign w:val="bottom"/>
            <w:hideMark/>
          </w:tcPr>
          <w:p w14:paraId="6B8291ED"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53D272D4" w14:textId="77777777" w:rsidTr="00CF08C9">
        <w:trPr>
          <w:trHeight w:val="300"/>
          <w:jc w:val="center"/>
        </w:trPr>
        <w:tc>
          <w:tcPr>
            <w:tcW w:w="4542" w:type="dxa"/>
            <w:tcBorders>
              <w:top w:val="nil"/>
              <w:left w:val="nil"/>
              <w:bottom w:val="nil"/>
              <w:right w:val="nil"/>
            </w:tcBorders>
            <w:shd w:val="clear" w:color="000000" w:fill="EEECE1"/>
            <w:noWrap/>
            <w:vAlign w:val="bottom"/>
            <w:hideMark/>
          </w:tcPr>
          <w:p w14:paraId="29045536"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4         10           0.683          6.83</w:t>
            </w:r>
          </w:p>
        </w:tc>
        <w:tc>
          <w:tcPr>
            <w:tcW w:w="129" w:type="dxa"/>
            <w:tcBorders>
              <w:top w:val="nil"/>
              <w:left w:val="nil"/>
              <w:bottom w:val="nil"/>
              <w:right w:val="nil"/>
            </w:tcBorders>
            <w:shd w:val="clear" w:color="000000" w:fill="EEECE1"/>
            <w:noWrap/>
            <w:vAlign w:val="bottom"/>
            <w:hideMark/>
          </w:tcPr>
          <w:p w14:paraId="2645B0D1"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c>
          <w:tcPr>
            <w:tcW w:w="129" w:type="dxa"/>
            <w:tcBorders>
              <w:top w:val="nil"/>
              <w:left w:val="nil"/>
              <w:bottom w:val="nil"/>
              <w:right w:val="nil"/>
            </w:tcBorders>
            <w:shd w:val="clear" w:color="000000" w:fill="EEECE1"/>
            <w:noWrap/>
            <w:vAlign w:val="bottom"/>
            <w:hideMark/>
          </w:tcPr>
          <w:p w14:paraId="5A9CFE3E"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5707A052" w14:textId="77777777" w:rsidTr="00CF08C9">
        <w:trPr>
          <w:trHeight w:val="300"/>
          <w:jc w:val="center"/>
        </w:trPr>
        <w:tc>
          <w:tcPr>
            <w:tcW w:w="4542" w:type="dxa"/>
            <w:tcBorders>
              <w:top w:val="nil"/>
              <w:left w:val="nil"/>
              <w:bottom w:val="nil"/>
              <w:right w:val="nil"/>
            </w:tcBorders>
            <w:shd w:val="clear" w:color="000000" w:fill="EEECE1"/>
            <w:noWrap/>
            <w:vAlign w:val="bottom"/>
            <w:hideMark/>
          </w:tcPr>
          <w:p w14:paraId="4B8C14D8"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5          8           0.621          4.97</w:t>
            </w:r>
          </w:p>
        </w:tc>
        <w:tc>
          <w:tcPr>
            <w:tcW w:w="129" w:type="dxa"/>
            <w:tcBorders>
              <w:top w:val="nil"/>
              <w:left w:val="nil"/>
              <w:bottom w:val="nil"/>
              <w:right w:val="nil"/>
            </w:tcBorders>
            <w:shd w:val="clear" w:color="000000" w:fill="EEECE1"/>
            <w:noWrap/>
            <w:vAlign w:val="bottom"/>
            <w:hideMark/>
          </w:tcPr>
          <w:p w14:paraId="5808768A"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c>
          <w:tcPr>
            <w:tcW w:w="129" w:type="dxa"/>
            <w:tcBorders>
              <w:top w:val="nil"/>
              <w:left w:val="nil"/>
              <w:bottom w:val="nil"/>
              <w:right w:val="nil"/>
            </w:tcBorders>
            <w:shd w:val="clear" w:color="000000" w:fill="EEECE1"/>
            <w:noWrap/>
            <w:vAlign w:val="bottom"/>
            <w:hideMark/>
          </w:tcPr>
          <w:p w14:paraId="57B85E54"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5E70EE58" w14:textId="77777777" w:rsidTr="00CF08C9">
        <w:trPr>
          <w:trHeight w:val="300"/>
          <w:jc w:val="center"/>
        </w:trPr>
        <w:tc>
          <w:tcPr>
            <w:tcW w:w="4671" w:type="dxa"/>
            <w:gridSpan w:val="2"/>
            <w:tcBorders>
              <w:top w:val="nil"/>
              <w:left w:val="nil"/>
              <w:bottom w:val="nil"/>
              <w:right w:val="nil"/>
            </w:tcBorders>
            <w:shd w:val="clear" w:color="000000" w:fill="EEECE1"/>
            <w:noWrap/>
            <w:vAlign w:val="bottom"/>
            <w:hideMark/>
          </w:tcPr>
          <w:p w14:paraId="5A9E4187" w14:textId="77777777" w:rsidR="00E13145" w:rsidRPr="00E13145" w:rsidRDefault="00E13145" w:rsidP="00E13145">
            <w:pPr>
              <w:spacing w:after="0" w:line="240" w:lineRule="auto"/>
              <w:rPr>
                <w:rFonts w:ascii="Arial" w:eastAsia="Times New Roman" w:hAnsi="Arial" w:cs="Arial"/>
                <w:color w:val="FF0000"/>
                <w:lang w:val="en-US"/>
              </w:rPr>
            </w:pPr>
            <w:r w:rsidRPr="00E13145">
              <w:rPr>
                <w:rFonts w:ascii="Arial" w:eastAsia="Times New Roman" w:hAnsi="Arial" w:cs="Arial"/>
                <w:color w:val="FF0000"/>
                <w:lang w:val="en-US"/>
              </w:rPr>
              <w:t>-----------------------------------------------</w:t>
            </w:r>
          </w:p>
        </w:tc>
        <w:tc>
          <w:tcPr>
            <w:tcW w:w="129" w:type="dxa"/>
            <w:tcBorders>
              <w:top w:val="nil"/>
              <w:left w:val="nil"/>
              <w:bottom w:val="nil"/>
              <w:right w:val="nil"/>
            </w:tcBorders>
            <w:shd w:val="clear" w:color="000000" w:fill="EEECE1"/>
            <w:noWrap/>
            <w:vAlign w:val="bottom"/>
            <w:hideMark/>
          </w:tcPr>
          <w:p w14:paraId="0444CCC9"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68C97BAC" w14:textId="77777777" w:rsidTr="00CF08C9">
        <w:trPr>
          <w:trHeight w:val="300"/>
          <w:jc w:val="center"/>
        </w:trPr>
        <w:tc>
          <w:tcPr>
            <w:tcW w:w="4671" w:type="dxa"/>
            <w:gridSpan w:val="2"/>
            <w:tcBorders>
              <w:top w:val="nil"/>
              <w:left w:val="nil"/>
              <w:bottom w:val="nil"/>
              <w:right w:val="nil"/>
            </w:tcBorders>
            <w:shd w:val="clear" w:color="000000" w:fill="EEECE1"/>
            <w:noWrap/>
            <w:vAlign w:val="bottom"/>
            <w:hideMark/>
          </w:tcPr>
          <w:p w14:paraId="2D749012"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Total PV of Inflows                £41.32m</w:t>
            </w:r>
          </w:p>
        </w:tc>
        <w:tc>
          <w:tcPr>
            <w:tcW w:w="129" w:type="dxa"/>
            <w:tcBorders>
              <w:top w:val="nil"/>
              <w:left w:val="nil"/>
              <w:bottom w:val="nil"/>
              <w:right w:val="nil"/>
            </w:tcBorders>
            <w:shd w:val="clear" w:color="000000" w:fill="EEECE1"/>
            <w:noWrap/>
            <w:vAlign w:val="bottom"/>
            <w:hideMark/>
          </w:tcPr>
          <w:p w14:paraId="6BC7BDCE"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4C730257" w14:textId="77777777" w:rsidTr="00CF08C9">
        <w:trPr>
          <w:trHeight w:val="300"/>
          <w:jc w:val="center"/>
        </w:trPr>
        <w:tc>
          <w:tcPr>
            <w:tcW w:w="4671" w:type="dxa"/>
            <w:gridSpan w:val="2"/>
            <w:tcBorders>
              <w:top w:val="nil"/>
              <w:left w:val="nil"/>
              <w:bottom w:val="nil"/>
              <w:right w:val="nil"/>
            </w:tcBorders>
            <w:shd w:val="clear" w:color="000000" w:fill="EEECE1"/>
            <w:noWrap/>
            <w:vAlign w:val="bottom"/>
            <w:hideMark/>
          </w:tcPr>
          <w:p w14:paraId="149A6EA5" w14:textId="77777777" w:rsidR="00E13145" w:rsidRPr="00E13145" w:rsidRDefault="00E13145" w:rsidP="00E13145">
            <w:pPr>
              <w:spacing w:after="0" w:line="240" w:lineRule="auto"/>
              <w:rPr>
                <w:rFonts w:ascii="Arial" w:eastAsia="Times New Roman" w:hAnsi="Arial" w:cs="Arial"/>
                <w:color w:val="FF0000"/>
                <w:lang w:val="en-US"/>
              </w:rPr>
            </w:pPr>
            <w:r w:rsidRPr="00E13145">
              <w:rPr>
                <w:rFonts w:ascii="Arial" w:eastAsia="Times New Roman" w:hAnsi="Arial" w:cs="Arial"/>
                <w:color w:val="FF0000"/>
                <w:lang w:val="en-US"/>
              </w:rPr>
              <w:t>Less: Initial Investment           £40m</w:t>
            </w:r>
          </w:p>
        </w:tc>
        <w:tc>
          <w:tcPr>
            <w:tcW w:w="129" w:type="dxa"/>
            <w:tcBorders>
              <w:top w:val="nil"/>
              <w:left w:val="nil"/>
              <w:bottom w:val="nil"/>
              <w:right w:val="nil"/>
            </w:tcBorders>
            <w:shd w:val="clear" w:color="000000" w:fill="EEECE1"/>
            <w:noWrap/>
            <w:vAlign w:val="bottom"/>
            <w:hideMark/>
          </w:tcPr>
          <w:p w14:paraId="03937EC5"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76DB97CF" w14:textId="77777777" w:rsidTr="00CF08C9">
        <w:trPr>
          <w:trHeight w:val="300"/>
          <w:jc w:val="center"/>
        </w:trPr>
        <w:tc>
          <w:tcPr>
            <w:tcW w:w="4671" w:type="dxa"/>
            <w:gridSpan w:val="2"/>
            <w:tcBorders>
              <w:top w:val="nil"/>
              <w:left w:val="nil"/>
              <w:bottom w:val="nil"/>
              <w:right w:val="nil"/>
            </w:tcBorders>
            <w:shd w:val="clear" w:color="000000" w:fill="EEECE1"/>
            <w:noWrap/>
            <w:vAlign w:val="bottom"/>
            <w:hideMark/>
          </w:tcPr>
          <w:p w14:paraId="732D94FA" w14:textId="77777777" w:rsidR="00E13145" w:rsidRPr="00E13145" w:rsidRDefault="00E13145" w:rsidP="00E13145">
            <w:pPr>
              <w:spacing w:after="0" w:line="240" w:lineRule="auto"/>
              <w:rPr>
                <w:rFonts w:ascii="Arial" w:eastAsia="Times New Roman" w:hAnsi="Arial" w:cs="Arial"/>
                <w:color w:val="FF0000"/>
                <w:lang w:val="en-US"/>
              </w:rPr>
            </w:pPr>
            <w:r w:rsidRPr="00E13145">
              <w:rPr>
                <w:rFonts w:ascii="Arial" w:eastAsia="Times New Roman" w:hAnsi="Arial" w:cs="Arial"/>
                <w:color w:val="FF0000"/>
                <w:lang w:val="en-US"/>
              </w:rPr>
              <w:t>-----------------------------------------------</w:t>
            </w:r>
          </w:p>
        </w:tc>
        <w:tc>
          <w:tcPr>
            <w:tcW w:w="129" w:type="dxa"/>
            <w:tcBorders>
              <w:top w:val="nil"/>
              <w:left w:val="nil"/>
              <w:bottom w:val="nil"/>
              <w:right w:val="nil"/>
            </w:tcBorders>
            <w:shd w:val="clear" w:color="000000" w:fill="EEECE1"/>
            <w:noWrap/>
            <w:vAlign w:val="bottom"/>
            <w:hideMark/>
          </w:tcPr>
          <w:p w14:paraId="36B91EB3"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r w:rsidR="00E13145" w:rsidRPr="00E13145" w14:paraId="51E60E4B" w14:textId="77777777" w:rsidTr="00CF08C9">
        <w:trPr>
          <w:trHeight w:val="300"/>
          <w:jc w:val="center"/>
        </w:trPr>
        <w:tc>
          <w:tcPr>
            <w:tcW w:w="4542" w:type="dxa"/>
            <w:tcBorders>
              <w:top w:val="nil"/>
              <w:left w:val="nil"/>
              <w:bottom w:val="nil"/>
              <w:right w:val="nil"/>
            </w:tcBorders>
            <w:shd w:val="clear" w:color="000000" w:fill="EEECE1"/>
            <w:noWrap/>
            <w:vAlign w:val="bottom"/>
            <w:hideMark/>
          </w:tcPr>
          <w:p w14:paraId="615BD7C8"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NPV                                £1.32m</w:t>
            </w:r>
          </w:p>
        </w:tc>
        <w:tc>
          <w:tcPr>
            <w:tcW w:w="129" w:type="dxa"/>
            <w:tcBorders>
              <w:top w:val="nil"/>
              <w:left w:val="nil"/>
              <w:bottom w:val="nil"/>
              <w:right w:val="nil"/>
            </w:tcBorders>
            <w:shd w:val="clear" w:color="000000" w:fill="EEECE1"/>
            <w:noWrap/>
            <w:vAlign w:val="bottom"/>
            <w:hideMark/>
          </w:tcPr>
          <w:p w14:paraId="1B720FF7"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c>
          <w:tcPr>
            <w:tcW w:w="129" w:type="dxa"/>
            <w:tcBorders>
              <w:top w:val="nil"/>
              <w:left w:val="nil"/>
              <w:bottom w:val="nil"/>
              <w:right w:val="nil"/>
            </w:tcBorders>
            <w:shd w:val="clear" w:color="000000" w:fill="EEECE1"/>
            <w:noWrap/>
            <w:vAlign w:val="bottom"/>
            <w:hideMark/>
          </w:tcPr>
          <w:p w14:paraId="01DB3753" w14:textId="77777777" w:rsidR="00E13145" w:rsidRPr="00E13145" w:rsidRDefault="00E13145" w:rsidP="00E13145">
            <w:pPr>
              <w:spacing w:after="0" w:line="240" w:lineRule="auto"/>
              <w:rPr>
                <w:rFonts w:ascii="Arial" w:eastAsia="Times New Roman" w:hAnsi="Arial" w:cs="Arial"/>
                <w:color w:val="000000"/>
                <w:lang w:val="en-US"/>
              </w:rPr>
            </w:pPr>
            <w:r w:rsidRPr="00E13145">
              <w:rPr>
                <w:rFonts w:ascii="Arial" w:eastAsia="Times New Roman" w:hAnsi="Arial" w:cs="Arial"/>
                <w:color w:val="000000"/>
                <w:lang w:val="en-US"/>
              </w:rPr>
              <w:t> </w:t>
            </w:r>
          </w:p>
        </w:tc>
      </w:tr>
    </w:tbl>
    <w:p w14:paraId="01BF345C" w14:textId="77777777" w:rsidR="002C2BB0" w:rsidRPr="009E2403" w:rsidRDefault="002C2BB0" w:rsidP="00987360">
      <w:pPr>
        <w:tabs>
          <w:tab w:val="left" w:pos="201"/>
        </w:tabs>
        <w:rPr>
          <w:rFonts w:ascii="Arial" w:hAnsi="Arial" w:cs="Arial"/>
          <w:sz w:val="24"/>
          <w:szCs w:val="24"/>
          <w:lang w:val="en-US"/>
        </w:rPr>
      </w:pPr>
    </w:p>
    <w:p w14:paraId="1F486120" w14:textId="77777777" w:rsidR="00E13145" w:rsidRPr="009E2403" w:rsidRDefault="000D530D" w:rsidP="00987360">
      <w:pPr>
        <w:tabs>
          <w:tab w:val="left" w:pos="201"/>
        </w:tabs>
        <w:rPr>
          <w:rFonts w:ascii="Arial" w:hAnsi="Arial" w:cs="Arial"/>
          <w:sz w:val="24"/>
          <w:szCs w:val="24"/>
          <w:lang w:val="en-US"/>
        </w:rPr>
      </w:pPr>
      <w:r w:rsidRPr="009E2403">
        <w:rPr>
          <w:rFonts w:ascii="Arial" w:hAnsi="Arial" w:cs="Arial"/>
          <w:sz w:val="24"/>
          <w:szCs w:val="24"/>
          <w:lang w:val="en-US"/>
        </w:rPr>
        <w:t>Project B</w:t>
      </w:r>
    </w:p>
    <w:tbl>
      <w:tblPr>
        <w:tblW w:w="5060" w:type="dxa"/>
        <w:jc w:val="center"/>
        <w:tblLook w:val="04A0" w:firstRow="1" w:lastRow="0" w:firstColumn="1" w:lastColumn="0" w:noHBand="0" w:noVBand="1"/>
      </w:tblPr>
      <w:tblGrid>
        <w:gridCol w:w="1265"/>
        <w:gridCol w:w="1265"/>
        <w:gridCol w:w="1265"/>
        <w:gridCol w:w="1265"/>
      </w:tblGrid>
      <w:tr w:rsidR="000D530D" w:rsidRPr="000D530D" w14:paraId="699FC422" w14:textId="77777777" w:rsidTr="00CF08C9">
        <w:trPr>
          <w:trHeight w:val="299"/>
          <w:jc w:val="center"/>
        </w:trPr>
        <w:tc>
          <w:tcPr>
            <w:tcW w:w="5059" w:type="dxa"/>
            <w:gridSpan w:val="4"/>
            <w:tcBorders>
              <w:top w:val="nil"/>
              <w:left w:val="nil"/>
              <w:bottom w:val="nil"/>
              <w:right w:val="nil"/>
            </w:tcBorders>
            <w:shd w:val="clear" w:color="000000" w:fill="EEECE1"/>
            <w:noWrap/>
            <w:vAlign w:val="bottom"/>
            <w:hideMark/>
          </w:tcPr>
          <w:p w14:paraId="36C2C8D7" w14:textId="77777777" w:rsidR="000D530D" w:rsidRPr="000D530D" w:rsidRDefault="000D530D" w:rsidP="000D530D">
            <w:pPr>
              <w:spacing w:after="0" w:line="240" w:lineRule="auto"/>
              <w:rPr>
                <w:rFonts w:ascii="Arial" w:eastAsia="Times New Roman" w:hAnsi="Arial" w:cs="Arial"/>
                <w:color w:val="FF0000"/>
                <w:lang w:val="en-US"/>
              </w:rPr>
            </w:pPr>
            <w:r w:rsidRPr="000D530D">
              <w:rPr>
                <w:rFonts w:ascii="Arial" w:eastAsia="Times New Roman" w:hAnsi="Arial" w:cs="Arial"/>
                <w:color w:val="FF0000"/>
                <w:lang w:val="en-US"/>
              </w:rPr>
              <w:t>Year    Cash Flow    PV Factor    Present Value</w:t>
            </w:r>
          </w:p>
        </w:tc>
      </w:tr>
      <w:tr w:rsidR="000D530D" w:rsidRPr="000D530D" w14:paraId="3B7B7703" w14:textId="77777777" w:rsidTr="00CF08C9">
        <w:trPr>
          <w:trHeight w:val="299"/>
          <w:jc w:val="center"/>
        </w:trPr>
        <w:tc>
          <w:tcPr>
            <w:tcW w:w="5059" w:type="dxa"/>
            <w:gridSpan w:val="4"/>
            <w:tcBorders>
              <w:top w:val="nil"/>
              <w:left w:val="nil"/>
              <w:bottom w:val="nil"/>
              <w:right w:val="nil"/>
            </w:tcBorders>
            <w:shd w:val="clear" w:color="000000" w:fill="EEECE1"/>
            <w:noWrap/>
            <w:vAlign w:val="bottom"/>
            <w:hideMark/>
          </w:tcPr>
          <w:p w14:paraId="31343900" w14:textId="77777777" w:rsidR="000D530D" w:rsidRPr="000D530D" w:rsidRDefault="000D530D" w:rsidP="000D530D">
            <w:pPr>
              <w:spacing w:after="0" w:line="240" w:lineRule="auto"/>
              <w:rPr>
                <w:rFonts w:ascii="Arial" w:eastAsia="Times New Roman" w:hAnsi="Arial" w:cs="Arial"/>
                <w:color w:val="FF0000"/>
                <w:lang w:val="en-US"/>
              </w:rPr>
            </w:pPr>
            <w:r w:rsidRPr="000D530D">
              <w:rPr>
                <w:rFonts w:ascii="Arial" w:eastAsia="Times New Roman" w:hAnsi="Arial" w:cs="Arial"/>
                <w:color w:val="FF0000"/>
                <w:lang w:val="en-US"/>
              </w:rPr>
              <w:t>-----------------------------------------------</w:t>
            </w:r>
          </w:p>
        </w:tc>
      </w:tr>
      <w:tr w:rsidR="000D530D" w:rsidRPr="000D530D" w14:paraId="3D985D52" w14:textId="77777777" w:rsidTr="00CF08C9">
        <w:trPr>
          <w:trHeight w:val="299"/>
          <w:jc w:val="center"/>
        </w:trPr>
        <w:tc>
          <w:tcPr>
            <w:tcW w:w="3795" w:type="dxa"/>
            <w:gridSpan w:val="3"/>
            <w:tcBorders>
              <w:top w:val="nil"/>
              <w:left w:val="nil"/>
              <w:bottom w:val="nil"/>
              <w:right w:val="nil"/>
            </w:tcBorders>
            <w:shd w:val="clear" w:color="000000" w:fill="EEECE1"/>
            <w:noWrap/>
            <w:vAlign w:val="bottom"/>
            <w:hideMark/>
          </w:tcPr>
          <w:p w14:paraId="0A9188E8"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1          6           0.909         5.45</w:t>
            </w:r>
          </w:p>
        </w:tc>
        <w:tc>
          <w:tcPr>
            <w:tcW w:w="1265" w:type="dxa"/>
            <w:tcBorders>
              <w:top w:val="nil"/>
              <w:left w:val="nil"/>
              <w:bottom w:val="nil"/>
              <w:right w:val="nil"/>
            </w:tcBorders>
            <w:shd w:val="clear" w:color="000000" w:fill="EEECE1"/>
            <w:noWrap/>
            <w:vAlign w:val="bottom"/>
            <w:hideMark/>
          </w:tcPr>
          <w:p w14:paraId="0C3DE574"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r>
      <w:tr w:rsidR="000D530D" w:rsidRPr="000D530D" w14:paraId="04DEFA21" w14:textId="77777777" w:rsidTr="00CF08C9">
        <w:trPr>
          <w:trHeight w:val="299"/>
          <w:jc w:val="center"/>
        </w:trPr>
        <w:tc>
          <w:tcPr>
            <w:tcW w:w="3795" w:type="dxa"/>
            <w:gridSpan w:val="3"/>
            <w:tcBorders>
              <w:top w:val="nil"/>
              <w:left w:val="nil"/>
              <w:bottom w:val="nil"/>
              <w:right w:val="nil"/>
            </w:tcBorders>
            <w:shd w:val="clear" w:color="000000" w:fill="EEECE1"/>
            <w:noWrap/>
            <w:vAlign w:val="bottom"/>
            <w:hideMark/>
          </w:tcPr>
          <w:p w14:paraId="1940E5E3"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2          6           0.826         4.96</w:t>
            </w:r>
          </w:p>
        </w:tc>
        <w:tc>
          <w:tcPr>
            <w:tcW w:w="1265" w:type="dxa"/>
            <w:tcBorders>
              <w:top w:val="nil"/>
              <w:left w:val="nil"/>
              <w:bottom w:val="nil"/>
              <w:right w:val="nil"/>
            </w:tcBorders>
            <w:shd w:val="clear" w:color="000000" w:fill="EEECE1"/>
            <w:noWrap/>
            <w:vAlign w:val="bottom"/>
            <w:hideMark/>
          </w:tcPr>
          <w:p w14:paraId="69BFF9CC"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r>
      <w:tr w:rsidR="000D530D" w:rsidRPr="000D530D" w14:paraId="2EB7BC8D" w14:textId="77777777" w:rsidTr="00CF08C9">
        <w:trPr>
          <w:trHeight w:val="299"/>
          <w:jc w:val="center"/>
        </w:trPr>
        <w:tc>
          <w:tcPr>
            <w:tcW w:w="3795" w:type="dxa"/>
            <w:gridSpan w:val="3"/>
            <w:tcBorders>
              <w:top w:val="nil"/>
              <w:left w:val="nil"/>
              <w:bottom w:val="nil"/>
              <w:right w:val="nil"/>
            </w:tcBorders>
            <w:shd w:val="clear" w:color="000000" w:fill="EEECE1"/>
            <w:noWrap/>
            <w:vAlign w:val="bottom"/>
            <w:hideMark/>
          </w:tcPr>
          <w:p w14:paraId="792E707E"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3          6           0.751         4.51</w:t>
            </w:r>
          </w:p>
        </w:tc>
        <w:tc>
          <w:tcPr>
            <w:tcW w:w="1265" w:type="dxa"/>
            <w:tcBorders>
              <w:top w:val="nil"/>
              <w:left w:val="nil"/>
              <w:bottom w:val="nil"/>
              <w:right w:val="nil"/>
            </w:tcBorders>
            <w:shd w:val="clear" w:color="000000" w:fill="EEECE1"/>
            <w:noWrap/>
            <w:vAlign w:val="bottom"/>
            <w:hideMark/>
          </w:tcPr>
          <w:p w14:paraId="059E8DEF"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r>
      <w:tr w:rsidR="000D530D" w:rsidRPr="000D530D" w14:paraId="4D23F413" w14:textId="77777777" w:rsidTr="00CF08C9">
        <w:trPr>
          <w:trHeight w:val="299"/>
          <w:jc w:val="center"/>
        </w:trPr>
        <w:tc>
          <w:tcPr>
            <w:tcW w:w="3795" w:type="dxa"/>
            <w:gridSpan w:val="3"/>
            <w:tcBorders>
              <w:top w:val="nil"/>
              <w:left w:val="nil"/>
              <w:bottom w:val="nil"/>
              <w:right w:val="nil"/>
            </w:tcBorders>
            <w:shd w:val="clear" w:color="000000" w:fill="EEECE1"/>
            <w:noWrap/>
            <w:vAlign w:val="bottom"/>
            <w:hideMark/>
          </w:tcPr>
          <w:p w14:paraId="59C945F0"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4          6           0.683         4.10</w:t>
            </w:r>
          </w:p>
        </w:tc>
        <w:tc>
          <w:tcPr>
            <w:tcW w:w="1265" w:type="dxa"/>
            <w:tcBorders>
              <w:top w:val="nil"/>
              <w:left w:val="nil"/>
              <w:bottom w:val="nil"/>
              <w:right w:val="nil"/>
            </w:tcBorders>
            <w:shd w:val="clear" w:color="000000" w:fill="EEECE1"/>
            <w:noWrap/>
            <w:vAlign w:val="bottom"/>
            <w:hideMark/>
          </w:tcPr>
          <w:p w14:paraId="198CE46D"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r>
      <w:tr w:rsidR="000D530D" w:rsidRPr="000D530D" w14:paraId="6BC49338" w14:textId="77777777" w:rsidTr="00CF08C9">
        <w:trPr>
          <w:trHeight w:val="299"/>
          <w:jc w:val="center"/>
        </w:trPr>
        <w:tc>
          <w:tcPr>
            <w:tcW w:w="3795" w:type="dxa"/>
            <w:gridSpan w:val="3"/>
            <w:tcBorders>
              <w:top w:val="nil"/>
              <w:left w:val="nil"/>
              <w:bottom w:val="nil"/>
              <w:right w:val="nil"/>
            </w:tcBorders>
            <w:shd w:val="clear" w:color="000000" w:fill="EEECE1"/>
            <w:noWrap/>
            <w:vAlign w:val="bottom"/>
            <w:hideMark/>
          </w:tcPr>
          <w:p w14:paraId="77576BDE"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5          6           0.621         3.73</w:t>
            </w:r>
          </w:p>
        </w:tc>
        <w:tc>
          <w:tcPr>
            <w:tcW w:w="1265" w:type="dxa"/>
            <w:tcBorders>
              <w:top w:val="nil"/>
              <w:left w:val="nil"/>
              <w:bottom w:val="nil"/>
              <w:right w:val="nil"/>
            </w:tcBorders>
            <w:shd w:val="clear" w:color="000000" w:fill="EEECE1"/>
            <w:noWrap/>
            <w:vAlign w:val="bottom"/>
            <w:hideMark/>
          </w:tcPr>
          <w:p w14:paraId="6FD22439"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r>
      <w:tr w:rsidR="000D530D" w:rsidRPr="000D530D" w14:paraId="0678AFD2" w14:textId="77777777" w:rsidTr="00CF08C9">
        <w:trPr>
          <w:trHeight w:val="299"/>
          <w:jc w:val="center"/>
        </w:trPr>
        <w:tc>
          <w:tcPr>
            <w:tcW w:w="5059" w:type="dxa"/>
            <w:gridSpan w:val="4"/>
            <w:tcBorders>
              <w:top w:val="nil"/>
              <w:left w:val="nil"/>
              <w:bottom w:val="nil"/>
              <w:right w:val="nil"/>
            </w:tcBorders>
            <w:shd w:val="clear" w:color="000000" w:fill="EEECE1"/>
            <w:noWrap/>
            <w:vAlign w:val="bottom"/>
            <w:hideMark/>
          </w:tcPr>
          <w:p w14:paraId="6F50B690" w14:textId="77777777" w:rsidR="000D530D" w:rsidRPr="000D530D" w:rsidRDefault="000D530D" w:rsidP="000D530D">
            <w:pPr>
              <w:spacing w:after="0" w:line="240" w:lineRule="auto"/>
              <w:rPr>
                <w:rFonts w:ascii="Arial" w:eastAsia="Times New Roman" w:hAnsi="Arial" w:cs="Arial"/>
                <w:color w:val="FF0000"/>
                <w:lang w:val="en-US"/>
              </w:rPr>
            </w:pPr>
            <w:r w:rsidRPr="000D530D">
              <w:rPr>
                <w:rFonts w:ascii="Arial" w:eastAsia="Times New Roman" w:hAnsi="Arial" w:cs="Arial"/>
                <w:color w:val="FF0000"/>
                <w:lang w:val="en-US"/>
              </w:rPr>
              <w:t>-----------------------------------------------</w:t>
            </w:r>
          </w:p>
        </w:tc>
      </w:tr>
      <w:tr w:rsidR="000D530D" w:rsidRPr="000D530D" w14:paraId="48FC2652" w14:textId="77777777" w:rsidTr="00CF08C9">
        <w:trPr>
          <w:trHeight w:val="299"/>
          <w:jc w:val="center"/>
        </w:trPr>
        <w:tc>
          <w:tcPr>
            <w:tcW w:w="5059" w:type="dxa"/>
            <w:gridSpan w:val="4"/>
            <w:tcBorders>
              <w:top w:val="nil"/>
              <w:left w:val="nil"/>
              <w:bottom w:val="nil"/>
              <w:right w:val="nil"/>
            </w:tcBorders>
            <w:shd w:val="clear" w:color="000000" w:fill="EEECE1"/>
            <w:noWrap/>
            <w:vAlign w:val="bottom"/>
            <w:hideMark/>
          </w:tcPr>
          <w:p w14:paraId="5EFDC85B"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Total PV of Inflows               £22.74m</w:t>
            </w:r>
          </w:p>
        </w:tc>
      </w:tr>
      <w:tr w:rsidR="000D530D" w:rsidRPr="000D530D" w14:paraId="7FDF2F61" w14:textId="77777777" w:rsidTr="00CF08C9">
        <w:trPr>
          <w:trHeight w:val="299"/>
          <w:jc w:val="center"/>
        </w:trPr>
        <w:tc>
          <w:tcPr>
            <w:tcW w:w="5059" w:type="dxa"/>
            <w:gridSpan w:val="4"/>
            <w:tcBorders>
              <w:top w:val="nil"/>
              <w:left w:val="nil"/>
              <w:bottom w:val="nil"/>
              <w:right w:val="nil"/>
            </w:tcBorders>
            <w:shd w:val="clear" w:color="000000" w:fill="EEECE1"/>
            <w:noWrap/>
            <w:vAlign w:val="bottom"/>
            <w:hideMark/>
          </w:tcPr>
          <w:p w14:paraId="0C56FAC6" w14:textId="77777777" w:rsidR="000D530D" w:rsidRPr="000D530D" w:rsidRDefault="000D530D" w:rsidP="000D530D">
            <w:pPr>
              <w:spacing w:after="0" w:line="240" w:lineRule="auto"/>
              <w:rPr>
                <w:rFonts w:ascii="Arial" w:eastAsia="Times New Roman" w:hAnsi="Arial" w:cs="Arial"/>
                <w:color w:val="FF0000"/>
                <w:lang w:val="en-US"/>
              </w:rPr>
            </w:pPr>
            <w:r w:rsidRPr="000D530D">
              <w:rPr>
                <w:rFonts w:ascii="Arial" w:eastAsia="Times New Roman" w:hAnsi="Arial" w:cs="Arial"/>
                <w:color w:val="FF0000"/>
                <w:lang w:val="en-US"/>
              </w:rPr>
              <w:t>Less: Initial Investment          £30m</w:t>
            </w:r>
          </w:p>
        </w:tc>
      </w:tr>
      <w:tr w:rsidR="000D530D" w:rsidRPr="000D530D" w14:paraId="46B6F48F" w14:textId="77777777" w:rsidTr="00CF08C9">
        <w:trPr>
          <w:trHeight w:val="299"/>
          <w:jc w:val="center"/>
        </w:trPr>
        <w:tc>
          <w:tcPr>
            <w:tcW w:w="5059" w:type="dxa"/>
            <w:gridSpan w:val="4"/>
            <w:tcBorders>
              <w:top w:val="nil"/>
              <w:left w:val="nil"/>
              <w:bottom w:val="nil"/>
              <w:right w:val="nil"/>
            </w:tcBorders>
            <w:shd w:val="clear" w:color="000000" w:fill="EEECE1"/>
            <w:noWrap/>
            <w:vAlign w:val="bottom"/>
            <w:hideMark/>
          </w:tcPr>
          <w:p w14:paraId="302997F2" w14:textId="77777777" w:rsidR="000D530D" w:rsidRPr="000D530D" w:rsidRDefault="000D530D" w:rsidP="000D530D">
            <w:pPr>
              <w:spacing w:after="0" w:line="240" w:lineRule="auto"/>
              <w:rPr>
                <w:rFonts w:ascii="Arial" w:eastAsia="Times New Roman" w:hAnsi="Arial" w:cs="Arial"/>
                <w:color w:val="FF0000"/>
                <w:lang w:val="en-US"/>
              </w:rPr>
            </w:pPr>
            <w:r w:rsidRPr="000D530D">
              <w:rPr>
                <w:rFonts w:ascii="Arial" w:eastAsia="Times New Roman" w:hAnsi="Arial" w:cs="Arial"/>
                <w:color w:val="FF0000"/>
                <w:lang w:val="en-US"/>
              </w:rPr>
              <w:t>-----------------------------------------------</w:t>
            </w:r>
          </w:p>
        </w:tc>
      </w:tr>
      <w:tr w:rsidR="000D530D" w:rsidRPr="000D530D" w14:paraId="04785418" w14:textId="77777777" w:rsidTr="00CF08C9">
        <w:trPr>
          <w:trHeight w:val="299"/>
          <w:jc w:val="center"/>
        </w:trPr>
        <w:tc>
          <w:tcPr>
            <w:tcW w:w="3795" w:type="dxa"/>
            <w:gridSpan w:val="3"/>
            <w:tcBorders>
              <w:top w:val="nil"/>
              <w:left w:val="nil"/>
              <w:bottom w:val="nil"/>
              <w:right w:val="nil"/>
            </w:tcBorders>
            <w:shd w:val="clear" w:color="000000" w:fill="EEECE1"/>
            <w:noWrap/>
            <w:vAlign w:val="bottom"/>
            <w:hideMark/>
          </w:tcPr>
          <w:p w14:paraId="73D0DD06"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NPV                               –£7.26m</w:t>
            </w:r>
          </w:p>
        </w:tc>
        <w:tc>
          <w:tcPr>
            <w:tcW w:w="1265" w:type="dxa"/>
            <w:tcBorders>
              <w:top w:val="nil"/>
              <w:left w:val="nil"/>
              <w:bottom w:val="nil"/>
              <w:right w:val="nil"/>
            </w:tcBorders>
            <w:shd w:val="clear" w:color="000000" w:fill="EEECE1"/>
            <w:noWrap/>
            <w:vAlign w:val="bottom"/>
            <w:hideMark/>
          </w:tcPr>
          <w:p w14:paraId="2EBC2F89"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r>
      <w:tr w:rsidR="000D530D" w:rsidRPr="000D530D" w14:paraId="172D0C09" w14:textId="77777777" w:rsidTr="00CF08C9">
        <w:trPr>
          <w:trHeight w:val="299"/>
          <w:jc w:val="center"/>
        </w:trPr>
        <w:tc>
          <w:tcPr>
            <w:tcW w:w="1265" w:type="dxa"/>
            <w:tcBorders>
              <w:top w:val="nil"/>
              <w:left w:val="nil"/>
              <w:bottom w:val="nil"/>
              <w:right w:val="nil"/>
            </w:tcBorders>
            <w:shd w:val="clear" w:color="000000" w:fill="EEECE1"/>
            <w:noWrap/>
            <w:vAlign w:val="bottom"/>
            <w:hideMark/>
          </w:tcPr>
          <w:p w14:paraId="173ECE79"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c>
          <w:tcPr>
            <w:tcW w:w="1265" w:type="dxa"/>
            <w:tcBorders>
              <w:top w:val="nil"/>
              <w:left w:val="nil"/>
              <w:bottom w:val="nil"/>
              <w:right w:val="nil"/>
            </w:tcBorders>
            <w:shd w:val="clear" w:color="000000" w:fill="EEECE1"/>
            <w:noWrap/>
            <w:vAlign w:val="bottom"/>
            <w:hideMark/>
          </w:tcPr>
          <w:p w14:paraId="5F83C2CF"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c>
          <w:tcPr>
            <w:tcW w:w="1265" w:type="dxa"/>
            <w:tcBorders>
              <w:top w:val="nil"/>
              <w:left w:val="nil"/>
              <w:bottom w:val="nil"/>
              <w:right w:val="nil"/>
            </w:tcBorders>
            <w:shd w:val="clear" w:color="000000" w:fill="EEECE1"/>
            <w:noWrap/>
            <w:vAlign w:val="bottom"/>
            <w:hideMark/>
          </w:tcPr>
          <w:p w14:paraId="5CD56AA5"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c>
          <w:tcPr>
            <w:tcW w:w="1265" w:type="dxa"/>
            <w:tcBorders>
              <w:top w:val="nil"/>
              <w:left w:val="nil"/>
              <w:bottom w:val="nil"/>
              <w:right w:val="nil"/>
            </w:tcBorders>
            <w:shd w:val="clear" w:color="000000" w:fill="EEECE1"/>
            <w:noWrap/>
            <w:vAlign w:val="bottom"/>
            <w:hideMark/>
          </w:tcPr>
          <w:p w14:paraId="026927EB" w14:textId="77777777" w:rsidR="000D530D" w:rsidRPr="000D530D" w:rsidRDefault="000D530D" w:rsidP="000D530D">
            <w:pPr>
              <w:spacing w:after="0" w:line="240" w:lineRule="auto"/>
              <w:rPr>
                <w:rFonts w:ascii="Arial" w:eastAsia="Times New Roman" w:hAnsi="Arial" w:cs="Arial"/>
                <w:color w:val="000000"/>
                <w:lang w:val="en-US"/>
              </w:rPr>
            </w:pPr>
            <w:r w:rsidRPr="000D530D">
              <w:rPr>
                <w:rFonts w:ascii="Arial" w:eastAsia="Times New Roman" w:hAnsi="Arial" w:cs="Arial"/>
                <w:color w:val="000000"/>
                <w:lang w:val="en-US"/>
              </w:rPr>
              <w:t> </w:t>
            </w:r>
          </w:p>
        </w:tc>
      </w:tr>
    </w:tbl>
    <w:p w14:paraId="36336873" w14:textId="77777777" w:rsidR="000D530D" w:rsidRPr="009E2403" w:rsidRDefault="000D530D" w:rsidP="00987360">
      <w:pPr>
        <w:tabs>
          <w:tab w:val="left" w:pos="201"/>
        </w:tabs>
        <w:rPr>
          <w:rFonts w:ascii="Arial" w:hAnsi="Arial" w:cs="Arial"/>
          <w:sz w:val="24"/>
          <w:szCs w:val="24"/>
          <w:lang w:val="en-US"/>
        </w:rPr>
      </w:pPr>
      <w:r w:rsidRPr="009E2403">
        <w:rPr>
          <w:rFonts w:ascii="Arial" w:hAnsi="Arial" w:cs="Arial"/>
          <w:sz w:val="24"/>
          <w:szCs w:val="24"/>
          <w:lang w:val="en-US"/>
        </w:rPr>
        <w:t xml:space="preserve"> </w:t>
      </w:r>
    </w:p>
    <w:p w14:paraId="6D3AD094" w14:textId="77777777" w:rsidR="000D530D" w:rsidRPr="009E2403" w:rsidRDefault="000D530D" w:rsidP="00987360">
      <w:pPr>
        <w:tabs>
          <w:tab w:val="left" w:pos="201"/>
        </w:tabs>
        <w:rPr>
          <w:rFonts w:ascii="Arial" w:hAnsi="Arial" w:cs="Arial"/>
          <w:sz w:val="24"/>
          <w:szCs w:val="24"/>
          <w:lang w:val="en-US"/>
        </w:rPr>
      </w:pPr>
      <w:r w:rsidRPr="009E2403">
        <w:rPr>
          <w:rFonts w:ascii="Arial" w:hAnsi="Arial" w:cs="Arial"/>
          <w:sz w:val="24"/>
          <w:szCs w:val="24"/>
          <w:lang w:val="en-US"/>
        </w:rPr>
        <w:t>Project C</w:t>
      </w:r>
    </w:p>
    <w:tbl>
      <w:tblPr>
        <w:tblW w:w="5070" w:type="dxa"/>
        <w:jc w:val="center"/>
        <w:tblLook w:val="04A0" w:firstRow="1" w:lastRow="0" w:firstColumn="1" w:lastColumn="0" w:noHBand="0" w:noVBand="1"/>
      </w:tblPr>
      <w:tblGrid>
        <w:gridCol w:w="4538"/>
        <w:gridCol w:w="278"/>
        <w:gridCol w:w="278"/>
      </w:tblGrid>
      <w:tr w:rsidR="006E1084" w:rsidRPr="006E1084" w14:paraId="09B03AF5" w14:textId="77777777" w:rsidTr="00A444C1">
        <w:trPr>
          <w:trHeight w:val="300"/>
          <w:jc w:val="center"/>
        </w:trPr>
        <w:tc>
          <w:tcPr>
            <w:tcW w:w="5070" w:type="dxa"/>
            <w:gridSpan w:val="3"/>
            <w:tcBorders>
              <w:top w:val="nil"/>
              <w:left w:val="nil"/>
              <w:bottom w:val="nil"/>
              <w:right w:val="nil"/>
            </w:tcBorders>
            <w:shd w:val="clear" w:color="000000" w:fill="EEECE1"/>
            <w:noWrap/>
            <w:vAlign w:val="bottom"/>
            <w:hideMark/>
          </w:tcPr>
          <w:p w14:paraId="04609E94" w14:textId="77777777" w:rsidR="006E1084" w:rsidRPr="006E1084" w:rsidRDefault="006E1084" w:rsidP="006E1084">
            <w:pPr>
              <w:spacing w:after="0" w:line="240" w:lineRule="auto"/>
              <w:rPr>
                <w:rFonts w:ascii="Arial" w:eastAsia="Times New Roman" w:hAnsi="Arial" w:cs="Arial"/>
                <w:color w:val="FF0000"/>
                <w:lang w:val="en-US"/>
              </w:rPr>
            </w:pPr>
            <w:r w:rsidRPr="006E1084">
              <w:rPr>
                <w:rFonts w:ascii="Arial" w:eastAsia="Times New Roman" w:hAnsi="Arial" w:cs="Arial"/>
                <w:color w:val="FF0000"/>
                <w:lang w:val="en-US"/>
              </w:rPr>
              <w:t>Year    Cash Flow    PV Factor    Present Value</w:t>
            </w:r>
          </w:p>
        </w:tc>
      </w:tr>
      <w:tr w:rsidR="006E1084" w:rsidRPr="006E1084" w14:paraId="417DAE8F" w14:textId="77777777" w:rsidTr="00A444C1">
        <w:trPr>
          <w:trHeight w:val="300"/>
          <w:jc w:val="center"/>
        </w:trPr>
        <w:tc>
          <w:tcPr>
            <w:tcW w:w="4804" w:type="dxa"/>
            <w:gridSpan w:val="2"/>
            <w:tcBorders>
              <w:top w:val="nil"/>
              <w:left w:val="nil"/>
              <w:bottom w:val="nil"/>
              <w:right w:val="nil"/>
            </w:tcBorders>
            <w:shd w:val="clear" w:color="000000" w:fill="EEECE1"/>
            <w:noWrap/>
            <w:vAlign w:val="bottom"/>
            <w:hideMark/>
          </w:tcPr>
          <w:p w14:paraId="48D27C68" w14:textId="77777777" w:rsidR="006E1084" w:rsidRPr="006E1084" w:rsidRDefault="006E1084" w:rsidP="006E1084">
            <w:pPr>
              <w:spacing w:after="0" w:line="240" w:lineRule="auto"/>
              <w:rPr>
                <w:rFonts w:ascii="Arial" w:eastAsia="Times New Roman" w:hAnsi="Arial" w:cs="Arial"/>
                <w:color w:val="FF0000"/>
                <w:lang w:val="en-US"/>
              </w:rPr>
            </w:pPr>
            <w:r w:rsidRPr="006E1084">
              <w:rPr>
                <w:rFonts w:ascii="Arial" w:eastAsia="Times New Roman" w:hAnsi="Arial" w:cs="Arial"/>
                <w:color w:val="FF0000"/>
                <w:lang w:val="en-US"/>
              </w:rPr>
              <w:t>-----------------------------------------------</w:t>
            </w:r>
          </w:p>
        </w:tc>
        <w:tc>
          <w:tcPr>
            <w:tcW w:w="266" w:type="dxa"/>
            <w:tcBorders>
              <w:top w:val="nil"/>
              <w:left w:val="nil"/>
              <w:bottom w:val="nil"/>
              <w:right w:val="nil"/>
            </w:tcBorders>
            <w:shd w:val="clear" w:color="000000" w:fill="EEECE1"/>
            <w:noWrap/>
            <w:vAlign w:val="bottom"/>
            <w:hideMark/>
          </w:tcPr>
          <w:p w14:paraId="4DFB6C7C"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0257601B" w14:textId="77777777" w:rsidTr="00A444C1">
        <w:trPr>
          <w:trHeight w:val="300"/>
          <w:jc w:val="center"/>
        </w:trPr>
        <w:tc>
          <w:tcPr>
            <w:tcW w:w="4538" w:type="dxa"/>
            <w:tcBorders>
              <w:top w:val="nil"/>
              <w:left w:val="nil"/>
              <w:bottom w:val="nil"/>
              <w:right w:val="nil"/>
            </w:tcBorders>
            <w:shd w:val="clear" w:color="000000" w:fill="EEECE1"/>
            <w:noWrap/>
            <w:vAlign w:val="bottom"/>
            <w:hideMark/>
          </w:tcPr>
          <w:p w14:paraId="0D9E71CE"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1          5           0.909         4.55</w:t>
            </w:r>
          </w:p>
        </w:tc>
        <w:tc>
          <w:tcPr>
            <w:tcW w:w="266" w:type="dxa"/>
            <w:tcBorders>
              <w:top w:val="nil"/>
              <w:left w:val="nil"/>
              <w:bottom w:val="nil"/>
              <w:right w:val="nil"/>
            </w:tcBorders>
            <w:shd w:val="clear" w:color="000000" w:fill="EEECE1"/>
            <w:noWrap/>
            <w:vAlign w:val="bottom"/>
            <w:hideMark/>
          </w:tcPr>
          <w:p w14:paraId="128094C0"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c>
          <w:tcPr>
            <w:tcW w:w="266" w:type="dxa"/>
            <w:tcBorders>
              <w:top w:val="nil"/>
              <w:left w:val="nil"/>
              <w:bottom w:val="nil"/>
              <w:right w:val="nil"/>
            </w:tcBorders>
            <w:shd w:val="clear" w:color="000000" w:fill="EEECE1"/>
            <w:noWrap/>
            <w:vAlign w:val="bottom"/>
            <w:hideMark/>
          </w:tcPr>
          <w:p w14:paraId="69D743F8"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396559B5" w14:textId="77777777" w:rsidTr="00A444C1">
        <w:trPr>
          <w:trHeight w:val="300"/>
          <w:jc w:val="center"/>
        </w:trPr>
        <w:tc>
          <w:tcPr>
            <w:tcW w:w="4538" w:type="dxa"/>
            <w:tcBorders>
              <w:top w:val="nil"/>
              <w:left w:val="nil"/>
              <w:bottom w:val="nil"/>
              <w:right w:val="nil"/>
            </w:tcBorders>
            <w:shd w:val="clear" w:color="000000" w:fill="EEECE1"/>
            <w:noWrap/>
            <w:vAlign w:val="bottom"/>
            <w:hideMark/>
          </w:tcPr>
          <w:p w14:paraId="6D0EAB92"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2         10           0.826         8.26</w:t>
            </w:r>
          </w:p>
        </w:tc>
        <w:tc>
          <w:tcPr>
            <w:tcW w:w="266" w:type="dxa"/>
            <w:tcBorders>
              <w:top w:val="nil"/>
              <w:left w:val="nil"/>
              <w:bottom w:val="nil"/>
              <w:right w:val="nil"/>
            </w:tcBorders>
            <w:shd w:val="clear" w:color="000000" w:fill="EEECE1"/>
            <w:noWrap/>
            <w:vAlign w:val="bottom"/>
            <w:hideMark/>
          </w:tcPr>
          <w:p w14:paraId="66D8EFFB"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c>
          <w:tcPr>
            <w:tcW w:w="266" w:type="dxa"/>
            <w:tcBorders>
              <w:top w:val="nil"/>
              <w:left w:val="nil"/>
              <w:bottom w:val="nil"/>
              <w:right w:val="nil"/>
            </w:tcBorders>
            <w:shd w:val="clear" w:color="000000" w:fill="EEECE1"/>
            <w:noWrap/>
            <w:vAlign w:val="bottom"/>
            <w:hideMark/>
          </w:tcPr>
          <w:p w14:paraId="2B7B6F30"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4511948A" w14:textId="77777777" w:rsidTr="00A444C1">
        <w:trPr>
          <w:trHeight w:val="300"/>
          <w:jc w:val="center"/>
        </w:trPr>
        <w:tc>
          <w:tcPr>
            <w:tcW w:w="4538" w:type="dxa"/>
            <w:tcBorders>
              <w:top w:val="nil"/>
              <w:left w:val="nil"/>
              <w:bottom w:val="nil"/>
              <w:right w:val="nil"/>
            </w:tcBorders>
            <w:shd w:val="clear" w:color="000000" w:fill="EEECE1"/>
            <w:noWrap/>
            <w:vAlign w:val="bottom"/>
            <w:hideMark/>
          </w:tcPr>
          <w:p w14:paraId="002F435C"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3         20           0.751        15.03</w:t>
            </w:r>
          </w:p>
        </w:tc>
        <w:tc>
          <w:tcPr>
            <w:tcW w:w="266" w:type="dxa"/>
            <w:tcBorders>
              <w:top w:val="nil"/>
              <w:left w:val="nil"/>
              <w:bottom w:val="nil"/>
              <w:right w:val="nil"/>
            </w:tcBorders>
            <w:shd w:val="clear" w:color="000000" w:fill="EEECE1"/>
            <w:noWrap/>
            <w:vAlign w:val="bottom"/>
            <w:hideMark/>
          </w:tcPr>
          <w:p w14:paraId="3037C24A"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c>
          <w:tcPr>
            <w:tcW w:w="266" w:type="dxa"/>
            <w:tcBorders>
              <w:top w:val="nil"/>
              <w:left w:val="nil"/>
              <w:bottom w:val="nil"/>
              <w:right w:val="nil"/>
            </w:tcBorders>
            <w:shd w:val="clear" w:color="000000" w:fill="EEECE1"/>
            <w:noWrap/>
            <w:vAlign w:val="bottom"/>
            <w:hideMark/>
          </w:tcPr>
          <w:p w14:paraId="66256E9E"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1884BC42" w14:textId="77777777" w:rsidTr="00A444C1">
        <w:trPr>
          <w:trHeight w:val="300"/>
          <w:jc w:val="center"/>
        </w:trPr>
        <w:tc>
          <w:tcPr>
            <w:tcW w:w="4538" w:type="dxa"/>
            <w:tcBorders>
              <w:top w:val="nil"/>
              <w:left w:val="nil"/>
              <w:bottom w:val="nil"/>
              <w:right w:val="nil"/>
            </w:tcBorders>
            <w:shd w:val="clear" w:color="000000" w:fill="EEECE1"/>
            <w:noWrap/>
            <w:vAlign w:val="bottom"/>
            <w:hideMark/>
          </w:tcPr>
          <w:p w14:paraId="4E7C569C"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4         25           0.683        17.08</w:t>
            </w:r>
          </w:p>
        </w:tc>
        <w:tc>
          <w:tcPr>
            <w:tcW w:w="266" w:type="dxa"/>
            <w:tcBorders>
              <w:top w:val="nil"/>
              <w:left w:val="nil"/>
              <w:bottom w:val="nil"/>
              <w:right w:val="nil"/>
            </w:tcBorders>
            <w:shd w:val="clear" w:color="000000" w:fill="EEECE1"/>
            <w:noWrap/>
            <w:vAlign w:val="bottom"/>
            <w:hideMark/>
          </w:tcPr>
          <w:p w14:paraId="13138EC5"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c>
          <w:tcPr>
            <w:tcW w:w="266" w:type="dxa"/>
            <w:tcBorders>
              <w:top w:val="nil"/>
              <w:left w:val="nil"/>
              <w:bottom w:val="nil"/>
              <w:right w:val="nil"/>
            </w:tcBorders>
            <w:shd w:val="clear" w:color="000000" w:fill="EEECE1"/>
            <w:noWrap/>
            <w:vAlign w:val="bottom"/>
            <w:hideMark/>
          </w:tcPr>
          <w:p w14:paraId="7058C4D9"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25C62AEA" w14:textId="77777777" w:rsidTr="00A444C1">
        <w:trPr>
          <w:trHeight w:val="300"/>
          <w:jc w:val="center"/>
        </w:trPr>
        <w:tc>
          <w:tcPr>
            <w:tcW w:w="4538" w:type="dxa"/>
            <w:tcBorders>
              <w:top w:val="nil"/>
              <w:left w:val="nil"/>
              <w:bottom w:val="nil"/>
              <w:right w:val="nil"/>
            </w:tcBorders>
            <w:shd w:val="clear" w:color="000000" w:fill="EEECE1"/>
            <w:noWrap/>
            <w:vAlign w:val="bottom"/>
            <w:hideMark/>
          </w:tcPr>
          <w:p w14:paraId="3736FA62"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5         15           0.621         9.31</w:t>
            </w:r>
          </w:p>
        </w:tc>
        <w:tc>
          <w:tcPr>
            <w:tcW w:w="266" w:type="dxa"/>
            <w:tcBorders>
              <w:top w:val="nil"/>
              <w:left w:val="nil"/>
              <w:bottom w:val="nil"/>
              <w:right w:val="nil"/>
            </w:tcBorders>
            <w:shd w:val="clear" w:color="000000" w:fill="EEECE1"/>
            <w:noWrap/>
            <w:vAlign w:val="bottom"/>
            <w:hideMark/>
          </w:tcPr>
          <w:p w14:paraId="5330433D"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c>
          <w:tcPr>
            <w:tcW w:w="266" w:type="dxa"/>
            <w:tcBorders>
              <w:top w:val="nil"/>
              <w:left w:val="nil"/>
              <w:bottom w:val="nil"/>
              <w:right w:val="nil"/>
            </w:tcBorders>
            <w:shd w:val="clear" w:color="000000" w:fill="EEECE1"/>
            <w:noWrap/>
            <w:vAlign w:val="bottom"/>
            <w:hideMark/>
          </w:tcPr>
          <w:p w14:paraId="7D90597E"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630F2DD6" w14:textId="77777777" w:rsidTr="00A444C1">
        <w:trPr>
          <w:trHeight w:val="300"/>
          <w:jc w:val="center"/>
        </w:trPr>
        <w:tc>
          <w:tcPr>
            <w:tcW w:w="4804" w:type="dxa"/>
            <w:gridSpan w:val="2"/>
            <w:tcBorders>
              <w:top w:val="nil"/>
              <w:left w:val="nil"/>
              <w:bottom w:val="nil"/>
              <w:right w:val="nil"/>
            </w:tcBorders>
            <w:shd w:val="clear" w:color="000000" w:fill="EEECE1"/>
            <w:noWrap/>
            <w:vAlign w:val="bottom"/>
            <w:hideMark/>
          </w:tcPr>
          <w:p w14:paraId="3E691B50" w14:textId="77777777" w:rsidR="006E1084" w:rsidRPr="006E1084" w:rsidRDefault="006E1084" w:rsidP="006E1084">
            <w:pPr>
              <w:spacing w:after="0" w:line="240" w:lineRule="auto"/>
              <w:rPr>
                <w:rFonts w:ascii="Arial" w:eastAsia="Times New Roman" w:hAnsi="Arial" w:cs="Arial"/>
                <w:color w:val="FF0000"/>
                <w:lang w:val="en-US"/>
              </w:rPr>
            </w:pPr>
            <w:r w:rsidRPr="006E1084">
              <w:rPr>
                <w:rFonts w:ascii="Arial" w:eastAsia="Times New Roman" w:hAnsi="Arial" w:cs="Arial"/>
                <w:color w:val="FF0000"/>
                <w:lang w:val="en-US"/>
              </w:rPr>
              <w:t>-----------------------------------------------</w:t>
            </w:r>
          </w:p>
        </w:tc>
        <w:tc>
          <w:tcPr>
            <w:tcW w:w="266" w:type="dxa"/>
            <w:tcBorders>
              <w:top w:val="nil"/>
              <w:left w:val="nil"/>
              <w:bottom w:val="nil"/>
              <w:right w:val="nil"/>
            </w:tcBorders>
            <w:shd w:val="clear" w:color="000000" w:fill="EEECE1"/>
            <w:noWrap/>
            <w:vAlign w:val="bottom"/>
            <w:hideMark/>
          </w:tcPr>
          <w:p w14:paraId="6149B0C4"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48AEADCB" w14:textId="77777777" w:rsidTr="00A444C1">
        <w:trPr>
          <w:trHeight w:val="300"/>
          <w:jc w:val="center"/>
        </w:trPr>
        <w:tc>
          <w:tcPr>
            <w:tcW w:w="4804" w:type="dxa"/>
            <w:gridSpan w:val="2"/>
            <w:tcBorders>
              <w:top w:val="nil"/>
              <w:left w:val="nil"/>
              <w:bottom w:val="nil"/>
              <w:right w:val="nil"/>
            </w:tcBorders>
            <w:shd w:val="clear" w:color="000000" w:fill="EEECE1"/>
            <w:noWrap/>
            <w:vAlign w:val="bottom"/>
            <w:hideMark/>
          </w:tcPr>
          <w:p w14:paraId="585E5464"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Total PV of Inflows               £54.23m</w:t>
            </w:r>
          </w:p>
        </w:tc>
        <w:tc>
          <w:tcPr>
            <w:tcW w:w="266" w:type="dxa"/>
            <w:tcBorders>
              <w:top w:val="nil"/>
              <w:left w:val="nil"/>
              <w:bottom w:val="nil"/>
              <w:right w:val="nil"/>
            </w:tcBorders>
            <w:shd w:val="clear" w:color="000000" w:fill="EEECE1"/>
            <w:noWrap/>
            <w:vAlign w:val="bottom"/>
            <w:hideMark/>
          </w:tcPr>
          <w:p w14:paraId="35D85E84"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058E0435" w14:textId="77777777" w:rsidTr="00A444C1">
        <w:trPr>
          <w:trHeight w:val="300"/>
          <w:jc w:val="center"/>
        </w:trPr>
        <w:tc>
          <w:tcPr>
            <w:tcW w:w="4804" w:type="dxa"/>
            <w:gridSpan w:val="2"/>
            <w:tcBorders>
              <w:top w:val="nil"/>
              <w:left w:val="nil"/>
              <w:bottom w:val="nil"/>
              <w:right w:val="nil"/>
            </w:tcBorders>
            <w:shd w:val="clear" w:color="000000" w:fill="EEECE1"/>
            <w:noWrap/>
            <w:vAlign w:val="bottom"/>
            <w:hideMark/>
          </w:tcPr>
          <w:p w14:paraId="704E154B" w14:textId="77777777" w:rsidR="006E1084" w:rsidRPr="006E1084" w:rsidRDefault="006E1084" w:rsidP="006E1084">
            <w:pPr>
              <w:spacing w:after="0" w:line="240" w:lineRule="auto"/>
              <w:rPr>
                <w:rFonts w:ascii="Arial" w:eastAsia="Times New Roman" w:hAnsi="Arial" w:cs="Arial"/>
                <w:color w:val="FF0000"/>
                <w:lang w:val="en-US"/>
              </w:rPr>
            </w:pPr>
            <w:r w:rsidRPr="006E1084">
              <w:rPr>
                <w:rFonts w:ascii="Arial" w:eastAsia="Times New Roman" w:hAnsi="Arial" w:cs="Arial"/>
                <w:color w:val="FF0000"/>
                <w:lang w:val="en-US"/>
              </w:rPr>
              <w:t>Less: Initial Investment          £50m</w:t>
            </w:r>
          </w:p>
        </w:tc>
        <w:tc>
          <w:tcPr>
            <w:tcW w:w="266" w:type="dxa"/>
            <w:tcBorders>
              <w:top w:val="nil"/>
              <w:left w:val="nil"/>
              <w:bottom w:val="nil"/>
              <w:right w:val="nil"/>
            </w:tcBorders>
            <w:shd w:val="clear" w:color="000000" w:fill="EEECE1"/>
            <w:noWrap/>
            <w:vAlign w:val="bottom"/>
            <w:hideMark/>
          </w:tcPr>
          <w:p w14:paraId="7E93C232"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70D66F5C" w14:textId="77777777" w:rsidTr="00A444C1">
        <w:trPr>
          <w:trHeight w:val="300"/>
          <w:jc w:val="center"/>
        </w:trPr>
        <w:tc>
          <w:tcPr>
            <w:tcW w:w="4804" w:type="dxa"/>
            <w:gridSpan w:val="2"/>
            <w:tcBorders>
              <w:top w:val="nil"/>
              <w:left w:val="nil"/>
              <w:bottom w:val="nil"/>
              <w:right w:val="nil"/>
            </w:tcBorders>
            <w:shd w:val="clear" w:color="000000" w:fill="EEECE1"/>
            <w:noWrap/>
            <w:vAlign w:val="bottom"/>
            <w:hideMark/>
          </w:tcPr>
          <w:p w14:paraId="34442B76" w14:textId="77777777" w:rsidR="006E1084" w:rsidRPr="006E1084" w:rsidRDefault="006E1084" w:rsidP="006E1084">
            <w:pPr>
              <w:spacing w:after="0" w:line="240" w:lineRule="auto"/>
              <w:rPr>
                <w:rFonts w:ascii="Arial" w:eastAsia="Times New Roman" w:hAnsi="Arial" w:cs="Arial"/>
                <w:color w:val="FF0000"/>
                <w:lang w:val="en-US"/>
              </w:rPr>
            </w:pPr>
            <w:r w:rsidRPr="006E1084">
              <w:rPr>
                <w:rFonts w:ascii="Arial" w:eastAsia="Times New Roman" w:hAnsi="Arial" w:cs="Arial"/>
                <w:color w:val="FF0000"/>
                <w:lang w:val="en-US"/>
              </w:rPr>
              <w:t>-----------------------------------------------</w:t>
            </w:r>
          </w:p>
        </w:tc>
        <w:tc>
          <w:tcPr>
            <w:tcW w:w="266" w:type="dxa"/>
            <w:tcBorders>
              <w:top w:val="nil"/>
              <w:left w:val="nil"/>
              <w:bottom w:val="nil"/>
              <w:right w:val="nil"/>
            </w:tcBorders>
            <w:shd w:val="clear" w:color="000000" w:fill="EEECE1"/>
            <w:noWrap/>
            <w:vAlign w:val="bottom"/>
            <w:hideMark/>
          </w:tcPr>
          <w:p w14:paraId="36442F46"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r w:rsidR="006E1084" w:rsidRPr="006E1084" w14:paraId="29FEE8FE" w14:textId="77777777" w:rsidTr="00A444C1">
        <w:trPr>
          <w:trHeight w:val="300"/>
          <w:jc w:val="center"/>
        </w:trPr>
        <w:tc>
          <w:tcPr>
            <w:tcW w:w="4538" w:type="dxa"/>
            <w:tcBorders>
              <w:top w:val="nil"/>
              <w:left w:val="nil"/>
              <w:bottom w:val="nil"/>
              <w:right w:val="nil"/>
            </w:tcBorders>
            <w:shd w:val="clear" w:color="000000" w:fill="EEECE1"/>
            <w:noWrap/>
            <w:vAlign w:val="bottom"/>
            <w:hideMark/>
          </w:tcPr>
          <w:p w14:paraId="6D7B21F1"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NPV                                £4.23m</w:t>
            </w:r>
          </w:p>
        </w:tc>
        <w:tc>
          <w:tcPr>
            <w:tcW w:w="266" w:type="dxa"/>
            <w:tcBorders>
              <w:top w:val="nil"/>
              <w:left w:val="nil"/>
              <w:bottom w:val="nil"/>
              <w:right w:val="nil"/>
            </w:tcBorders>
            <w:shd w:val="clear" w:color="000000" w:fill="EEECE1"/>
            <w:noWrap/>
            <w:vAlign w:val="bottom"/>
            <w:hideMark/>
          </w:tcPr>
          <w:p w14:paraId="27D20E9E"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c>
          <w:tcPr>
            <w:tcW w:w="266" w:type="dxa"/>
            <w:tcBorders>
              <w:top w:val="nil"/>
              <w:left w:val="nil"/>
              <w:bottom w:val="nil"/>
              <w:right w:val="nil"/>
            </w:tcBorders>
            <w:shd w:val="clear" w:color="000000" w:fill="EEECE1"/>
            <w:noWrap/>
            <w:vAlign w:val="bottom"/>
            <w:hideMark/>
          </w:tcPr>
          <w:p w14:paraId="408784D0" w14:textId="77777777" w:rsidR="006E1084" w:rsidRPr="006E1084" w:rsidRDefault="006E1084" w:rsidP="006E1084">
            <w:pPr>
              <w:spacing w:after="0" w:line="240" w:lineRule="auto"/>
              <w:rPr>
                <w:rFonts w:ascii="Arial" w:eastAsia="Times New Roman" w:hAnsi="Arial" w:cs="Arial"/>
                <w:color w:val="000000"/>
                <w:lang w:val="en-US"/>
              </w:rPr>
            </w:pPr>
            <w:r w:rsidRPr="006E1084">
              <w:rPr>
                <w:rFonts w:ascii="Arial" w:eastAsia="Times New Roman" w:hAnsi="Arial" w:cs="Arial"/>
                <w:color w:val="000000"/>
                <w:lang w:val="en-US"/>
              </w:rPr>
              <w:t> </w:t>
            </w:r>
          </w:p>
        </w:tc>
      </w:tr>
    </w:tbl>
    <w:p w14:paraId="333D326A" w14:textId="77777777" w:rsidR="000D530D" w:rsidRPr="009E2403" w:rsidRDefault="00A444C1" w:rsidP="00987360">
      <w:pPr>
        <w:tabs>
          <w:tab w:val="left" w:pos="201"/>
        </w:tabs>
        <w:rPr>
          <w:rFonts w:ascii="Arial" w:hAnsi="Arial" w:cs="Arial"/>
          <w:b/>
          <w:lang w:val="en-US"/>
        </w:rPr>
      </w:pPr>
      <w:r w:rsidRPr="009E2403">
        <w:rPr>
          <w:rFonts w:ascii="Arial" w:hAnsi="Arial" w:cs="Arial"/>
          <w:b/>
        </w:rPr>
        <w:t xml:space="preserve">Summary </w:t>
      </w:r>
      <w:r w:rsidR="00985633" w:rsidRPr="009E2403">
        <w:rPr>
          <w:rFonts w:ascii="Arial" w:hAnsi="Arial" w:cs="Arial"/>
          <w:b/>
          <w:lang w:val="en-US"/>
        </w:rPr>
        <w:t xml:space="preserve">Result </w:t>
      </w:r>
    </w:p>
    <w:tbl>
      <w:tblPr>
        <w:tblW w:w="7460" w:type="dxa"/>
        <w:jc w:val="center"/>
        <w:tblLook w:val="04A0" w:firstRow="1" w:lastRow="0" w:firstColumn="1" w:lastColumn="0" w:noHBand="0" w:noVBand="1"/>
      </w:tblPr>
      <w:tblGrid>
        <w:gridCol w:w="962"/>
        <w:gridCol w:w="2019"/>
        <w:gridCol w:w="1220"/>
        <w:gridCol w:w="1340"/>
        <w:gridCol w:w="1919"/>
      </w:tblGrid>
      <w:tr w:rsidR="00985633" w:rsidRPr="00985633" w14:paraId="76E87DB1" w14:textId="77777777" w:rsidTr="00985633">
        <w:trPr>
          <w:trHeight w:val="300"/>
          <w:jc w:val="center"/>
        </w:trPr>
        <w:tc>
          <w:tcPr>
            <w:tcW w:w="960" w:type="dxa"/>
            <w:tcBorders>
              <w:top w:val="nil"/>
              <w:left w:val="nil"/>
              <w:bottom w:val="nil"/>
              <w:right w:val="nil"/>
            </w:tcBorders>
            <w:shd w:val="clear" w:color="000000" w:fill="EEECE1"/>
            <w:vAlign w:val="center"/>
            <w:hideMark/>
          </w:tcPr>
          <w:p w14:paraId="4DC3D3B0" w14:textId="77777777" w:rsidR="00985633" w:rsidRPr="00985633" w:rsidRDefault="00985633" w:rsidP="00985633">
            <w:pPr>
              <w:spacing w:after="0" w:line="240" w:lineRule="auto"/>
              <w:jc w:val="center"/>
              <w:rPr>
                <w:rFonts w:ascii="Arial" w:eastAsia="Times New Roman" w:hAnsi="Arial" w:cs="Arial"/>
                <w:b/>
                <w:bCs/>
                <w:lang w:val="en-US"/>
              </w:rPr>
            </w:pPr>
            <w:r w:rsidRPr="00985633">
              <w:rPr>
                <w:rFonts w:ascii="Arial" w:eastAsia="Times New Roman" w:hAnsi="Arial" w:cs="Arial"/>
                <w:b/>
                <w:bCs/>
                <w:lang w:val="en-US"/>
              </w:rPr>
              <w:t>Project</w:t>
            </w:r>
          </w:p>
        </w:tc>
        <w:tc>
          <w:tcPr>
            <w:tcW w:w="2020" w:type="dxa"/>
            <w:tcBorders>
              <w:top w:val="nil"/>
              <w:left w:val="nil"/>
              <w:bottom w:val="nil"/>
              <w:right w:val="nil"/>
            </w:tcBorders>
            <w:shd w:val="clear" w:color="000000" w:fill="EEECE1"/>
            <w:vAlign w:val="center"/>
            <w:hideMark/>
          </w:tcPr>
          <w:p w14:paraId="6C9CF634" w14:textId="77777777" w:rsidR="00985633" w:rsidRPr="00985633" w:rsidRDefault="00985633" w:rsidP="00985633">
            <w:pPr>
              <w:spacing w:after="0" w:line="240" w:lineRule="auto"/>
              <w:jc w:val="center"/>
              <w:rPr>
                <w:rFonts w:ascii="Arial" w:eastAsia="Times New Roman" w:hAnsi="Arial" w:cs="Arial"/>
                <w:b/>
                <w:bCs/>
                <w:lang w:val="en-US"/>
              </w:rPr>
            </w:pPr>
            <w:r w:rsidRPr="00985633">
              <w:rPr>
                <w:rFonts w:ascii="Arial" w:eastAsia="Times New Roman" w:hAnsi="Arial" w:cs="Arial"/>
                <w:b/>
                <w:bCs/>
                <w:lang w:val="en-US"/>
              </w:rPr>
              <w:t>Total PV of Inflows</w:t>
            </w:r>
          </w:p>
        </w:tc>
        <w:tc>
          <w:tcPr>
            <w:tcW w:w="1220" w:type="dxa"/>
            <w:tcBorders>
              <w:top w:val="nil"/>
              <w:left w:val="nil"/>
              <w:bottom w:val="nil"/>
              <w:right w:val="nil"/>
            </w:tcBorders>
            <w:shd w:val="clear" w:color="000000" w:fill="EEECE1"/>
            <w:vAlign w:val="center"/>
            <w:hideMark/>
          </w:tcPr>
          <w:p w14:paraId="5C9E1EFA" w14:textId="77777777" w:rsidR="00985633" w:rsidRPr="00985633" w:rsidRDefault="00985633" w:rsidP="00985633">
            <w:pPr>
              <w:spacing w:after="0" w:line="240" w:lineRule="auto"/>
              <w:jc w:val="center"/>
              <w:rPr>
                <w:rFonts w:ascii="Arial" w:eastAsia="Times New Roman" w:hAnsi="Arial" w:cs="Arial"/>
                <w:b/>
                <w:bCs/>
                <w:lang w:val="en-US"/>
              </w:rPr>
            </w:pPr>
            <w:r w:rsidRPr="00985633">
              <w:rPr>
                <w:rFonts w:ascii="Arial" w:eastAsia="Times New Roman" w:hAnsi="Arial" w:cs="Arial"/>
                <w:b/>
                <w:bCs/>
                <w:lang w:val="en-US"/>
              </w:rPr>
              <w:t>Initial Cost</w:t>
            </w:r>
          </w:p>
        </w:tc>
        <w:tc>
          <w:tcPr>
            <w:tcW w:w="1340" w:type="dxa"/>
            <w:tcBorders>
              <w:top w:val="nil"/>
              <w:left w:val="nil"/>
              <w:bottom w:val="nil"/>
              <w:right w:val="nil"/>
            </w:tcBorders>
            <w:shd w:val="clear" w:color="000000" w:fill="EEECE1"/>
            <w:vAlign w:val="center"/>
            <w:hideMark/>
          </w:tcPr>
          <w:p w14:paraId="391740DA" w14:textId="77777777" w:rsidR="00985633" w:rsidRPr="00985633" w:rsidRDefault="00985633" w:rsidP="00985633">
            <w:pPr>
              <w:spacing w:after="0" w:line="240" w:lineRule="auto"/>
              <w:jc w:val="center"/>
              <w:rPr>
                <w:rFonts w:ascii="Arial" w:eastAsia="Times New Roman" w:hAnsi="Arial" w:cs="Arial"/>
                <w:b/>
                <w:bCs/>
                <w:lang w:val="en-US"/>
              </w:rPr>
            </w:pPr>
            <w:r w:rsidRPr="00985633">
              <w:rPr>
                <w:rFonts w:ascii="Arial" w:eastAsia="Times New Roman" w:hAnsi="Arial" w:cs="Arial"/>
                <w:b/>
                <w:bCs/>
                <w:lang w:val="en-US"/>
              </w:rPr>
              <w:t>NPV</w:t>
            </w:r>
          </w:p>
        </w:tc>
        <w:tc>
          <w:tcPr>
            <w:tcW w:w="1920" w:type="dxa"/>
            <w:tcBorders>
              <w:top w:val="nil"/>
              <w:left w:val="nil"/>
              <w:bottom w:val="nil"/>
              <w:right w:val="nil"/>
            </w:tcBorders>
            <w:shd w:val="clear" w:color="000000" w:fill="EEECE1"/>
            <w:vAlign w:val="center"/>
            <w:hideMark/>
          </w:tcPr>
          <w:p w14:paraId="4C1FB17A" w14:textId="77777777" w:rsidR="00985633" w:rsidRPr="00985633" w:rsidRDefault="00985633" w:rsidP="00985633">
            <w:pPr>
              <w:spacing w:after="0" w:line="240" w:lineRule="auto"/>
              <w:jc w:val="center"/>
              <w:rPr>
                <w:rFonts w:ascii="Arial" w:eastAsia="Times New Roman" w:hAnsi="Arial" w:cs="Arial"/>
                <w:b/>
                <w:bCs/>
                <w:lang w:val="en-US"/>
              </w:rPr>
            </w:pPr>
            <w:r w:rsidRPr="00985633">
              <w:rPr>
                <w:rFonts w:ascii="Arial" w:eastAsia="Times New Roman" w:hAnsi="Arial" w:cs="Arial"/>
                <w:b/>
                <w:bCs/>
                <w:lang w:val="en-US"/>
              </w:rPr>
              <w:t>Decision</w:t>
            </w:r>
          </w:p>
        </w:tc>
      </w:tr>
      <w:tr w:rsidR="00985633" w:rsidRPr="00985633" w14:paraId="54DDD137" w14:textId="77777777" w:rsidTr="00985633">
        <w:trPr>
          <w:trHeight w:val="600"/>
          <w:jc w:val="center"/>
        </w:trPr>
        <w:tc>
          <w:tcPr>
            <w:tcW w:w="960" w:type="dxa"/>
            <w:tcBorders>
              <w:top w:val="nil"/>
              <w:left w:val="nil"/>
              <w:bottom w:val="nil"/>
              <w:right w:val="nil"/>
            </w:tcBorders>
            <w:shd w:val="clear" w:color="000000" w:fill="EEECE1"/>
            <w:vAlign w:val="center"/>
            <w:hideMark/>
          </w:tcPr>
          <w:p w14:paraId="502AF07A" w14:textId="77777777" w:rsidR="00985633" w:rsidRPr="00985633" w:rsidRDefault="00985633" w:rsidP="00985633">
            <w:pPr>
              <w:spacing w:after="0" w:line="240" w:lineRule="auto"/>
              <w:rPr>
                <w:rFonts w:ascii="Arial" w:eastAsia="Times New Roman" w:hAnsi="Arial" w:cs="Arial"/>
                <w:b/>
                <w:bCs/>
                <w:color w:val="000000"/>
                <w:lang w:val="en-US"/>
              </w:rPr>
            </w:pPr>
            <w:r w:rsidRPr="00985633">
              <w:rPr>
                <w:rFonts w:ascii="Arial" w:eastAsia="Times New Roman" w:hAnsi="Arial" w:cs="Arial"/>
                <w:b/>
                <w:bCs/>
                <w:color w:val="000000"/>
                <w:lang w:val="en-US"/>
              </w:rPr>
              <w:t>A</w:t>
            </w:r>
          </w:p>
        </w:tc>
        <w:tc>
          <w:tcPr>
            <w:tcW w:w="2020" w:type="dxa"/>
            <w:tcBorders>
              <w:top w:val="nil"/>
              <w:left w:val="nil"/>
              <w:bottom w:val="nil"/>
              <w:right w:val="nil"/>
            </w:tcBorders>
            <w:shd w:val="clear" w:color="000000" w:fill="EEECE1"/>
            <w:vAlign w:val="center"/>
            <w:hideMark/>
          </w:tcPr>
          <w:p w14:paraId="1A5857DB" w14:textId="77777777" w:rsidR="00985633" w:rsidRPr="00985633" w:rsidRDefault="00985633" w:rsidP="00985633">
            <w:pPr>
              <w:spacing w:after="0" w:line="240" w:lineRule="auto"/>
              <w:rPr>
                <w:rFonts w:ascii="Arial" w:eastAsia="Times New Roman" w:hAnsi="Arial" w:cs="Arial"/>
                <w:color w:val="000000"/>
                <w:lang w:val="en-US"/>
              </w:rPr>
            </w:pPr>
            <w:r w:rsidRPr="00985633">
              <w:rPr>
                <w:rFonts w:ascii="Arial" w:eastAsia="Times New Roman" w:hAnsi="Arial" w:cs="Arial"/>
                <w:color w:val="000000"/>
                <w:lang w:val="en-US"/>
              </w:rPr>
              <w:t>£41.32m</w:t>
            </w:r>
          </w:p>
        </w:tc>
        <w:tc>
          <w:tcPr>
            <w:tcW w:w="1220" w:type="dxa"/>
            <w:tcBorders>
              <w:top w:val="nil"/>
              <w:left w:val="nil"/>
              <w:bottom w:val="nil"/>
              <w:right w:val="nil"/>
            </w:tcBorders>
            <w:shd w:val="clear" w:color="000000" w:fill="EEECE1"/>
            <w:vAlign w:val="center"/>
            <w:hideMark/>
          </w:tcPr>
          <w:p w14:paraId="4A2F36BD" w14:textId="77777777" w:rsidR="00985633" w:rsidRPr="00985633" w:rsidRDefault="00985633" w:rsidP="00985633">
            <w:pPr>
              <w:spacing w:after="0" w:line="240" w:lineRule="auto"/>
              <w:rPr>
                <w:rFonts w:ascii="Arial" w:eastAsia="Times New Roman" w:hAnsi="Arial" w:cs="Arial"/>
                <w:color w:val="000000"/>
                <w:lang w:val="en-US"/>
              </w:rPr>
            </w:pPr>
            <w:r w:rsidRPr="00985633">
              <w:rPr>
                <w:rFonts w:ascii="Arial" w:eastAsia="Times New Roman" w:hAnsi="Arial" w:cs="Arial"/>
                <w:color w:val="000000"/>
                <w:lang w:val="en-US"/>
              </w:rPr>
              <w:t>£40m</w:t>
            </w:r>
          </w:p>
        </w:tc>
        <w:tc>
          <w:tcPr>
            <w:tcW w:w="1340" w:type="dxa"/>
            <w:tcBorders>
              <w:top w:val="nil"/>
              <w:left w:val="nil"/>
              <w:bottom w:val="nil"/>
              <w:right w:val="nil"/>
            </w:tcBorders>
            <w:shd w:val="clear" w:color="000000" w:fill="EEECE1"/>
            <w:vAlign w:val="center"/>
            <w:hideMark/>
          </w:tcPr>
          <w:p w14:paraId="1053C3C2" w14:textId="77777777" w:rsidR="00985633" w:rsidRPr="00985633" w:rsidRDefault="00985633" w:rsidP="00985633">
            <w:pPr>
              <w:spacing w:after="0" w:line="240" w:lineRule="auto"/>
              <w:rPr>
                <w:rFonts w:ascii="Arial" w:eastAsia="Times New Roman" w:hAnsi="Arial" w:cs="Arial"/>
                <w:b/>
                <w:bCs/>
                <w:color w:val="000000"/>
                <w:lang w:val="en-US"/>
              </w:rPr>
            </w:pPr>
            <w:r w:rsidRPr="00985633">
              <w:rPr>
                <w:rFonts w:ascii="Arial" w:eastAsia="Times New Roman" w:hAnsi="Arial" w:cs="Arial"/>
                <w:b/>
                <w:bCs/>
                <w:color w:val="000000"/>
                <w:lang w:val="en-US"/>
              </w:rPr>
              <w:t>+£1.32m</w:t>
            </w:r>
          </w:p>
        </w:tc>
        <w:tc>
          <w:tcPr>
            <w:tcW w:w="1920" w:type="dxa"/>
            <w:tcBorders>
              <w:top w:val="nil"/>
              <w:left w:val="nil"/>
              <w:bottom w:val="nil"/>
              <w:right w:val="nil"/>
            </w:tcBorders>
            <w:shd w:val="clear" w:color="000000" w:fill="EEECE1"/>
            <w:vAlign w:val="center"/>
            <w:hideMark/>
          </w:tcPr>
          <w:p w14:paraId="7889ADCF" w14:textId="77777777" w:rsidR="00985633" w:rsidRPr="00985633" w:rsidRDefault="00985633" w:rsidP="00985633">
            <w:pPr>
              <w:spacing w:after="0" w:line="240" w:lineRule="auto"/>
              <w:rPr>
                <w:rFonts w:ascii="Arial" w:eastAsia="Times New Roman" w:hAnsi="Arial" w:cs="Arial"/>
                <w:color w:val="000000"/>
                <w:lang w:val="en-US"/>
              </w:rPr>
            </w:pPr>
            <w:r w:rsidRPr="00985633">
              <w:rPr>
                <w:rFonts w:ascii="MS Gothic" w:eastAsia="MS Gothic" w:hAnsi="MS Gothic" w:cs="MS Gothic" w:hint="eastAsia"/>
                <w:color w:val="000000"/>
                <w:lang w:val="en-US"/>
              </w:rPr>
              <w:t>✔</w:t>
            </w:r>
            <w:r w:rsidRPr="00985633">
              <w:rPr>
                <w:rFonts w:ascii="Arial" w:eastAsia="Times New Roman" w:hAnsi="Arial" w:cs="Arial"/>
                <w:color w:val="000000"/>
                <w:lang w:val="en-US"/>
              </w:rPr>
              <w:t xml:space="preserve"> Accept</w:t>
            </w:r>
          </w:p>
        </w:tc>
      </w:tr>
      <w:tr w:rsidR="00985633" w:rsidRPr="00985633" w14:paraId="03D69808" w14:textId="77777777" w:rsidTr="00985633">
        <w:trPr>
          <w:trHeight w:val="300"/>
          <w:jc w:val="center"/>
        </w:trPr>
        <w:tc>
          <w:tcPr>
            <w:tcW w:w="960" w:type="dxa"/>
            <w:tcBorders>
              <w:top w:val="nil"/>
              <w:left w:val="nil"/>
              <w:bottom w:val="nil"/>
              <w:right w:val="nil"/>
            </w:tcBorders>
            <w:shd w:val="clear" w:color="000000" w:fill="EEECE1"/>
            <w:vAlign w:val="center"/>
            <w:hideMark/>
          </w:tcPr>
          <w:p w14:paraId="5CAFFDED" w14:textId="77777777" w:rsidR="00985633" w:rsidRPr="00985633" w:rsidRDefault="00985633" w:rsidP="00985633">
            <w:pPr>
              <w:spacing w:after="0" w:line="240" w:lineRule="auto"/>
              <w:rPr>
                <w:rFonts w:ascii="Arial" w:eastAsia="Times New Roman" w:hAnsi="Arial" w:cs="Arial"/>
                <w:b/>
                <w:bCs/>
                <w:color w:val="FF0000"/>
                <w:lang w:val="en-US"/>
              </w:rPr>
            </w:pPr>
            <w:r w:rsidRPr="00985633">
              <w:rPr>
                <w:rFonts w:ascii="Arial" w:eastAsia="Times New Roman" w:hAnsi="Arial" w:cs="Arial"/>
                <w:b/>
                <w:bCs/>
                <w:color w:val="FF0000"/>
                <w:lang w:val="en-US"/>
              </w:rPr>
              <w:t>B</w:t>
            </w:r>
          </w:p>
        </w:tc>
        <w:tc>
          <w:tcPr>
            <w:tcW w:w="2020" w:type="dxa"/>
            <w:tcBorders>
              <w:top w:val="nil"/>
              <w:left w:val="nil"/>
              <w:bottom w:val="nil"/>
              <w:right w:val="nil"/>
            </w:tcBorders>
            <w:shd w:val="clear" w:color="000000" w:fill="EEECE1"/>
            <w:vAlign w:val="center"/>
            <w:hideMark/>
          </w:tcPr>
          <w:p w14:paraId="66AD49DB" w14:textId="77777777" w:rsidR="00985633" w:rsidRPr="00985633" w:rsidRDefault="00985633" w:rsidP="00985633">
            <w:pPr>
              <w:spacing w:after="0" w:line="240" w:lineRule="auto"/>
              <w:rPr>
                <w:rFonts w:ascii="Arial" w:eastAsia="Times New Roman" w:hAnsi="Arial" w:cs="Arial"/>
                <w:color w:val="FF0000"/>
                <w:lang w:val="en-US"/>
              </w:rPr>
            </w:pPr>
            <w:r w:rsidRPr="00985633">
              <w:rPr>
                <w:rFonts w:ascii="Arial" w:eastAsia="Times New Roman" w:hAnsi="Arial" w:cs="Arial"/>
                <w:color w:val="FF0000"/>
                <w:lang w:val="en-US"/>
              </w:rPr>
              <w:t>£22.74m</w:t>
            </w:r>
          </w:p>
        </w:tc>
        <w:tc>
          <w:tcPr>
            <w:tcW w:w="1220" w:type="dxa"/>
            <w:tcBorders>
              <w:top w:val="nil"/>
              <w:left w:val="nil"/>
              <w:bottom w:val="nil"/>
              <w:right w:val="nil"/>
            </w:tcBorders>
            <w:shd w:val="clear" w:color="000000" w:fill="EEECE1"/>
            <w:vAlign w:val="center"/>
            <w:hideMark/>
          </w:tcPr>
          <w:p w14:paraId="20F751D1" w14:textId="77777777" w:rsidR="00985633" w:rsidRPr="00985633" w:rsidRDefault="00985633" w:rsidP="00985633">
            <w:pPr>
              <w:spacing w:after="0" w:line="240" w:lineRule="auto"/>
              <w:rPr>
                <w:rFonts w:ascii="Arial" w:eastAsia="Times New Roman" w:hAnsi="Arial" w:cs="Arial"/>
                <w:color w:val="FF0000"/>
                <w:lang w:val="en-US"/>
              </w:rPr>
            </w:pPr>
            <w:r w:rsidRPr="00985633">
              <w:rPr>
                <w:rFonts w:ascii="Arial" w:eastAsia="Times New Roman" w:hAnsi="Arial" w:cs="Arial"/>
                <w:color w:val="FF0000"/>
                <w:lang w:val="en-US"/>
              </w:rPr>
              <w:t>£30m</w:t>
            </w:r>
          </w:p>
        </w:tc>
        <w:tc>
          <w:tcPr>
            <w:tcW w:w="1340" w:type="dxa"/>
            <w:tcBorders>
              <w:top w:val="nil"/>
              <w:left w:val="nil"/>
              <w:bottom w:val="nil"/>
              <w:right w:val="nil"/>
            </w:tcBorders>
            <w:shd w:val="clear" w:color="000000" w:fill="EEECE1"/>
            <w:vAlign w:val="center"/>
            <w:hideMark/>
          </w:tcPr>
          <w:p w14:paraId="4B0A910C" w14:textId="77777777" w:rsidR="00985633" w:rsidRPr="00985633" w:rsidRDefault="00985633" w:rsidP="00985633">
            <w:pPr>
              <w:spacing w:after="0" w:line="240" w:lineRule="auto"/>
              <w:rPr>
                <w:rFonts w:ascii="Arial" w:eastAsia="Times New Roman" w:hAnsi="Arial" w:cs="Arial"/>
                <w:b/>
                <w:bCs/>
                <w:color w:val="FF0000"/>
                <w:lang w:val="en-US"/>
              </w:rPr>
            </w:pPr>
            <w:r w:rsidRPr="00985633">
              <w:rPr>
                <w:rFonts w:ascii="Arial" w:eastAsia="Times New Roman" w:hAnsi="Arial" w:cs="Arial"/>
                <w:b/>
                <w:bCs/>
                <w:color w:val="FF0000"/>
                <w:lang w:val="en-US"/>
              </w:rPr>
              <w:t>–£7.26m</w:t>
            </w:r>
          </w:p>
        </w:tc>
        <w:tc>
          <w:tcPr>
            <w:tcW w:w="1920" w:type="dxa"/>
            <w:tcBorders>
              <w:top w:val="nil"/>
              <w:left w:val="nil"/>
              <w:bottom w:val="nil"/>
              <w:right w:val="nil"/>
            </w:tcBorders>
            <w:shd w:val="clear" w:color="000000" w:fill="EEECE1"/>
            <w:vAlign w:val="center"/>
            <w:hideMark/>
          </w:tcPr>
          <w:p w14:paraId="6F6B5631" w14:textId="77777777" w:rsidR="00985633" w:rsidRPr="00985633" w:rsidRDefault="00985633" w:rsidP="00985633">
            <w:pPr>
              <w:spacing w:after="0" w:line="240" w:lineRule="auto"/>
              <w:rPr>
                <w:rFonts w:ascii="Arial" w:eastAsia="Times New Roman" w:hAnsi="Arial" w:cs="Arial"/>
                <w:color w:val="FF0000"/>
                <w:lang w:val="en-US"/>
              </w:rPr>
            </w:pPr>
            <w:r w:rsidRPr="00985633">
              <w:rPr>
                <w:rFonts w:ascii="MS Gothic" w:eastAsia="MS Gothic" w:hAnsi="MS Gothic" w:cs="MS Gothic" w:hint="eastAsia"/>
                <w:color w:val="FF0000"/>
                <w:lang w:val="en-US"/>
              </w:rPr>
              <w:t>✘</w:t>
            </w:r>
            <w:r w:rsidRPr="00985633">
              <w:rPr>
                <w:rFonts w:ascii="Arial" w:eastAsia="Times New Roman" w:hAnsi="Arial" w:cs="Arial"/>
                <w:color w:val="FF0000"/>
                <w:lang w:val="en-US"/>
              </w:rPr>
              <w:t xml:space="preserve"> Reject</w:t>
            </w:r>
          </w:p>
        </w:tc>
      </w:tr>
      <w:tr w:rsidR="00985633" w:rsidRPr="00985633" w14:paraId="1B5DC284" w14:textId="77777777" w:rsidTr="00985633">
        <w:trPr>
          <w:trHeight w:val="600"/>
          <w:jc w:val="center"/>
        </w:trPr>
        <w:tc>
          <w:tcPr>
            <w:tcW w:w="960" w:type="dxa"/>
            <w:tcBorders>
              <w:top w:val="nil"/>
              <w:left w:val="nil"/>
              <w:bottom w:val="nil"/>
              <w:right w:val="nil"/>
            </w:tcBorders>
            <w:shd w:val="clear" w:color="000000" w:fill="EEECE1"/>
            <w:vAlign w:val="center"/>
            <w:hideMark/>
          </w:tcPr>
          <w:p w14:paraId="5A93128B" w14:textId="77777777" w:rsidR="00985633" w:rsidRPr="00985633" w:rsidRDefault="00985633" w:rsidP="00985633">
            <w:pPr>
              <w:spacing w:after="0" w:line="240" w:lineRule="auto"/>
              <w:rPr>
                <w:rFonts w:ascii="Arial" w:eastAsia="Times New Roman" w:hAnsi="Arial" w:cs="Arial"/>
                <w:b/>
                <w:bCs/>
                <w:color w:val="000000"/>
                <w:lang w:val="en-US"/>
              </w:rPr>
            </w:pPr>
            <w:r w:rsidRPr="00985633">
              <w:rPr>
                <w:rFonts w:ascii="Arial" w:eastAsia="Times New Roman" w:hAnsi="Arial" w:cs="Arial"/>
                <w:b/>
                <w:bCs/>
                <w:color w:val="000000"/>
                <w:lang w:val="en-US"/>
              </w:rPr>
              <w:t>C</w:t>
            </w:r>
          </w:p>
        </w:tc>
        <w:tc>
          <w:tcPr>
            <w:tcW w:w="2020" w:type="dxa"/>
            <w:tcBorders>
              <w:top w:val="nil"/>
              <w:left w:val="nil"/>
              <w:bottom w:val="nil"/>
              <w:right w:val="nil"/>
            </w:tcBorders>
            <w:shd w:val="clear" w:color="000000" w:fill="EEECE1"/>
            <w:vAlign w:val="center"/>
            <w:hideMark/>
          </w:tcPr>
          <w:p w14:paraId="573B3BB5" w14:textId="77777777" w:rsidR="00985633" w:rsidRPr="00985633" w:rsidRDefault="00985633" w:rsidP="00985633">
            <w:pPr>
              <w:spacing w:after="0" w:line="240" w:lineRule="auto"/>
              <w:rPr>
                <w:rFonts w:ascii="Arial" w:eastAsia="Times New Roman" w:hAnsi="Arial" w:cs="Arial"/>
                <w:color w:val="000000"/>
                <w:lang w:val="en-US"/>
              </w:rPr>
            </w:pPr>
            <w:r w:rsidRPr="00985633">
              <w:rPr>
                <w:rFonts w:ascii="Arial" w:eastAsia="Times New Roman" w:hAnsi="Arial" w:cs="Arial"/>
                <w:color w:val="000000"/>
                <w:lang w:val="en-US"/>
              </w:rPr>
              <w:t>£54.23m</w:t>
            </w:r>
          </w:p>
        </w:tc>
        <w:tc>
          <w:tcPr>
            <w:tcW w:w="1220" w:type="dxa"/>
            <w:tcBorders>
              <w:top w:val="nil"/>
              <w:left w:val="nil"/>
              <w:bottom w:val="nil"/>
              <w:right w:val="nil"/>
            </w:tcBorders>
            <w:shd w:val="clear" w:color="000000" w:fill="EEECE1"/>
            <w:vAlign w:val="center"/>
            <w:hideMark/>
          </w:tcPr>
          <w:p w14:paraId="166E6719" w14:textId="77777777" w:rsidR="00985633" w:rsidRPr="00985633" w:rsidRDefault="00985633" w:rsidP="00985633">
            <w:pPr>
              <w:spacing w:after="0" w:line="240" w:lineRule="auto"/>
              <w:rPr>
                <w:rFonts w:ascii="Arial" w:eastAsia="Times New Roman" w:hAnsi="Arial" w:cs="Arial"/>
                <w:color w:val="000000"/>
                <w:lang w:val="en-US"/>
              </w:rPr>
            </w:pPr>
            <w:r w:rsidRPr="00985633">
              <w:rPr>
                <w:rFonts w:ascii="Arial" w:eastAsia="Times New Roman" w:hAnsi="Arial" w:cs="Arial"/>
                <w:color w:val="000000"/>
                <w:lang w:val="en-US"/>
              </w:rPr>
              <w:t>£50m</w:t>
            </w:r>
          </w:p>
        </w:tc>
        <w:tc>
          <w:tcPr>
            <w:tcW w:w="1340" w:type="dxa"/>
            <w:tcBorders>
              <w:top w:val="nil"/>
              <w:left w:val="nil"/>
              <w:bottom w:val="nil"/>
              <w:right w:val="nil"/>
            </w:tcBorders>
            <w:shd w:val="clear" w:color="000000" w:fill="EEECE1"/>
            <w:vAlign w:val="center"/>
            <w:hideMark/>
          </w:tcPr>
          <w:p w14:paraId="2475E37B" w14:textId="77777777" w:rsidR="00985633" w:rsidRPr="00985633" w:rsidRDefault="00985633" w:rsidP="00985633">
            <w:pPr>
              <w:spacing w:after="0" w:line="240" w:lineRule="auto"/>
              <w:rPr>
                <w:rFonts w:ascii="Arial" w:eastAsia="Times New Roman" w:hAnsi="Arial" w:cs="Arial"/>
                <w:b/>
                <w:bCs/>
                <w:color w:val="000000"/>
                <w:lang w:val="en-US"/>
              </w:rPr>
            </w:pPr>
            <w:r w:rsidRPr="00985633">
              <w:rPr>
                <w:rFonts w:ascii="Arial" w:eastAsia="Times New Roman" w:hAnsi="Arial" w:cs="Arial"/>
                <w:b/>
                <w:bCs/>
                <w:color w:val="000000"/>
                <w:lang w:val="en-US"/>
              </w:rPr>
              <w:t>+£4.23m</w:t>
            </w:r>
          </w:p>
        </w:tc>
        <w:tc>
          <w:tcPr>
            <w:tcW w:w="1920" w:type="dxa"/>
            <w:tcBorders>
              <w:top w:val="nil"/>
              <w:left w:val="nil"/>
              <w:bottom w:val="nil"/>
              <w:right w:val="nil"/>
            </w:tcBorders>
            <w:shd w:val="clear" w:color="000000" w:fill="EEECE1"/>
            <w:vAlign w:val="center"/>
            <w:hideMark/>
          </w:tcPr>
          <w:p w14:paraId="59A49E67" w14:textId="77777777" w:rsidR="00985633" w:rsidRPr="00985633" w:rsidRDefault="00985633" w:rsidP="00985633">
            <w:pPr>
              <w:spacing w:after="0" w:line="240" w:lineRule="auto"/>
              <w:rPr>
                <w:rFonts w:ascii="Arial" w:eastAsia="Times New Roman" w:hAnsi="Arial" w:cs="Arial"/>
                <w:color w:val="000000"/>
                <w:lang w:val="en-US"/>
              </w:rPr>
            </w:pPr>
            <w:r w:rsidRPr="00985633">
              <w:rPr>
                <w:rFonts w:ascii="MS Gothic" w:eastAsia="MS Gothic" w:hAnsi="MS Gothic" w:cs="MS Gothic" w:hint="eastAsia"/>
                <w:color w:val="000000"/>
                <w:lang w:val="en-US"/>
              </w:rPr>
              <w:t>✔</w:t>
            </w:r>
            <w:r w:rsidRPr="00985633">
              <w:rPr>
                <w:rFonts w:ascii="Arial" w:eastAsia="Times New Roman" w:hAnsi="Arial" w:cs="Arial"/>
                <w:color w:val="000000"/>
                <w:lang w:val="en-US"/>
              </w:rPr>
              <w:t xml:space="preserve"> Accept</w:t>
            </w:r>
          </w:p>
        </w:tc>
      </w:tr>
    </w:tbl>
    <w:p w14:paraId="76FC0769" w14:textId="77777777" w:rsidR="00985633" w:rsidRPr="009E2403" w:rsidRDefault="002B0837" w:rsidP="002B0837">
      <w:pPr>
        <w:pStyle w:val="Caption"/>
        <w:jc w:val="center"/>
        <w:rPr>
          <w:rFonts w:ascii="Arial" w:hAnsi="Arial" w:cs="Arial"/>
          <w:sz w:val="24"/>
          <w:szCs w:val="24"/>
          <w:lang w:val="en-US"/>
        </w:rPr>
      </w:pPr>
      <w:bookmarkStart w:id="47" w:name="_Toc214745436"/>
      <w:r>
        <w:t xml:space="preserve">Table </w:t>
      </w:r>
      <w:r>
        <w:fldChar w:fldCharType="begin"/>
      </w:r>
      <w:r>
        <w:instrText xml:space="preserve"> SEQ Table \* ARABIC </w:instrText>
      </w:r>
      <w:r>
        <w:fldChar w:fldCharType="separate"/>
      </w:r>
      <w:r w:rsidR="004471DE">
        <w:rPr>
          <w:noProof/>
        </w:rPr>
        <w:t>9</w:t>
      </w:r>
      <w:r>
        <w:fldChar w:fldCharType="end"/>
      </w:r>
      <w:r>
        <w:t xml:space="preserve"> NPV</w:t>
      </w:r>
      <w:bookmarkEnd w:id="47"/>
    </w:p>
    <w:p w14:paraId="3DB52F98" w14:textId="77777777" w:rsidR="002B0837" w:rsidRPr="00BD6F06" w:rsidRDefault="002B0837" w:rsidP="002B0837">
      <w:pPr>
        <w:jc w:val="center"/>
        <w:rPr>
          <w:rFonts w:ascii="Arial" w:hAnsi="Arial" w:cs="Arial"/>
          <w:i/>
          <w:sz w:val="18"/>
        </w:rPr>
      </w:pPr>
      <w:r w:rsidRPr="00BD6F06">
        <w:rPr>
          <w:rFonts w:ascii="Arial" w:hAnsi="Arial" w:cs="Arial"/>
          <w:b/>
          <w:i/>
          <w:sz w:val="18"/>
        </w:rPr>
        <w:t>Source</w:t>
      </w:r>
      <w:r w:rsidRPr="00BD6F06">
        <w:rPr>
          <w:rFonts w:ascii="Arial" w:hAnsi="Arial" w:cs="Arial"/>
          <w:i/>
          <w:sz w:val="18"/>
        </w:rPr>
        <w:t>: Author’s own work in MS Excel</w:t>
      </w:r>
    </w:p>
    <w:p w14:paraId="6AEFBBFF" w14:textId="77777777" w:rsidR="002B0837" w:rsidRDefault="002B0837" w:rsidP="00CE7101">
      <w:pPr>
        <w:pStyle w:val="NormalWeb"/>
        <w:spacing w:before="0" w:beforeAutospacing="0" w:line="360" w:lineRule="auto"/>
        <w:rPr>
          <w:rFonts w:ascii="Arial" w:hAnsi="Arial" w:cs="Arial"/>
          <w:color w:val="5B9BD5" w:themeColor="accent1"/>
        </w:rPr>
      </w:pPr>
    </w:p>
    <w:p w14:paraId="0A0C276B" w14:textId="77777777" w:rsidR="004471DE" w:rsidRDefault="004471DE" w:rsidP="00CE7101">
      <w:pPr>
        <w:pStyle w:val="NormalWeb"/>
        <w:spacing w:before="0" w:beforeAutospacing="0" w:line="360" w:lineRule="auto"/>
        <w:rPr>
          <w:rFonts w:ascii="Arial" w:hAnsi="Arial" w:cs="Arial"/>
          <w:color w:val="5B9BD5" w:themeColor="accent1"/>
        </w:rPr>
      </w:pPr>
    </w:p>
    <w:p w14:paraId="0F50D811" w14:textId="77777777" w:rsidR="00987360" w:rsidRPr="009E2403" w:rsidRDefault="00C7208C" w:rsidP="00CE7101">
      <w:pPr>
        <w:pStyle w:val="NormalWeb"/>
        <w:spacing w:before="0" w:beforeAutospacing="0" w:line="360" w:lineRule="auto"/>
        <w:rPr>
          <w:rFonts w:ascii="Arial" w:hAnsi="Arial" w:cs="Arial"/>
          <w:color w:val="5B9BD5" w:themeColor="accent1"/>
        </w:rPr>
      </w:pPr>
      <w:r w:rsidRPr="009E2403">
        <w:rPr>
          <w:rFonts w:ascii="Arial" w:hAnsi="Arial" w:cs="Arial"/>
          <w:color w:val="5B9BD5" w:themeColor="accent1"/>
        </w:rPr>
        <w:t>Internal Rate of Return-IRR</w:t>
      </w:r>
    </w:p>
    <w:p w14:paraId="2B7DAD63" w14:textId="77777777" w:rsidR="00C7208C" w:rsidRPr="009E2403" w:rsidRDefault="00C7208C" w:rsidP="00C7208C">
      <w:pPr>
        <w:rPr>
          <w:rFonts w:ascii="Arial" w:hAnsi="Arial" w:cs="Arial"/>
          <w:sz w:val="24"/>
        </w:rPr>
      </w:pPr>
      <w:r w:rsidRPr="009E2403">
        <w:rPr>
          <w:rFonts w:ascii="Arial" w:hAnsi="Arial" w:cs="Arial"/>
          <w:sz w:val="24"/>
        </w:rPr>
        <w:t>Project A</w:t>
      </w:r>
    </w:p>
    <w:tbl>
      <w:tblPr>
        <w:tblW w:w="6654" w:type="dxa"/>
        <w:jc w:val="center"/>
        <w:tblLook w:val="04A0" w:firstRow="1" w:lastRow="0" w:firstColumn="1" w:lastColumn="0" w:noHBand="0" w:noVBand="1"/>
      </w:tblPr>
      <w:tblGrid>
        <w:gridCol w:w="2870"/>
        <w:gridCol w:w="1098"/>
        <w:gridCol w:w="1330"/>
        <w:gridCol w:w="1356"/>
      </w:tblGrid>
      <w:tr w:rsidR="003A46B3" w:rsidRPr="003A46B3" w14:paraId="6F65D06D" w14:textId="77777777" w:rsidTr="003A46B3">
        <w:trPr>
          <w:trHeight w:val="931"/>
          <w:jc w:val="center"/>
        </w:trPr>
        <w:tc>
          <w:tcPr>
            <w:tcW w:w="2870" w:type="dxa"/>
            <w:tcBorders>
              <w:top w:val="nil"/>
              <w:left w:val="nil"/>
              <w:bottom w:val="nil"/>
              <w:right w:val="nil"/>
            </w:tcBorders>
            <w:shd w:val="clear" w:color="000000" w:fill="EEECE1"/>
            <w:vAlign w:val="center"/>
            <w:hideMark/>
          </w:tcPr>
          <w:p w14:paraId="0F718510" w14:textId="77777777" w:rsidR="003A46B3" w:rsidRPr="003A46B3" w:rsidRDefault="003A46B3" w:rsidP="003A46B3">
            <w:pPr>
              <w:spacing w:after="0" w:line="240" w:lineRule="auto"/>
              <w:jc w:val="right"/>
              <w:rPr>
                <w:rFonts w:ascii="Arial" w:eastAsia="Times New Roman" w:hAnsi="Arial" w:cs="Arial"/>
                <w:b/>
                <w:bCs/>
                <w:color w:val="FF0000"/>
                <w:lang w:val="en-US"/>
              </w:rPr>
            </w:pPr>
            <w:r w:rsidRPr="003A46B3">
              <w:rPr>
                <w:rFonts w:ascii="Arial" w:eastAsia="Times New Roman" w:hAnsi="Arial" w:cs="Arial"/>
                <w:b/>
                <w:bCs/>
                <w:color w:val="FF0000"/>
                <w:lang w:val="en-US"/>
              </w:rPr>
              <w:t>Year</w:t>
            </w:r>
          </w:p>
        </w:tc>
        <w:tc>
          <w:tcPr>
            <w:tcW w:w="1098" w:type="dxa"/>
            <w:tcBorders>
              <w:top w:val="nil"/>
              <w:left w:val="nil"/>
              <w:bottom w:val="nil"/>
              <w:right w:val="nil"/>
            </w:tcBorders>
            <w:shd w:val="clear" w:color="000000" w:fill="EEECE1"/>
            <w:vAlign w:val="center"/>
            <w:hideMark/>
          </w:tcPr>
          <w:p w14:paraId="110A5EFA" w14:textId="77777777" w:rsidR="003A46B3" w:rsidRPr="003A46B3" w:rsidRDefault="003A46B3" w:rsidP="003A46B3">
            <w:pPr>
              <w:spacing w:after="0" w:line="240" w:lineRule="auto"/>
              <w:jc w:val="center"/>
              <w:rPr>
                <w:rFonts w:ascii="Arial" w:eastAsia="Times New Roman" w:hAnsi="Arial" w:cs="Arial"/>
                <w:b/>
                <w:bCs/>
                <w:color w:val="FF0000"/>
                <w:lang w:val="en-US"/>
              </w:rPr>
            </w:pPr>
            <w:r w:rsidRPr="003A46B3">
              <w:rPr>
                <w:rFonts w:ascii="Arial" w:eastAsia="Times New Roman" w:hAnsi="Arial" w:cs="Arial"/>
                <w:b/>
                <w:bCs/>
                <w:color w:val="FF0000"/>
                <w:lang w:val="en-US"/>
              </w:rPr>
              <w:t>Cash Flow (£m)</w:t>
            </w:r>
          </w:p>
        </w:tc>
        <w:tc>
          <w:tcPr>
            <w:tcW w:w="1330" w:type="dxa"/>
            <w:tcBorders>
              <w:top w:val="nil"/>
              <w:left w:val="nil"/>
              <w:bottom w:val="nil"/>
              <w:right w:val="nil"/>
            </w:tcBorders>
            <w:shd w:val="clear" w:color="000000" w:fill="EEECE1"/>
            <w:vAlign w:val="center"/>
            <w:hideMark/>
          </w:tcPr>
          <w:p w14:paraId="55EA5E15" w14:textId="77777777" w:rsidR="003A46B3" w:rsidRPr="003A46B3" w:rsidRDefault="003A46B3" w:rsidP="003A46B3">
            <w:pPr>
              <w:spacing w:after="0" w:line="240" w:lineRule="auto"/>
              <w:jc w:val="center"/>
              <w:rPr>
                <w:rFonts w:ascii="Arial" w:eastAsia="Times New Roman" w:hAnsi="Arial" w:cs="Arial"/>
                <w:b/>
                <w:bCs/>
                <w:color w:val="FF0000"/>
                <w:lang w:val="en-US"/>
              </w:rPr>
            </w:pPr>
            <w:r w:rsidRPr="003A46B3">
              <w:rPr>
                <w:rFonts w:ascii="Arial" w:eastAsia="Times New Roman" w:hAnsi="Arial" w:cs="Arial"/>
                <w:b/>
                <w:bCs/>
                <w:color w:val="FF0000"/>
                <w:lang w:val="en-US"/>
              </w:rPr>
              <w:t>PV Factor 10%</w:t>
            </w:r>
          </w:p>
        </w:tc>
        <w:tc>
          <w:tcPr>
            <w:tcW w:w="1356" w:type="dxa"/>
            <w:tcBorders>
              <w:top w:val="nil"/>
              <w:left w:val="nil"/>
              <w:bottom w:val="nil"/>
              <w:right w:val="nil"/>
            </w:tcBorders>
            <w:shd w:val="clear" w:color="000000" w:fill="EEECE1"/>
            <w:vAlign w:val="center"/>
            <w:hideMark/>
          </w:tcPr>
          <w:p w14:paraId="1B282D7D" w14:textId="77777777" w:rsidR="003A46B3" w:rsidRPr="003A46B3" w:rsidRDefault="003A46B3" w:rsidP="003A46B3">
            <w:pPr>
              <w:spacing w:after="0" w:line="240" w:lineRule="auto"/>
              <w:jc w:val="center"/>
              <w:rPr>
                <w:rFonts w:ascii="Arial" w:eastAsia="Times New Roman" w:hAnsi="Arial" w:cs="Arial"/>
                <w:b/>
                <w:bCs/>
                <w:color w:val="FF0000"/>
                <w:lang w:val="en-US"/>
              </w:rPr>
            </w:pPr>
            <w:r w:rsidRPr="003A46B3">
              <w:rPr>
                <w:rFonts w:ascii="Arial" w:eastAsia="Times New Roman" w:hAnsi="Arial" w:cs="Arial"/>
                <w:b/>
                <w:bCs/>
                <w:color w:val="FF0000"/>
                <w:lang w:val="en-US"/>
              </w:rPr>
              <w:t>PV (£m)</w:t>
            </w:r>
          </w:p>
        </w:tc>
      </w:tr>
      <w:tr w:rsidR="003A46B3" w:rsidRPr="003A46B3" w14:paraId="7A34817D" w14:textId="77777777" w:rsidTr="003A46B3">
        <w:trPr>
          <w:trHeight w:val="310"/>
          <w:jc w:val="center"/>
        </w:trPr>
        <w:tc>
          <w:tcPr>
            <w:tcW w:w="2870" w:type="dxa"/>
            <w:tcBorders>
              <w:top w:val="nil"/>
              <w:left w:val="nil"/>
              <w:bottom w:val="nil"/>
              <w:right w:val="nil"/>
            </w:tcBorders>
            <w:shd w:val="clear" w:color="000000" w:fill="EEECE1"/>
            <w:vAlign w:val="center"/>
            <w:hideMark/>
          </w:tcPr>
          <w:p w14:paraId="2FF9D265"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w:t>
            </w:r>
          </w:p>
        </w:tc>
        <w:tc>
          <w:tcPr>
            <w:tcW w:w="1098" w:type="dxa"/>
            <w:tcBorders>
              <w:top w:val="nil"/>
              <w:left w:val="nil"/>
              <w:bottom w:val="nil"/>
              <w:right w:val="nil"/>
            </w:tcBorders>
            <w:shd w:val="clear" w:color="000000" w:fill="EEECE1"/>
            <w:vAlign w:val="center"/>
            <w:hideMark/>
          </w:tcPr>
          <w:p w14:paraId="1E093CA4"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10</w:t>
            </w:r>
          </w:p>
        </w:tc>
        <w:tc>
          <w:tcPr>
            <w:tcW w:w="1330" w:type="dxa"/>
            <w:tcBorders>
              <w:top w:val="nil"/>
              <w:left w:val="nil"/>
              <w:bottom w:val="nil"/>
              <w:right w:val="nil"/>
            </w:tcBorders>
            <w:shd w:val="clear" w:color="000000" w:fill="EEECE1"/>
            <w:vAlign w:val="center"/>
            <w:hideMark/>
          </w:tcPr>
          <w:p w14:paraId="63683226"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0.909</w:t>
            </w:r>
          </w:p>
        </w:tc>
        <w:tc>
          <w:tcPr>
            <w:tcW w:w="1356" w:type="dxa"/>
            <w:tcBorders>
              <w:top w:val="nil"/>
              <w:left w:val="nil"/>
              <w:bottom w:val="nil"/>
              <w:right w:val="nil"/>
            </w:tcBorders>
            <w:shd w:val="clear" w:color="000000" w:fill="EEECE1"/>
            <w:vAlign w:val="center"/>
            <w:hideMark/>
          </w:tcPr>
          <w:p w14:paraId="2F58BC17"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9.09</w:t>
            </w:r>
          </w:p>
        </w:tc>
      </w:tr>
      <w:tr w:rsidR="003A46B3" w:rsidRPr="003A46B3" w14:paraId="1610B2D9" w14:textId="77777777" w:rsidTr="003A46B3">
        <w:trPr>
          <w:trHeight w:val="310"/>
          <w:jc w:val="center"/>
        </w:trPr>
        <w:tc>
          <w:tcPr>
            <w:tcW w:w="2870" w:type="dxa"/>
            <w:tcBorders>
              <w:top w:val="nil"/>
              <w:left w:val="nil"/>
              <w:bottom w:val="nil"/>
              <w:right w:val="nil"/>
            </w:tcBorders>
            <w:shd w:val="clear" w:color="000000" w:fill="EEECE1"/>
            <w:vAlign w:val="center"/>
            <w:hideMark/>
          </w:tcPr>
          <w:p w14:paraId="4B588F05"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2</w:t>
            </w:r>
          </w:p>
        </w:tc>
        <w:tc>
          <w:tcPr>
            <w:tcW w:w="1098" w:type="dxa"/>
            <w:tcBorders>
              <w:top w:val="nil"/>
              <w:left w:val="nil"/>
              <w:bottom w:val="nil"/>
              <w:right w:val="nil"/>
            </w:tcBorders>
            <w:shd w:val="clear" w:color="000000" w:fill="EEECE1"/>
            <w:vAlign w:val="center"/>
            <w:hideMark/>
          </w:tcPr>
          <w:p w14:paraId="1F73A157"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12</w:t>
            </w:r>
          </w:p>
        </w:tc>
        <w:tc>
          <w:tcPr>
            <w:tcW w:w="1330" w:type="dxa"/>
            <w:tcBorders>
              <w:top w:val="nil"/>
              <w:left w:val="nil"/>
              <w:bottom w:val="nil"/>
              <w:right w:val="nil"/>
            </w:tcBorders>
            <w:shd w:val="clear" w:color="000000" w:fill="EEECE1"/>
            <w:vAlign w:val="center"/>
            <w:hideMark/>
          </w:tcPr>
          <w:p w14:paraId="32013703"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0.826</w:t>
            </w:r>
          </w:p>
        </w:tc>
        <w:tc>
          <w:tcPr>
            <w:tcW w:w="1356" w:type="dxa"/>
            <w:tcBorders>
              <w:top w:val="nil"/>
              <w:left w:val="nil"/>
              <w:bottom w:val="nil"/>
              <w:right w:val="nil"/>
            </w:tcBorders>
            <w:shd w:val="clear" w:color="000000" w:fill="EEECE1"/>
            <w:vAlign w:val="center"/>
            <w:hideMark/>
          </w:tcPr>
          <w:p w14:paraId="73A82E9A"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9.92</w:t>
            </w:r>
          </w:p>
        </w:tc>
      </w:tr>
      <w:tr w:rsidR="003A46B3" w:rsidRPr="003A46B3" w14:paraId="36F3BA48" w14:textId="77777777" w:rsidTr="003A46B3">
        <w:trPr>
          <w:trHeight w:val="310"/>
          <w:jc w:val="center"/>
        </w:trPr>
        <w:tc>
          <w:tcPr>
            <w:tcW w:w="2870" w:type="dxa"/>
            <w:tcBorders>
              <w:top w:val="nil"/>
              <w:left w:val="nil"/>
              <w:bottom w:val="nil"/>
              <w:right w:val="nil"/>
            </w:tcBorders>
            <w:shd w:val="clear" w:color="000000" w:fill="EEECE1"/>
            <w:vAlign w:val="center"/>
            <w:hideMark/>
          </w:tcPr>
          <w:p w14:paraId="19A9EDB3"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3</w:t>
            </w:r>
          </w:p>
        </w:tc>
        <w:tc>
          <w:tcPr>
            <w:tcW w:w="1098" w:type="dxa"/>
            <w:tcBorders>
              <w:top w:val="nil"/>
              <w:left w:val="nil"/>
              <w:bottom w:val="nil"/>
              <w:right w:val="nil"/>
            </w:tcBorders>
            <w:shd w:val="clear" w:color="000000" w:fill="EEECE1"/>
            <w:vAlign w:val="center"/>
            <w:hideMark/>
          </w:tcPr>
          <w:p w14:paraId="2710AEB7"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14</w:t>
            </w:r>
          </w:p>
        </w:tc>
        <w:tc>
          <w:tcPr>
            <w:tcW w:w="1330" w:type="dxa"/>
            <w:tcBorders>
              <w:top w:val="nil"/>
              <w:left w:val="nil"/>
              <w:bottom w:val="nil"/>
              <w:right w:val="nil"/>
            </w:tcBorders>
            <w:shd w:val="clear" w:color="000000" w:fill="EEECE1"/>
            <w:vAlign w:val="center"/>
            <w:hideMark/>
          </w:tcPr>
          <w:p w14:paraId="460B6F48"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0.751</w:t>
            </w:r>
          </w:p>
        </w:tc>
        <w:tc>
          <w:tcPr>
            <w:tcW w:w="1356" w:type="dxa"/>
            <w:tcBorders>
              <w:top w:val="nil"/>
              <w:left w:val="nil"/>
              <w:bottom w:val="nil"/>
              <w:right w:val="nil"/>
            </w:tcBorders>
            <w:shd w:val="clear" w:color="000000" w:fill="EEECE1"/>
            <w:vAlign w:val="center"/>
            <w:hideMark/>
          </w:tcPr>
          <w:p w14:paraId="3FB8FDF7"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10.52</w:t>
            </w:r>
          </w:p>
        </w:tc>
      </w:tr>
      <w:tr w:rsidR="003A46B3" w:rsidRPr="003A46B3" w14:paraId="6A972583" w14:textId="77777777" w:rsidTr="003A46B3">
        <w:trPr>
          <w:trHeight w:val="310"/>
          <w:jc w:val="center"/>
        </w:trPr>
        <w:tc>
          <w:tcPr>
            <w:tcW w:w="2870" w:type="dxa"/>
            <w:tcBorders>
              <w:top w:val="nil"/>
              <w:left w:val="nil"/>
              <w:bottom w:val="nil"/>
              <w:right w:val="nil"/>
            </w:tcBorders>
            <w:shd w:val="clear" w:color="000000" w:fill="EEECE1"/>
            <w:vAlign w:val="center"/>
            <w:hideMark/>
          </w:tcPr>
          <w:p w14:paraId="3F3E35EC"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4</w:t>
            </w:r>
          </w:p>
        </w:tc>
        <w:tc>
          <w:tcPr>
            <w:tcW w:w="1098" w:type="dxa"/>
            <w:tcBorders>
              <w:top w:val="nil"/>
              <w:left w:val="nil"/>
              <w:bottom w:val="nil"/>
              <w:right w:val="nil"/>
            </w:tcBorders>
            <w:shd w:val="clear" w:color="000000" w:fill="EEECE1"/>
            <w:vAlign w:val="center"/>
            <w:hideMark/>
          </w:tcPr>
          <w:p w14:paraId="50A76970"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10</w:t>
            </w:r>
          </w:p>
        </w:tc>
        <w:tc>
          <w:tcPr>
            <w:tcW w:w="1330" w:type="dxa"/>
            <w:tcBorders>
              <w:top w:val="nil"/>
              <w:left w:val="nil"/>
              <w:bottom w:val="nil"/>
              <w:right w:val="nil"/>
            </w:tcBorders>
            <w:shd w:val="clear" w:color="000000" w:fill="EEECE1"/>
            <w:vAlign w:val="center"/>
            <w:hideMark/>
          </w:tcPr>
          <w:p w14:paraId="4184CB33"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0.683</w:t>
            </w:r>
          </w:p>
        </w:tc>
        <w:tc>
          <w:tcPr>
            <w:tcW w:w="1356" w:type="dxa"/>
            <w:tcBorders>
              <w:top w:val="nil"/>
              <w:left w:val="nil"/>
              <w:bottom w:val="nil"/>
              <w:right w:val="nil"/>
            </w:tcBorders>
            <w:shd w:val="clear" w:color="000000" w:fill="EEECE1"/>
            <w:vAlign w:val="center"/>
            <w:hideMark/>
          </w:tcPr>
          <w:p w14:paraId="1E743161"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6.83</w:t>
            </w:r>
          </w:p>
        </w:tc>
      </w:tr>
      <w:tr w:rsidR="003A46B3" w:rsidRPr="003A46B3" w14:paraId="73E74DB6" w14:textId="77777777" w:rsidTr="003A46B3">
        <w:trPr>
          <w:trHeight w:val="310"/>
          <w:jc w:val="center"/>
        </w:trPr>
        <w:tc>
          <w:tcPr>
            <w:tcW w:w="2870" w:type="dxa"/>
            <w:tcBorders>
              <w:top w:val="nil"/>
              <w:left w:val="nil"/>
              <w:bottom w:val="nil"/>
              <w:right w:val="nil"/>
            </w:tcBorders>
            <w:shd w:val="clear" w:color="000000" w:fill="EEECE1"/>
            <w:vAlign w:val="center"/>
            <w:hideMark/>
          </w:tcPr>
          <w:p w14:paraId="4386F32C"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5</w:t>
            </w:r>
          </w:p>
        </w:tc>
        <w:tc>
          <w:tcPr>
            <w:tcW w:w="1098" w:type="dxa"/>
            <w:tcBorders>
              <w:top w:val="nil"/>
              <w:left w:val="nil"/>
              <w:bottom w:val="nil"/>
              <w:right w:val="nil"/>
            </w:tcBorders>
            <w:shd w:val="clear" w:color="000000" w:fill="EEECE1"/>
            <w:vAlign w:val="center"/>
            <w:hideMark/>
          </w:tcPr>
          <w:p w14:paraId="2B2BBDFF"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8</w:t>
            </w:r>
          </w:p>
        </w:tc>
        <w:tc>
          <w:tcPr>
            <w:tcW w:w="1330" w:type="dxa"/>
            <w:tcBorders>
              <w:top w:val="nil"/>
              <w:left w:val="nil"/>
              <w:bottom w:val="nil"/>
              <w:right w:val="nil"/>
            </w:tcBorders>
            <w:shd w:val="clear" w:color="000000" w:fill="EEECE1"/>
            <w:vAlign w:val="center"/>
            <w:hideMark/>
          </w:tcPr>
          <w:p w14:paraId="48249F67"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0.621</w:t>
            </w:r>
          </w:p>
        </w:tc>
        <w:tc>
          <w:tcPr>
            <w:tcW w:w="1356" w:type="dxa"/>
            <w:tcBorders>
              <w:top w:val="nil"/>
              <w:left w:val="nil"/>
              <w:bottom w:val="nil"/>
              <w:right w:val="nil"/>
            </w:tcBorders>
            <w:shd w:val="clear" w:color="000000" w:fill="EEECE1"/>
            <w:vAlign w:val="center"/>
            <w:hideMark/>
          </w:tcPr>
          <w:p w14:paraId="4003FBFF"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4.97</w:t>
            </w:r>
          </w:p>
        </w:tc>
      </w:tr>
      <w:tr w:rsidR="003A46B3" w:rsidRPr="003A46B3" w14:paraId="57E0F92C" w14:textId="77777777" w:rsidTr="003A46B3">
        <w:trPr>
          <w:trHeight w:val="310"/>
          <w:jc w:val="center"/>
        </w:trPr>
        <w:tc>
          <w:tcPr>
            <w:tcW w:w="2870" w:type="dxa"/>
            <w:tcBorders>
              <w:top w:val="nil"/>
              <w:left w:val="nil"/>
              <w:bottom w:val="nil"/>
              <w:right w:val="nil"/>
            </w:tcBorders>
            <w:shd w:val="clear" w:color="000000" w:fill="EEECE1"/>
            <w:vAlign w:val="center"/>
            <w:hideMark/>
          </w:tcPr>
          <w:p w14:paraId="0B9D246C" w14:textId="77777777" w:rsidR="003A46B3" w:rsidRPr="003A46B3" w:rsidRDefault="003A46B3" w:rsidP="003A46B3">
            <w:pPr>
              <w:spacing w:after="0" w:line="240" w:lineRule="auto"/>
              <w:rPr>
                <w:rFonts w:ascii="Arial" w:eastAsia="Times New Roman" w:hAnsi="Arial" w:cs="Arial"/>
                <w:b/>
                <w:bCs/>
                <w:color w:val="000000"/>
                <w:lang w:val="en-US"/>
              </w:rPr>
            </w:pPr>
            <w:r w:rsidRPr="003A46B3">
              <w:rPr>
                <w:rFonts w:ascii="Arial" w:eastAsia="Times New Roman" w:hAnsi="Arial" w:cs="Arial"/>
                <w:b/>
                <w:bCs/>
                <w:color w:val="000000"/>
                <w:lang w:val="en-US"/>
              </w:rPr>
              <w:t>Total PV of Inflows</w:t>
            </w:r>
          </w:p>
        </w:tc>
        <w:tc>
          <w:tcPr>
            <w:tcW w:w="1098" w:type="dxa"/>
            <w:tcBorders>
              <w:top w:val="nil"/>
              <w:left w:val="nil"/>
              <w:bottom w:val="nil"/>
              <w:right w:val="nil"/>
            </w:tcBorders>
            <w:shd w:val="clear" w:color="000000" w:fill="EEECE1"/>
            <w:vAlign w:val="center"/>
            <w:hideMark/>
          </w:tcPr>
          <w:p w14:paraId="268B0CE4" w14:textId="77777777" w:rsidR="003A46B3" w:rsidRPr="003A46B3" w:rsidRDefault="003A46B3" w:rsidP="003A46B3">
            <w:pPr>
              <w:spacing w:after="0" w:line="240" w:lineRule="auto"/>
              <w:rPr>
                <w:rFonts w:ascii="Arial" w:eastAsia="Times New Roman" w:hAnsi="Arial" w:cs="Arial"/>
                <w:color w:val="000000"/>
                <w:lang w:val="en-US"/>
              </w:rPr>
            </w:pPr>
            <w:r w:rsidRPr="003A46B3">
              <w:rPr>
                <w:rFonts w:ascii="Arial" w:eastAsia="Times New Roman" w:hAnsi="Arial" w:cs="Arial"/>
                <w:color w:val="000000"/>
                <w:lang w:val="en-US"/>
              </w:rPr>
              <w:t> </w:t>
            </w:r>
          </w:p>
        </w:tc>
        <w:tc>
          <w:tcPr>
            <w:tcW w:w="1330" w:type="dxa"/>
            <w:tcBorders>
              <w:top w:val="nil"/>
              <w:left w:val="nil"/>
              <w:bottom w:val="nil"/>
              <w:right w:val="nil"/>
            </w:tcBorders>
            <w:shd w:val="clear" w:color="000000" w:fill="EEECE1"/>
            <w:vAlign w:val="center"/>
            <w:hideMark/>
          </w:tcPr>
          <w:p w14:paraId="3F7A4F82" w14:textId="77777777" w:rsidR="003A46B3" w:rsidRPr="003A46B3" w:rsidRDefault="003A46B3" w:rsidP="003A46B3">
            <w:pPr>
              <w:spacing w:after="0" w:line="240" w:lineRule="auto"/>
              <w:rPr>
                <w:rFonts w:ascii="Arial" w:eastAsia="Times New Roman" w:hAnsi="Arial" w:cs="Arial"/>
                <w:color w:val="000000"/>
                <w:lang w:val="en-US"/>
              </w:rPr>
            </w:pPr>
            <w:r w:rsidRPr="003A46B3">
              <w:rPr>
                <w:rFonts w:ascii="Arial" w:eastAsia="Times New Roman" w:hAnsi="Arial" w:cs="Arial"/>
                <w:color w:val="000000"/>
                <w:lang w:val="en-US"/>
              </w:rPr>
              <w:t> </w:t>
            </w:r>
          </w:p>
        </w:tc>
        <w:tc>
          <w:tcPr>
            <w:tcW w:w="1356" w:type="dxa"/>
            <w:tcBorders>
              <w:top w:val="nil"/>
              <w:left w:val="nil"/>
              <w:bottom w:val="nil"/>
              <w:right w:val="nil"/>
            </w:tcBorders>
            <w:shd w:val="clear" w:color="000000" w:fill="EEECE1"/>
            <w:vAlign w:val="center"/>
            <w:hideMark/>
          </w:tcPr>
          <w:p w14:paraId="52490F68" w14:textId="77777777" w:rsidR="003A46B3" w:rsidRPr="003A46B3" w:rsidRDefault="003A46B3" w:rsidP="003A46B3">
            <w:pPr>
              <w:spacing w:after="0" w:line="240" w:lineRule="auto"/>
              <w:jc w:val="right"/>
              <w:rPr>
                <w:rFonts w:ascii="Arial" w:eastAsia="Times New Roman" w:hAnsi="Arial" w:cs="Arial"/>
                <w:b/>
                <w:bCs/>
                <w:color w:val="000000"/>
                <w:lang w:val="en-US"/>
              </w:rPr>
            </w:pPr>
            <w:r w:rsidRPr="003A46B3">
              <w:rPr>
                <w:rFonts w:ascii="Arial" w:eastAsia="Times New Roman" w:hAnsi="Arial" w:cs="Arial"/>
                <w:b/>
                <w:bCs/>
                <w:color w:val="000000"/>
                <w:lang w:val="en-US"/>
              </w:rPr>
              <w:t>41.33</w:t>
            </w:r>
          </w:p>
        </w:tc>
      </w:tr>
      <w:tr w:rsidR="003A46B3" w:rsidRPr="003A46B3" w14:paraId="6649310A" w14:textId="77777777" w:rsidTr="003A46B3">
        <w:trPr>
          <w:trHeight w:val="310"/>
          <w:jc w:val="center"/>
        </w:trPr>
        <w:tc>
          <w:tcPr>
            <w:tcW w:w="2870" w:type="dxa"/>
            <w:tcBorders>
              <w:top w:val="nil"/>
              <w:left w:val="nil"/>
              <w:bottom w:val="nil"/>
              <w:right w:val="nil"/>
            </w:tcBorders>
            <w:shd w:val="clear" w:color="000000" w:fill="EEECE1"/>
            <w:vAlign w:val="center"/>
            <w:hideMark/>
          </w:tcPr>
          <w:p w14:paraId="6CC3F881" w14:textId="77777777" w:rsidR="003A46B3" w:rsidRPr="003A46B3" w:rsidRDefault="003A46B3" w:rsidP="003A46B3">
            <w:pPr>
              <w:spacing w:after="0" w:line="240" w:lineRule="auto"/>
              <w:rPr>
                <w:rFonts w:ascii="Arial" w:eastAsia="Times New Roman" w:hAnsi="Arial" w:cs="Arial"/>
                <w:b/>
                <w:bCs/>
                <w:color w:val="FF0000"/>
                <w:lang w:val="en-US"/>
              </w:rPr>
            </w:pPr>
            <w:r w:rsidRPr="003A46B3">
              <w:rPr>
                <w:rFonts w:ascii="Arial" w:eastAsia="Times New Roman" w:hAnsi="Arial" w:cs="Arial"/>
                <w:b/>
                <w:bCs/>
                <w:color w:val="FF0000"/>
                <w:lang w:val="en-US"/>
              </w:rPr>
              <w:t>Initial Investment</w:t>
            </w:r>
          </w:p>
        </w:tc>
        <w:tc>
          <w:tcPr>
            <w:tcW w:w="1098" w:type="dxa"/>
            <w:tcBorders>
              <w:top w:val="nil"/>
              <w:left w:val="nil"/>
              <w:bottom w:val="nil"/>
              <w:right w:val="nil"/>
            </w:tcBorders>
            <w:shd w:val="clear" w:color="000000" w:fill="EEECE1"/>
            <w:vAlign w:val="center"/>
            <w:hideMark/>
          </w:tcPr>
          <w:p w14:paraId="35215FCE" w14:textId="77777777" w:rsidR="003A46B3" w:rsidRPr="003A46B3" w:rsidRDefault="003A46B3" w:rsidP="003A46B3">
            <w:pPr>
              <w:spacing w:after="0" w:line="240" w:lineRule="auto"/>
              <w:rPr>
                <w:rFonts w:ascii="Arial" w:eastAsia="Times New Roman" w:hAnsi="Arial" w:cs="Arial"/>
                <w:color w:val="FF0000"/>
                <w:lang w:val="en-US"/>
              </w:rPr>
            </w:pPr>
            <w:r w:rsidRPr="003A46B3">
              <w:rPr>
                <w:rFonts w:ascii="Arial" w:eastAsia="Times New Roman" w:hAnsi="Arial" w:cs="Arial"/>
                <w:color w:val="FF0000"/>
                <w:lang w:val="en-US"/>
              </w:rPr>
              <w:t> </w:t>
            </w:r>
          </w:p>
        </w:tc>
        <w:tc>
          <w:tcPr>
            <w:tcW w:w="1330" w:type="dxa"/>
            <w:tcBorders>
              <w:top w:val="nil"/>
              <w:left w:val="nil"/>
              <w:bottom w:val="nil"/>
              <w:right w:val="nil"/>
            </w:tcBorders>
            <w:shd w:val="clear" w:color="000000" w:fill="EEECE1"/>
            <w:vAlign w:val="center"/>
            <w:hideMark/>
          </w:tcPr>
          <w:p w14:paraId="5C652DBD" w14:textId="77777777" w:rsidR="003A46B3" w:rsidRPr="003A46B3" w:rsidRDefault="003A46B3" w:rsidP="003A46B3">
            <w:pPr>
              <w:spacing w:after="0" w:line="240" w:lineRule="auto"/>
              <w:rPr>
                <w:rFonts w:ascii="Arial" w:eastAsia="Times New Roman" w:hAnsi="Arial" w:cs="Arial"/>
                <w:color w:val="FF0000"/>
                <w:lang w:val="en-US"/>
              </w:rPr>
            </w:pPr>
            <w:r w:rsidRPr="003A46B3">
              <w:rPr>
                <w:rFonts w:ascii="Arial" w:eastAsia="Times New Roman" w:hAnsi="Arial" w:cs="Arial"/>
                <w:color w:val="FF0000"/>
                <w:lang w:val="en-US"/>
              </w:rPr>
              <w:t> </w:t>
            </w:r>
          </w:p>
        </w:tc>
        <w:tc>
          <w:tcPr>
            <w:tcW w:w="1356" w:type="dxa"/>
            <w:tcBorders>
              <w:top w:val="nil"/>
              <w:left w:val="nil"/>
              <w:bottom w:val="nil"/>
              <w:right w:val="nil"/>
            </w:tcBorders>
            <w:shd w:val="clear" w:color="000000" w:fill="EEECE1"/>
            <w:vAlign w:val="center"/>
            <w:hideMark/>
          </w:tcPr>
          <w:p w14:paraId="30988593" w14:textId="77777777" w:rsidR="003A46B3" w:rsidRPr="003A46B3" w:rsidRDefault="003A46B3" w:rsidP="003A46B3">
            <w:pPr>
              <w:spacing w:after="0" w:line="240" w:lineRule="auto"/>
              <w:rPr>
                <w:rFonts w:ascii="Arial" w:eastAsia="Times New Roman" w:hAnsi="Arial" w:cs="Arial"/>
                <w:b/>
                <w:bCs/>
                <w:color w:val="FF0000"/>
                <w:lang w:val="en-US"/>
              </w:rPr>
            </w:pPr>
            <w:r w:rsidRPr="003A46B3">
              <w:rPr>
                <w:rFonts w:ascii="Arial" w:eastAsia="Times New Roman" w:hAnsi="Arial" w:cs="Arial"/>
                <w:b/>
                <w:bCs/>
                <w:color w:val="FF0000"/>
                <w:lang w:val="en-US"/>
              </w:rPr>
              <w:t>–40</w:t>
            </w:r>
          </w:p>
        </w:tc>
      </w:tr>
      <w:tr w:rsidR="003A46B3" w:rsidRPr="003A46B3" w14:paraId="2DC4D1E7" w14:textId="77777777" w:rsidTr="003A46B3">
        <w:trPr>
          <w:trHeight w:val="310"/>
          <w:jc w:val="center"/>
        </w:trPr>
        <w:tc>
          <w:tcPr>
            <w:tcW w:w="2870" w:type="dxa"/>
            <w:tcBorders>
              <w:top w:val="nil"/>
              <w:left w:val="nil"/>
              <w:bottom w:val="nil"/>
              <w:right w:val="nil"/>
            </w:tcBorders>
            <w:shd w:val="clear" w:color="000000" w:fill="EEECE1"/>
            <w:vAlign w:val="center"/>
            <w:hideMark/>
          </w:tcPr>
          <w:p w14:paraId="20EB4844" w14:textId="77777777" w:rsidR="003A46B3" w:rsidRPr="003A46B3" w:rsidRDefault="003A46B3" w:rsidP="003A46B3">
            <w:pPr>
              <w:spacing w:after="0" w:line="240" w:lineRule="auto"/>
              <w:rPr>
                <w:rFonts w:ascii="Arial" w:eastAsia="Times New Roman" w:hAnsi="Arial" w:cs="Arial"/>
                <w:b/>
                <w:bCs/>
                <w:color w:val="000000"/>
                <w:lang w:val="en-US"/>
              </w:rPr>
            </w:pPr>
            <w:r w:rsidRPr="003A46B3">
              <w:rPr>
                <w:rFonts w:ascii="Arial" w:eastAsia="Times New Roman" w:hAnsi="Arial" w:cs="Arial"/>
                <w:b/>
                <w:bCs/>
                <w:color w:val="000000"/>
                <w:lang w:val="en-US"/>
              </w:rPr>
              <w:t>NPV @10%</w:t>
            </w:r>
          </w:p>
        </w:tc>
        <w:tc>
          <w:tcPr>
            <w:tcW w:w="1098" w:type="dxa"/>
            <w:tcBorders>
              <w:top w:val="nil"/>
              <w:left w:val="nil"/>
              <w:bottom w:val="nil"/>
              <w:right w:val="nil"/>
            </w:tcBorders>
            <w:shd w:val="clear" w:color="000000" w:fill="EEECE1"/>
            <w:vAlign w:val="center"/>
            <w:hideMark/>
          </w:tcPr>
          <w:p w14:paraId="7D40274D" w14:textId="77777777" w:rsidR="003A46B3" w:rsidRPr="003A46B3" w:rsidRDefault="003A46B3" w:rsidP="003A46B3">
            <w:pPr>
              <w:spacing w:after="0" w:line="240" w:lineRule="auto"/>
              <w:rPr>
                <w:rFonts w:ascii="Arial" w:eastAsia="Times New Roman" w:hAnsi="Arial" w:cs="Arial"/>
                <w:color w:val="000000"/>
                <w:lang w:val="en-US"/>
              </w:rPr>
            </w:pPr>
            <w:r w:rsidRPr="003A46B3">
              <w:rPr>
                <w:rFonts w:ascii="Arial" w:eastAsia="Times New Roman" w:hAnsi="Arial" w:cs="Arial"/>
                <w:color w:val="000000"/>
                <w:lang w:val="en-US"/>
              </w:rPr>
              <w:t> </w:t>
            </w:r>
          </w:p>
        </w:tc>
        <w:tc>
          <w:tcPr>
            <w:tcW w:w="1330" w:type="dxa"/>
            <w:tcBorders>
              <w:top w:val="nil"/>
              <w:left w:val="nil"/>
              <w:bottom w:val="nil"/>
              <w:right w:val="nil"/>
            </w:tcBorders>
            <w:shd w:val="clear" w:color="000000" w:fill="EEECE1"/>
            <w:vAlign w:val="center"/>
            <w:hideMark/>
          </w:tcPr>
          <w:p w14:paraId="2130A392" w14:textId="77777777" w:rsidR="003A46B3" w:rsidRPr="003A46B3" w:rsidRDefault="003A46B3" w:rsidP="003A46B3">
            <w:pPr>
              <w:spacing w:after="0" w:line="240" w:lineRule="auto"/>
              <w:rPr>
                <w:rFonts w:ascii="Arial" w:eastAsia="Times New Roman" w:hAnsi="Arial" w:cs="Arial"/>
                <w:color w:val="000000"/>
                <w:lang w:val="en-US"/>
              </w:rPr>
            </w:pPr>
            <w:r w:rsidRPr="003A46B3">
              <w:rPr>
                <w:rFonts w:ascii="Arial" w:eastAsia="Times New Roman" w:hAnsi="Arial" w:cs="Arial"/>
                <w:color w:val="000000"/>
                <w:lang w:val="en-US"/>
              </w:rPr>
              <w:t> </w:t>
            </w:r>
          </w:p>
        </w:tc>
        <w:tc>
          <w:tcPr>
            <w:tcW w:w="1356" w:type="dxa"/>
            <w:tcBorders>
              <w:top w:val="nil"/>
              <w:left w:val="nil"/>
              <w:bottom w:val="nil"/>
              <w:right w:val="nil"/>
            </w:tcBorders>
            <w:shd w:val="clear" w:color="000000" w:fill="EEECE1"/>
            <w:vAlign w:val="center"/>
            <w:hideMark/>
          </w:tcPr>
          <w:p w14:paraId="61FFCF69" w14:textId="77777777" w:rsidR="003A46B3" w:rsidRPr="003A46B3" w:rsidRDefault="003A46B3" w:rsidP="003A46B3">
            <w:pPr>
              <w:spacing w:after="0" w:line="240" w:lineRule="auto"/>
              <w:jc w:val="right"/>
              <w:rPr>
                <w:rFonts w:ascii="Arial" w:eastAsia="Times New Roman" w:hAnsi="Arial" w:cs="Arial"/>
                <w:b/>
                <w:bCs/>
                <w:color w:val="000000"/>
                <w:lang w:val="en-US"/>
              </w:rPr>
            </w:pPr>
            <w:r w:rsidRPr="003A46B3">
              <w:rPr>
                <w:rFonts w:ascii="Arial" w:eastAsia="Times New Roman" w:hAnsi="Arial" w:cs="Arial"/>
                <w:b/>
                <w:bCs/>
                <w:color w:val="000000"/>
                <w:lang w:val="en-US"/>
              </w:rPr>
              <w:t>1.33</w:t>
            </w:r>
          </w:p>
        </w:tc>
      </w:tr>
    </w:tbl>
    <w:p w14:paraId="72B54DD3" w14:textId="77777777" w:rsidR="00C7208C" w:rsidRPr="009E2403" w:rsidRDefault="00C7208C" w:rsidP="00C7208C">
      <w:pPr>
        <w:rPr>
          <w:rFonts w:ascii="Arial" w:hAnsi="Arial" w:cs="Arial"/>
          <w:sz w:val="24"/>
        </w:rPr>
      </w:pPr>
    </w:p>
    <w:tbl>
      <w:tblPr>
        <w:tblW w:w="6504" w:type="dxa"/>
        <w:jc w:val="center"/>
        <w:tblLook w:val="04A0" w:firstRow="1" w:lastRow="0" w:firstColumn="1" w:lastColumn="0" w:noHBand="0" w:noVBand="1"/>
      </w:tblPr>
      <w:tblGrid>
        <w:gridCol w:w="2805"/>
        <w:gridCol w:w="1075"/>
        <w:gridCol w:w="1299"/>
        <w:gridCol w:w="1325"/>
      </w:tblGrid>
      <w:tr w:rsidR="003A46B3" w:rsidRPr="009E2403" w14:paraId="78E8BB4F" w14:textId="77777777" w:rsidTr="003A46B3">
        <w:trPr>
          <w:trHeight w:val="932"/>
          <w:jc w:val="center"/>
        </w:trPr>
        <w:tc>
          <w:tcPr>
            <w:tcW w:w="2805" w:type="dxa"/>
            <w:tcBorders>
              <w:top w:val="nil"/>
              <w:left w:val="nil"/>
              <w:bottom w:val="nil"/>
              <w:right w:val="nil"/>
            </w:tcBorders>
            <w:shd w:val="clear" w:color="000000" w:fill="EEECE1"/>
            <w:vAlign w:val="center"/>
            <w:hideMark/>
          </w:tcPr>
          <w:p w14:paraId="30779FB9" w14:textId="77777777" w:rsidR="003A46B3" w:rsidRPr="003A46B3" w:rsidRDefault="003A46B3" w:rsidP="003A46B3">
            <w:pPr>
              <w:spacing w:after="0" w:line="240" w:lineRule="auto"/>
              <w:jc w:val="right"/>
              <w:rPr>
                <w:rFonts w:ascii="Arial" w:eastAsia="Times New Roman" w:hAnsi="Arial" w:cs="Arial"/>
                <w:b/>
                <w:bCs/>
                <w:color w:val="FF0000"/>
                <w:lang w:val="en-US"/>
              </w:rPr>
            </w:pPr>
            <w:r w:rsidRPr="003A46B3">
              <w:rPr>
                <w:rFonts w:ascii="Arial" w:eastAsia="Times New Roman" w:hAnsi="Arial" w:cs="Arial"/>
                <w:b/>
                <w:bCs/>
                <w:color w:val="FF0000"/>
                <w:lang w:val="en-US"/>
              </w:rPr>
              <w:t>Year</w:t>
            </w:r>
          </w:p>
        </w:tc>
        <w:tc>
          <w:tcPr>
            <w:tcW w:w="1075" w:type="dxa"/>
            <w:tcBorders>
              <w:top w:val="nil"/>
              <w:left w:val="nil"/>
              <w:bottom w:val="nil"/>
              <w:right w:val="nil"/>
            </w:tcBorders>
            <w:shd w:val="clear" w:color="000000" w:fill="EEECE1"/>
            <w:vAlign w:val="center"/>
            <w:hideMark/>
          </w:tcPr>
          <w:p w14:paraId="783750A6" w14:textId="77777777" w:rsidR="003A46B3" w:rsidRPr="003A46B3" w:rsidRDefault="003A46B3" w:rsidP="003A46B3">
            <w:pPr>
              <w:spacing w:after="0" w:line="240" w:lineRule="auto"/>
              <w:jc w:val="center"/>
              <w:rPr>
                <w:rFonts w:ascii="Arial" w:eastAsia="Times New Roman" w:hAnsi="Arial" w:cs="Arial"/>
                <w:b/>
                <w:bCs/>
                <w:color w:val="FF0000"/>
                <w:lang w:val="en-US"/>
              </w:rPr>
            </w:pPr>
            <w:r w:rsidRPr="003A46B3">
              <w:rPr>
                <w:rFonts w:ascii="Arial" w:eastAsia="Times New Roman" w:hAnsi="Arial" w:cs="Arial"/>
                <w:b/>
                <w:bCs/>
                <w:color w:val="FF0000"/>
                <w:lang w:val="en-US"/>
              </w:rPr>
              <w:t>Cash Flow (£m)</w:t>
            </w:r>
          </w:p>
        </w:tc>
        <w:tc>
          <w:tcPr>
            <w:tcW w:w="1299" w:type="dxa"/>
            <w:tcBorders>
              <w:top w:val="nil"/>
              <w:left w:val="nil"/>
              <w:bottom w:val="nil"/>
              <w:right w:val="nil"/>
            </w:tcBorders>
            <w:shd w:val="clear" w:color="000000" w:fill="EEECE1"/>
            <w:vAlign w:val="center"/>
            <w:hideMark/>
          </w:tcPr>
          <w:p w14:paraId="7D1DE557" w14:textId="77777777" w:rsidR="003A46B3" w:rsidRPr="003A46B3" w:rsidRDefault="003A46B3" w:rsidP="003A46B3">
            <w:pPr>
              <w:spacing w:after="0" w:line="240" w:lineRule="auto"/>
              <w:jc w:val="center"/>
              <w:rPr>
                <w:rFonts w:ascii="Arial" w:eastAsia="Times New Roman" w:hAnsi="Arial" w:cs="Arial"/>
                <w:b/>
                <w:bCs/>
                <w:color w:val="FF0000"/>
                <w:lang w:val="en-US"/>
              </w:rPr>
            </w:pPr>
            <w:r w:rsidRPr="003A46B3">
              <w:rPr>
                <w:rFonts w:ascii="Arial" w:eastAsia="Times New Roman" w:hAnsi="Arial" w:cs="Arial"/>
                <w:b/>
                <w:bCs/>
                <w:color w:val="FF0000"/>
                <w:lang w:val="en-US"/>
              </w:rPr>
              <w:t>PV Factor 20%</w:t>
            </w:r>
          </w:p>
        </w:tc>
        <w:tc>
          <w:tcPr>
            <w:tcW w:w="1325" w:type="dxa"/>
            <w:tcBorders>
              <w:top w:val="nil"/>
              <w:left w:val="nil"/>
              <w:bottom w:val="nil"/>
              <w:right w:val="nil"/>
            </w:tcBorders>
            <w:shd w:val="clear" w:color="000000" w:fill="EEECE1"/>
            <w:vAlign w:val="center"/>
            <w:hideMark/>
          </w:tcPr>
          <w:p w14:paraId="7EF4302A" w14:textId="77777777" w:rsidR="003A46B3" w:rsidRPr="003A46B3" w:rsidRDefault="003A46B3" w:rsidP="003A46B3">
            <w:pPr>
              <w:spacing w:after="0" w:line="240" w:lineRule="auto"/>
              <w:jc w:val="center"/>
              <w:rPr>
                <w:rFonts w:ascii="Arial" w:eastAsia="Times New Roman" w:hAnsi="Arial" w:cs="Arial"/>
                <w:b/>
                <w:bCs/>
                <w:color w:val="FF0000"/>
                <w:lang w:val="en-US"/>
              </w:rPr>
            </w:pPr>
            <w:r w:rsidRPr="003A46B3">
              <w:rPr>
                <w:rFonts w:ascii="Arial" w:eastAsia="Times New Roman" w:hAnsi="Arial" w:cs="Arial"/>
                <w:b/>
                <w:bCs/>
                <w:color w:val="FF0000"/>
                <w:lang w:val="en-US"/>
              </w:rPr>
              <w:t>PV (£m)</w:t>
            </w:r>
          </w:p>
        </w:tc>
      </w:tr>
      <w:tr w:rsidR="003A46B3" w:rsidRPr="009E2403" w14:paraId="0FD0CB15" w14:textId="77777777" w:rsidTr="003A46B3">
        <w:trPr>
          <w:trHeight w:val="311"/>
          <w:jc w:val="center"/>
        </w:trPr>
        <w:tc>
          <w:tcPr>
            <w:tcW w:w="2805" w:type="dxa"/>
            <w:tcBorders>
              <w:top w:val="nil"/>
              <w:left w:val="nil"/>
              <w:bottom w:val="nil"/>
              <w:right w:val="nil"/>
            </w:tcBorders>
            <w:shd w:val="clear" w:color="000000" w:fill="EEECE1"/>
            <w:vAlign w:val="center"/>
            <w:hideMark/>
          </w:tcPr>
          <w:p w14:paraId="1366AFE0"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w:t>
            </w:r>
          </w:p>
        </w:tc>
        <w:tc>
          <w:tcPr>
            <w:tcW w:w="1075" w:type="dxa"/>
            <w:tcBorders>
              <w:top w:val="nil"/>
              <w:left w:val="nil"/>
              <w:bottom w:val="nil"/>
              <w:right w:val="nil"/>
            </w:tcBorders>
            <w:shd w:val="clear" w:color="000000" w:fill="EEECE1"/>
            <w:vAlign w:val="center"/>
            <w:hideMark/>
          </w:tcPr>
          <w:p w14:paraId="6575E6AF"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10</w:t>
            </w:r>
          </w:p>
        </w:tc>
        <w:tc>
          <w:tcPr>
            <w:tcW w:w="1299" w:type="dxa"/>
            <w:tcBorders>
              <w:top w:val="nil"/>
              <w:left w:val="nil"/>
              <w:bottom w:val="nil"/>
              <w:right w:val="nil"/>
            </w:tcBorders>
            <w:shd w:val="clear" w:color="000000" w:fill="EEECE1"/>
            <w:vAlign w:val="center"/>
            <w:hideMark/>
          </w:tcPr>
          <w:p w14:paraId="771FBE42"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0.833</w:t>
            </w:r>
          </w:p>
        </w:tc>
        <w:tc>
          <w:tcPr>
            <w:tcW w:w="1325" w:type="dxa"/>
            <w:tcBorders>
              <w:top w:val="nil"/>
              <w:left w:val="nil"/>
              <w:bottom w:val="nil"/>
              <w:right w:val="nil"/>
            </w:tcBorders>
            <w:shd w:val="clear" w:color="000000" w:fill="EEECE1"/>
            <w:vAlign w:val="center"/>
            <w:hideMark/>
          </w:tcPr>
          <w:p w14:paraId="17D2DF64"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4.76</w:t>
            </w:r>
          </w:p>
        </w:tc>
      </w:tr>
      <w:tr w:rsidR="003A46B3" w:rsidRPr="009E2403" w14:paraId="3C517367" w14:textId="77777777" w:rsidTr="003A46B3">
        <w:trPr>
          <w:trHeight w:val="311"/>
          <w:jc w:val="center"/>
        </w:trPr>
        <w:tc>
          <w:tcPr>
            <w:tcW w:w="2805" w:type="dxa"/>
            <w:tcBorders>
              <w:top w:val="nil"/>
              <w:left w:val="nil"/>
              <w:bottom w:val="nil"/>
              <w:right w:val="nil"/>
            </w:tcBorders>
            <w:shd w:val="clear" w:color="000000" w:fill="EEECE1"/>
            <w:vAlign w:val="center"/>
            <w:hideMark/>
          </w:tcPr>
          <w:p w14:paraId="580BB09B"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2</w:t>
            </w:r>
          </w:p>
        </w:tc>
        <w:tc>
          <w:tcPr>
            <w:tcW w:w="1075" w:type="dxa"/>
            <w:tcBorders>
              <w:top w:val="nil"/>
              <w:left w:val="nil"/>
              <w:bottom w:val="nil"/>
              <w:right w:val="nil"/>
            </w:tcBorders>
            <w:shd w:val="clear" w:color="000000" w:fill="EEECE1"/>
            <w:vAlign w:val="center"/>
            <w:hideMark/>
          </w:tcPr>
          <w:p w14:paraId="53830B31"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12</w:t>
            </w:r>
          </w:p>
        </w:tc>
        <w:tc>
          <w:tcPr>
            <w:tcW w:w="1299" w:type="dxa"/>
            <w:tcBorders>
              <w:top w:val="nil"/>
              <w:left w:val="nil"/>
              <w:bottom w:val="nil"/>
              <w:right w:val="nil"/>
            </w:tcBorders>
            <w:shd w:val="clear" w:color="000000" w:fill="EEECE1"/>
            <w:vAlign w:val="center"/>
            <w:hideMark/>
          </w:tcPr>
          <w:p w14:paraId="65512B51"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0.694</w:t>
            </w:r>
          </w:p>
        </w:tc>
        <w:tc>
          <w:tcPr>
            <w:tcW w:w="1325" w:type="dxa"/>
            <w:tcBorders>
              <w:top w:val="nil"/>
              <w:left w:val="nil"/>
              <w:bottom w:val="nil"/>
              <w:right w:val="nil"/>
            </w:tcBorders>
            <w:shd w:val="clear" w:color="000000" w:fill="EEECE1"/>
            <w:vAlign w:val="center"/>
            <w:hideMark/>
          </w:tcPr>
          <w:p w14:paraId="75F7BE6E"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2.72</w:t>
            </w:r>
          </w:p>
        </w:tc>
      </w:tr>
      <w:tr w:rsidR="003A46B3" w:rsidRPr="009E2403" w14:paraId="7C45B130" w14:textId="77777777" w:rsidTr="003A46B3">
        <w:trPr>
          <w:trHeight w:val="311"/>
          <w:jc w:val="center"/>
        </w:trPr>
        <w:tc>
          <w:tcPr>
            <w:tcW w:w="2805" w:type="dxa"/>
            <w:tcBorders>
              <w:top w:val="nil"/>
              <w:left w:val="nil"/>
              <w:bottom w:val="nil"/>
              <w:right w:val="nil"/>
            </w:tcBorders>
            <w:shd w:val="clear" w:color="000000" w:fill="EEECE1"/>
            <w:vAlign w:val="center"/>
            <w:hideMark/>
          </w:tcPr>
          <w:p w14:paraId="1BC51069"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3</w:t>
            </w:r>
          </w:p>
        </w:tc>
        <w:tc>
          <w:tcPr>
            <w:tcW w:w="1075" w:type="dxa"/>
            <w:tcBorders>
              <w:top w:val="nil"/>
              <w:left w:val="nil"/>
              <w:bottom w:val="nil"/>
              <w:right w:val="nil"/>
            </w:tcBorders>
            <w:shd w:val="clear" w:color="000000" w:fill="EEECE1"/>
            <w:vAlign w:val="center"/>
            <w:hideMark/>
          </w:tcPr>
          <w:p w14:paraId="72134563"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14</w:t>
            </w:r>
          </w:p>
        </w:tc>
        <w:tc>
          <w:tcPr>
            <w:tcW w:w="1299" w:type="dxa"/>
            <w:tcBorders>
              <w:top w:val="nil"/>
              <w:left w:val="nil"/>
              <w:bottom w:val="nil"/>
              <w:right w:val="nil"/>
            </w:tcBorders>
            <w:shd w:val="clear" w:color="000000" w:fill="EEECE1"/>
            <w:vAlign w:val="center"/>
            <w:hideMark/>
          </w:tcPr>
          <w:p w14:paraId="6859DE79"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0.579</w:t>
            </w:r>
          </w:p>
        </w:tc>
        <w:tc>
          <w:tcPr>
            <w:tcW w:w="1325" w:type="dxa"/>
            <w:tcBorders>
              <w:top w:val="nil"/>
              <w:left w:val="nil"/>
              <w:bottom w:val="nil"/>
              <w:right w:val="nil"/>
            </w:tcBorders>
            <w:shd w:val="clear" w:color="000000" w:fill="EEECE1"/>
            <w:vAlign w:val="center"/>
            <w:hideMark/>
          </w:tcPr>
          <w:p w14:paraId="5AB8BD5E"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1.51</w:t>
            </w:r>
          </w:p>
        </w:tc>
      </w:tr>
      <w:tr w:rsidR="003A46B3" w:rsidRPr="009E2403" w14:paraId="1B6D3537" w14:textId="77777777" w:rsidTr="003A46B3">
        <w:trPr>
          <w:trHeight w:val="311"/>
          <w:jc w:val="center"/>
        </w:trPr>
        <w:tc>
          <w:tcPr>
            <w:tcW w:w="2805" w:type="dxa"/>
            <w:tcBorders>
              <w:top w:val="nil"/>
              <w:left w:val="nil"/>
              <w:bottom w:val="nil"/>
              <w:right w:val="nil"/>
            </w:tcBorders>
            <w:shd w:val="clear" w:color="000000" w:fill="EEECE1"/>
            <w:vAlign w:val="center"/>
            <w:hideMark/>
          </w:tcPr>
          <w:p w14:paraId="18AB69D0"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4</w:t>
            </w:r>
          </w:p>
        </w:tc>
        <w:tc>
          <w:tcPr>
            <w:tcW w:w="1075" w:type="dxa"/>
            <w:tcBorders>
              <w:top w:val="nil"/>
              <w:left w:val="nil"/>
              <w:bottom w:val="nil"/>
              <w:right w:val="nil"/>
            </w:tcBorders>
            <w:shd w:val="clear" w:color="000000" w:fill="EEECE1"/>
            <w:vAlign w:val="center"/>
            <w:hideMark/>
          </w:tcPr>
          <w:p w14:paraId="03070F48"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10</w:t>
            </w:r>
          </w:p>
        </w:tc>
        <w:tc>
          <w:tcPr>
            <w:tcW w:w="1299" w:type="dxa"/>
            <w:tcBorders>
              <w:top w:val="nil"/>
              <w:left w:val="nil"/>
              <w:bottom w:val="nil"/>
              <w:right w:val="nil"/>
            </w:tcBorders>
            <w:shd w:val="clear" w:color="000000" w:fill="EEECE1"/>
            <w:vAlign w:val="center"/>
            <w:hideMark/>
          </w:tcPr>
          <w:p w14:paraId="40E1F1E8"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0.482</w:t>
            </w:r>
          </w:p>
        </w:tc>
        <w:tc>
          <w:tcPr>
            <w:tcW w:w="1325" w:type="dxa"/>
            <w:tcBorders>
              <w:top w:val="nil"/>
              <w:left w:val="nil"/>
              <w:bottom w:val="nil"/>
              <w:right w:val="nil"/>
            </w:tcBorders>
            <w:shd w:val="clear" w:color="000000" w:fill="EEECE1"/>
            <w:vAlign w:val="center"/>
            <w:hideMark/>
          </w:tcPr>
          <w:p w14:paraId="370A2654"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0.51</w:t>
            </w:r>
          </w:p>
        </w:tc>
      </w:tr>
      <w:tr w:rsidR="003A46B3" w:rsidRPr="009E2403" w14:paraId="7767A0A9" w14:textId="77777777" w:rsidTr="003A46B3">
        <w:trPr>
          <w:trHeight w:val="311"/>
          <w:jc w:val="center"/>
        </w:trPr>
        <w:tc>
          <w:tcPr>
            <w:tcW w:w="2805" w:type="dxa"/>
            <w:tcBorders>
              <w:top w:val="nil"/>
              <w:left w:val="nil"/>
              <w:bottom w:val="nil"/>
              <w:right w:val="nil"/>
            </w:tcBorders>
            <w:shd w:val="clear" w:color="000000" w:fill="EEECE1"/>
            <w:vAlign w:val="center"/>
            <w:hideMark/>
          </w:tcPr>
          <w:p w14:paraId="479F4A82"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5</w:t>
            </w:r>
          </w:p>
        </w:tc>
        <w:tc>
          <w:tcPr>
            <w:tcW w:w="1075" w:type="dxa"/>
            <w:tcBorders>
              <w:top w:val="nil"/>
              <w:left w:val="nil"/>
              <w:bottom w:val="nil"/>
              <w:right w:val="nil"/>
            </w:tcBorders>
            <w:shd w:val="clear" w:color="000000" w:fill="EEECE1"/>
            <w:vAlign w:val="center"/>
            <w:hideMark/>
          </w:tcPr>
          <w:p w14:paraId="44FA3AAA"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8</w:t>
            </w:r>
          </w:p>
        </w:tc>
        <w:tc>
          <w:tcPr>
            <w:tcW w:w="1299" w:type="dxa"/>
            <w:tcBorders>
              <w:top w:val="nil"/>
              <w:left w:val="nil"/>
              <w:bottom w:val="nil"/>
              <w:right w:val="nil"/>
            </w:tcBorders>
            <w:shd w:val="clear" w:color="000000" w:fill="EEECE1"/>
            <w:vAlign w:val="center"/>
            <w:hideMark/>
          </w:tcPr>
          <w:p w14:paraId="4EA952A4"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0.402</w:t>
            </w:r>
          </w:p>
        </w:tc>
        <w:tc>
          <w:tcPr>
            <w:tcW w:w="1325" w:type="dxa"/>
            <w:tcBorders>
              <w:top w:val="nil"/>
              <w:left w:val="nil"/>
              <w:bottom w:val="nil"/>
              <w:right w:val="nil"/>
            </w:tcBorders>
            <w:shd w:val="clear" w:color="000000" w:fill="EEECE1"/>
            <w:vAlign w:val="center"/>
            <w:hideMark/>
          </w:tcPr>
          <w:p w14:paraId="50D430F9" w14:textId="77777777" w:rsidR="003A46B3" w:rsidRPr="003A46B3" w:rsidRDefault="003A46B3" w:rsidP="003A46B3">
            <w:pPr>
              <w:spacing w:after="0" w:line="240" w:lineRule="auto"/>
              <w:jc w:val="right"/>
              <w:rPr>
                <w:rFonts w:ascii="Arial" w:eastAsia="Times New Roman" w:hAnsi="Arial" w:cs="Arial"/>
                <w:color w:val="000000"/>
                <w:lang w:val="en-US"/>
              </w:rPr>
            </w:pPr>
            <w:r w:rsidRPr="003A46B3">
              <w:rPr>
                <w:rFonts w:ascii="Arial" w:eastAsia="Times New Roman" w:hAnsi="Arial" w:cs="Arial"/>
                <w:color w:val="000000"/>
                <w:lang w:val="en-US"/>
              </w:rPr>
              <w:t>0.2</w:t>
            </w:r>
          </w:p>
        </w:tc>
      </w:tr>
      <w:tr w:rsidR="003A46B3" w:rsidRPr="009E2403" w14:paraId="367E24B1" w14:textId="77777777" w:rsidTr="003A46B3">
        <w:trPr>
          <w:trHeight w:val="311"/>
          <w:jc w:val="center"/>
        </w:trPr>
        <w:tc>
          <w:tcPr>
            <w:tcW w:w="2805" w:type="dxa"/>
            <w:tcBorders>
              <w:top w:val="nil"/>
              <w:left w:val="nil"/>
              <w:bottom w:val="nil"/>
              <w:right w:val="nil"/>
            </w:tcBorders>
            <w:shd w:val="clear" w:color="000000" w:fill="EEECE1"/>
            <w:vAlign w:val="center"/>
            <w:hideMark/>
          </w:tcPr>
          <w:p w14:paraId="5D8B7C49" w14:textId="77777777" w:rsidR="003A46B3" w:rsidRPr="003A46B3" w:rsidRDefault="003A46B3" w:rsidP="003A46B3">
            <w:pPr>
              <w:spacing w:after="0" w:line="240" w:lineRule="auto"/>
              <w:rPr>
                <w:rFonts w:ascii="Arial" w:eastAsia="Times New Roman" w:hAnsi="Arial" w:cs="Arial"/>
                <w:b/>
                <w:bCs/>
                <w:color w:val="000000"/>
                <w:lang w:val="en-US"/>
              </w:rPr>
            </w:pPr>
            <w:r w:rsidRPr="003A46B3">
              <w:rPr>
                <w:rFonts w:ascii="Arial" w:eastAsia="Times New Roman" w:hAnsi="Arial" w:cs="Arial"/>
                <w:b/>
                <w:bCs/>
                <w:color w:val="000000"/>
                <w:lang w:val="en-US"/>
              </w:rPr>
              <w:t>Total PV of Inflows</w:t>
            </w:r>
          </w:p>
        </w:tc>
        <w:tc>
          <w:tcPr>
            <w:tcW w:w="1075" w:type="dxa"/>
            <w:tcBorders>
              <w:top w:val="nil"/>
              <w:left w:val="nil"/>
              <w:bottom w:val="nil"/>
              <w:right w:val="nil"/>
            </w:tcBorders>
            <w:shd w:val="clear" w:color="000000" w:fill="EEECE1"/>
            <w:vAlign w:val="center"/>
            <w:hideMark/>
          </w:tcPr>
          <w:p w14:paraId="4B2BF754" w14:textId="77777777" w:rsidR="003A46B3" w:rsidRPr="003A46B3" w:rsidRDefault="003A46B3" w:rsidP="003A46B3">
            <w:pPr>
              <w:spacing w:after="0" w:line="240" w:lineRule="auto"/>
              <w:rPr>
                <w:rFonts w:ascii="Arial" w:eastAsia="Times New Roman" w:hAnsi="Arial" w:cs="Arial"/>
                <w:color w:val="000000"/>
                <w:lang w:val="en-US"/>
              </w:rPr>
            </w:pPr>
            <w:r w:rsidRPr="003A46B3">
              <w:rPr>
                <w:rFonts w:ascii="Arial" w:eastAsia="Times New Roman" w:hAnsi="Arial" w:cs="Arial"/>
                <w:color w:val="000000"/>
                <w:lang w:val="en-US"/>
              </w:rPr>
              <w:t> </w:t>
            </w:r>
          </w:p>
        </w:tc>
        <w:tc>
          <w:tcPr>
            <w:tcW w:w="1299" w:type="dxa"/>
            <w:tcBorders>
              <w:top w:val="nil"/>
              <w:left w:val="nil"/>
              <w:bottom w:val="nil"/>
              <w:right w:val="nil"/>
            </w:tcBorders>
            <w:shd w:val="clear" w:color="000000" w:fill="EEECE1"/>
            <w:vAlign w:val="center"/>
            <w:hideMark/>
          </w:tcPr>
          <w:p w14:paraId="70BC2030" w14:textId="77777777" w:rsidR="003A46B3" w:rsidRPr="003A46B3" w:rsidRDefault="003A46B3" w:rsidP="003A46B3">
            <w:pPr>
              <w:spacing w:after="0" w:line="240" w:lineRule="auto"/>
              <w:rPr>
                <w:rFonts w:ascii="Arial" w:eastAsia="Times New Roman" w:hAnsi="Arial" w:cs="Arial"/>
                <w:color w:val="000000"/>
                <w:lang w:val="en-US"/>
              </w:rPr>
            </w:pPr>
            <w:r w:rsidRPr="003A46B3">
              <w:rPr>
                <w:rFonts w:ascii="Arial" w:eastAsia="Times New Roman" w:hAnsi="Arial" w:cs="Arial"/>
                <w:color w:val="000000"/>
                <w:lang w:val="en-US"/>
              </w:rPr>
              <w:t> </w:t>
            </w:r>
          </w:p>
        </w:tc>
        <w:tc>
          <w:tcPr>
            <w:tcW w:w="1325" w:type="dxa"/>
            <w:tcBorders>
              <w:top w:val="nil"/>
              <w:left w:val="nil"/>
              <w:bottom w:val="nil"/>
              <w:right w:val="nil"/>
            </w:tcBorders>
            <w:shd w:val="clear" w:color="000000" w:fill="EEECE1"/>
            <w:vAlign w:val="center"/>
            <w:hideMark/>
          </w:tcPr>
          <w:p w14:paraId="7C2BC6FF" w14:textId="77777777" w:rsidR="003A46B3" w:rsidRPr="003A46B3" w:rsidRDefault="003A46B3" w:rsidP="003A46B3">
            <w:pPr>
              <w:spacing w:after="0" w:line="240" w:lineRule="auto"/>
              <w:jc w:val="right"/>
              <w:rPr>
                <w:rFonts w:ascii="Arial" w:eastAsia="Times New Roman" w:hAnsi="Arial" w:cs="Arial"/>
                <w:b/>
                <w:bCs/>
                <w:color w:val="000000"/>
                <w:lang w:val="en-US"/>
              </w:rPr>
            </w:pPr>
            <w:r w:rsidRPr="003A46B3">
              <w:rPr>
                <w:rFonts w:ascii="Arial" w:eastAsia="Times New Roman" w:hAnsi="Arial" w:cs="Arial"/>
                <w:b/>
                <w:bCs/>
                <w:color w:val="000000"/>
                <w:lang w:val="en-US"/>
              </w:rPr>
              <w:t>9.7</w:t>
            </w:r>
          </w:p>
        </w:tc>
      </w:tr>
      <w:tr w:rsidR="003A46B3" w:rsidRPr="009E2403" w14:paraId="0A28459B" w14:textId="77777777" w:rsidTr="003A46B3">
        <w:trPr>
          <w:trHeight w:val="311"/>
          <w:jc w:val="center"/>
        </w:trPr>
        <w:tc>
          <w:tcPr>
            <w:tcW w:w="2805" w:type="dxa"/>
            <w:tcBorders>
              <w:top w:val="nil"/>
              <w:left w:val="nil"/>
              <w:bottom w:val="nil"/>
              <w:right w:val="nil"/>
            </w:tcBorders>
            <w:shd w:val="clear" w:color="000000" w:fill="EEECE1"/>
            <w:vAlign w:val="center"/>
            <w:hideMark/>
          </w:tcPr>
          <w:p w14:paraId="20525E1D" w14:textId="77777777" w:rsidR="003A46B3" w:rsidRPr="003A46B3" w:rsidRDefault="003A46B3" w:rsidP="003A46B3">
            <w:pPr>
              <w:spacing w:after="0" w:line="240" w:lineRule="auto"/>
              <w:rPr>
                <w:rFonts w:ascii="Arial" w:eastAsia="Times New Roman" w:hAnsi="Arial" w:cs="Arial"/>
                <w:b/>
                <w:bCs/>
                <w:color w:val="FF0000"/>
                <w:lang w:val="en-US"/>
              </w:rPr>
            </w:pPr>
            <w:r w:rsidRPr="003A46B3">
              <w:rPr>
                <w:rFonts w:ascii="Arial" w:eastAsia="Times New Roman" w:hAnsi="Arial" w:cs="Arial"/>
                <w:b/>
                <w:bCs/>
                <w:color w:val="FF0000"/>
                <w:lang w:val="en-US"/>
              </w:rPr>
              <w:t>Initial Investment</w:t>
            </w:r>
          </w:p>
        </w:tc>
        <w:tc>
          <w:tcPr>
            <w:tcW w:w="1075" w:type="dxa"/>
            <w:tcBorders>
              <w:top w:val="nil"/>
              <w:left w:val="nil"/>
              <w:bottom w:val="nil"/>
              <w:right w:val="nil"/>
            </w:tcBorders>
            <w:shd w:val="clear" w:color="000000" w:fill="EEECE1"/>
            <w:vAlign w:val="center"/>
            <w:hideMark/>
          </w:tcPr>
          <w:p w14:paraId="12F140C6" w14:textId="77777777" w:rsidR="003A46B3" w:rsidRPr="003A46B3" w:rsidRDefault="003A46B3" w:rsidP="003A46B3">
            <w:pPr>
              <w:spacing w:after="0" w:line="240" w:lineRule="auto"/>
              <w:rPr>
                <w:rFonts w:ascii="Arial" w:eastAsia="Times New Roman" w:hAnsi="Arial" w:cs="Arial"/>
                <w:color w:val="FF0000"/>
                <w:lang w:val="en-US"/>
              </w:rPr>
            </w:pPr>
            <w:r w:rsidRPr="003A46B3">
              <w:rPr>
                <w:rFonts w:ascii="Arial" w:eastAsia="Times New Roman" w:hAnsi="Arial" w:cs="Arial"/>
                <w:color w:val="FF0000"/>
                <w:lang w:val="en-US"/>
              </w:rPr>
              <w:t> </w:t>
            </w:r>
          </w:p>
        </w:tc>
        <w:tc>
          <w:tcPr>
            <w:tcW w:w="1299" w:type="dxa"/>
            <w:tcBorders>
              <w:top w:val="nil"/>
              <w:left w:val="nil"/>
              <w:bottom w:val="nil"/>
              <w:right w:val="nil"/>
            </w:tcBorders>
            <w:shd w:val="clear" w:color="000000" w:fill="EEECE1"/>
            <w:vAlign w:val="center"/>
            <w:hideMark/>
          </w:tcPr>
          <w:p w14:paraId="4C4EB549" w14:textId="77777777" w:rsidR="003A46B3" w:rsidRPr="003A46B3" w:rsidRDefault="003A46B3" w:rsidP="003A46B3">
            <w:pPr>
              <w:spacing w:after="0" w:line="240" w:lineRule="auto"/>
              <w:rPr>
                <w:rFonts w:ascii="Arial" w:eastAsia="Times New Roman" w:hAnsi="Arial" w:cs="Arial"/>
                <w:color w:val="FF0000"/>
                <w:lang w:val="en-US"/>
              </w:rPr>
            </w:pPr>
            <w:r w:rsidRPr="003A46B3">
              <w:rPr>
                <w:rFonts w:ascii="Arial" w:eastAsia="Times New Roman" w:hAnsi="Arial" w:cs="Arial"/>
                <w:color w:val="FF0000"/>
                <w:lang w:val="en-US"/>
              </w:rPr>
              <w:t> </w:t>
            </w:r>
          </w:p>
        </w:tc>
        <w:tc>
          <w:tcPr>
            <w:tcW w:w="1325" w:type="dxa"/>
            <w:tcBorders>
              <w:top w:val="nil"/>
              <w:left w:val="nil"/>
              <w:bottom w:val="nil"/>
              <w:right w:val="nil"/>
            </w:tcBorders>
            <w:shd w:val="clear" w:color="000000" w:fill="EEECE1"/>
            <w:vAlign w:val="center"/>
            <w:hideMark/>
          </w:tcPr>
          <w:p w14:paraId="028D84B2" w14:textId="77777777" w:rsidR="003A46B3" w:rsidRPr="003A46B3" w:rsidRDefault="003A46B3" w:rsidP="003A46B3">
            <w:pPr>
              <w:spacing w:after="0" w:line="240" w:lineRule="auto"/>
              <w:rPr>
                <w:rFonts w:ascii="Arial" w:eastAsia="Times New Roman" w:hAnsi="Arial" w:cs="Arial"/>
                <w:b/>
                <w:bCs/>
                <w:color w:val="FF0000"/>
                <w:lang w:val="en-US"/>
              </w:rPr>
            </w:pPr>
            <w:r w:rsidRPr="003A46B3">
              <w:rPr>
                <w:rFonts w:ascii="Arial" w:eastAsia="Times New Roman" w:hAnsi="Arial" w:cs="Arial"/>
                <w:b/>
                <w:bCs/>
                <w:color w:val="FF0000"/>
                <w:lang w:val="en-US"/>
              </w:rPr>
              <w:t>–40</w:t>
            </w:r>
          </w:p>
        </w:tc>
      </w:tr>
      <w:tr w:rsidR="003A46B3" w:rsidRPr="009E2403" w14:paraId="5438B2DE" w14:textId="77777777" w:rsidTr="003A46B3">
        <w:trPr>
          <w:trHeight w:val="311"/>
          <w:jc w:val="center"/>
        </w:trPr>
        <w:tc>
          <w:tcPr>
            <w:tcW w:w="2805" w:type="dxa"/>
            <w:tcBorders>
              <w:top w:val="nil"/>
              <w:left w:val="nil"/>
              <w:bottom w:val="nil"/>
              <w:right w:val="nil"/>
            </w:tcBorders>
            <w:shd w:val="clear" w:color="000000" w:fill="EEECE1"/>
            <w:vAlign w:val="center"/>
            <w:hideMark/>
          </w:tcPr>
          <w:p w14:paraId="460313D7" w14:textId="77777777" w:rsidR="003A46B3" w:rsidRPr="003A46B3" w:rsidRDefault="003A46B3" w:rsidP="003A46B3">
            <w:pPr>
              <w:spacing w:after="0" w:line="240" w:lineRule="auto"/>
              <w:rPr>
                <w:rFonts w:ascii="Arial" w:eastAsia="Times New Roman" w:hAnsi="Arial" w:cs="Arial"/>
                <w:b/>
                <w:bCs/>
                <w:color w:val="000000"/>
                <w:lang w:val="en-US"/>
              </w:rPr>
            </w:pPr>
            <w:r w:rsidRPr="003A46B3">
              <w:rPr>
                <w:rFonts w:ascii="Arial" w:eastAsia="Times New Roman" w:hAnsi="Arial" w:cs="Arial"/>
                <w:b/>
                <w:bCs/>
                <w:color w:val="000000"/>
                <w:lang w:val="en-US"/>
              </w:rPr>
              <w:t>NPV @20%</w:t>
            </w:r>
          </w:p>
        </w:tc>
        <w:tc>
          <w:tcPr>
            <w:tcW w:w="1075" w:type="dxa"/>
            <w:tcBorders>
              <w:top w:val="nil"/>
              <w:left w:val="nil"/>
              <w:bottom w:val="nil"/>
              <w:right w:val="nil"/>
            </w:tcBorders>
            <w:shd w:val="clear" w:color="000000" w:fill="EEECE1"/>
            <w:vAlign w:val="center"/>
            <w:hideMark/>
          </w:tcPr>
          <w:p w14:paraId="7F1D0957" w14:textId="77777777" w:rsidR="003A46B3" w:rsidRPr="003A46B3" w:rsidRDefault="003A46B3" w:rsidP="003A46B3">
            <w:pPr>
              <w:spacing w:after="0" w:line="240" w:lineRule="auto"/>
              <w:rPr>
                <w:rFonts w:ascii="Arial" w:eastAsia="Times New Roman" w:hAnsi="Arial" w:cs="Arial"/>
                <w:color w:val="000000"/>
                <w:lang w:val="en-US"/>
              </w:rPr>
            </w:pPr>
            <w:r w:rsidRPr="003A46B3">
              <w:rPr>
                <w:rFonts w:ascii="Arial" w:eastAsia="Times New Roman" w:hAnsi="Arial" w:cs="Arial"/>
                <w:color w:val="000000"/>
                <w:lang w:val="en-US"/>
              </w:rPr>
              <w:t> </w:t>
            </w:r>
          </w:p>
        </w:tc>
        <w:tc>
          <w:tcPr>
            <w:tcW w:w="1299" w:type="dxa"/>
            <w:tcBorders>
              <w:top w:val="nil"/>
              <w:left w:val="nil"/>
              <w:bottom w:val="nil"/>
              <w:right w:val="nil"/>
            </w:tcBorders>
            <w:shd w:val="clear" w:color="000000" w:fill="EEECE1"/>
            <w:vAlign w:val="center"/>
            <w:hideMark/>
          </w:tcPr>
          <w:p w14:paraId="17FC5541" w14:textId="77777777" w:rsidR="003A46B3" w:rsidRPr="003A46B3" w:rsidRDefault="003A46B3" w:rsidP="003A46B3">
            <w:pPr>
              <w:spacing w:after="0" w:line="240" w:lineRule="auto"/>
              <w:rPr>
                <w:rFonts w:ascii="Arial" w:eastAsia="Times New Roman" w:hAnsi="Arial" w:cs="Arial"/>
                <w:color w:val="000000"/>
                <w:lang w:val="en-US"/>
              </w:rPr>
            </w:pPr>
            <w:r w:rsidRPr="003A46B3">
              <w:rPr>
                <w:rFonts w:ascii="Arial" w:eastAsia="Times New Roman" w:hAnsi="Arial" w:cs="Arial"/>
                <w:color w:val="000000"/>
                <w:lang w:val="en-US"/>
              </w:rPr>
              <w:t> </w:t>
            </w:r>
          </w:p>
        </w:tc>
        <w:tc>
          <w:tcPr>
            <w:tcW w:w="1325" w:type="dxa"/>
            <w:tcBorders>
              <w:top w:val="nil"/>
              <w:left w:val="nil"/>
              <w:bottom w:val="nil"/>
              <w:right w:val="nil"/>
            </w:tcBorders>
            <w:shd w:val="clear" w:color="000000" w:fill="EEECE1"/>
            <w:vAlign w:val="center"/>
            <w:hideMark/>
          </w:tcPr>
          <w:p w14:paraId="465F61D3" w14:textId="77777777" w:rsidR="003A46B3" w:rsidRPr="003A46B3" w:rsidRDefault="003A46B3" w:rsidP="003A46B3">
            <w:pPr>
              <w:spacing w:after="0" w:line="240" w:lineRule="auto"/>
              <w:rPr>
                <w:rFonts w:ascii="Arial" w:eastAsia="Times New Roman" w:hAnsi="Arial" w:cs="Arial"/>
                <w:b/>
                <w:bCs/>
                <w:color w:val="000000"/>
                <w:lang w:val="en-US"/>
              </w:rPr>
            </w:pPr>
            <w:r w:rsidRPr="003A46B3">
              <w:rPr>
                <w:rFonts w:ascii="Arial" w:eastAsia="Times New Roman" w:hAnsi="Arial" w:cs="Arial"/>
                <w:b/>
                <w:bCs/>
                <w:color w:val="000000"/>
                <w:lang w:val="en-US"/>
              </w:rPr>
              <w:t>–30.70</w:t>
            </w:r>
          </w:p>
        </w:tc>
      </w:tr>
    </w:tbl>
    <w:p w14:paraId="1E32D8F9" w14:textId="77777777" w:rsidR="003A46B3" w:rsidRPr="009E2403" w:rsidRDefault="003A46B3" w:rsidP="00C7208C">
      <w:pPr>
        <w:rPr>
          <w:rFonts w:ascii="Arial" w:hAnsi="Arial" w:cs="Arial"/>
          <w:sz w:val="24"/>
        </w:rPr>
      </w:pPr>
    </w:p>
    <w:p w14:paraId="1FBA98A2"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=Ra+ </m:t>
          </m:r>
          <m:f>
            <m:fPr>
              <m:ctrlPr>
                <w:rPr>
                  <w:rFonts w:ascii="Cambria Math" w:hAnsi="Cambria Math" w:cs="Arial"/>
                  <w:sz w:val="24"/>
                </w:rPr>
              </m:ctrlPr>
            </m:fPr>
            <m:num>
              <m:r>
                <w:rPr>
                  <w:rFonts w:ascii="Cambria Math" w:hAnsi="Cambria Math" w:cs="Arial"/>
                  <w:sz w:val="24"/>
                </w:rPr>
                <m:t>NPVa</m:t>
              </m:r>
            </m:num>
            <m:den>
              <m:r>
                <w:rPr>
                  <w:rFonts w:ascii="Cambria Math" w:hAnsi="Cambria Math" w:cs="Arial"/>
                  <w:sz w:val="24"/>
                </w:rPr>
                <m:t>NPVa-NPVb</m:t>
              </m:r>
            </m:den>
          </m:f>
          <m:r>
            <w:rPr>
              <w:rFonts w:ascii="Cambria Math" w:hAnsi="Cambria Math" w:cs="Arial"/>
              <w:sz w:val="24"/>
            </w:rPr>
            <m:t xml:space="preserve"> x (Rb-Ra)</m:t>
          </m:r>
        </m:oMath>
      </m:oMathPara>
    </w:p>
    <w:p w14:paraId="547E3FF7" w14:textId="77777777" w:rsidR="00C7208C" w:rsidRPr="009E2403" w:rsidRDefault="00C7208C" w:rsidP="00C7208C">
      <w:pPr>
        <w:rPr>
          <w:rFonts w:ascii="Arial" w:eastAsiaTheme="minorEastAsia" w:hAnsi="Arial" w:cs="Arial"/>
          <w:sz w:val="24"/>
        </w:rPr>
      </w:pPr>
      <w:r w:rsidRPr="009E2403">
        <w:rPr>
          <w:rFonts w:ascii="Arial" w:hAnsi="Arial" w:cs="Arial"/>
          <w:sz w:val="24"/>
        </w:rPr>
        <w:t xml:space="preserve"> </w:t>
      </w:r>
      <m:oMath>
        <m:r>
          <m:rPr>
            <m:sty m:val="p"/>
          </m:rPr>
          <w:rPr>
            <w:rFonts w:ascii="Cambria Math" w:hAnsi="Cambria Math" w:cs="Arial"/>
            <w:sz w:val="24"/>
          </w:rPr>
          <w:br/>
        </m:r>
      </m:oMath>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1.32</m:t>
              </m:r>
            </m:num>
            <m:den>
              <m:r>
                <w:rPr>
                  <w:rFonts w:ascii="Cambria Math" w:hAnsi="Cambria Math" w:cs="Arial"/>
                  <w:sz w:val="24"/>
                </w:rPr>
                <m:t>1.32-(-30)</m:t>
              </m:r>
            </m:den>
          </m:f>
          <m:r>
            <w:rPr>
              <w:rFonts w:ascii="Cambria Math" w:hAnsi="Cambria Math" w:cs="Arial"/>
              <w:sz w:val="24"/>
            </w:rPr>
            <m:t xml:space="preserve"> x (0.2-0.1)</m:t>
          </m:r>
        </m:oMath>
      </m:oMathPara>
    </w:p>
    <w:p w14:paraId="0A68BAA7"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1.32</m:t>
              </m:r>
            </m:num>
            <m:den>
              <m:r>
                <w:rPr>
                  <w:rFonts w:ascii="Cambria Math" w:hAnsi="Cambria Math" w:cs="Arial"/>
                  <w:sz w:val="24"/>
                </w:rPr>
                <m:t>28.68</m:t>
              </m:r>
            </m:den>
          </m:f>
          <m:r>
            <w:rPr>
              <w:rFonts w:ascii="Cambria Math" w:hAnsi="Cambria Math" w:cs="Arial"/>
              <w:sz w:val="24"/>
            </w:rPr>
            <m:t xml:space="preserve"> x (0.1)</m:t>
          </m:r>
        </m:oMath>
      </m:oMathPara>
    </w:p>
    <w:p w14:paraId="6ECD5CED"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(-0.046) x (0.1)</m:t>
          </m:r>
        </m:oMath>
      </m:oMathPara>
    </w:p>
    <w:p w14:paraId="5772DC25"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0.0046</m:t>
          </m:r>
        </m:oMath>
      </m:oMathPara>
    </w:p>
    <w:p w14:paraId="6C744E6E"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0.1046</m:t>
          </m:r>
        </m:oMath>
      </m:oMathPara>
    </w:p>
    <w:p w14:paraId="44F1CDBE"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10%</m:t>
          </m:r>
        </m:oMath>
      </m:oMathPara>
    </w:p>
    <w:p w14:paraId="0B6ECE90" w14:textId="77777777" w:rsidR="00C7208C" w:rsidRPr="009E2403" w:rsidRDefault="00C7208C" w:rsidP="00C7208C">
      <w:pPr>
        <w:rPr>
          <w:rFonts w:ascii="Arial" w:hAnsi="Arial" w:cs="Arial"/>
          <w:sz w:val="24"/>
        </w:rPr>
      </w:pPr>
    </w:p>
    <w:p w14:paraId="34F72A4D" w14:textId="77777777" w:rsidR="00C7208C" w:rsidRPr="009E2403" w:rsidRDefault="00C7208C" w:rsidP="00C7208C">
      <w:pPr>
        <w:rPr>
          <w:rFonts w:ascii="Arial" w:hAnsi="Arial" w:cs="Arial"/>
          <w:b/>
          <w:sz w:val="24"/>
        </w:rPr>
      </w:pPr>
      <w:r w:rsidRPr="009E2403">
        <w:rPr>
          <w:rFonts w:ascii="Arial" w:hAnsi="Arial" w:cs="Arial"/>
          <w:b/>
          <w:sz w:val="24"/>
        </w:rPr>
        <w:t>Project B</w:t>
      </w:r>
    </w:p>
    <w:p w14:paraId="091EAA76" w14:textId="77777777" w:rsidR="00C7208C" w:rsidRPr="009E2403" w:rsidRDefault="00C7208C" w:rsidP="00C7208C">
      <w:pPr>
        <w:rPr>
          <w:rFonts w:ascii="Arial" w:hAnsi="Arial" w:cs="Arial"/>
          <w:sz w:val="24"/>
        </w:rPr>
      </w:pPr>
      <w:r w:rsidRPr="009E2403">
        <w:rPr>
          <w:rFonts w:ascii="Arial" w:hAnsi="Arial" w:cs="Arial"/>
          <w:sz w:val="24"/>
        </w:rPr>
        <w:t>NPV at Lowest Discount Rate (at 10%)</w:t>
      </w:r>
    </w:p>
    <w:tbl>
      <w:tblPr>
        <w:tblW w:w="6449" w:type="dxa"/>
        <w:tblInd w:w="93" w:type="dxa"/>
        <w:tblLook w:val="04A0" w:firstRow="1" w:lastRow="0" w:firstColumn="1" w:lastColumn="0" w:noHBand="0" w:noVBand="1"/>
      </w:tblPr>
      <w:tblGrid>
        <w:gridCol w:w="2613"/>
        <w:gridCol w:w="2140"/>
        <w:gridCol w:w="1696"/>
      </w:tblGrid>
      <w:tr w:rsidR="000E145E" w:rsidRPr="000E145E" w14:paraId="24076643" w14:textId="77777777" w:rsidTr="000E145E">
        <w:trPr>
          <w:trHeight w:val="805"/>
        </w:trPr>
        <w:tc>
          <w:tcPr>
            <w:tcW w:w="2613" w:type="dxa"/>
            <w:tcBorders>
              <w:top w:val="nil"/>
              <w:left w:val="nil"/>
              <w:bottom w:val="nil"/>
              <w:right w:val="nil"/>
            </w:tcBorders>
            <w:shd w:val="clear" w:color="000000" w:fill="EEECE1"/>
            <w:vAlign w:val="center"/>
            <w:hideMark/>
          </w:tcPr>
          <w:p w14:paraId="787E2637" w14:textId="77777777" w:rsidR="000E145E" w:rsidRPr="000E145E" w:rsidRDefault="000E145E" w:rsidP="000E145E">
            <w:pPr>
              <w:spacing w:after="0" w:line="240" w:lineRule="auto"/>
              <w:jc w:val="center"/>
              <w:rPr>
                <w:rFonts w:ascii="Arial" w:eastAsia="Times New Roman" w:hAnsi="Arial" w:cs="Arial"/>
                <w:b/>
                <w:bCs/>
                <w:color w:val="FF0000"/>
                <w:lang w:val="en-US"/>
              </w:rPr>
            </w:pPr>
            <w:r w:rsidRPr="000E145E">
              <w:rPr>
                <w:rFonts w:ascii="Arial" w:eastAsia="Times New Roman" w:hAnsi="Arial" w:cs="Arial"/>
                <w:b/>
                <w:bCs/>
                <w:color w:val="FF0000"/>
                <w:lang w:val="en-US"/>
              </w:rPr>
              <w:t>Year</w:t>
            </w:r>
          </w:p>
        </w:tc>
        <w:tc>
          <w:tcPr>
            <w:tcW w:w="2140" w:type="dxa"/>
            <w:tcBorders>
              <w:top w:val="nil"/>
              <w:left w:val="nil"/>
              <w:bottom w:val="nil"/>
              <w:right w:val="nil"/>
            </w:tcBorders>
            <w:shd w:val="clear" w:color="000000" w:fill="EEECE1"/>
            <w:vAlign w:val="center"/>
            <w:hideMark/>
          </w:tcPr>
          <w:p w14:paraId="1A8CF269" w14:textId="77777777" w:rsidR="000E145E" w:rsidRPr="000E145E" w:rsidRDefault="000E145E" w:rsidP="000E145E">
            <w:pPr>
              <w:spacing w:after="0" w:line="240" w:lineRule="auto"/>
              <w:jc w:val="center"/>
              <w:rPr>
                <w:rFonts w:ascii="Arial" w:eastAsia="Times New Roman" w:hAnsi="Arial" w:cs="Arial"/>
                <w:b/>
                <w:bCs/>
                <w:color w:val="FF0000"/>
                <w:lang w:val="en-US"/>
              </w:rPr>
            </w:pPr>
            <w:r w:rsidRPr="000E145E">
              <w:rPr>
                <w:rFonts w:ascii="Arial" w:eastAsia="Times New Roman" w:hAnsi="Arial" w:cs="Arial"/>
                <w:b/>
                <w:bCs/>
                <w:color w:val="FF0000"/>
                <w:lang w:val="en-US"/>
              </w:rPr>
              <w:t>Cash Flow (£m)</w:t>
            </w:r>
          </w:p>
        </w:tc>
        <w:tc>
          <w:tcPr>
            <w:tcW w:w="1696" w:type="dxa"/>
            <w:tcBorders>
              <w:top w:val="nil"/>
              <w:left w:val="nil"/>
              <w:bottom w:val="nil"/>
              <w:right w:val="nil"/>
            </w:tcBorders>
            <w:shd w:val="clear" w:color="000000" w:fill="EEECE1"/>
            <w:vAlign w:val="center"/>
            <w:hideMark/>
          </w:tcPr>
          <w:p w14:paraId="2C3C6550" w14:textId="77777777" w:rsidR="000E145E" w:rsidRPr="000E145E" w:rsidRDefault="000E145E" w:rsidP="000E145E">
            <w:pPr>
              <w:spacing w:after="0" w:line="240" w:lineRule="auto"/>
              <w:jc w:val="center"/>
              <w:rPr>
                <w:rFonts w:ascii="Arial" w:eastAsia="Times New Roman" w:hAnsi="Arial" w:cs="Arial"/>
                <w:b/>
                <w:bCs/>
                <w:color w:val="FF0000"/>
                <w:lang w:val="en-US"/>
              </w:rPr>
            </w:pPr>
            <w:r w:rsidRPr="000E145E">
              <w:rPr>
                <w:rFonts w:ascii="Arial" w:eastAsia="Times New Roman" w:hAnsi="Arial" w:cs="Arial"/>
                <w:b/>
                <w:bCs/>
                <w:color w:val="FF0000"/>
                <w:lang w:val="en-US"/>
              </w:rPr>
              <w:t>PV</w:t>
            </w:r>
          </w:p>
        </w:tc>
      </w:tr>
      <w:tr w:rsidR="000E145E" w:rsidRPr="000E145E" w14:paraId="0A6E769D" w14:textId="77777777" w:rsidTr="000E145E">
        <w:trPr>
          <w:trHeight w:val="805"/>
        </w:trPr>
        <w:tc>
          <w:tcPr>
            <w:tcW w:w="2613" w:type="dxa"/>
            <w:tcBorders>
              <w:top w:val="nil"/>
              <w:left w:val="nil"/>
              <w:bottom w:val="nil"/>
              <w:right w:val="nil"/>
            </w:tcBorders>
            <w:shd w:val="clear" w:color="000000" w:fill="EEECE1"/>
            <w:vAlign w:val="center"/>
            <w:hideMark/>
          </w:tcPr>
          <w:p w14:paraId="4AEAD4A8" w14:textId="77777777" w:rsidR="000E145E" w:rsidRPr="000E145E" w:rsidRDefault="000E145E" w:rsidP="000E145E">
            <w:pPr>
              <w:spacing w:after="0" w:line="240" w:lineRule="auto"/>
              <w:rPr>
                <w:rFonts w:ascii="Arial" w:eastAsia="Times New Roman" w:hAnsi="Arial" w:cs="Arial"/>
                <w:color w:val="000000"/>
                <w:lang w:val="en-US"/>
              </w:rPr>
            </w:pPr>
            <w:r w:rsidRPr="000E145E">
              <w:rPr>
                <w:rFonts w:ascii="Arial" w:eastAsia="Times New Roman" w:hAnsi="Arial" w:cs="Arial"/>
                <w:color w:val="000000"/>
                <w:lang w:val="en-US"/>
              </w:rPr>
              <w:t>1–5</w:t>
            </w:r>
          </w:p>
        </w:tc>
        <w:tc>
          <w:tcPr>
            <w:tcW w:w="2140" w:type="dxa"/>
            <w:tcBorders>
              <w:top w:val="nil"/>
              <w:left w:val="nil"/>
              <w:bottom w:val="nil"/>
              <w:right w:val="nil"/>
            </w:tcBorders>
            <w:shd w:val="clear" w:color="000000" w:fill="EEECE1"/>
            <w:vAlign w:val="center"/>
            <w:hideMark/>
          </w:tcPr>
          <w:p w14:paraId="2DED1357" w14:textId="77777777" w:rsidR="000E145E" w:rsidRPr="000E145E" w:rsidRDefault="000E145E" w:rsidP="000E145E">
            <w:pPr>
              <w:spacing w:after="0" w:line="240" w:lineRule="auto"/>
              <w:rPr>
                <w:rFonts w:ascii="Arial" w:eastAsia="Times New Roman" w:hAnsi="Arial" w:cs="Arial"/>
                <w:color w:val="000000"/>
                <w:lang w:val="en-US"/>
              </w:rPr>
            </w:pPr>
            <w:r w:rsidRPr="000E145E">
              <w:rPr>
                <w:rFonts w:ascii="Arial" w:eastAsia="Times New Roman" w:hAnsi="Arial" w:cs="Arial"/>
                <w:color w:val="000000"/>
                <w:lang w:val="en-US"/>
              </w:rPr>
              <w:t>6 each year</w:t>
            </w:r>
          </w:p>
        </w:tc>
        <w:tc>
          <w:tcPr>
            <w:tcW w:w="1696" w:type="dxa"/>
            <w:tcBorders>
              <w:top w:val="nil"/>
              <w:left w:val="nil"/>
              <w:bottom w:val="nil"/>
              <w:right w:val="nil"/>
            </w:tcBorders>
            <w:shd w:val="clear" w:color="000000" w:fill="EEECE1"/>
            <w:vAlign w:val="center"/>
            <w:hideMark/>
          </w:tcPr>
          <w:p w14:paraId="7B0BB011" w14:textId="77777777" w:rsidR="000E145E" w:rsidRPr="000E145E" w:rsidRDefault="000E145E" w:rsidP="000E145E">
            <w:pPr>
              <w:spacing w:after="0" w:line="240" w:lineRule="auto"/>
              <w:rPr>
                <w:rFonts w:ascii="Arial" w:eastAsia="Times New Roman" w:hAnsi="Arial" w:cs="Arial"/>
                <w:color w:val="000000"/>
                <w:lang w:val="en-US"/>
              </w:rPr>
            </w:pPr>
          </w:p>
        </w:tc>
      </w:tr>
      <w:tr w:rsidR="000E145E" w:rsidRPr="009E2403" w14:paraId="1E98F875" w14:textId="77777777" w:rsidTr="000E145E">
        <w:trPr>
          <w:trHeight w:val="805"/>
        </w:trPr>
        <w:tc>
          <w:tcPr>
            <w:tcW w:w="6449" w:type="dxa"/>
            <w:gridSpan w:val="3"/>
            <w:tcBorders>
              <w:top w:val="nil"/>
              <w:left w:val="nil"/>
              <w:bottom w:val="nil"/>
              <w:right w:val="nil"/>
            </w:tcBorders>
            <w:shd w:val="clear" w:color="000000" w:fill="EEECE1"/>
            <w:vAlign w:val="center"/>
          </w:tcPr>
          <w:p w14:paraId="4AC910DE" w14:textId="77777777" w:rsidR="000E145E" w:rsidRPr="009E2403" w:rsidRDefault="000E145E" w:rsidP="000E145E">
            <w:pPr>
              <w:spacing w:after="0" w:line="240" w:lineRule="auto"/>
              <w:rPr>
                <w:rFonts w:ascii="Arial" w:eastAsia="Times New Roman" w:hAnsi="Arial" w:cs="Arial"/>
                <w:color w:val="000000"/>
                <w:lang w:val="en-US"/>
              </w:rPr>
            </w:pPr>
            <w:r w:rsidRPr="009E2403">
              <w:rPr>
                <w:rFonts w:ascii="Arial" w:eastAsia="Times New Roman" w:hAnsi="Arial" w:cs="Arial"/>
                <w:color w:val="000000"/>
                <w:lang w:val="en-US"/>
              </w:rPr>
              <w:t xml:space="preserve">PV (Y1 to Y5) 5.45+4.96+4.51+4.10+3.73= </w:t>
            </w:r>
            <w:r w:rsidRPr="000E145E">
              <w:rPr>
                <w:rFonts w:ascii="Arial" w:eastAsia="Times New Roman" w:hAnsi="Arial" w:cs="Arial"/>
                <w:color w:val="000000"/>
                <w:lang w:val="en-US"/>
              </w:rPr>
              <w:t>22.74 total</w:t>
            </w:r>
          </w:p>
        </w:tc>
      </w:tr>
      <w:tr w:rsidR="004A6DA1" w:rsidRPr="009E2403" w14:paraId="6ED21979" w14:textId="77777777" w:rsidTr="000E145E">
        <w:trPr>
          <w:trHeight w:val="805"/>
        </w:trPr>
        <w:tc>
          <w:tcPr>
            <w:tcW w:w="6449" w:type="dxa"/>
            <w:gridSpan w:val="3"/>
            <w:tcBorders>
              <w:top w:val="nil"/>
              <w:left w:val="nil"/>
              <w:bottom w:val="nil"/>
              <w:right w:val="nil"/>
            </w:tcBorders>
            <w:shd w:val="clear" w:color="000000" w:fill="EEECE1"/>
            <w:vAlign w:val="center"/>
          </w:tcPr>
          <w:p w14:paraId="6D8051E1" w14:textId="77777777" w:rsidR="004A6DA1" w:rsidRPr="009E2403" w:rsidRDefault="004A6DA1" w:rsidP="000E145E">
            <w:pPr>
              <w:spacing w:after="0" w:line="240" w:lineRule="auto"/>
              <w:rPr>
                <w:rFonts w:ascii="Arial" w:eastAsia="Times New Roman" w:hAnsi="Arial" w:cs="Arial"/>
                <w:color w:val="000000"/>
                <w:lang w:val="en-US"/>
              </w:rPr>
            </w:pPr>
            <w:r w:rsidRPr="009E2403">
              <w:rPr>
                <w:rFonts w:ascii="Arial" w:eastAsia="Times New Roman" w:hAnsi="Arial" w:cs="Arial"/>
                <w:color w:val="FF0000"/>
                <w:lang w:val="en-US"/>
              </w:rPr>
              <w:t>Initial Investment                                                 30</w:t>
            </w:r>
          </w:p>
        </w:tc>
      </w:tr>
      <w:tr w:rsidR="000E145E" w:rsidRPr="000E145E" w14:paraId="4D8720E3" w14:textId="77777777" w:rsidTr="000E145E">
        <w:trPr>
          <w:trHeight w:val="268"/>
        </w:trPr>
        <w:tc>
          <w:tcPr>
            <w:tcW w:w="2613" w:type="dxa"/>
            <w:tcBorders>
              <w:top w:val="nil"/>
              <w:left w:val="nil"/>
              <w:bottom w:val="nil"/>
              <w:right w:val="nil"/>
            </w:tcBorders>
            <w:shd w:val="clear" w:color="000000" w:fill="EEECE1"/>
            <w:vAlign w:val="center"/>
            <w:hideMark/>
          </w:tcPr>
          <w:p w14:paraId="0D283703" w14:textId="77777777" w:rsidR="000E145E" w:rsidRPr="000E145E" w:rsidRDefault="000E145E" w:rsidP="000E145E">
            <w:pPr>
              <w:spacing w:after="0" w:line="240" w:lineRule="auto"/>
              <w:rPr>
                <w:rFonts w:ascii="Arial" w:eastAsia="Times New Roman" w:hAnsi="Arial" w:cs="Arial"/>
                <w:b/>
                <w:bCs/>
                <w:color w:val="000000"/>
                <w:lang w:val="en-US"/>
              </w:rPr>
            </w:pPr>
            <w:r w:rsidRPr="000E145E">
              <w:rPr>
                <w:rFonts w:ascii="Arial" w:eastAsia="Times New Roman" w:hAnsi="Arial" w:cs="Arial"/>
                <w:b/>
                <w:bCs/>
                <w:color w:val="000000"/>
                <w:lang w:val="en-US"/>
              </w:rPr>
              <w:t>NPV @10%</w:t>
            </w:r>
          </w:p>
        </w:tc>
        <w:tc>
          <w:tcPr>
            <w:tcW w:w="2140" w:type="dxa"/>
            <w:tcBorders>
              <w:top w:val="nil"/>
              <w:left w:val="nil"/>
              <w:bottom w:val="nil"/>
              <w:right w:val="nil"/>
            </w:tcBorders>
            <w:shd w:val="clear" w:color="000000" w:fill="EEECE1"/>
            <w:vAlign w:val="center"/>
            <w:hideMark/>
          </w:tcPr>
          <w:p w14:paraId="5AD331E6" w14:textId="77777777" w:rsidR="000E145E" w:rsidRPr="000E145E" w:rsidRDefault="000E145E" w:rsidP="000E145E">
            <w:pPr>
              <w:spacing w:after="0" w:line="240" w:lineRule="auto"/>
              <w:rPr>
                <w:rFonts w:ascii="Arial" w:eastAsia="Times New Roman" w:hAnsi="Arial" w:cs="Arial"/>
                <w:color w:val="000000"/>
                <w:lang w:val="en-US"/>
              </w:rPr>
            </w:pPr>
            <w:r w:rsidRPr="000E145E">
              <w:rPr>
                <w:rFonts w:ascii="Arial" w:eastAsia="Times New Roman" w:hAnsi="Arial" w:cs="Arial"/>
                <w:color w:val="000000"/>
                <w:lang w:val="en-US"/>
              </w:rPr>
              <w:t> </w:t>
            </w:r>
          </w:p>
        </w:tc>
        <w:tc>
          <w:tcPr>
            <w:tcW w:w="1696" w:type="dxa"/>
            <w:tcBorders>
              <w:top w:val="nil"/>
              <w:left w:val="nil"/>
              <w:bottom w:val="nil"/>
              <w:right w:val="nil"/>
            </w:tcBorders>
            <w:shd w:val="clear" w:color="000000" w:fill="EEECE1"/>
            <w:vAlign w:val="center"/>
            <w:hideMark/>
          </w:tcPr>
          <w:p w14:paraId="732E2D27" w14:textId="77777777" w:rsidR="000E145E" w:rsidRPr="000E145E" w:rsidRDefault="000E145E" w:rsidP="000E145E">
            <w:pPr>
              <w:spacing w:after="0" w:line="240" w:lineRule="auto"/>
              <w:rPr>
                <w:rFonts w:ascii="Arial" w:eastAsia="Times New Roman" w:hAnsi="Arial" w:cs="Arial"/>
                <w:b/>
                <w:bCs/>
                <w:color w:val="000000"/>
                <w:lang w:val="en-US"/>
              </w:rPr>
            </w:pPr>
            <w:r w:rsidRPr="000E145E">
              <w:rPr>
                <w:rFonts w:ascii="Arial" w:eastAsia="Times New Roman" w:hAnsi="Arial" w:cs="Arial"/>
                <w:b/>
                <w:bCs/>
                <w:color w:val="000000"/>
                <w:lang w:val="en-US"/>
              </w:rPr>
              <w:t>–7.26</w:t>
            </w:r>
          </w:p>
        </w:tc>
      </w:tr>
    </w:tbl>
    <w:p w14:paraId="540577B6" w14:textId="77777777" w:rsidR="00C7208C" w:rsidRPr="009E2403" w:rsidRDefault="00C7208C" w:rsidP="00C7208C">
      <w:pPr>
        <w:rPr>
          <w:rFonts w:ascii="Arial" w:hAnsi="Arial" w:cs="Arial"/>
          <w:sz w:val="24"/>
        </w:rPr>
      </w:pPr>
    </w:p>
    <w:p w14:paraId="70CE5363" w14:textId="77777777" w:rsidR="00C7208C" w:rsidRPr="009E2403" w:rsidRDefault="00C7208C" w:rsidP="00C7208C">
      <w:pPr>
        <w:rPr>
          <w:rFonts w:ascii="Arial" w:hAnsi="Arial" w:cs="Arial"/>
          <w:sz w:val="24"/>
        </w:rPr>
      </w:pPr>
      <w:r w:rsidRPr="009E2403">
        <w:rPr>
          <w:rFonts w:ascii="Arial" w:hAnsi="Arial" w:cs="Arial"/>
          <w:sz w:val="24"/>
        </w:rPr>
        <w:t>NPV at Highest Discount Rate (at 20%)</w:t>
      </w:r>
    </w:p>
    <w:tbl>
      <w:tblPr>
        <w:tblW w:w="7711" w:type="dxa"/>
        <w:tblInd w:w="93" w:type="dxa"/>
        <w:tblLook w:val="04A0" w:firstRow="1" w:lastRow="0" w:firstColumn="1" w:lastColumn="0" w:noHBand="0" w:noVBand="1"/>
      </w:tblPr>
      <w:tblGrid>
        <w:gridCol w:w="4512"/>
        <w:gridCol w:w="1672"/>
        <w:gridCol w:w="1527"/>
      </w:tblGrid>
      <w:tr w:rsidR="002F7B27" w:rsidRPr="002F7B27" w14:paraId="61569556" w14:textId="77777777" w:rsidTr="002F7B27">
        <w:trPr>
          <w:trHeight w:val="282"/>
        </w:trPr>
        <w:tc>
          <w:tcPr>
            <w:tcW w:w="4512" w:type="dxa"/>
            <w:tcBorders>
              <w:top w:val="nil"/>
              <w:left w:val="nil"/>
              <w:bottom w:val="nil"/>
              <w:right w:val="nil"/>
            </w:tcBorders>
            <w:shd w:val="clear" w:color="000000" w:fill="EEECE1"/>
            <w:vAlign w:val="center"/>
            <w:hideMark/>
          </w:tcPr>
          <w:p w14:paraId="3661E7BD" w14:textId="77777777" w:rsidR="002F7B27" w:rsidRPr="002F7B27" w:rsidRDefault="002F7B27" w:rsidP="002F7B27">
            <w:pPr>
              <w:spacing w:after="0" w:line="240" w:lineRule="auto"/>
              <w:jc w:val="center"/>
              <w:rPr>
                <w:rFonts w:ascii="Arial" w:eastAsia="Times New Roman" w:hAnsi="Arial" w:cs="Arial"/>
                <w:b/>
                <w:bCs/>
                <w:color w:val="000000"/>
                <w:lang w:val="en-US"/>
              </w:rPr>
            </w:pPr>
            <w:r w:rsidRPr="002F7B27">
              <w:rPr>
                <w:rFonts w:ascii="Arial" w:eastAsia="Times New Roman" w:hAnsi="Arial" w:cs="Arial"/>
                <w:b/>
                <w:bCs/>
                <w:color w:val="000000"/>
                <w:lang w:val="en-US"/>
              </w:rPr>
              <w:t>Year</w:t>
            </w:r>
          </w:p>
        </w:tc>
        <w:tc>
          <w:tcPr>
            <w:tcW w:w="1672" w:type="dxa"/>
            <w:tcBorders>
              <w:top w:val="nil"/>
              <w:left w:val="nil"/>
              <w:bottom w:val="nil"/>
              <w:right w:val="nil"/>
            </w:tcBorders>
            <w:shd w:val="clear" w:color="000000" w:fill="EEECE1"/>
            <w:vAlign w:val="center"/>
            <w:hideMark/>
          </w:tcPr>
          <w:p w14:paraId="6504115A" w14:textId="77777777" w:rsidR="002F7B27" w:rsidRPr="002F7B27" w:rsidRDefault="002F7B27" w:rsidP="002F7B27">
            <w:pPr>
              <w:spacing w:after="0" w:line="240" w:lineRule="auto"/>
              <w:jc w:val="center"/>
              <w:rPr>
                <w:rFonts w:ascii="Arial" w:eastAsia="Times New Roman" w:hAnsi="Arial" w:cs="Arial"/>
                <w:b/>
                <w:bCs/>
                <w:color w:val="000000"/>
                <w:lang w:val="en-US"/>
              </w:rPr>
            </w:pPr>
            <w:r w:rsidRPr="002F7B27">
              <w:rPr>
                <w:rFonts w:ascii="Arial" w:eastAsia="Times New Roman" w:hAnsi="Arial" w:cs="Arial"/>
                <w:b/>
                <w:bCs/>
                <w:color w:val="000000"/>
                <w:lang w:val="en-US"/>
              </w:rPr>
              <w:t>Cash Flow (£m)</w:t>
            </w:r>
          </w:p>
        </w:tc>
        <w:tc>
          <w:tcPr>
            <w:tcW w:w="1527" w:type="dxa"/>
            <w:tcBorders>
              <w:top w:val="nil"/>
              <w:left w:val="nil"/>
              <w:bottom w:val="nil"/>
              <w:right w:val="nil"/>
            </w:tcBorders>
            <w:shd w:val="clear" w:color="000000" w:fill="EEECE1"/>
            <w:vAlign w:val="center"/>
            <w:hideMark/>
          </w:tcPr>
          <w:p w14:paraId="681AA5C6" w14:textId="77777777" w:rsidR="002F7B27" w:rsidRPr="002F7B27" w:rsidRDefault="002F7B27" w:rsidP="002F7B27">
            <w:pPr>
              <w:spacing w:after="0" w:line="240" w:lineRule="auto"/>
              <w:jc w:val="center"/>
              <w:rPr>
                <w:rFonts w:ascii="Arial" w:eastAsia="Times New Roman" w:hAnsi="Arial" w:cs="Arial"/>
                <w:b/>
                <w:bCs/>
                <w:color w:val="000000"/>
                <w:lang w:val="en-US"/>
              </w:rPr>
            </w:pPr>
            <w:r w:rsidRPr="002F7B27">
              <w:rPr>
                <w:rFonts w:ascii="Arial" w:eastAsia="Times New Roman" w:hAnsi="Arial" w:cs="Arial"/>
                <w:b/>
                <w:bCs/>
                <w:color w:val="000000"/>
                <w:lang w:val="en-US"/>
              </w:rPr>
              <w:t>PV</w:t>
            </w:r>
          </w:p>
        </w:tc>
      </w:tr>
      <w:tr w:rsidR="002F7B27" w:rsidRPr="002F7B27" w14:paraId="252BC715" w14:textId="77777777" w:rsidTr="002F7B27">
        <w:trPr>
          <w:trHeight w:val="282"/>
        </w:trPr>
        <w:tc>
          <w:tcPr>
            <w:tcW w:w="4512" w:type="dxa"/>
            <w:tcBorders>
              <w:top w:val="nil"/>
              <w:left w:val="nil"/>
              <w:bottom w:val="nil"/>
              <w:right w:val="nil"/>
            </w:tcBorders>
            <w:shd w:val="clear" w:color="000000" w:fill="EEECE1"/>
            <w:vAlign w:val="center"/>
            <w:hideMark/>
          </w:tcPr>
          <w:p w14:paraId="51AC0079" w14:textId="77777777" w:rsidR="002F7B27" w:rsidRPr="002F7B27" w:rsidRDefault="002F7B27" w:rsidP="002F7B27">
            <w:pPr>
              <w:spacing w:after="0" w:line="240" w:lineRule="auto"/>
              <w:rPr>
                <w:rFonts w:ascii="Arial" w:eastAsia="Times New Roman" w:hAnsi="Arial" w:cs="Arial"/>
                <w:color w:val="000000"/>
                <w:lang w:val="en-US"/>
              </w:rPr>
            </w:pPr>
            <w:r w:rsidRPr="002F7B27">
              <w:rPr>
                <w:rFonts w:ascii="Arial" w:eastAsia="Times New Roman" w:hAnsi="Arial" w:cs="Arial"/>
                <w:color w:val="000000"/>
                <w:lang w:val="en-US"/>
              </w:rPr>
              <w:t>1–5</w:t>
            </w:r>
          </w:p>
        </w:tc>
        <w:tc>
          <w:tcPr>
            <w:tcW w:w="1672" w:type="dxa"/>
            <w:tcBorders>
              <w:top w:val="nil"/>
              <w:left w:val="nil"/>
              <w:bottom w:val="nil"/>
              <w:right w:val="nil"/>
            </w:tcBorders>
            <w:shd w:val="clear" w:color="000000" w:fill="EEECE1"/>
            <w:vAlign w:val="center"/>
            <w:hideMark/>
          </w:tcPr>
          <w:p w14:paraId="4E9B01F1" w14:textId="77777777" w:rsidR="002F7B27" w:rsidRPr="002F7B27" w:rsidRDefault="002F7B27" w:rsidP="002F7B27">
            <w:pPr>
              <w:spacing w:after="0" w:line="240" w:lineRule="auto"/>
              <w:rPr>
                <w:rFonts w:ascii="Arial" w:eastAsia="Times New Roman" w:hAnsi="Arial" w:cs="Arial"/>
                <w:color w:val="000000"/>
                <w:lang w:val="en-US"/>
              </w:rPr>
            </w:pPr>
            <w:r w:rsidRPr="002F7B27">
              <w:rPr>
                <w:rFonts w:ascii="Arial" w:eastAsia="Times New Roman" w:hAnsi="Arial" w:cs="Arial"/>
                <w:color w:val="000000"/>
                <w:lang w:val="en-US"/>
              </w:rPr>
              <w:t>6 each year</w:t>
            </w:r>
          </w:p>
        </w:tc>
        <w:tc>
          <w:tcPr>
            <w:tcW w:w="1527" w:type="dxa"/>
            <w:tcBorders>
              <w:top w:val="nil"/>
              <w:left w:val="nil"/>
              <w:bottom w:val="nil"/>
              <w:right w:val="nil"/>
            </w:tcBorders>
            <w:shd w:val="clear" w:color="000000" w:fill="EEECE1"/>
            <w:vAlign w:val="center"/>
            <w:hideMark/>
          </w:tcPr>
          <w:p w14:paraId="2BA6482E" w14:textId="77777777" w:rsidR="002F7B27" w:rsidRPr="002F7B27" w:rsidRDefault="002F7B27" w:rsidP="002F7B27">
            <w:pPr>
              <w:spacing w:after="0" w:line="240" w:lineRule="auto"/>
              <w:rPr>
                <w:rFonts w:ascii="Arial" w:eastAsia="Times New Roman" w:hAnsi="Arial" w:cs="Arial"/>
                <w:color w:val="000000"/>
                <w:lang w:val="en-US"/>
              </w:rPr>
            </w:pPr>
          </w:p>
        </w:tc>
      </w:tr>
      <w:tr w:rsidR="002F7B27" w:rsidRPr="009E2403" w14:paraId="472FF081" w14:textId="77777777" w:rsidTr="00F102FB">
        <w:trPr>
          <w:trHeight w:val="282"/>
        </w:trPr>
        <w:tc>
          <w:tcPr>
            <w:tcW w:w="7711" w:type="dxa"/>
            <w:gridSpan w:val="3"/>
            <w:tcBorders>
              <w:top w:val="nil"/>
              <w:left w:val="nil"/>
              <w:bottom w:val="nil"/>
              <w:right w:val="nil"/>
            </w:tcBorders>
            <w:shd w:val="clear" w:color="000000" w:fill="EEECE1"/>
            <w:vAlign w:val="center"/>
          </w:tcPr>
          <w:p w14:paraId="1B813737" w14:textId="77777777" w:rsidR="002F7B27" w:rsidRPr="009E2403" w:rsidRDefault="002F7B27" w:rsidP="002F7B27">
            <w:pPr>
              <w:spacing w:after="0" w:line="240" w:lineRule="auto"/>
              <w:rPr>
                <w:rFonts w:ascii="Arial" w:eastAsia="Times New Roman" w:hAnsi="Arial" w:cs="Arial"/>
                <w:color w:val="000000"/>
                <w:lang w:val="en-US"/>
              </w:rPr>
            </w:pPr>
            <w:r w:rsidRPr="009E2403">
              <w:rPr>
                <w:rFonts w:ascii="Arial" w:eastAsia="Times New Roman" w:hAnsi="Arial" w:cs="Arial"/>
                <w:color w:val="000000"/>
                <w:lang w:val="en-US"/>
              </w:rPr>
              <w:t>PV (Y1 to Y5) 2.86+1.36+0.65+0.31+0.15= 5.3</w:t>
            </w:r>
            <w:r w:rsidRPr="000E145E">
              <w:rPr>
                <w:rFonts w:ascii="Arial" w:eastAsia="Times New Roman" w:hAnsi="Arial" w:cs="Arial"/>
                <w:color w:val="000000"/>
                <w:lang w:val="en-US"/>
              </w:rPr>
              <w:t xml:space="preserve"> total</w:t>
            </w:r>
          </w:p>
        </w:tc>
      </w:tr>
      <w:tr w:rsidR="004A6DA1" w:rsidRPr="009E2403" w14:paraId="132CEBD6" w14:textId="77777777" w:rsidTr="00F102FB">
        <w:trPr>
          <w:trHeight w:val="282"/>
        </w:trPr>
        <w:tc>
          <w:tcPr>
            <w:tcW w:w="7711" w:type="dxa"/>
            <w:gridSpan w:val="3"/>
            <w:tcBorders>
              <w:top w:val="nil"/>
              <w:left w:val="nil"/>
              <w:bottom w:val="nil"/>
              <w:right w:val="nil"/>
            </w:tcBorders>
            <w:shd w:val="clear" w:color="000000" w:fill="EEECE1"/>
            <w:vAlign w:val="center"/>
          </w:tcPr>
          <w:p w14:paraId="152A4F32" w14:textId="77777777" w:rsidR="004A6DA1" w:rsidRPr="009E2403" w:rsidRDefault="004A6DA1" w:rsidP="002F7B27">
            <w:pPr>
              <w:spacing w:after="0" w:line="240" w:lineRule="auto"/>
              <w:rPr>
                <w:rFonts w:ascii="Arial" w:eastAsia="Times New Roman" w:hAnsi="Arial" w:cs="Arial"/>
                <w:color w:val="000000"/>
                <w:lang w:val="en-US"/>
              </w:rPr>
            </w:pPr>
            <w:r w:rsidRPr="009E2403">
              <w:rPr>
                <w:rFonts w:ascii="Arial" w:eastAsia="Times New Roman" w:hAnsi="Arial" w:cs="Arial"/>
                <w:color w:val="FF0000"/>
                <w:lang w:val="en-US"/>
              </w:rPr>
              <w:t>Initial Investment                                             30</w:t>
            </w:r>
          </w:p>
        </w:tc>
      </w:tr>
      <w:tr w:rsidR="002F7B27" w:rsidRPr="002F7B27" w14:paraId="1AC9B804" w14:textId="77777777" w:rsidTr="002F7B27">
        <w:trPr>
          <w:trHeight w:val="282"/>
        </w:trPr>
        <w:tc>
          <w:tcPr>
            <w:tcW w:w="4512" w:type="dxa"/>
            <w:tcBorders>
              <w:top w:val="nil"/>
              <w:left w:val="nil"/>
              <w:bottom w:val="nil"/>
              <w:right w:val="nil"/>
            </w:tcBorders>
            <w:shd w:val="clear" w:color="000000" w:fill="EEECE1"/>
            <w:vAlign w:val="center"/>
            <w:hideMark/>
          </w:tcPr>
          <w:p w14:paraId="3D602CD6" w14:textId="77777777" w:rsidR="002F7B27" w:rsidRPr="002F7B27" w:rsidRDefault="002F7B27" w:rsidP="002F7B27">
            <w:pPr>
              <w:spacing w:after="0" w:line="240" w:lineRule="auto"/>
              <w:rPr>
                <w:rFonts w:ascii="Arial" w:eastAsia="Times New Roman" w:hAnsi="Arial" w:cs="Arial"/>
                <w:b/>
                <w:bCs/>
                <w:color w:val="000000"/>
                <w:lang w:val="en-US"/>
              </w:rPr>
            </w:pPr>
            <w:r w:rsidRPr="002F7B27">
              <w:rPr>
                <w:rFonts w:ascii="Arial" w:eastAsia="Times New Roman" w:hAnsi="Arial" w:cs="Arial"/>
                <w:b/>
                <w:bCs/>
                <w:color w:val="000000"/>
                <w:lang w:val="en-US"/>
              </w:rPr>
              <w:t>NPV @20%</w:t>
            </w:r>
          </w:p>
        </w:tc>
        <w:tc>
          <w:tcPr>
            <w:tcW w:w="1672" w:type="dxa"/>
            <w:tcBorders>
              <w:top w:val="nil"/>
              <w:left w:val="nil"/>
              <w:bottom w:val="nil"/>
              <w:right w:val="nil"/>
            </w:tcBorders>
            <w:shd w:val="clear" w:color="000000" w:fill="EEECE1"/>
            <w:vAlign w:val="center"/>
            <w:hideMark/>
          </w:tcPr>
          <w:p w14:paraId="2DA4DB25" w14:textId="77777777" w:rsidR="002F7B27" w:rsidRPr="002F7B27" w:rsidRDefault="002F7B27" w:rsidP="002F7B27">
            <w:pPr>
              <w:spacing w:after="0" w:line="240" w:lineRule="auto"/>
              <w:rPr>
                <w:rFonts w:ascii="Arial" w:eastAsia="Times New Roman" w:hAnsi="Arial" w:cs="Arial"/>
                <w:color w:val="000000"/>
                <w:lang w:val="en-US"/>
              </w:rPr>
            </w:pPr>
            <w:r w:rsidRPr="002F7B27">
              <w:rPr>
                <w:rFonts w:ascii="Arial" w:eastAsia="Times New Roman" w:hAnsi="Arial" w:cs="Arial"/>
                <w:color w:val="000000"/>
                <w:lang w:val="en-US"/>
              </w:rPr>
              <w:t> </w:t>
            </w:r>
          </w:p>
        </w:tc>
        <w:tc>
          <w:tcPr>
            <w:tcW w:w="1527" w:type="dxa"/>
            <w:tcBorders>
              <w:top w:val="nil"/>
              <w:left w:val="nil"/>
              <w:bottom w:val="nil"/>
              <w:right w:val="nil"/>
            </w:tcBorders>
            <w:shd w:val="clear" w:color="000000" w:fill="EEECE1"/>
            <w:vAlign w:val="center"/>
            <w:hideMark/>
          </w:tcPr>
          <w:p w14:paraId="2877E645" w14:textId="77777777" w:rsidR="002F7B27" w:rsidRPr="002F7B27" w:rsidRDefault="002F7B27" w:rsidP="002F7B27">
            <w:pPr>
              <w:spacing w:after="0" w:line="240" w:lineRule="auto"/>
              <w:rPr>
                <w:rFonts w:ascii="Arial" w:eastAsia="Times New Roman" w:hAnsi="Arial" w:cs="Arial"/>
                <w:b/>
                <w:bCs/>
                <w:color w:val="000000"/>
                <w:lang w:val="en-US"/>
              </w:rPr>
            </w:pPr>
            <w:r w:rsidRPr="002F7B27">
              <w:rPr>
                <w:rFonts w:ascii="Arial" w:eastAsia="Times New Roman" w:hAnsi="Arial" w:cs="Arial"/>
                <w:b/>
                <w:bCs/>
                <w:color w:val="000000"/>
                <w:lang w:val="en-US"/>
              </w:rPr>
              <w:t>–24.68</w:t>
            </w:r>
          </w:p>
        </w:tc>
      </w:tr>
    </w:tbl>
    <w:p w14:paraId="47A527DA" w14:textId="77777777" w:rsidR="002F7B27" w:rsidRPr="009E2403" w:rsidRDefault="002F7B27" w:rsidP="00C7208C">
      <w:pPr>
        <w:rPr>
          <w:rFonts w:ascii="Arial" w:hAnsi="Arial" w:cs="Arial"/>
          <w:sz w:val="24"/>
        </w:rPr>
      </w:pPr>
    </w:p>
    <w:p w14:paraId="25F6AB17" w14:textId="77777777" w:rsidR="00C7208C" w:rsidRPr="009E2403" w:rsidRDefault="00C7208C" w:rsidP="00C7208C">
      <w:pPr>
        <w:rPr>
          <w:rFonts w:ascii="Arial" w:hAnsi="Arial" w:cs="Arial"/>
          <w:sz w:val="24"/>
        </w:rPr>
      </w:pPr>
      <w:r w:rsidRPr="009E2403">
        <w:rPr>
          <w:rFonts w:ascii="Arial" w:hAnsi="Arial" w:cs="Arial"/>
          <w:sz w:val="24"/>
        </w:rPr>
        <w:t xml:space="preserve"> </w:t>
      </w:r>
    </w:p>
    <w:p w14:paraId="030E637B"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=Ra+ </m:t>
          </m:r>
          <m:f>
            <m:fPr>
              <m:ctrlPr>
                <w:rPr>
                  <w:rFonts w:ascii="Cambria Math" w:hAnsi="Cambria Math" w:cs="Arial"/>
                  <w:sz w:val="24"/>
                </w:rPr>
              </m:ctrlPr>
            </m:fPr>
            <m:num>
              <m:r>
                <w:rPr>
                  <w:rFonts w:ascii="Cambria Math" w:hAnsi="Cambria Math" w:cs="Arial"/>
                  <w:sz w:val="24"/>
                </w:rPr>
                <m:t>NPVa</m:t>
              </m:r>
            </m:num>
            <m:den>
              <m:r>
                <w:rPr>
                  <w:rFonts w:ascii="Cambria Math" w:hAnsi="Cambria Math" w:cs="Arial"/>
                  <w:sz w:val="24"/>
                </w:rPr>
                <m:t>NPVa-NPVb</m:t>
              </m:r>
            </m:den>
          </m:f>
          <m:r>
            <w:rPr>
              <w:rFonts w:ascii="Cambria Math" w:hAnsi="Cambria Math" w:cs="Arial"/>
              <w:sz w:val="24"/>
            </w:rPr>
            <m:t xml:space="preserve"> x (Rb-Ra)</m:t>
          </m:r>
        </m:oMath>
      </m:oMathPara>
    </w:p>
    <w:p w14:paraId="5A0B1C28" w14:textId="77777777" w:rsidR="00C7208C" w:rsidRPr="009E2403" w:rsidRDefault="00C7208C" w:rsidP="00C7208C">
      <w:pPr>
        <w:rPr>
          <w:rFonts w:ascii="Arial" w:eastAsiaTheme="minorEastAsia" w:hAnsi="Arial" w:cs="Arial"/>
          <w:sz w:val="24"/>
        </w:rPr>
      </w:pPr>
      <w:r w:rsidRPr="009E2403">
        <w:rPr>
          <w:rFonts w:ascii="Arial" w:hAnsi="Arial" w:cs="Arial"/>
          <w:sz w:val="24"/>
        </w:rPr>
        <w:t xml:space="preserve"> </w:t>
      </w:r>
      <m:oMath>
        <m:r>
          <m:rPr>
            <m:sty m:val="p"/>
          </m:rPr>
          <w:rPr>
            <w:rFonts w:ascii="Cambria Math" w:hAnsi="Cambria Math" w:cs="Arial"/>
            <w:sz w:val="24"/>
          </w:rPr>
          <w:br/>
        </m:r>
      </m:oMath>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-7.26</m:t>
              </m:r>
            </m:num>
            <m:den>
              <m:r>
                <w:rPr>
                  <w:rFonts w:ascii="Cambria Math" w:hAnsi="Cambria Math" w:cs="Arial"/>
                  <w:sz w:val="24"/>
                </w:rPr>
                <m:t>-7.26-(-24.68)</m:t>
              </m:r>
            </m:den>
          </m:f>
          <m:r>
            <w:rPr>
              <w:rFonts w:ascii="Cambria Math" w:hAnsi="Cambria Math" w:cs="Arial"/>
              <w:sz w:val="24"/>
            </w:rPr>
            <m:t xml:space="preserve"> x (0.2-0.1)</m:t>
          </m:r>
        </m:oMath>
      </m:oMathPara>
    </w:p>
    <w:p w14:paraId="77440665"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-7.26</m:t>
              </m:r>
            </m:num>
            <m:den>
              <m:r>
                <w:rPr>
                  <w:rFonts w:ascii="Cambria Math" w:hAnsi="Cambria Math" w:cs="Arial"/>
                  <w:sz w:val="24"/>
                </w:rPr>
                <m:t>17.42</m:t>
              </m:r>
            </m:den>
          </m:f>
          <m:r>
            <w:rPr>
              <w:rFonts w:ascii="Cambria Math" w:hAnsi="Cambria Math" w:cs="Arial"/>
              <w:sz w:val="24"/>
            </w:rPr>
            <m:t xml:space="preserve"> x (0.1)</m:t>
          </m:r>
        </m:oMath>
      </m:oMathPara>
    </w:p>
    <w:p w14:paraId="07B635B3"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(-0.417) x (0.1)</m:t>
          </m:r>
        </m:oMath>
      </m:oMathPara>
    </w:p>
    <w:p w14:paraId="7436C1CE"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0.0417</m:t>
          </m:r>
        </m:oMath>
      </m:oMathPara>
    </w:p>
    <w:p w14:paraId="73B5FB5C"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0.1046</m:t>
          </m:r>
        </m:oMath>
      </m:oMathPara>
    </w:p>
    <w:p w14:paraId="2778FE78"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14%</m:t>
          </m:r>
        </m:oMath>
      </m:oMathPara>
    </w:p>
    <w:p w14:paraId="67C719C8" w14:textId="77777777" w:rsidR="00C7208C" w:rsidRPr="009E2403" w:rsidRDefault="00C7208C" w:rsidP="00C7208C">
      <w:pPr>
        <w:rPr>
          <w:rFonts w:ascii="Arial" w:hAnsi="Arial" w:cs="Arial"/>
          <w:sz w:val="24"/>
        </w:rPr>
      </w:pPr>
    </w:p>
    <w:p w14:paraId="5C3505D7" w14:textId="77777777" w:rsidR="00C7208C" w:rsidRPr="009E2403" w:rsidRDefault="00C7208C" w:rsidP="00C7208C">
      <w:pPr>
        <w:rPr>
          <w:rFonts w:ascii="Arial" w:hAnsi="Arial" w:cs="Arial"/>
          <w:sz w:val="24"/>
        </w:rPr>
      </w:pPr>
      <w:r w:rsidRPr="009E2403">
        <w:rPr>
          <w:rFonts w:ascii="Arial" w:hAnsi="Arial" w:cs="Arial"/>
          <w:sz w:val="24"/>
        </w:rPr>
        <w:t>Project C</w:t>
      </w:r>
    </w:p>
    <w:p w14:paraId="792DF06E" w14:textId="77777777" w:rsidR="00C7208C" w:rsidRPr="009E2403" w:rsidRDefault="00C7208C" w:rsidP="00C7208C">
      <w:pPr>
        <w:rPr>
          <w:rFonts w:ascii="Arial" w:hAnsi="Arial" w:cs="Arial"/>
          <w:sz w:val="24"/>
        </w:rPr>
      </w:pPr>
      <w:r w:rsidRPr="009E2403">
        <w:rPr>
          <w:rFonts w:ascii="Arial" w:hAnsi="Arial" w:cs="Arial"/>
          <w:sz w:val="24"/>
        </w:rPr>
        <w:t>NPV at Lowest Discount Rate (at 10%)</w:t>
      </w:r>
    </w:p>
    <w:tbl>
      <w:tblPr>
        <w:tblW w:w="5574" w:type="dxa"/>
        <w:jc w:val="center"/>
        <w:tblLook w:val="04A0" w:firstRow="1" w:lastRow="0" w:firstColumn="1" w:lastColumn="0" w:noHBand="0" w:noVBand="1"/>
      </w:tblPr>
      <w:tblGrid>
        <w:gridCol w:w="2258"/>
        <w:gridCol w:w="1850"/>
        <w:gridCol w:w="1466"/>
      </w:tblGrid>
      <w:tr w:rsidR="004B5F38" w:rsidRPr="004B5F38" w14:paraId="357442A2" w14:textId="77777777" w:rsidTr="00902022">
        <w:trPr>
          <w:trHeight w:val="295"/>
          <w:jc w:val="center"/>
        </w:trPr>
        <w:tc>
          <w:tcPr>
            <w:tcW w:w="2258" w:type="dxa"/>
            <w:tcBorders>
              <w:top w:val="nil"/>
              <w:left w:val="nil"/>
              <w:bottom w:val="nil"/>
              <w:right w:val="nil"/>
            </w:tcBorders>
            <w:shd w:val="clear" w:color="000000" w:fill="EEECE1"/>
            <w:vAlign w:val="center"/>
            <w:hideMark/>
          </w:tcPr>
          <w:p w14:paraId="726D984E" w14:textId="77777777" w:rsidR="004B5F38" w:rsidRPr="004B5F38" w:rsidRDefault="004B5F38" w:rsidP="004B5F38">
            <w:pPr>
              <w:spacing w:after="0" w:line="240" w:lineRule="auto"/>
              <w:jc w:val="center"/>
              <w:rPr>
                <w:rFonts w:ascii="Arial" w:eastAsia="Times New Roman" w:hAnsi="Arial" w:cs="Arial"/>
                <w:b/>
                <w:bCs/>
                <w:color w:val="000000"/>
                <w:lang w:val="en-US"/>
              </w:rPr>
            </w:pPr>
            <w:r w:rsidRPr="004B5F38">
              <w:rPr>
                <w:rFonts w:ascii="Arial" w:eastAsia="Times New Roman" w:hAnsi="Arial" w:cs="Arial"/>
                <w:b/>
                <w:bCs/>
                <w:color w:val="000000"/>
                <w:lang w:val="en-US"/>
              </w:rPr>
              <w:t>Year</w:t>
            </w:r>
          </w:p>
        </w:tc>
        <w:tc>
          <w:tcPr>
            <w:tcW w:w="1850" w:type="dxa"/>
            <w:tcBorders>
              <w:top w:val="nil"/>
              <w:left w:val="nil"/>
              <w:bottom w:val="nil"/>
              <w:right w:val="nil"/>
            </w:tcBorders>
            <w:shd w:val="clear" w:color="000000" w:fill="EEECE1"/>
            <w:vAlign w:val="center"/>
            <w:hideMark/>
          </w:tcPr>
          <w:p w14:paraId="7178DB33" w14:textId="77777777" w:rsidR="004B5F38" w:rsidRPr="004B5F38" w:rsidRDefault="004B5F38" w:rsidP="004B5F38">
            <w:pPr>
              <w:spacing w:after="0" w:line="240" w:lineRule="auto"/>
              <w:jc w:val="center"/>
              <w:rPr>
                <w:rFonts w:ascii="Arial" w:eastAsia="Times New Roman" w:hAnsi="Arial" w:cs="Arial"/>
                <w:b/>
                <w:bCs/>
                <w:color w:val="000000"/>
                <w:lang w:val="en-US"/>
              </w:rPr>
            </w:pPr>
            <w:r w:rsidRPr="004B5F38">
              <w:rPr>
                <w:rFonts w:ascii="Arial" w:eastAsia="Times New Roman" w:hAnsi="Arial" w:cs="Arial"/>
                <w:b/>
                <w:bCs/>
                <w:color w:val="000000"/>
                <w:lang w:val="en-US"/>
              </w:rPr>
              <w:t>Cash Flow (£m)</w:t>
            </w:r>
          </w:p>
        </w:tc>
        <w:tc>
          <w:tcPr>
            <w:tcW w:w="1466" w:type="dxa"/>
            <w:tcBorders>
              <w:top w:val="nil"/>
              <w:left w:val="nil"/>
              <w:bottom w:val="nil"/>
              <w:right w:val="nil"/>
            </w:tcBorders>
            <w:shd w:val="clear" w:color="000000" w:fill="EEECE1"/>
            <w:vAlign w:val="center"/>
            <w:hideMark/>
          </w:tcPr>
          <w:p w14:paraId="447E1EE6" w14:textId="77777777" w:rsidR="004B5F38" w:rsidRPr="004B5F38" w:rsidRDefault="004B5F38" w:rsidP="004B5F38">
            <w:pPr>
              <w:spacing w:after="0" w:line="240" w:lineRule="auto"/>
              <w:jc w:val="center"/>
              <w:rPr>
                <w:rFonts w:ascii="Arial" w:eastAsia="Times New Roman" w:hAnsi="Arial" w:cs="Arial"/>
                <w:b/>
                <w:bCs/>
                <w:color w:val="000000"/>
                <w:lang w:val="en-US"/>
              </w:rPr>
            </w:pPr>
            <w:r w:rsidRPr="004B5F38">
              <w:rPr>
                <w:rFonts w:ascii="Arial" w:eastAsia="Times New Roman" w:hAnsi="Arial" w:cs="Arial"/>
                <w:b/>
                <w:bCs/>
                <w:color w:val="000000"/>
                <w:lang w:val="en-US"/>
              </w:rPr>
              <w:t>PV</w:t>
            </w:r>
          </w:p>
        </w:tc>
      </w:tr>
      <w:tr w:rsidR="004B5F38" w:rsidRPr="004B5F38" w14:paraId="7FDD5C80" w14:textId="77777777" w:rsidTr="00902022">
        <w:trPr>
          <w:trHeight w:val="295"/>
          <w:jc w:val="center"/>
        </w:trPr>
        <w:tc>
          <w:tcPr>
            <w:tcW w:w="2258" w:type="dxa"/>
            <w:tcBorders>
              <w:top w:val="nil"/>
              <w:left w:val="nil"/>
              <w:bottom w:val="nil"/>
              <w:right w:val="nil"/>
            </w:tcBorders>
            <w:shd w:val="clear" w:color="000000" w:fill="EEECE1"/>
            <w:vAlign w:val="center"/>
            <w:hideMark/>
          </w:tcPr>
          <w:p w14:paraId="482D1BF7"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1</w:t>
            </w:r>
          </w:p>
        </w:tc>
        <w:tc>
          <w:tcPr>
            <w:tcW w:w="1850" w:type="dxa"/>
            <w:tcBorders>
              <w:top w:val="nil"/>
              <w:left w:val="nil"/>
              <w:bottom w:val="nil"/>
              <w:right w:val="nil"/>
            </w:tcBorders>
            <w:shd w:val="clear" w:color="000000" w:fill="EEECE1"/>
            <w:vAlign w:val="center"/>
            <w:hideMark/>
          </w:tcPr>
          <w:p w14:paraId="0596A7C7"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5</w:t>
            </w:r>
          </w:p>
        </w:tc>
        <w:tc>
          <w:tcPr>
            <w:tcW w:w="1466" w:type="dxa"/>
            <w:tcBorders>
              <w:top w:val="nil"/>
              <w:left w:val="nil"/>
              <w:bottom w:val="nil"/>
              <w:right w:val="nil"/>
            </w:tcBorders>
            <w:shd w:val="clear" w:color="000000" w:fill="EEECE1"/>
            <w:vAlign w:val="center"/>
            <w:hideMark/>
          </w:tcPr>
          <w:p w14:paraId="7FAF36FC"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4.55</w:t>
            </w:r>
          </w:p>
        </w:tc>
      </w:tr>
      <w:tr w:rsidR="004B5F38" w:rsidRPr="004B5F38" w14:paraId="4FFD32B6" w14:textId="77777777" w:rsidTr="00902022">
        <w:trPr>
          <w:trHeight w:val="295"/>
          <w:jc w:val="center"/>
        </w:trPr>
        <w:tc>
          <w:tcPr>
            <w:tcW w:w="2258" w:type="dxa"/>
            <w:tcBorders>
              <w:top w:val="nil"/>
              <w:left w:val="nil"/>
              <w:bottom w:val="nil"/>
              <w:right w:val="nil"/>
            </w:tcBorders>
            <w:shd w:val="clear" w:color="000000" w:fill="EEECE1"/>
            <w:vAlign w:val="center"/>
            <w:hideMark/>
          </w:tcPr>
          <w:p w14:paraId="6A329D8C"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2</w:t>
            </w:r>
          </w:p>
        </w:tc>
        <w:tc>
          <w:tcPr>
            <w:tcW w:w="1850" w:type="dxa"/>
            <w:tcBorders>
              <w:top w:val="nil"/>
              <w:left w:val="nil"/>
              <w:bottom w:val="nil"/>
              <w:right w:val="nil"/>
            </w:tcBorders>
            <w:shd w:val="clear" w:color="000000" w:fill="EEECE1"/>
            <w:vAlign w:val="center"/>
            <w:hideMark/>
          </w:tcPr>
          <w:p w14:paraId="32D2F839"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10</w:t>
            </w:r>
          </w:p>
        </w:tc>
        <w:tc>
          <w:tcPr>
            <w:tcW w:w="1466" w:type="dxa"/>
            <w:tcBorders>
              <w:top w:val="nil"/>
              <w:left w:val="nil"/>
              <w:bottom w:val="nil"/>
              <w:right w:val="nil"/>
            </w:tcBorders>
            <w:shd w:val="clear" w:color="000000" w:fill="EEECE1"/>
            <w:vAlign w:val="center"/>
            <w:hideMark/>
          </w:tcPr>
          <w:p w14:paraId="62897FEB"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8.26</w:t>
            </w:r>
          </w:p>
        </w:tc>
      </w:tr>
      <w:tr w:rsidR="004B5F38" w:rsidRPr="004B5F38" w14:paraId="7B3CD567" w14:textId="77777777" w:rsidTr="00902022">
        <w:trPr>
          <w:trHeight w:val="295"/>
          <w:jc w:val="center"/>
        </w:trPr>
        <w:tc>
          <w:tcPr>
            <w:tcW w:w="2258" w:type="dxa"/>
            <w:tcBorders>
              <w:top w:val="nil"/>
              <w:left w:val="nil"/>
              <w:bottom w:val="nil"/>
              <w:right w:val="nil"/>
            </w:tcBorders>
            <w:shd w:val="clear" w:color="000000" w:fill="EEECE1"/>
            <w:vAlign w:val="center"/>
            <w:hideMark/>
          </w:tcPr>
          <w:p w14:paraId="3F8F4FE0"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3</w:t>
            </w:r>
          </w:p>
        </w:tc>
        <w:tc>
          <w:tcPr>
            <w:tcW w:w="1850" w:type="dxa"/>
            <w:tcBorders>
              <w:top w:val="nil"/>
              <w:left w:val="nil"/>
              <w:bottom w:val="nil"/>
              <w:right w:val="nil"/>
            </w:tcBorders>
            <w:shd w:val="clear" w:color="000000" w:fill="EEECE1"/>
            <w:vAlign w:val="center"/>
            <w:hideMark/>
          </w:tcPr>
          <w:p w14:paraId="77F82375"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20</w:t>
            </w:r>
          </w:p>
        </w:tc>
        <w:tc>
          <w:tcPr>
            <w:tcW w:w="1466" w:type="dxa"/>
            <w:tcBorders>
              <w:top w:val="nil"/>
              <w:left w:val="nil"/>
              <w:bottom w:val="nil"/>
              <w:right w:val="nil"/>
            </w:tcBorders>
            <w:shd w:val="clear" w:color="000000" w:fill="EEECE1"/>
            <w:vAlign w:val="center"/>
            <w:hideMark/>
          </w:tcPr>
          <w:p w14:paraId="05752C9A"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15.03</w:t>
            </w:r>
          </w:p>
        </w:tc>
      </w:tr>
      <w:tr w:rsidR="004B5F38" w:rsidRPr="004B5F38" w14:paraId="29DA366E" w14:textId="77777777" w:rsidTr="00902022">
        <w:trPr>
          <w:trHeight w:val="295"/>
          <w:jc w:val="center"/>
        </w:trPr>
        <w:tc>
          <w:tcPr>
            <w:tcW w:w="2258" w:type="dxa"/>
            <w:tcBorders>
              <w:top w:val="nil"/>
              <w:left w:val="nil"/>
              <w:bottom w:val="nil"/>
              <w:right w:val="nil"/>
            </w:tcBorders>
            <w:shd w:val="clear" w:color="000000" w:fill="EEECE1"/>
            <w:vAlign w:val="center"/>
            <w:hideMark/>
          </w:tcPr>
          <w:p w14:paraId="67D3B8DE"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4</w:t>
            </w:r>
          </w:p>
        </w:tc>
        <w:tc>
          <w:tcPr>
            <w:tcW w:w="1850" w:type="dxa"/>
            <w:tcBorders>
              <w:top w:val="nil"/>
              <w:left w:val="nil"/>
              <w:bottom w:val="nil"/>
              <w:right w:val="nil"/>
            </w:tcBorders>
            <w:shd w:val="clear" w:color="000000" w:fill="EEECE1"/>
            <w:vAlign w:val="center"/>
            <w:hideMark/>
          </w:tcPr>
          <w:p w14:paraId="4067FE6E"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25</w:t>
            </w:r>
          </w:p>
        </w:tc>
        <w:tc>
          <w:tcPr>
            <w:tcW w:w="1466" w:type="dxa"/>
            <w:tcBorders>
              <w:top w:val="nil"/>
              <w:left w:val="nil"/>
              <w:bottom w:val="nil"/>
              <w:right w:val="nil"/>
            </w:tcBorders>
            <w:shd w:val="clear" w:color="000000" w:fill="EEECE1"/>
            <w:vAlign w:val="center"/>
            <w:hideMark/>
          </w:tcPr>
          <w:p w14:paraId="70989D5F"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17.08</w:t>
            </w:r>
          </w:p>
        </w:tc>
      </w:tr>
      <w:tr w:rsidR="004B5F38" w:rsidRPr="004B5F38" w14:paraId="13148B08" w14:textId="77777777" w:rsidTr="00902022">
        <w:trPr>
          <w:trHeight w:val="295"/>
          <w:jc w:val="center"/>
        </w:trPr>
        <w:tc>
          <w:tcPr>
            <w:tcW w:w="2258" w:type="dxa"/>
            <w:tcBorders>
              <w:top w:val="nil"/>
              <w:left w:val="nil"/>
              <w:bottom w:val="nil"/>
              <w:right w:val="nil"/>
            </w:tcBorders>
            <w:shd w:val="clear" w:color="000000" w:fill="EEECE1"/>
            <w:vAlign w:val="center"/>
            <w:hideMark/>
          </w:tcPr>
          <w:p w14:paraId="3366E99C"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5</w:t>
            </w:r>
          </w:p>
        </w:tc>
        <w:tc>
          <w:tcPr>
            <w:tcW w:w="1850" w:type="dxa"/>
            <w:tcBorders>
              <w:top w:val="nil"/>
              <w:left w:val="nil"/>
              <w:bottom w:val="nil"/>
              <w:right w:val="nil"/>
            </w:tcBorders>
            <w:shd w:val="clear" w:color="000000" w:fill="EEECE1"/>
            <w:vAlign w:val="center"/>
            <w:hideMark/>
          </w:tcPr>
          <w:p w14:paraId="0E1CE2BC"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15</w:t>
            </w:r>
          </w:p>
        </w:tc>
        <w:tc>
          <w:tcPr>
            <w:tcW w:w="1466" w:type="dxa"/>
            <w:tcBorders>
              <w:top w:val="nil"/>
              <w:left w:val="nil"/>
              <w:bottom w:val="nil"/>
              <w:right w:val="nil"/>
            </w:tcBorders>
            <w:shd w:val="clear" w:color="000000" w:fill="EEECE1"/>
            <w:vAlign w:val="center"/>
            <w:hideMark/>
          </w:tcPr>
          <w:p w14:paraId="053310B4" w14:textId="77777777" w:rsidR="004B5F38" w:rsidRPr="004B5F38" w:rsidRDefault="004B5F38" w:rsidP="004B5F38">
            <w:pPr>
              <w:spacing w:after="0" w:line="240" w:lineRule="auto"/>
              <w:jc w:val="right"/>
              <w:rPr>
                <w:rFonts w:ascii="Arial" w:eastAsia="Times New Roman" w:hAnsi="Arial" w:cs="Arial"/>
                <w:color w:val="000000"/>
                <w:lang w:val="en-US"/>
              </w:rPr>
            </w:pPr>
            <w:r w:rsidRPr="004B5F38">
              <w:rPr>
                <w:rFonts w:ascii="Arial" w:eastAsia="Times New Roman" w:hAnsi="Arial" w:cs="Arial"/>
                <w:color w:val="000000"/>
                <w:lang w:val="en-US"/>
              </w:rPr>
              <w:t>9.31</w:t>
            </w:r>
          </w:p>
        </w:tc>
      </w:tr>
      <w:tr w:rsidR="004B5F38" w:rsidRPr="004B5F38" w14:paraId="31CA92AE" w14:textId="77777777" w:rsidTr="00902022">
        <w:trPr>
          <w:trHeight w:val="295"/>
          <w:jc w:val="center"/>
        </w:trPr>
        <w:tc>
          <w:tcPr>
            <w:tcW w:w="2258" w:type="dxa"/>
            <w:tcBorders>
              <w:top w:val="nil"/>
              <w:left w:val="nil"/>
              <w:bottom w:val="nil"/>
              <w:right w:val="nil"/>
            </w:tcBorders>
            <w:shd w:val="clear" w:color="000000" w:fill="EEECE1"/>
            <w:vAlign w:val="center"/>
            <w:hideMark/>
          </w:tcPr>
          <w:p w14:paraId="162669E1" w14:textId="77777777" w:rsidR="004B5F38" w:rsidRPr="004B5F38" w:rsidRDefault="004B5F38" w:rsidP="004B5F38">
            <w:pPr>
              <w:spacing w:after="0" w:line="240" w:lineRule="auto"/>
              <w:rPr>
                <w:rFonts w:ascii="Arial" w:eastAsia="Times New Roman" w:hAnsi="Arial" w:cs="Arial"/>
                <w:b/>
                <w:bCs/>
                <w:color w:val="000000"/>
                <w:lang w:val="en-US"/>
              </w:rPr>
            </w:pPr>
            <w:r w:rsidRPr="004B5F38">
              <w:rPr>
                <w:rFonts w:ascii="Arial" w:eastAsia="Times New Roman" w:hAnsi="Arial" w:cs="Arial"/>
                <w:b/>
                <w:bCs/>
                <w:color w:val="000000"/>
                <w:lang w:val="en-US"/>
              </w:rPr>
              <w:t>Total PV</w:t>
            </w:r>
          </w:p>
        </w:tc>
        <w:tc>
          <w:tcPr>
            <w:tcW w:w="1850" w:type="dxa"/>
            <w:tcBorders>
              <w:top w:val="nil"/>
              <w:left w:val="nil"/>
              <w:bottom w:val="nil"/>
              <w:right w:val="nil"/>
            </w:tcBorders>
            <w:shd w:val="clear" w:color="000000" w:fill="EEECE1"/>
            <w:vAlign w:val="center"/>
            <w:hideMark/>
          </w:tcPr>
          <w:p w14:paraId="5AB8AA83" w14:textId="77777777" w:rsidR="004B5F38" w:rsidRPr="004B5F38" w:rsidRDefault="004B5F38" w:rsidP="004B5F38">
            <w:pPr>
              <w:spacing w:after="0" w:line="240" w:lineRule="auto"/>
              <w:rPr>
                <w:rFonts w:ascii="Arial" w:eastAsia="Times New Roman" w:hAnsi="Arial" w:cs="Arial"/>
                <w:color w:val="000000"/>
                <w:lang w:val="en-US"/>
              </w:rPr>
            </w:pPr>
            <w:r w:rsidRPr="004B5F38">
              <w:rPr>
                <w:rFonts w:ascii="Arial" w:eastAsia="Times New Roman" w:hAnsi="Arial" w:cs="Arial"/>
                <w:color w:val="000000"/>
                <w:lang w:val="en-US"/>
              </w:rPr>
              <w:t> </w:t>
            </w:r>
          </w:p>
        </w:tc>
        <w:tc>
          <w:tcPr>
            <w:tcW w:w="1466" w:type="dxa"/>
            <w:tcBorders>
              <w:top w:val="nil"/>
              <w:left w:val="nil"/>
              <w:bottom w:val="nil"/>
              <w:right w:val="nil"/>
            </w:tcBorders>
            <w:shd w:val="clear" w:color="000000" w:fill="EEECE1"/>
            <w:vAlign w:val="center"/>
            <w:hideMark/>
          </w:tcPr>
          <w:p w14:paraId="79725241" w14:textId="77777777" w:rsidR="004B5F38" w:rsidRPr="004B5F38" w:rsidRDefault="004B5F38" w:rsidP="004B5F38">
            <w:pPr>
              <w:spacing w:after="0" w:line="240" w:lineRule="auto"/>
              <w:jc w:val="right"/>
              <w:rPr>
                <w:rFonts w:ascii="Arial" w:eastAsia="Times New Roman" w:hAnsi="Arial" w:cs="Arial"/>
                <w:b/>
                <w:bCs/>
                <w:color w:val="000000"/>
                <w:lang w:val="en-US"/>
              </w:rPr>
            </w:pPr>
            <w:r w:rsidRPr="004B5F38">
              <w:rPr>
                <w:rFonts w:ascii="Arial" w:eastAsia="Times New Roman" w:hAnsi="Arial" w:cs="Arial"/>
                <w:b/>
                <w:bCs/>
                <w:color w:val="000000"/>
                <w:lang w:val="en-US"/>
              </w:rPr>
              <w:t>54.23</w:t>
            </w:r>
          </w:p>
        </w:tc>
      </w:tr>
      <w:tr w:rsidR="004B5F38" w:rsidRPr="004B5F38" w14:paraId="7F0C43D4" w14:textId="77777777" w:rsidTr="00902022">
        <w:trPr>
          <w:trHeight w:val="295"/>
          <w:jc w:val="center"/>
        </w:trPr>
        <w:tc>
          <w:tcPr>
            <w:tcW w:w="2258" w:type="dxa"/>
            <w:tcBorders>
              <w:top w:val="nil"/>
              <w:left w:val="nil"/>
              <w:bottom w:val="nil"/>
              <w:right w:val="nil"/>
            </w:tcBorders>
            <w:shd w:val="clear" w:color="000000" w:fill="EEECE1"/>
            <w:vAlign w:val="center"/>
            <w:hideMark/>
          </w:tcPr>
          <w:p w14:paraId="4369FBD8" w14:textId="77777777" w:rsidR="004B5F38" w:rsidRPr="004B5F38" w:rsidRDefault="004B5F38" w:rsidP="004B5F38">
            <w:pPr>
              <w:spacing w:after="0" w:line="240" w:lineRule="auto"/>
              <w:rPr>
                <w:rFonts w:ascii="Arial" w:eastAsia="Times New Roman" w:hAnsi="Arial" w:cs="Arial"/>
                <w:b/>
                <w:bCs/>
                <w:color w:val="000000"/>
                <w:lang w:val="en-US"/>
              </w:rPr>
            </w:pPr>
            <w:r w:rsidRPr="004B5F38">
              <w:rPr>
                <w:rFonts w:ascii="Arial" w:eastAsia="Times New Roman" w:hAnsi="Arial" w:cs="Arial"/>
                <w:b/>
                <w:bCs/>
                <w:color w:val="000000"/>
                <w:lang w:val="en-US"/>
              </w:rPr>
              <w:t>NPV @10%</w:t>
            </w:r>
          </w:p>
        </w:tc>
        <w:tc>
          <w:tcPr>
            <w:tcW w:w="1850" w:type="dxa"/>
            <w:tcBorders>
              <w:top w:val="nil"/>
              <w:left w:val="nil"/>
              <w:bottom w:val="nil"/>
              <w:right w:val="nil"/>
            </w:tcBorders>
            <w:shd w:val="clear" w:color="000000" w:fill="EEECE1"/>
            <w:vAlign w:val="center"/>
            <w:hideMark/>
          </w:tcPr>
          <w:p w14:paraId="53EF771E" w14:textId="77777777" w:rsidR="004B5F38" w:rsidRPr="004B5F38" w:rsidRDefault="004B5F38" w:rsidP="004B5F38">
            <w:pPr>
              <w:spacing w:after="0" w:line="240" w:lineRule="auto"/>
              <w:rPr>
                <w:rFonts w:ascii="Arial" w:eastAsia="Times New Roman" w:hAnsi="Arial" w:cs="Arial"/>
                <w:color w:val="000000"/>
                <w:lang w:val="en-US"/>
              </w:rPr>
            </w:pPr>
            <w:r w:rsidRPr="004B5F38">
              <w:rPr>
                <w:rFonts w:ascii="Arial" w:eastAsia="Times New Roman" w:hAnsi="Arial" w:cs="Arial"/>
                <w:color w:val="000000"/>
                <w:lang w:val="en-US"/>
              </w:rPr>
              <w:t> </w:t>
            </w:r>
          </w:p>
        </w:tc>
        <w:tc>
          <w:tcPr>
            <w:tcW w:w="1466" w:type="dxa"/>
            <w:tcBorders>
              <w:top w:val="nil"/>
              <w:left w:val="nil"/>
              <w:bottom w:val="nil"/>
              <w:right w:val="nil"/>
            </w:tcBorders>
            <w:shd w:val="clear" w:color="000000" w:fill="EEECE1"/>
            <w:vAlign w:val="center"/>
            <w:hideMark/>
          </w:tcPr>
          <w:p w14:paraId="24B99816" w14:textId="77777777" w:rsidR="004B5F38" w:rsidRPr="004B5F38" w:rsidRDefault="004B5F38" w:rsidP="004B5F38">
            <w:pPr>
              <w:spacing w:after="0" w:line="240" w:lineRule="auto"/>
              <w:jc w:val="right"/>
              <w:rPr>
                <w:rFonts w:ascii="Arial" w:eastAsia="Times New Roman" w:hAnsi="Arial" w:cs="Arial"/>
                <w:b/>
                <w:bCs/>
                <w:color w:val="000000"/>
                <w:lang w:val="en-US"/>
              </w:rPr>
            </w:pPr>
            <w:r w:rsidRPr="004B5F38">
              <w:rPr>
                <w:rFonts w:ascii="Arial" w:eastAsia="Times New Roman" w:hAnsi="Arial" w:cs="Arial"/>
                <w:b/>
                <w:bCs/>
                <w:color w:val="000000"/>
                <w:lang w:val="en-US"/>
              </w:rPr>
              <w:t>4.23</w:t>
            </w:r>
          </w:p>
        </w:tc>
      </w:tr>
    </w:tbl>
    <w:p w14:paraId="149312EE" w14:textId="77777777" w:rsidR="004B5F38" w:rsidRPr="009E2403" w:rsidRDefault="004B5F38" w:rsidP="00C7208C">
      <w:pPr>
        <w:rPr>
          <w:rFonts w:ascii="Arial" w:hAnsi="Arial" w:cs="Arial"/>
          <w:sz w:val="24"/>
        </w:rPr>
      </w:pPr>
    </w:p>
    <w:p w14:paraId="6949F220" w14:textId="77777777" w:rsidR="00C7208C" w:rsidRPr="009E2403" w:rsidRDefault="00C7208C" w:rsidP="00C7208C">
      <w:pPr>
        <w:rPr>
          <w:rFonts w:ascii="Arial" w:hAnsi="Arial" w:cs="Arial"/>
          <w:sz w:val="24"/>
        </w:rPr>
      </w:pPr>
      <w:r w:rsidRPr="009E2403">
        <w:rPr>
          <w:rFonts w:ascii="Arial" w:hAnsi="Arial" w:cs="Arial"/>
          <w:sz w:val="24"/>
        </w:rPr>
        <w:t xml:space="preserve"> </w:t>
      </w:r>
    </w:p>
    <w:p w14:paraId="54DAA245" w14:textId="77777777" w:rsidR="00C7208C" w:rsidRPr="009E2403" w:rsidRDefault="00C7208C" w:rsidP="00C7208C">
      <w:pPr>
        <w:rPr>
          <w:rFonts w:ascii="Arial" w:hAnsi="Arial" w:cs="Arial"/>
          <w:sz w:val="24"/>
        </w:rPr>
      </w:pPr>
      <w:r w:rsidRPr="009E2403">
        <w:rPr>
          <w:rFonts w:ascii="Arial" w:hAnsi="Arial" w:cs="Arial"/>
          <w:sz w:val="24"/>
        </w:rPr>
        <w:t>NPV at Highest Discount Rate (at 20%)</w:t>
      </w:r>
    </w:p>
    <w:tbl>
      <w:tblPr>
        <w:tblW w:w="4640" w:type="dxa"/>
        <w:jc w:val="center"/>
        <w:tblLook w:val="04A0" w:firstRow="1" w:lastRow="0" w:firstColumn="1" w:lastColumn="0" w:noHBand="0" w:noVBand="1"/>
      </w:tblPr>
      <w:tblGrid>
        <w:gridCol w:w="1880"/>
        <w:gridCol w:w="1540"/>
        <w:gridCol w:w="1220"/>
      </w:tblGrid>
      <w:tr w:rsidR="007D6555" w:rsidRPr="007D6555" w14:paraId="288F7978" w14:textId="77777777" w:rsidTr="00902022">
        <w:trPr>
          <w:trHeight w:val="300"/>
          <w:jc w:val="center"/>
        </w:trPr>
        <w:tc>
          <w:tcPr>
            <w:tcW w:w="1880" w:type="dxa"/>
            <w:tcBorders>
              <w:top w:val="nil"/>
              <w:left w:val="nil"/>
              <w:bottom w:val="nil"/>
              <w:right w:val="nil"/>
            </w:tcBorders>
            <w:shd w:val="clear" w:color="000000" w:fill="EEECE1"/>
            <w:vAlign w:val="center"/>
            <w:hideMark/>
          </w:tcPr>
          <w:p w14:paraId="62901971" w14:textId="77777777" w:rsidR="007D6555" w:rsidRPr="007D6555" w:rsidRDefault="007D6555" w:rsidP="007D6555">
            <w:pPr>
              <w:spacing w:after="0" w:line="240" w:lineRule="auto"/>
              <w:jc w:val="center"/>
              <w:rPr>
                <w:rFonts w:ascii="Arial" w:eastAsia="Times New Roman" w:hAnsi="Arial" w:cs="Arial"/>
                <w:b/>
                <w:bCs/>
                <w:color w:val="000000"/>
                <w:lang w:val="en-US"/>
              </w:rPr>
            </w:pPr>
            <w:r w:rsidRPr="007D6555">
              <w:rPr>
                <w:rFonts w:ascii="Arial" w:eastAsia="Times New Roman" w:hAnsi="Arial" w:cs="Arial"/>
                <w:b/>
                <w:bCs/>
                <w:color w:val="000000"/>
                <w:lang w:val="en-US"/>
              </w:rPr>
              <w:t>Year</w:t>
            </w:r>
          </w:p>
        </w:tc>
        <w:tc>
          <w:tcPr>
            <w:tcW w:w="1540" w:type="dxa"/>
            <w:tcBorders>
              <w:top w:val="nil"/>
              <w:left w:val="nil"/>
              <w:bottom w:val="nil"/>
              <w:right w:val="nil"/>
            </w:tcBorders>
            <w:shd w:val="clear" w:color="000000" w:fill="EEECE1"/>
            <w:vAlign w:val="center"/>
            <w:hideMark/>
          </w:tcPr>
          <w:p w14:paraId="4D2CDEDD" w14:textId="77777777" w:rsidR="007D6555" w:rsidRPr="007D6555" w:rsidRDefault="007D6555" w:rsidP="007D6555">
            <w:pPr>
              <w:spacing w:after="0" w:line="240" w:lineRule="auto"/>
              <w:jc w:val="center"/>
              <w:rPr>
                <w:rFonts w:ascii="Arial" w:eastAsia="Times New Roman" w:hAnsi="Arial" w:cs="Arial"/>
                <w:b/>
                <w:bCs/>
                <w:color w:val="000000"/>
                <w:lang w:val="en-US"/>
              </w:rPr>
            </w:pPr>
            <w:r w:rsidRPr="007D6555">
              <w:rPr>
                <w:rFonts w:ascii="Arial" w:eastAsia="Times New Roman" w:hAnsi="Arial" w:cs="Arial"/>
                <w:b/>
                <w:bCs/>
                <w:color w:val="000000"/>
                <w:lang w:val="en-US"/>
              </w:rPr>
              <w:t>Cash Flow (£m)</w:t>
            </w:r>
          </w:p>
        </w:tc>
        <w:tc>
          <w:tcPr>
            <w:tcW w:w="1220" w:type="dxa"/>
            <w:tcBorders>
              <w:top w:val="nil"/>
              <w:left w:val="nil"/>
              <w:bottom w:val="nil"/>
              <w:right w:val="nil"/>
            </w:tcBorders>
            <w:shd w:val="clear" w:color="000000" w:fill="EEECE1"/>
            <w:vAlign w:val="center"/>
            <w:hideMark/>
          </w:tcPr>
          <w:p w14:paraId="4D6EA3D1" w14:textId="77777777" w:rsidR="007D6555" w:rsidRPr="007D6555" w:rsidRDefault="007D6555" w:rsidP="007D6555">
            <w:pPr>
              <w:spacing w:after="0" w:line="240" w:lineRule="auto"/>
              <w:jc w:val="center"/>
              <w:rPr>
                <w:rFonts w:ascii="Arial" w:eastAsia="Times New Roman" w:hAnsi="Arial" w:cs="Arial"/>
                <w:b/>
                <w:bCs/>
                <w:color w:val="000000"/>
                <w:lang w:val="en-US"/>
              </w:rPr>
            </w:pPr>
            <w:r w:rsidRPr="007D6555">
              <w:rPr>
                <w:rFonts w:ascii="Arial" w:eastAsia="Times New Roman" w:hAnsi="Arial" w:cs="Arial"/>
                <w:b/>
                <w:bCs/>
                <w:color w:val="000000"/>
                <w:lang w:val="en-US"/>
              </w:rPr>
              <w:t>PV</w:t>
            </w:r>
          </w:p>
        </w:tc>
      </w:tr>
      <w:tr w:rsidR="007D6555" w:rsidRPr="007D6555" w14:paraId="60FFB584" w14:textId="77777777" w:rsidTr="00902022">
        <w:trPr>
          <w:trHeight w:val="300"/>
          <w:jc w:val="center"/>
        </w:trPr>
        <w:tc>
          <w:tcPr>
            <w:tcW w:w="1880" w:type="dxa"/>
            <w:tcBorders>
              <w:top w:val="nil"/>
              <w:left w:val="nil"/>
              <w:bottom w:val="nil"/>
              <w:right w:val="nil"/>
            </w:tcBorders>
            <w:shd w:val="clear" w:color="000000" w:fill="EEECE1"/>
            <w:vAlign w:val="center"/>
            <w:hideMark/>
          </w:tcPr>
          <w:p w14:paraId="2333C3B1"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1</w:t>
            </w:r>
          </w:p>
        </w:tc>
        <w:tc>
          <w:tcPr>
            <w:tcW w:w="1540" w:type="dxa"/>
            <w:tcBorders>
              <w:top w:val="nil"/>
              <w:left w:val="nil"/>
              <w:bottom w:val="nil"/>
              <w:right w:val="nil"/>
            </w:tcBorders>
            <w:shd w:val="clear" w:color="000000" w:fill="EEECE1"/>
            <w:vAlign w:val="center"/>
            <w:hideMark/>
          </w:tcPr>
          <w:p w14:paraId="13E721A3"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5</w:t>
            </w:r>
          </w:p>
        </w:tc>
        <w:tc>
          <w:tcPr>
            <w:tcW w:w="1220" w:type="dxa"/>
            <w:tcBorders>
              <w:top w:val="nil"/>
              <w:left w:val="nil"/>
              <w:bottom w:val="nil"/>
              <w:right w:val="nil"/>
            </w:tcBorders>
            <w:shd w:val="clear" w:color="000000" w:fill="EEECE1"/>
            <w:vAlign w:val="center"/>
            <w:hideMark/>
          </w:tcPr>
          <w:p w14:paraId="250236DE"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2.38</w:t>
            </w:r>
          </w:p>
        </w:tc>
      </w:tr>
      <w:tr w:rsidR="007D6555" w:rsidRPr="007D6555" w14:paraId="53A53E6E" w14:textId="77777777" w:rsidTr="00902022">
        <w:trPr>
          <w:trHeight w:val="300"/>
          <w:jc w:val="center"/>
        </w:trPr>
        <w:tc>
          <w:tcPr>
            <w:tcW w:w="1880" w:type="dxa"/>
            <w:tcBorders>
              <w:top w:val="nil"/>
              <w:left w:val="nil"/>
              <w:bottom w:val="nil"/>
              <w:right w:val="nil"/>
            </w:tcBorders>
            <w:shd w:val="clear" w:color="000000" w:fill="EEECE1"/>
            <w:vAlign w:val="center"/>
            <w:hideMark/>
          </w:tcPr>
          <w:p w14:paraId="4CE3851C"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2</w:t>
            </w:r>
          </w:p>
        </w:tc>
        <w:tc>
          <w:tcPr>
            <w:tcW w:w="1540" w:type="dxa"/>
            <w:tcBorders>
              <w:top w:val="nil"/>
              <w:left w:val="nil"/>
              <w:bottom w:val="nil"/>
              <w:right w:val="nil"/>
            </w:tcBorders>
            <w:shd w:val="clear" w:color="000000" w:fill="EEECE1"/>
            <w:vAlign w:val="center"/>
            <w:hideMark/>
          </w:tcPr>
          <w:p w14:paraId="4F765C30"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10</w:t>
            </w:r>
          </w:p>
        </w:tc>
        <w:tc>
          <w:tcPr>
            <w:tcW w:w="1220" w:type="dxa"/>
            <w:tcBorders>
              <w:top w:val="nil"/>
              <w:left w:val="nil"/>
              <w:bottom w:val="nil"/>
              <w:right w:val="nil"/>
            </w:tcBorders>
            <w:shd w:val="clear" w:color="000000" w:fill="EEECE1"/>
            <w:vAlign w:val="center"/>
            <w:hideMark/>
          </w:tcPr>
          <w:p w14:paraId="0ABB6F30"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2.27</w:t>
            </w:r>
          </w:p>
        </w:tc>
      </w:tr>
      <w:tr w:rsidR="007D6555" w:rsidRPr="007D6555" w14:paraId="069F4BD8" w14:textId="77777777" w:rsidTr="00902022">
        <w:trPr>
          <w:trHeight w:val="300"/>
          <w:jc w:val="center"/>
        </w:trPr>
        <w:tc>
          <w:tcPr>
            <w:tcW w:w="1880" w:type="dxa"/>
            <w:tcBorders>
              <w:top w:val="nil"/>
              <w:left w:val="nil"/>
              <w:bottom w:val="nil"/>
              <w:right w:val="nil"/>
            </w:tcBorders>
            <w:shd w:val="clear" w:color="000000" w:fill="EEECE1"/>
            <w:vAlign w:val="center"/>
            <w:hideMark/>
          </w:tcPr>
          <w:p w14:paraId="0558F26F"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3</w:t>
            </w:r>
          </w:p>
        </w:tc>
        <w:tc>
          <w:tcPr>
            <w:tcW w:w="1540" w:type="dxa"/>
            <w:tcBorders>
              <w:top w:val="nil"/>
              <w:left w:val="nil"/>
              <w:bottom w:val="nil"/>
              <w:right w:val="nil"/>
            </w:tcBorders>
            <w:shd w:val="clear" w:color="000000" w:fill="EEECE1"/>
            <w:vAlign w:val="center"/>
            <w:hideMark/>
          </w:tcPr>
          <w:p w14:paraId="40593217"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20</w:t>
            </w:r>
          </w:p>
        </w:tc>
        <w:tc>
          <w:tcPr>
            <w:tcW w:w="1220" w:type="dxa"/>
            <w:tcBorders>
              <w:top w:val="nil"/>
              <w:left w:val="nil"/>
              <w:bottom w:val="nil"/>
              <w:right w:val="nil"/>
            </w:tcBorders>
            <w:shd w:val="clear" w:color="000000" w:fill="EEECE1"/>
            <w:vAlign w:val="center"/>
            <w:hideMark/>
          </w:tcPr>
          <w:p w14:paraId="38E364D0"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2.16</w:t>
            </w:r>
          </w:p>
        </w:tc>
      </w:tr>
      <w:tr w:rsidR="007D6555" w:rsidRPr="007D6555" w14:paraId="7E0C7712" w14:textId="77777777" w:rsidTr="00902022">
        <w:trPr>
          <w:trHeight w:val="300"/>
          <w:jc w:val="center"/>
        </w:trPr>
        <w:tc>
          <w:tcPr>
            <w:tcW w:w="1880" w:type="dxa"/>
            <w:tcBorders>
              <w:top w:val="nil"/>
              <w:left w:val="nil"/>
              <w:bottom w:val="nil"/>
              <w:right w:val="nil"/>
            </w:tcBorders>
            <w:shd w:val="clear" w:color="000000" w:fill="EEECE1"/>
            <w:vAlign w:val="center"/>
            <w:hideMark/>
          </w:tcPr>
          <w:p w14:paraId="282D4D80"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4</w:t>
            </w:r>
          </w:p>
        </w:tc>
        <w:tc>
          <w:tcPr>
            <w:tcW w:w="1540" w:type="dxa"/>
            <w:tcBorders>
              <w:top w:val="nil"/>
              <w:left w:val="nil"/>
              <w:bottom w:val="nil"/>
              <w:right w:val="nil"/>
            </w:tcBorders>
            <w:shd w:val="clear" w:color="000000" w:fill="EEECE1"/>
            <w:vAlign w:val="center"/>
            <w:hideMark/>
          </w:tcPr>
          <w:p w14:paraId="6D02EB88"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25</w:t>
            </w:r>
          </w:p>
        </w:tc>
        <w:tc>
          <w:tcPr>
            <w:tcW w:w="1220" w:type="dxa"/>
            <w:tcBorders>
              <w:top w:val="nil"/>
              <w:left w:val="nil"/>
              <w:bottom w:val="nil"/>
              <w:right w:val="nil"/>
            </w:tcBorders>
            <w:shd w:val="clear" w:color="000000" w:fill="EEECE1"/>
            <w:vAlign w:val="center"/>
            <w:hideMark/>
          </w:tcPr>
          <w:p w14:paraId="2412BDEA"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1.29</w:t>
            </w:r>
          </w:p>
        </w:tc>
      </w:tr>
      <w:tr w:rsidR="007D6555" w:rsidRPr="007D6555" w14:paraId="66724429" w14:textId="77777777" w:rsidTr="00902022">
        <w:trPr>
          <w:trHeight w:val="300"/>
          <w:jc w:val="center"/>
        </w:trPr>
        <w:tc>
          <w:tcPr>
            <w:tcW w:w="1880" w:type="dxa"/>
            <w:tcBorders>
              <w:top w:val="nil"/>
              <w:left w:val="nil"/>
              <w:bottom w:val="nil"/>
              <w:right w:val="nil"/>
            </w:tcBorders>
            <w:shd w:val="clear" w:color="000000" w:fill="EEECE1"/>
            <w:vAlign w:val="center"/>
            <w:hideMark/>
          </w:tcPr>
          <w:p w14:paraId="3F40EF2A"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5</w:t>
            </w:r>
          </w:p>
        </w:tc>
        <w:tc>
          <w:tcPr>
            <w:tcW w:w="1540" w:type="dxa"/>
            <w:tcBorders>
              <w:top w:val="nil"/>
              <w:left w:val="nil"/>
              <w:bottom w:val="nil"/>
              <w:right w:val="nil"/>
            </w:tcBorders>
            <w:shd w:val="clear" w:color="000000" w:fill="EEECE1"/>
            <w:vAlign w:val="center"/>
            <w:hideMark/>
          </w:tcPr>
          <w:p w14:paraId="3924013D"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15</w:t>
            </w:r>
          </w:p>
        </w:tc>
        <w:tc>
          <w:tcPr>
            <w:tcW w:w="1220" w:type="dxa"/>
            <w:tcBorders>
              <w:top w:val="nil"/>
              <w:left w:val="nil"/>
              <w:bottom w:val="nil"/>
              <w:right w:val="nil"/>
            </w:tcBorders>
            <w:shd w:val="clear" w:color="000000" w:fill="EEECE1"/>
            <w:vAlign w:val="center"/>
            <w:hideMark/>
          </w:tcPr>
          <w:p w14:paraId="355058FA" w14:textId="77777777" w:rsidR="007D6555" w:rsidRPr="007D6555" w:rsidRDefault="007D6555" w:rsidP="007D6555">
            <w:pPr>
              <w:spacing w:after="0" w:line="240" w:lineRule="auto"/>
              <w:jc w:val="right"/>
              <w:rPr>
                <w:rFonts w:ascii="Arial" w:eastAsia="Times New Roman" w:hAnsi="Arial" w:cs="Arial"/>
                <w:color w:val="000000"/>
                <w:lang w:val="en-US"/>
              </w:rPr>
            </w:pPr>
            <w:r w:rsidRPr="007D6555">
              <w:rPr>
                <w:rFonts w:ascii="Arial" w:eastAsia="Times New Roman" w:hAnsi="Arial" w:cs="Arial"/>
                <w:color w:val="000000"/>
                <w:lang w:val="en-US"/>
              </w:rPr>
              <w:t>0.37</w:t>
            </w:r>
          </w:p>
        </w:tc>
      </w:tr>
      <w:tr w:rsidR="007D6555" w:rsidRPr="007D6555" w14:paraId="72CB2587" w14:textId="77777777" w:rsidTr="00902022">
        <w:trPr>
          <w:trHeight w:val="300"/>
          <w:jc w:val="center"/>
        </w:trPr>
        <w:tc>
          <w:tcPr>
            <w:tcW w:w="1880" w:type="dxa"/>
            <w:tcBorders>
              <w:top w:val="nil"/>
              <w:left w:val="nil"/>
              <w:bottom w:val="nil"/>
              <w:right w:val="nil"/>
            </w:tcBorders>
            <w:shd w:val="clear" w:color="000000" w:fill="EEECE1"/>
            <w:vAlign w:val="center"/>
            <w:hideMark/>
          </w:tcPr>
          <w:p w14:paraId="48ADD4D3" w14:textId="77777777" w:rsidR="007D6555" w:rsidRPr="007D6555" w:rsidRDefault="007D6555" w:rsidP="007D6555">
            <w:pPr>
              <w:spacing w:after="0" w:line="240" w:lineRule="auto"/>
              <w:rPr>
                <w:rFonts w:ascii="Arial" w:eastAsia="Times New Roman" w:hAnsi="Arial" w:cs="Arial"/>
                <w:b/>
                <w:bCs/>
                <w:color w:val="000000"/>
                <w:lang w:val="en-US"/>
              </w:rPr>
            </w:pPr>
            <w:r w:rsidRPr="007D6555">
              <w:rPr>
                <w:rFonts w:ascii="Arial" w:eastAsia="Times New Roman" w:hAnsi="Arial" w:cs="Arial"/>
                <w:b/>
                <w:bCs/>
                <w:color w:val="000000"/>
                <w:lang w:val="en-US"/>
              </w:rPr>
              <w:t>Total PV</w:t>
            </w:r>
          </w:p>
        </w:tc>
        <w:tc>
          <w:tcPr>
            <w:tcW w:w="1540" w:type="dxa"/>
            <w:tcBorders>
              <w:top w:val="nil"/>
              <w:left w:val="nil"/>
              <w:bottom w:val="nil"/>
              <w:right w:val="nil"/>
            </w:tcBorders>
            <w:shd w:val="clear" w:color="000000" w:fill="EEECE1"/>
            <w:vAlign w:val="center"/>
            <w:hideMark/>
          </w:tcPr>
          <w:p w14:paraId="4FCA8D20" w14:textId="77777777" w:rsidR="007D6555" w:rsidRPr="007D6555" w:rsidRDefault="007D6555" w:rsidP="007D6555">
            <w:pPr>
              <w:spacing w:after="0" w:line="240" w:lineRule="auto"/>
              <w:rPr>
                <w:rFonts w:ascii="Arial" w:eastAsia="Times New Roman" w:hAnsi="Arial" w:cs="Arial"/>
                <w:color w:val="000000"/>
                <w:lang w:val="en-US"/>
              </w:rPr>
            </w:pPr>
            <w:r w:rsidRPr="007D6555">
              <w:rPr>
                <w:rFonts w:ascii="Arial" w:eastAsia="Times New Roman" w:hAnsi="Arial" w:cs="Arial"/>
                <w:color w:val="000000"/>
                <w:lang w:val="en-US"/>
              </w:rPr>
              <w:t> </w:t>
            </w:r>
          </w:p>
        </w:tc>
        <w:tc>
          <w:tcPr>
            <w:tcW w:w="1220" w:type="dxa"/>
            <w:tcBorders>
              <w:top w:val="nil"/>
              <w:left w:val="nil"/>
              <w:bottom w:val="nil"/>
              <w:right w:val="nil"/>
            </w:tcBorders>
            <w:shd w:val="clear" w:color="000000" w:fill="EEECE1"/>
            <w:vAlign w:val="center"/>
            <w:hideMark/>
          </w:tcPr>
          <w:p w14:paraId="2894E2BD" w14:textId="77777777" w:rsidR="007D6555" w:rsidRPr="007D6555" w:rsidRDefault="007D6555" w:rsidP="007D6555">
            <w:pPr>
              <w:spacing w:after="0" w:line="240" w:lineRule="auto"/>
              <w:jc w:val="right"/>
              <w:rPr>
                <w:rFonts w:ascii="Arial" w:eastAsia="Times New Roman" w:hAnsi="Arial" w:cs="Arial"/>
                <w:b/>
                <w:bCs/>
                <w:color w:val="000000"/>
                <w:lang w:val="en-US"/>
              </w:rPr>
            </w:pPr>
            <w:r w:rsidRPr="007D6555">
              <w:rPr>
                <w:rFonts w:ascii="Arial" w:eastAsia="Times New Roman" w:hAnsi="Arial" w:cs="Arial"/>
                <w:b/>
                <w:bCs/>
                <w:color w:val="000000"/>
                <w:lang w:val="en-US"/>
              </w:rPr>
              <w:t>8.46</w:t>
            </w:r>
          </w:p>
        </w:tc>
      </w:tr>
      <w:tr w:rsidR="007D6555" w:rsidRPr="007D6555" w14:paraId="4D3712B6" w14:textId="77777777" w:rsidTr="00902022">
        <w:trPr>
          <w:trHeight w:val="300"/>
          <w:jc w:val="center"/>
        </w:trPr>
        <w:tc>
          <w:tcPr>
            <w:tcW w:w="1880" w:type="dxa"/>
            <w:tcBorders>
              <w:top w:val="nil"/>
              <w:left w:val="nil"/>
              <w:bottom w:val="nil"/>
              <w:right w:val="nil"/>
            </w:tcBorders>
            <w:shd w:val="clear" w:color="000000" w:fill="EEECE1"/>
            <w:vAlign w:val="center"/>
            <w:hideMark/>
          </w:tcPr>
          <w:p w14:paraId="766BA712" w14:textId="77777777" w:rsidR="007D6555" w:rsidRPr="007D6555" w:rsidRDefault="007D6555" w:rsidP="007D6555">
            <w:pPr>
              <w:spacing w:after="0" w:line="240" w:lineRule="auto"/>
              <w:rPr>
                <w:rFonts w:ascii="Arial" w:eastAsia="Times New Roman" w:hAnsi="Arial" w:cs="Arial"/>
                <w:b/>
                <w:bCs/>
                <w:color w:val="000000"/>
                <w:lang w:val="en-US"/>
              </w:rPr>
            </w:pPr>
            <w:r w:rsidRPr="007D6555">
              <w:rPr>
                <w:rFonts w:ascii="Arial" w:eastAsia="Times New Roman" w:hAnsi="Arial" w:cs="Arial"/>
                <w:b/>
                <w:bCs/>
                <w:color w:val="000000"/>
                <w:lang w:val="en-US"/>
              </w:rPr>
              <w:t>NPV @20%</w:t>
            </w:r>
          </w:p>
        </w:tc>
        <w:tc>
          <w:tcPr>
            <w:tcW w:w="1540" w:type="dxa"/>
            <w:tcBorders>
              <w:top w:val="nil"/>
              <w:left w:val="nil"/>
              <w:bottom w:val="nil"/>
              <w:right w:val="nil"/>
            </w:tcBorders>
            <w:shd w:val="clear" w:color="000000" w:fill="EEECE1"/>
            <w:vAlign w:val="center"/>
            <w:hideMark/>
          </w:tcPr>
          <w:p w14:paraId="1AF5677C" w14:textId="77777777" w:rsidR="007D6555" w:rsidRPr="007D6555" w:rsidRDefault="007D6555" w:rsidP="007D6555">
            <w:pPr>
              <w:spacing w:after="0" w:line="240" w:lineRule="auto"/>
              <w:rPr>
                <w:rFonts w:ascii="Arial" w:eastAsia="Times New Roman" w:hAnsi="Arial" w:cs="Arial"/>
                <w:color w:val="000000"/>
                <w:lang w:val="en-US"/>
              </w:rPr>
            </w:pPr>
            <w:r w:rsidRPr="007D6555">
              <w:rPr>
                <w:rFonts w:ascii="Arial" w:eastAsia="Times New Roman" w:hAnsi="Arial" w:cs="Arial"/>
                <w:color w:val="000000"/>
                <w:lang w:val="en-US"/>
              </w:rPr>
              <w:t> </w:t>
            </w:r>
          </w:p>
        </w:tc>
        <w:tc>
          <w:tcPr>
            <w:tcW w:w="1220" w:type="dxa"/>
            <w:tcBorders>
              <w:top w:val="nil"/>
              <w:left w:val="nil"/>
              <w:bottom w:val="nil"/>
              <w:right w:val="nil"/>
            </w:tcBorders>
            <w:shd w:val="clear" w:color="000000" w:fill="EEECE1"/>
            <w:vAlign w:val="center"/>
            <w:hideMark/>
          </w:tcPr>
          <w:p w14:paraId="538FC2F5" w14:textId="77777777" w:rsidR="007D6555" w:rsidRPr="007D6555" w:rsidRDefault="007D6555" w:rsidP="007D6555">
            <w:pPr>
              <w:spacing w:after="0" w:line="240" w:lineRule="auto"/>
              <w:rPr>
                <w:rFonts w:ascii="Arial" w:eastAsia="Times New Roman" w:hAnsi="Arial" w:cs="Arial"/>
                <w:b/>
                <w:bCs/>
                <w:color w:val="000000"/>
                <w:lang w:val="en-US"/>
              </w:rPr>
            </w:pPr>
            <w:r w:rsidRPr="007D6555">
              <w:rPr>
                <w:rFonts w:ascii="Arial" w:eastAsia="Times New Roman" w:hAnsi="Arial" w:cs="Arial"/>
                <w:b/>
                <w:bCs/>
                <w:color w:val="000000"/>
                <w:lang w:val="en-US"/>
              </w:rPr>
              <w:t>–41.54</w:t>
            </w:r>
          </w:p>
        </w:tc>
      </w:tr>
    </w:tbl>
    <w:p w14:paraId="54D5A48F" w14:textId="77777777" w:rsidR="00C7208C" w:rsidRPr="009E2403" w:rsidRDefault="00C7208C" w:rsidP="00C7208C">
      <w:pPr>
        <w:rPr>
          <w:rFonts w:ascii="Arial" w:hAnsi="Arial" w:cs="Arial"/>
          <w:sz w:val="24"/>
        </w:rPr>
      </w:pPr>
      <w:r w:rsidRPr="009E2403">
        <w:rPr>
          <w:rFonts w:ascii="Arial" w:hAnsi="Arial" w:cs="Arial"/>
          <w:sz w:val="24"/>
        </w:rPr>
        <w:t xml:space="preserve"> </w:t>
      </w:r>
    </w:p>
    <w:p w14:paraId="2316F6FD"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=Ra+ </m:t>
          </m:r>
          <m:f>
            <m:fPr>
              <m:ctrlPr>
                <w:rPr>
                  <w:rFonts w:ascii="Cambria Math" w:hAnsi="Cambria Math" w:cs="Arial"/>
                  <w:sz w:val="24"/>
                </w:rPr>
              </m:ctrlPr>
            </m:fPr>
            <m:num>
              <m:r>
                <w:rPr>
                  <w:rFonts w:ascii="Cambria Math" w:hAnsi="Cambria Math" w:cs="Arial"/>
                  <w:sz w:val="24"/>
                </w:rPr>
                <m:t>NPVa</m:t>
              </m:r>
            </m:num>
            <m:den>
              <m:r>
                <w:rPr>
                  <w:rFonts w:ascii="Cambria Math" w:hAnsi="Cambria Math" w:cs="Arial"/>
                  <w:sz w:val="24"/>
                </w:rPr>
                <m:t>NPVa-NPVb</m:t>
              </m:r>
            </m:den>
          </m:f>
          <m:r>
            <w:rPr>
              <w:rFonts w:ascii="Cambria Math" w:hAnsi="Cambria Math" w:cs="Arial"/>
              <w:sz w:val="24"/>
            </w:rPr>
            <m:t xml:space="preserve"> x (Rb-Ra)</m:t>
          </m:r>
        </m:oMath>
      </m:oMathPara>
    </w:p>
    <w:p w14:paraId="430E171C" w14:textId="77777777" w:rsidR="00C7208C" w:rsidRPr="009E2403" w:rsidRDefault="00C7208C" w:rsidP="00C7208C">
      <w:pPr>
        <w:rPr>
          <w:rFonts w:ascii="Arial" w:eastAsiaTheme="minorEastAsia" w:hAnsi="Arial" w:cs="Arial"/>
          <w:sz w:val="24"/>
        </w:rPr>
      </w:pPr>
      <w:r w:rsidRPr="009E2403">
        <w:rPr>
          <w:rFonts w:ascii="Arial" w:hAnsi="Arial" w:cs="Arial"/>
          <w:sz w:val="24"/>
        </w:rPr>
        <w:t xml:space="preserve"> </w:t>
      </w:r>
      <m:oMath>
        <m:r>
          <m:rPr>
            <m:sty m:val="p"/>
          </m:rPr>
          <w:rPr>
            <w:rFonts w:ascii="Cambria Math" w:hAnsi="Cambria Math" w:cs="Arial"/>
            <w:sz w:val="24"/>
          </w:rPr>
          <w:br/>
        </m:r>
      </m:oMath>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4.23</m:t>
              </m:r>
            </m:num>
            <m:den>
              <m:r>
                <w:rPr>
                  <w:rFonts w:ascii="Cambria Math" w:hAnsi="Cambria Math" w:cs="Arial"/>
                  <w:sz w:val="24"/>
                </w:rPr>
                <m:t>4.23-(-41.54)</m:t>
              </m:r>
            </m:den>
          </m:f>
          <m:r>
            <w:rPr>
              <w:rFonts w:ascii="Cambria Math" w:hAnsi="Cambria Math" w:cs="Arial"/>
              <w:sz w:val="24"/>
            </w:rPr>
            <m:t xml:space="preserve"> x (0.2-0.1)</m:t>
          </m:r>
        </m:oMath>
      </m:oMathPara>
    </w:p>
    <w:p w14:paraId="0E9966CA"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 xml:space="preserve">IRR =0.1+ </m:t>
          </m:r>
          <m:f>
            <m:fPr>
              <m:ctrlPr>
                <w:rPr>
                  <w:rFonts w:ascii="Cambria Math" w:hAnsi="Cambria Math" w:cs="Arial"/>
                  <w:sz w:val="24"/>
                </w:rPr>
              </m:ctrlPr>
            </m:fPr>
            <m:num>
              <m:r>
                <w:rPr>
                  <w:rFonts w:ascii="Cambria Math" w:hAnsi="Cambria Math" w:cs="Arial"/>
                  <w:sz w:val="24"/>
                </w:rPr>
                <m:t>4.23</m:t>
              </m:r>
            </m:num>
            <m:den>
              <m:r>
                <w:rPr>
                  <w:rFonts w:ascii="Cambria Math" w:hAnsi="Cambria Math" w:cs="Arial"/>
                  <w:sz w:val="24"/>
                </w:rPr>
                <m:t>45.77</m:t>
              </m:r>
            </m:den>
          </m:f>
          <m:r>
            <w:rPr>
              <w:rFonts w:ascii="Cambria Math" w:hAnsi="Cambria Math" w:cs="Arial"/>
              <w:sz w:val="24"/>
            </w:rPr>
            <m:t xml:space="preserve"> x (0.1)</m:t>
          </m:r>
        </m:oMath>
      </m:oMathPara>
    </w:p>
    <w:p w14:paraId="2E091027"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(0.0924) x (0.1)</m:t>
          </m:r>
        </m:oMath>
      </m:oMathPara>
    </w:p>
    <w:p w14:paraId="2CBD678F"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=0.1+(-</m:t>
          </m:r>
          <m:r>
            <w:rPr>
              <w:rFonts w:ascii="Cambria Math" w:hAnsi="Cambria Math" w:cs="Arial"/>
              <w:sz w:val="24"/>
            </w:rPr>
            <m:t>0.00924)</m:t>
          </m:r>
        </m:oMath>
      </m:oMathPara>
    </w:p>
    <w:p w14:paraId="793AA60C"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0.09</m:t>
          </m:r>
        </m:oMath>
      </m:oMathPara>
    </w:p>
    <w:p w14:paraId="5A01170A" w14:textId="77777777" w:rsidR="00C7208C" w:rsidRPr="009E2403" w:rsidRDefault="00C7208C" w:rsidP="00C7208C">
      <w:pPr>
        <w:rPr>
          <w:rFonts w:ascii="Arial" w:eastAsiaTheme="minorEastAsia" w:hAnsi="Arial" w:cs="Arial"/>
          <w:sz w:val="24"/>
        </w:rPr>
      </w:pPr>
      <m:oMathPara>
        <m:oMathParaPr>
          <m:jc m:val="left"/>
        </m:oMathParaPr>
        <m:oMath>
          <m:r>
            <m:rPr>
              <m:sty m:val="p"/>
            </m:rPr>
            <w:rPr>
              <w:rFonts w:ascii="Cambria Math" w:hAnsi="Cambria Math" w:cs="Arial"/>
              <w:sz w:val="24"/>
            </w:rPr>
            <m:t>IRR =</m:t>
          </m:r>
          <m:r>
            <w:rPr>
              <w:rFonts w:ascii="Cambria Math" w:hAnsi="Cambria Math" w:cs="Arial"/>
              <w:sz w:val="24"/>
            </w:rPr>
            <m:t>9%</m:t>
          </m:r>
        </m:oMath>
      </m:oMathPara>
    </w:p>
    <w:p w14:paraId="76DDBE0F" w14:textId="77777777" w:rsidR="006161E7" w:rsidRPr="009E2403" w:rsidRDefault="006161E7" w:rsidP="00CE7101">
      <w:pPr>
        <w:pStyle w:val="NormalWeb"/>
        <w:spacing w:before="0" w:beforeAutospacing="0" w:line="360" w:lineRule="auto"/>
        <w:rPr>
          <w:rFonts w:ascii="Arial" w:hAnsi="Arial" w:cs="Arial"/>
          <w:b/>
          <w:color w:val="404040"/>
        </w:rPr>
      </w:pPr>
      <w:r w:rsidRPr="009E2403">
        <w:rPr>
          <w:rFonts w:ascii="Arial" w:hAnsi="Arial" w:cs="Arial"/>
          <w:b/>
          <w:color w:val="404040"/>
        </w:rPr>
        <w:t xml:space="preserve">IRR Summary </w:t>
      </w:r>
    </w:p>
    <w:tbl>
      <w:tblPr>
        <w:tblW w:w="6358" w:type="dxa"/>
        <w:jc w:val="center"/>
        <w:tblLook w:val="04A0" w:firstRow="1" w:lastRow="0" w:firstColumn="1" w:lastColumn="0" w:noHBand="0" w:noVBand="1"/>
      </w:tblPr>
      <w:tblGrid>
        <w:gridCol w:w="3495"/>
        <w:gridCol w:w="2863"/>
      </w:tblGrid>
      <w:tr w:rsidR="006161E7" w:rsidRPr="006161E7" w14:paraId="6F6363EA" w14:textId="77777777" w:rsidTr="00275C96">
        <w:trPr>
          <w:trHeight w:val="342"/>
          <w:jc w:val="center"/>
        </w:trPr>
        <w:tc>
          <w:tcPr>
            <w:tcW w:w="3495" w:type="dxa"/>
            <w:tcBorders>
              <w:top w:val="nil"/>
              <w:left w:val="nil"/>
              <w:bottom w:val="nil"/>
              <w:right w:val="nil"/>
            </w:tcBorders>
            <w:shd w:val="clear" w:color="000000" w:fill="EEECE1"/>
            <w:vAlign w:val="center"/>
            <w:hideMark/>
          </w:tcPr>
          <w:p w14:paraId="33D14714" w14:textId="77777777" w:rsidR="006161E7" w:rsidRPr="006161E7" w:rsidRDefault="006161E7" w:rsidP="006161E7">
            <w:pPr>
              <w:spacing w:after="0" w:line="240" w:lineRule="auto"/>
              <w:jc w:val="center"/>
              <w:rPr>
                <w:rFonts w:ascii="Arial" w:eastAsia="Times New Roman" w:hAnsi="Arial" w:cs="Arial"/>
                <w:b/>
                <w:bCs/>
                <w:color w:val="FF0000"/>
                <w:lang w:val="en-US"/>
              </w:rPr>
            </w:pPr>
            <w:r w:rsidRPr="006161E7">
              <w:rPr>
                <w:rFonts w:ascii="Arial" w:eastAsia="Times New Roman" w:hAnsi="Arial" w:cs="Arial"/>
                <w:b/>
                <w:bCs/>
                <w:color w:val="FF0000"/>
                <w:lang w:val="en-US"/>
              </w:rPr>
              <w:t>Project</w:t>
            </w:r>
          </w:p>
        </w:tc>
        <w:tc>
          <w:tcPr>
            <w:tcW w:w="2863" w:type="dxa"/>
            <w:tcBorders>
              <w:top w:val="nil"/>
              <w:left w:val="nil"/>
              <w:bottom w:val="nil"/>
              <w:right w:val="nil"/>
            </w:tcBorders>
            <w:shd w:val="clear" w:color="000000" w:fill="EEECE1"/>
            <w:vAlign w:val="center"/>
            <w:hideMark/>
          </w:tcPr>
          <w:p w14:paraId="7EA086E1" w14:textId="77777777" w:rsidR="006161E7" w:rsidRPr="006161E7" w:rsidRDefault="006161E7" w:rsidP="006161E7">
            <w:pPr>
              <w:spacing w:after="0" w:line="240" w:lineRule="auto"/>
              <w:jc w:val="center"/>
              <w:rPr>
                <w:rFonts w:ascii="Arial" w:eastAsia="Times New Roman" w:hAnsi="Arial" w:cs="Arial"/>
                <w:b/>
                <w:bCs/>
                <w:color w:val="FF0000"/>
                <w:lang w:val="en-US"/>
              </w:rPr>
            </w:pPr>
            <w:r w:rsidRPr="006161E7">
              <w:rPr>
                <w:rFonts w:ascii="Arial" w:eastAsia="Times New Roman" w:hAnsi="Arial" w:cs="Arial"/>
                <w:b/>
                <w:bCs/>
                <w:color w:val="FF0000"/>
                <w:lang w:val="en-US"/>
              </w:rPr>
              <w:t>IRR</w:t>
            </w:r>
          </w:p>
        </w:tc>
      </w:tr>
      <w:tr w:rsidR="006161E7" w:rsidRPr="006161E7" w14:paraId="235BEBB5" w14:textId="77777777" w:rsidTr="00275C96">
        <w:trPr>
          <w:trHeight w:val="342"/>
          <w:jc w:val="center"/>
        </w:trPr>
        <w:tc>
          <w:tcPr>
            <w:tcW w:w="3495" w:type="dxa"/>
            <w:tcBorders>
              <w:top w:val="nil"/>
              <w:left w:val="nil"/>
              <w:bottom w:val="nil"/>
              <w:right w:val="nil"/>
            </w:tcBorders>
            <w:shd w:val="clear" w:color="000000" w:fill="EEECE1"/>
            <w:vAlign w:val="center"/>
            <w:hideMark/>
          </w:tcPr>
          <w:p w14:paraId="52FD03B7" w14:textId="77777777" w:rsidR="006161E7" w:rsidRPr="006161E7" w:rsidRDefault="006161E7" w:rsidP="006161E7">
            <w:pPr>
              <w:spacing w:after="0" w:line="240" w:lineRule="auto"/>
              <w:rPr>
                <w:rFonts w:ascii="Arial" w:eastAsia="Times New Roman" w:hAnsi="Arial" w:cs="Arial"/>
                <w:b/>
                <w:bCs/>
                <w:color w:val="000000"/>
                <w:lang w:val="en-US"/>
              </w:rPr>
            </w:pPr>
            <w:r w:rsidRPr="006161E7">
              <w:rPr>
                <w:rFonts w:ascii="Arial" w:eastAsia="Times New Roman" w:hAnsi="Arial" w:cs="Arial"/>
                <w:b/>
                <w:bCs/>
                <w:color w:val="000000"/>
                <w:lang w:val="en-US"/>
              </w:rPr>
              <w:t>Project A</w:t>
            </w:r>
          </w:p>
        </w:tc>
        <w:tc>
          <w:tcPr>
            <w:tcW w:w="2863" w:type="dxa"/>
            <w:tcBorders>
              <w:top w:val="nil"/>
              <w:left w:val="nil"/>
              <w:bottom w:val="nil"/>
              <w:right w:val="nil"/>
            </w:tcBorders>
            <w:shd w:val="clear" w:color="000000" w:fill="EEECE1"/>
            <w:vAlign w:val="center"/>
            <w:hideMark/>
          </w:tcPr>
          <w:p w14:paraId="4F84591F" w14:textId="77777777" w:rsidR="006161E7" w:rsidRPr="006161E7" w:rsidRDefault="006161E7" w:rsidP="006161E7">
            <w:pPr>
              <w:spacing w:after="0" w:line="240" w:lineRule="auto"/>
              <w:jc w:val="right"/>
              <w:rPr>
                <w:rFonts w:ascii="Arial" w:eastAsia="Times New Roman" w:hAnsi="Arial" w:cs="Arial"/>
                <w:b/>
                <w:bCs/>
                <w:color w:val="000000"/>
                <w:lang w:val="en-US"/>
              </w:rPr>
            </w:pPr>
            <w:r w:rsidRPr="006161E7">
              <w:rPr>
                <w:rFonts w:ascii="Arial" w:eastAsia="Times New Roman" w:hAnsi="Arial" w:cs="Arial"/>
                <w:b/>
                <w:bCs/>
                <w:color w:val="000000"/>
                <w:lang w:val="en-US"/>
              </w:rPr>
              <w:t>10%</w:t>
            </w:r>
          </w:p>
        </w:tc>
      </w:tr>
      <w:tr w:rsidR="006161E7" w:rsidRPr="006161E7" w14:paraId="5D015FFA" w14:textId="77777777" w:rsidTr="00275C96">
        <w:trPr>
          <w:trHeight w:val="342"/>
          <w:jc w:val="center"/>
        </w:trPr>
        <w:tc>
          <w:tcPr>
            <w:tcW w:w="3495" w:type="dxa"/>
            <w:tcBorders>
              <w:top w:val="nil"/>
              <w:left w:val="nil"/>
              <w:bottom w:val="nil"/>
              <w:right w:val="nil"/>
            </w:tcBorders>
            <w:shd w:val="clear" w:color="000000" w:fill="EEECE1"/>
            <w:vAlign w:val="center"/>
            <w:hideMark/>
          </w:tcPr>
          <w:p w14:paraId="186E3262" w14:textId="77777777" w:rsidR="006161E7" w:rsidRPr="006161E7" w:rsidRDefault="006161E7" w:rsidP="006161E7">
            <w:pPr>
              <w:spacing w:after="0" w:line="240" w:lineRule="auto"/>
              <w:rPr>
                <w:rFonts w:ascii="Arial" w:eastAsia="Times New Roman" w:hAnsi="Arial" w:cs="Arial"/>
                <w:b/>
                <w:bCs/>
                <w:color w:val="000000"/>
                <w:lang w:val="en-US"/>
              </w:rPr>
            </w:pPr>
            <w:r w:rsidRPr="006161E7">
              <w:rPr>
                <w:rFonts w:ascii="Arial" w:eastAsia="Times New Roman" w:hAnsi="Arial" w:cs="Arial"/>
                <w:b/>
                <w:bCs/>
                <w:color w:val="000000"/>
                <w:lang w:val="en-US"/>
              </w:rPr>
              <w:t>Project B</w:t>
            </w:r>
          </w:p>
        </w:tc>
        <w:tc>
          <w:tcPr>
            <w:tcW w:w="2863" w:type="dxa"/>
            <w:tcBorders>
              <w:top w:val="nil"/>
              <w:left w:val="nil"/>
              <w:bottom w:val="nil"/>
              <w:right w:val="nil"/>
            </w:tcBorders>
            <w:shd w:val="clear" w:color="000000" w:fill="EEECE1"/>
            <w:vAlign w:val="center"/>
            <w:hideMark/>
          </w:tcPr>
          <w:p w14:paraId="568F92D9" w14:textId="77777777" w:rsidR="006161E7" w:rsidRPr="006161E7" w:rsidRDefault="006161E7" w:rsidP="006161E7">
            <w:pPr>
              <w:spacing w:after="0" w:line="240" w:lineRule="auto"/>
              <w:jc w:val="right"/>
              <w:rPr>
                <w:rFonts w:ascii="Arial" w:eastAsia="Times New Roman" w:hAnsi="Arial" w:cs="Arial"/>
                <w:b/>
                <w:bCs/>
                <w:color w:val="000000"/>
                <w:lang w:val="en-US"/>
              </w:rPr>
            </w:pPr>
            <w:r w:rsidRPr="006161E7">
              <w:rPr>
                <w:rFonts w:ascii="Arial" w:eastAsia="Times New Roman" w:hAnsi="Arial" w:cs="Arial"/>
                <w:b/>
                <w:bCs/>
                <w:color w:val="000000"/>
                <w:lang w:val="en-US"/>
              </w:rPr>
              <w:t>14%</w:t>
            </w:r>
          </w:p>
        </w:tc>
      </w:tr>
      <w:tr w:rsidR="006161E7" w:rsidRPr="006161E7" w14:paraId="182A4F71" w14:textId="77777777" w:rsidTr="00275C96">
        <w:trPr>
          <w:trHeight w:val="342"/>
          <w:jc w:val="center"/>
        </w:trPr>
        <w:tc>
          <w:tcPr>
            <w:tcW w:w="3495" w:type="dxa"/>
            <w:tcBorders>
              <w:top w:val="nil"/>
              <w:left w:val="nil"/>
              <w:bottom w:val="nil"/>
              <w:right w:val="nil"/>
            </w:tcBorders>
            <w:shd w:val="clear" w:color="000000" w:fill="EEECE1"/>
            <w:vAlign w:val="center"/>
            <w:hideMark/>
          </w:tcPr>
          <w:p w14:paraId="18CBEF29" w14:textId="77777777" w:rsidR="006161E7" w:rsidRPr="006161E7" w:rsidRDefault="006161E7" w:rsidP="006161E7">
            <w:pPr>
              <w:spacing w:after="0" w:line="240" w:lineRule="auto"/>
              <w:rPr>
                <w:rFonts w:ascii="Arial" w:eastAsia="Times New Roman" w:hAnsi="Arial" w:cs="Arial"/>
                <w:b/>
                <w:bCs/>
                <w:color w:val="000000"/>
                <w:lang w:val="en-US"/>
              </w:rPr>
            </w:pPr>
            <w:r w:rsidRPr="006161E7">
              <w:rPr>
                <w:rFonts w:ascii="Arial" w:eastAsia="Times New Roman" w:hAnsi="Arial" w:cs="Arial"/>
                <w:b/>
                <w:bCs/>
                <w:color w:val="000000"/>
                <w:lang w:val="en-US"/>
              </w:rPr>
              <w:t>Project C</w:t>
            </w:r>
          </w:p>
        </w:tc>
        <w:tc>
          <w:tcPr>
            <w:tcW w:w="2863" w:type="dxa"/>
            <w:tcBorders>
              <w:top w:val="nil"/>
              <w:left w:val="nil"/>
              <w:bottom w:val="nil"/>
              <w:right w:val="nil"/>
            </w:tcBorders>
            <w:shd w:val="clear" w:color="000000" w:fill="EEECE1"/>
            <w:vAlign w:val="center"/>
            <w:hideMark/>
          </w:tcPr>
          <w:p w14:paraId="62A2BC9A" w14:textId="77777777" w:rsidR="006161E7" w:rsidRPr="006161E7" w:rsidRDefault="006161E7" w:rsidP="006161E7">
            <w:pPr>
              <w:spacing w:after="0" w:line="240" w:lineRule="auto"/>
              <w:jc w:val="right"/>
              <w:rPr>
                <w:rFonts w:ascii="Arial" w:eastAsia="Times New Roman" w:hAnsi="Arial" w:cs="Arial"/>
                <w:b/>
                <w:bCs/>
                <w:color w:val="000000"/>
                <w:lang w:val="en-US"/>
              </w:rPr>
            </w:pPr>
            <w:r w:rsidRPr="006161E7">
              <w:rPr>
                <w:rFonts w:ascii="Arial" w:eastAsia="Times New Roman" w:hAnsi="Arial" w:cs="Arial"/>
                <w:b/>
                <w:bCs/>
                <w:color w:val="000000"/>
                <w:lang w:val="en-US"/>
              </w:rPr>
              <w:t>11%</w:t>
            </w:r>
          </w:p>
        </w:tc>
      </w:tr>
    </w:tbl>
    <w:p w14:paraId="2A366051" w14:textId="77777777" w:rsidR="004471DE" w:rsidRDefault="004471DE" w:rsidP="004471DE">
      <w:pPr>
        <w:pStyle w:val="Caption"/>
        <w:jc w:val="center"/>
        <w:rPr>
          <w:rFonts w:ascii="Arial" w:hAnsi="Arial" w:cs="Arial"/>
          <w:color w:val="404040"/>
        </w:rPr>
      </w:pPr>
      <w:bookmarkStart w:id="48" w:name="_Toc214745437"/>
      <w:r>
        <w:t xml:space="preserve">Table </w:t>
      </w:r>
      <w:r>
        <w:fldChar w:fldCharType="begin"/>
      </w:r>
      <w:r>
        <w:instrText xml:space="preserve"> SEQ Table \* ARABIC </w:instrText>
      </w:r>
      <w:r>
        <w:fldChar w:fldCharType="separate"/>
      </w:r>
      <w:r>
        <w:rPr>
          <w:noProof/>
        </w:rPr>
        <w:t>10</w:t>
      </w:r>
      <w:r>
        <w:fldChar w:fldCharType="end"/>
      </w:r>
      <w:r>
        <w:t xml:space="preserve"> IRR of General Electronics</w:t>
      </w:r>
      <w:bookmarkEnd w:id="48"/>
    </w:p>
    <w:p w14:paraId="0319DB19" w14:textId="77777777" w:rsidR="004471DE" w:rsidRPr="00BD6F06" w:rsidRDefault="006161E7" w:rsidP="004471DE">
      <w:pPr>
        <w:jc w:val="center"/>
        <w:rPr>
          <w:rFonts w:ascii="Arial" w:hAnsi="Arial" w:cs="Arial"/>
          <w:i/>
          <w:sz w:val="18"/>
        </w:rPr>
      </w:pPr>
      <w:r w:rsidRPr="009E2403">
        <w:rPr>
          <w:rFonts w:ascii="Arial" w:hAnsi="Arial" w:cs="Arial"/>
          <w:color w:val="404040"/>
        </w:rPr>
        <w:t xml:space="preserve"> </w:t>
      </w:r>
      <w:r w:rsidR="004471DE" w:rsidRPr="00BD6F06">
        <w:rPr>
          <w:rFonts w:ascii="Arial" w:hAnsi="Arial" w:cs="Arial"/>
          <w:b/>
          <w:i/>
          <w:sz w:val="18"/>
        </w:rPr>
        <w:t>Source</w:t>
      </w:r>
      <w:r w:rsidR="004471DE" w:rsidRPr="00BD6F06">
        <w:rPr>
          <w:rFonts w:ascii="Arial" w:hAnsi="Arial" w:cs="Arial"/>
          <w:i/>
          <w:sz w:val="18"/>
        </w:rPr>
        <w:t>: Author’s own work in MS Excel</w:t>
      </w:r>
    </w:p>
    <w:sectPr w:rsidR="004471DE" w:rsidRPr="00BD6F06" w:rsidSect="001D184D">
      <w:pgSz w:w="11906" w:h="16838"/>
      <w:pgMar w:top="1440" w:right="1440" w:bottom="1440" w:left="1440" w:header="708" w:footer="708" w:gutter="0"/>
      <w:pgNumType w:start="29"/>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670D5" w14:textId="77777777" w:rsidR="004C14C3" w:rsidRDefault="004C14C3" w:rsidP="008C45E0">
      <w:pPr>
        <w:spacing w:after="0" w:line="240" w:lineRule="auto"/>
      </w:pPr>
      <w:r>
        <w:separator/>
      </w:r>
    </w:p>
  </w:endnote>
  <w:endnote w:type="continuationSeparator" w:id="0">
    <w:p w14:paraId="7EEFAFB7" w14:textId="77777777" w:rsidR="004C14C3" w:rsidRDefault="004C14C3" w:rsidP="008C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15EE90" w14:textId="77777777" w:rsidR="005B7944" w:rsidRDefault="005B79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9981"/>
      <w:docPartObj>
        <w:docPartGallery w:val="Page Numbers (Bottom of Page)"/>
        <w:docPartUnique/>
      </w:docPartObj>
    </w:sdtPr>
    <w:sdtEndPr>
      <w:rPr>
        <w:noProof/>
      </w:rPr>
    </w:sdtEndPr>
    <w:sdtContent>
      <w:p w14:paraId="287E926C" w14:textId="77777777" w:rsidR="00D461BC" w:rsidRDefault="00D461BC">
        <w:pPr>
          <w:pStyle w:val="Footer"/>
          <w:jc w:val="center"/>
        </w:pPr>
        <w:r>
          <w:fldChar w:fldCharType="begin"/>
        </w:r>
        <w:r>
          <w:instrText xml:space="preserve"> PAGE   \* MERGEFORMAT </w:instrText>
        </w:r>
        <w:r>
          <w:fldChar w:fldCharType="separate"/>
        </w:r>
        <w:r w:rsidR="00D537CA">
          <w:rPr>
            <w:noProof/>
          </w:rPr>
          <w:t>10</w:t>
        </w:r>
        <w:r>
          <w:rPr>
            <w:noProof/>
          </w:rPr>
          <w:fldChar w:fldCharType="end"/>
        </w:r>
      </w:p>
    </w:sdtContent>
  </w:sdt>
  <w:p w14:paraId="1AC40178" w14:textId="77777777" w:rsidR="00D461BC" w:rsidRDefault="00D461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4ED291" w14:textId="77777777" w:rsidR="005B7944" w:rsidRDefault="005B7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08408F" w14:textId="77777777" w:rsidR="004C14C3" w:rsidRDefault="004C14C3" w:rsidP="008C45E0">
      <w:pPr>
        <w:spacing w:after="0" w:line="240" w:lineRule="auto"/>
      </w:pPr>
      <w:r>
        <w:separator/>
      </w:r>
    </w:p>
  </w:footnote>
  <w:footnote w:type="continuationSeparator" w:id="0">
    <w:p w14:paraId="1B5CB62D" w14:textId="77777777" w:rsidR="004C14C3" w:rsidRDefault="004C14C3" w:rsidP="008C4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A6EF8" w14:textId="77777777" w:rsidR="005B7944" w:rsidRDefault="005B79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8AEB7" w14:textId="77777777" w:rsidR="005B7944" w:rsidRDefault="005B79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6597C" w14:textId="77777777" w:rsidR="005B7944" w:rsidRDefault="005B79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F53F9"/>
    <w:multiLevelType w:val="multilevel"/>
    <w:tmpl w:val="67C8C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524ECB"/>
    <w:multiLevelType w:val="hybridMultilevel"/>
    <w:tmpl w:val="308230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702564"/>
    <w:multiLevelType w:val="multilevel"/>
    <w:tmpl w:val="54A0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2A04BA"/>
    <w:multiLevelType w:val="multilevel"/>
    <w:tmpl w:val="1C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544D72"/>
    <w:multiLevelType w:val="hybridMultilevel"/>
    <w:tmpl w:val="BE0A00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0B7C17"/>
    <w:multiLevelType w:val="hybridMultilevel"/>
    <w:tmpl w:val="224C2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7F34EEA"/>
    <w:multiLevelType w:val="hybridMultilevel"/>
    <w:tmpl w:val="E1900ED4"/>
    <w:lvl w:ilvl="0" w:tplc="436AC55C">
      <w:start w:val="3"/>
      <w:numFmt w:val="decimal"/>
      <w:lvlText w:val="%1."/>
      <w:lvlJc w:val="left"/>
      <w:pPr>
        <w:ind w:left="720" w:hanging="360"/>
      </w:pPr>
      <w:rPr>
        <w:rFonts w:hint="default"/>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2C33FC"/>
    <w:multiLevelType w:val="hybridMultilevel"/>
    <w:tmpl w:val="5204DB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D5D02AF"/>
    <w:multiLevelType w:val="multilevel"/>
    <w:tmpl w:val="6786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7733BE"/>
    <w:multiLevelType w:val="hybridMultilevel"/>
    <w:tmpl w:val="5CAA58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68652C7"/>
    <w:multiLevelType w:val="multilevel"/>
    <w:tmpl w:val="B40CB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790111"/>
    <w:multiLevelType w:val="multilevel"/>
    <w:tmpl w:val="1EEE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3E6D4F"/>
    <w:multiLevelType w:val="multilevel"/>
    <w:tmpl w:val="15EA32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996103935">
    <w:abstractNumId w:val="4"/>
  </w:num>
  <w:num w:numId="2" w16cid:durableId="1684897125">
    <w:abstractNumId w:val="3"/>
  </w:num>
  <w:num w:numId="3" w16cid:durableId="1208110">
    <w:abstractNumId w:val="11"/>
  </w:num>
  <w:num w:numId="4" w16cid:durableId="780030554">
    <w:abstractNumId w:val="10"/>
  </w:num>
  <w:num w:numId="5" w16cid:durableId="663047983">
    <w:abstractNumId w:val="2"/>
  </w:num>
  <w:num w:numId="6" w16cid:durableId="1586525742">
    <w:abstractNumId w:val="8"/>
  </w:num>
  <w:num w:numId="7" w16cid:durableId="1417702174">
    <w:abstractNumId w:val="12"/>
  </w:num>
  <w:num w:numId="8" w16cid:durableId="331687908">
    <w:abstractNumId w:val="7"/>
  </w:num>
  <w:num w:numId="9" w16cid:durableId="237252316">
    <w:abstractNumId w:val="5"/>
  </w:num>
  <w:num w:numId="10" w16cid:durableId="1923299365">
    <w:abstractNumId w:val="6"/>
  </w:num>
  <w:num w:numId="11" w16cid:durableId="1493526763">
    <w:abstractNumId w:val="1"/>
  </w:num>
  <w:num w:numId="12" w16cid:durableId="1035471021">
    <w:abstractNumId w:val="0"/>
  </w:num>
  <w:num w:numId="13" w16cid:durableId="958146563">
    <w:abstractNumId w:val="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61EB"/>
    <w:rsid w:val="000027A4"/>
    <w:rsid w:val="000067B3"/>
    <w:rsid w:val="000115F5"/>
    <w:rsid w:val="00013BC8"/>
    <w:rsid w:val="00015733"/>
    <w:rsid w:val="00015806"/>
    <w:rsid w:val="00015AA7"/>
    <w:rsid w:val="00023282"/>
    <w:rsid w:val="00023AE7"/>
    <w:rsid w:val="00024BBE"/>
    <w:rsid w:val="00037B49"/>
    <w:rsid w:val="00040338"/>
    <w:rsid w:val="00042399"/>
    <w:rsid w:val="000446D0"/>
    <w:rsid w:val="00044D56"/>
    <w:rsid w:val="00047F90"/>
    <w:rsid w:val="00051666"/>
    <w:rsid w:val="000559E2"/>
    <w:rsid w:val="00061153"/>
    <w:rsid w:val="00065F4C"/>
    <w:rsid w:val="00065F6B"/>
    <w:rsid w:val="000707C9"/>
    <w:rsid w:val="00070DC8"/>
    <w:rsid w:val="000738BD"/>
    <w:rsid w:val="000836EA"/>
    <w:rsid w:val="000837F8"/>
    <w:rsid w:val="0008704C"/>
    <w:rsid w:val="00090580"/>
    <w:rsid w:val="00093EE9"/>
    <w:rsid w:val="00096218"/>
    <w:rsid w:val="000A0A3E"/>
    <w:rsid w:val="000B16C8"/>
    <w:rsid w:val="000B49F0"/>
    <w:rsid w:val="000B4ED3"/>
    <w:rsid w:val="000B5FFF"/>
    <w:rsid w:val="000C03CF"/>
    <w:rsid w:val="000C1E6B"/>
    <w:rsid w:val="000C3CE7"/>
    <w:rsid w:val="000D0DD1"/>
    <w:rsid w:val="000D18AA"/>
    <w:rsid w:val="000D4AAB"/>
    <w:rsid w:val="000D50D9"/>
    <w:rsid w:val="000D530D"/>
    <w:rsid w:val="000E145E"/>
    <w:rsid w:val="000E3733"/>
    <w:rsid w:val="000F0D7B"/>
    <w:rsid w:val="000F4B59"/>
    <w:rsid w:val="000F5921"/>
    <w:rsid w:val="001026D9"/>
    <w:rsid w:val="00103AD8"/>
    <w:rsid w:val="00107801"/>
    <w:rsid w:val="00107BBF"/>
    <w:rsid w:val="00111B4C"/>
    <w:rsid w:val="001137B7"/>
    <w:rsid w:val="00113DE1"/>
    <w:rsid w:val="00113FB0"/>
    <w:rsid w:val="0011570E"/>
    <w:rsid w:val="001172BC"/>
    <w:rsid w:val="001231DE"/>
    <w:rsid w:val="00124BE1"/>
    <w:rsid w:val="00127840"/>
    <w:rsid w:val="00135C1B"/>
    <w:rsid w:val="001424BF"/>
    <w:rsid w:val="00145784"/>
    <w:rsid w:val="0014683F"/>
    <w:rsid w:val="00146B8F"/>
    <w:rsid w:val="00152BB6"/>
    <w:rsid w:val="001668A8"/>
    <w:rsid w:val="00166B90"/>
    <w:rsid w:val="0016791D"/>
    <w:rsid w:val="0017159B"/>
    <w:rsid w:val="0017554C"/>
    <w:rsid w:val="00177631"/>
    <w:rsid w:val="0018283B"/>
    <w:rsid w:val="00182AE1"/>
    <w:rsid w:val="00183449"/>
    <w:rsid w:val="00183F43"/>
    <w:rsid w:val="00185692"/>
    <w:rsid w:val="001875CD"/>
    <w:rsid w:val="001A0528"/>
    <w:rsid w:val="001A08BC"/>
    <w:rsid w:val="001A1120"/>
    <w:rsid w:val="001A1789"/>
    <w:rsid w:val="001A1A5D"/>
    <w:rsid w:val="001B071D"/>
    <w:rsid w:val="001B1536"/>
    <w:rsid w:val="001B6D55"/>
    <w:rsid w:val="001B761E"/>
    <w:rsid w:val="001B7879"/>
    <w:rsid w:val="001C0C26"/>
    <w:rsid w:val="001C0F9F"/>
    <w:rsid w:val="001C382A"/>
    <w:rsid w:val="001C41BB"/>
    <w:rsid w:val="001C76E3"/>
    <w:rsid w:val="001D184D"/>
    <w:rsid w:val="001E0D5D"/>
    <w:rsid w:val="001E0DB9"/>
    <w:rsid w:val="001E10B2"/>
    <w:rsid w:val="001E3112"/>
    <w:rsid w:val="001E370F"/>
    <w:rsid w:val="001E658B"/>
    <w:rsid w:val="001E70BD"/>
    <w:rsid w:val="001F0F74"/>
    <w:rsid w:val="001F2D01"/>
    <w:rsid w:val="001F675A"/>
    <w:rsid w:val="001F7B4F"/>
    <w:rsid w:val="00200562"/>
    <w:rsid w:val="00200A86"/>
    <w:rsid w:val="00201345"/>
    <w:rsid w:val="002064F3"/>
    <w:rsid w:val="00206E11"/>
    <w:rsid w:val="002075BB"/>
    <w:rsid w:val="00211D77"/>
    <w:rsid w:val="00216AC4"/>
    <w:rsid w:val="00216B03"/>
    <w:rsid w:val="002225A3"/>
    <w:rsid w:val="00222FEF"/>
    <w:rsid w:val="00224337"/>
    <w:rsid w:val="00226CC9"/>
    <w:rsid w:val="0023111D"/>
    <w:rsid w:val="00233B2A"/>
    <w:rsid w:val="002351DE"/>
    <w:rsid w:val="00235D59"/>
    <w:rsid w:val="002423B1"/>
    <w:rsid w:val="00244898"/>
    <w:rsid w:val="00245313"/>
    <w:rsid w:val="00245DDE"/>
    <w:rsid w:val="00250EE7"/>
    <w:rsid w:val="00251ED2"/>
    <w:rsid w:val="00252494"/>
    <w:rsid w:val="0025338C"/>
    <w:rsid w:val="00255E49"/>
    <w:rsid w:val="00260245"/>
    <w:rsid w:val="002628B7"/>
    <w:rsid w:val="00265866"/>
    <w:rsid w:val="002713B0"/>
    <w:rsid w:val="00271961"/>
    <w:rsid w:val="00275324"/>
    <w:rsid w:val="00275C96"/>
    <w:rsid w:val="002771FC"/>
    <w:rsid w:val="002828A3"/>
    <w:rsid w:val="00286811"/>
    <w:rsid w:val="00286E19"/>
    <w:rsid w:val="0029431B"/>
    <w:rsid w:val="00296C66"/>
    <w:rsid w:val="00297D6B"/>
    <w:rsid w:val="002A079B"/>
    <w:rsid w:val="002A589B"/>
    <w:rsid w:val="002A5A71"/>
    <w:rsid w:val="002B0837"/>
    <w:rsid w:val="002B11F8"/>
    <w:rsid w:val="002B184C"/>
    <w:rsid w:val="002B6D5D"/>
    <w:rsid w:val="002C0340"/>
    <w:rsid w:val="002C15B8"/>
    <w:rsid w:val="002C2BB0"/>
    <w:rsid w:val="002C2DF7"/>
    <w:rsid w:val="002D245B"/>
    <w:rsid w:val="002D6B40"/>
    <w:rsid w:val="002E7359"/>
    <w:rsid w:val="002E7D36"/>
    <w:rsid w:val="002E7D83"/>
    <w:rsid w:val="002F114C"/>
    <w:rsid w:val="002F3B04"/>
    <w:rsid w:val="002F71C6"/>
    <w:rsid w:val="002F7B27"/>
    <w:rsid w:val="0030045B"/>
    <w:rsid w:val="00311EA2"/>
    <w:rsid w:val="00311F23"/>
    <w:rsid w:val="0031560D"/>
    <w:rsid w:val="00315BE1"/>
    <w:rsid w:val="0031680A"/>
    <w:rsid w:val="00323694"/>
    <w:rsid w:val="0032516B"/>
    <w:rsid w:val="003304E1"/>
    <w:rsid w:val="00334AAE"/>
    <w:rsid w:val="0034272E"/>
    <w:rsid w:val="00343DC2"/>
    <w:rsid w:val="00344644"/>
    <w:rsid w:val="00344D8F"/>
    <w:rsid w:val="00351353"/>
    <w:rsid w:val="003558CF"/>
    <w:rsid w:val="00362EE2"/>
    <w:rsid w:val="00364B06"/>
    <w:rsid w:val="00364EB6"/>
    <w:rsid w:val="0036677F"/>
    <w:rsid w:val="00372870"/>
    <w:rsid w:val="00373773"/>
    <w:rsid w:val="00375318"/>
    <w:rsid w:val="00382D8A"/>
    <w:rsid w:val="00385E67"/>
    <w:rsid w:val="003900AC"/>
    <w:rsid w:val="003917FC"/>
    <w:rsid w:val="0039590F"/>
    <w:rsid w:val="003A46B3"/>
    <w:rsid w:val="003B2E2E"/>
    <w:rsid w:val="003B5634"/>
    <w:rsid w:val="003B7216"/>
    <w:rsid w:val="003B7645"/>
    <w:rsid w:val="003C0F29"/>
    <w:rsid w:val="003C4707"/>
    <w:rsid w:val="003D5C94"/>
    <w:rsid w:val="003E0AFE"/>
    <w:rsid w:val="003F170D"/>
    <w:rsid w:val="003F333C"/>
    <w:rsid w:val="003F6F94"/>
    <w:rsid w:val="003F75D3"/>
    <w:rsid w:val="00406ADA"/>
    <w:rsid w:val="00411242"/>
    <w:rsid w:val="004124AA"/>
    <w:rsid w:val="00412736"/>
    <w:rsid w:val="00413BB3"/>
    <w:rsid w:val="00417405"/>
    <w:rsid w:val="00420ADA"/>
    <w:rsid w:val="0042328F"/>
    <w:rsid w:val="004257CB"/>
    <w:rsid w:val="0043043E"/>
    <w:rsid w:val="00430DB7"/>
    <w:rsid w:val="00431551"/>
    <w:rsid w:val="00431D39"/>
    <w:rsid w:val="004356EC"/>
    <w:rsid w:val="004428B6"/>
    <w:rsid w:val="00442E11"/>
    <w:rsid w:val="00443979"/>
    <w:rsid w:val="00445781"/>
    <w:rsid w:val="004471DE"/>
    <w:rsid w:val="0045483F"/>
    <w:rsid w:val="00454894"/>
    <w:rsid w:val="00454E5B"/>
    <w:rsid w:val="00455464"/>
    <w:rsid w:val="004561EB"/>
    <w:rsid w:val="00462414"/>
    <w:rsid w:val="00462770"/>
    <w:rsid w:val="00462ED2"/>
    <w:rsid w:val="00463EB2"/>
    <w:rsid w:val="00464CDB"/>
    <w:rsid w:val="00466373"/>
    <w:rsid w:val="0047085A"/>
    <w:rsid w:val="0047666D"/>
    <w:rsid w:val="0047767D"/>
    <w:rsid w:val="004808A5"/>
    <w:rsid w:val="00482006"/>
    <w:rsid w:val="00483A69"/>
    <w:rsid w:val="0048417B"/>
    <w:rsid w:val="0048503A"/>
    <w:rsid w:val="004854CF"/>
    <w:rsid w:val="00493337"/>
    <w:rsid w:val="004959ED"/>
    <w:rsid w:val="004978C1"/>
    <w:rsid w:val="004A4694"/>
    <w:rsid w:val="004A6DA1"/>
    <w:rsid w:val="004B1B7A"/>
    <w:rsid w:val="004B1E91"/>
    <w:rsid w:val="004B1F81"/>
    <w:rsid w:val="004B23DF"/>
    <w:rsid w:val="004B3EEF"/>
    <w:rsid w:val="004B5F38"/>
    <w:rsid w:val="004B60DD"/>
    <w:rsid w:val="004C0549"/>
    <w:rsid w:val="004C14C3"/>
    <w:rsid w:val="004C2C49"/>
    <w:rsid w:val="004C3E0D"/>
    <w:rsid w:val="004C7CE4"/>
    <w:rsid w:val="004D1F88"/>
    <w:rsid w:val="004D2A05"/>
    <w:rsid w:val="004D428A"/>
    <w:rsid w:val="004D7A03"/>
    <w:rsid w:val="004E0449"/>
    <w:rsid w:val="004E1BAC"/>
    <w:rsid w:val="004E1F5C"/>
    <w:rsid w:val="004E21D4"/>
    <w:rsid w:val="004F015E"/>
    <w:rsid w:val="004F1C2C"/>
    <w:rsid w:val="004F23E3"/>
    <w:rsid w:val="004F405B"/>
    <w:rsid w:val="00510BE5"/>
    <w:rsid w:val="00510EC0"/>
    <w:rsid w:val="0051180C"/>
    <w:rsid w:val="00513965"/>
    <w:rsid w:val="00514033"/>
    <w:rsid w:val="005150E0"/>
    <w:rsid w:val="00516A6C"/>
    <w:rsid w:val="00517B91"/>
    <w:rsid w:val="00521924"/>
    <w:rsid w:val="005229A8"/>
    <w:rsid w:val="00524469"/>
    <w:rsid w:val="00525B46"/>
    <w:rsid w:val="0053213E"/>
    <w:rsid w:val="00533D5B"/>
    <w:rsid w:val="005347DF"/>
    <w:rsid w:val="00536D78"/>
    <w:rsid w:val="005407E1"/>
    <w:rsid w:val="005468AC"/>
    <w:rsid w:val="00546BEB"/>
    <w:rsid w:val="00546C8D"/>
    <w:rsid w:val="0054714E"/>
    <w:rsid w:val="00550897"/>
    <w:rsid w:val="00552E11"/>
    <w:rsid w:val="00554CC3"/>
    <w:rsid w:val="00556320"/>
    <w:rsid w:val="0055746C"/>
    <w:rsid w:val="005622B7"/>
    <w:rsid w:val="00562410"/>
    <w:rsid w:val="00562BE4"/>
    <w:rsid w:val="00567A1D"/>
    <w:rsid w:val="00567BA3"/>
    <w:rsid w:val="005701B2"/>
    <w:rsid w:val="0057161F"/>
    <w:rsid w:val="005730E8"/>
    <w:rsid w:val="00573B66"/>
    <w:rsid w:val="00577C95"/>
    <w:rsid w:val="0058498A"/>
    <w:rsid w:val="00585DA7"/>
    <w:rsid w:val="00587BDE"/>
    <w:rsid w:val="005915CF"/>
    <w:rsid w:val="0059179A"/>
    <w:rsid w:val="00592522"/>
    <w:rsid w:val="00593E97"/>
    <w:rsid w:val="005945D9"/>
    <w:rsid w:val="005974C4"/>
    <w:rsid w:val="005A055E"/>
    <w:rsid w:val="005A1A0E"/>
    <w:rsid w:val="005A1F09"/>
    <w:rsid w:val="005A37EB"/>
    <w:rsid w:val="005A3B2A"/>
    <w:rsid w:val="005A3E6F"/>
    <w:rsid w:val="005A4611"/>
    <w:rsid w:val="005A4A93"/>
    <w:rsid w:val="005B1C32"/>
    <w:rsid w:val="005B7944"/>
    <w:rsid w:val="005C0DB9"/>
    <w:rsid w:val="005C225D"/>
    <w:rsid w:val="005C462C"/>
    <w:rsid w:val="005C5E09"/>
    <w:rsid w:val="005C7088"/>
    <w:rsid w:val="005D06FA"/>
    <w:rsid w:val="005D139E"/>
    <w:rsid w:val="005D6381"/>
    <w:rsid w:val="005E29F7"/>
    <w:rsid w:val="005E3769"/>
    <w:rsid w:val="005E56F5"/>
    <w:rsid w:val="005E5CC1"/>
    <w:rsid w:val="005E7B3B"/>
    <w:rsid w:val="005F4213"/>
    <w:rsid w:val="005F6357"/>
    <w:rsid w:val="005F7C87"/>
    <w:rsid w:val="006016A5"/>
    <w:rsid w:val="00602A5A"/>
    <w:rsid w:val="00606968"/>
    <w:rsid w:val="0061143F"/>
    <w:rsid w:val="006120BA"/>
    <w:rsid w:val="00615675"/>
    <w:rsid w:val="006161E7"/>
    <w:rsid w:val="00616EBD"/>
    <w:rsid w:val="00617B37"/>
    <w:rsid w:val="00622C32"/>
    <w:rsid w:val="00626C3F"/>
    <w:rsid w:val="0063028D"/>
    <w:rsid w:val="00630929"/>
    <w:rsid w:val="006309D4"/>
    <w:rsid w:val="00632B42"/>
    <w:rsid w:val="00635148"/>
    <w:rsid w:val="00644F4D"/>
    <w:rsid w:val="0064559B"/>
    <w:rsid w:val="0065001D"/>
    <w:rsid w:val="0065412B"/>
    <w:rsid w:val="00662AC8"/>
    <w:rsid w:val="0067005C"/>
    <w:rsid w:val="00672DDC"/>
    <w:rsid w:val="006738CC"/>
    <w:rsid w:val="0068086E"/>
    <w:rsid w:val="006844A0"/>
    <w:rsid w:val="00685A46"/>
    <w:rsid w:val="00693C55"/>
    <w:rsid w:val="006948C1"/>
    <w:rsid w:val="00697ACF"/>
    <w:rsid w:val="006B0ADC"/>
    <w:rsid w:val="006B1D50"/>
    <w:rsid w:val="006B5938"/>
    <w:rsid w:val="006B5BB7"/>
    <w:rsid w:val="006C001A"/>
    <w:rsid w:val="006C1901"/>
    <w:rsid w:val="006C4AF8"/>
    <w:rsid w:val="006C757F"/>
    <w:rsid w:val="006C7CF3"/>
    <w:rsid w:val="006D24E1"/>
    <w:rsid w:val="006D33C5"/>
    <w:rsid w:val="006D5224"/>
    <w:rsid w:val="006D7E5C"/>
    <w:rsid w:val="006D7F47"/>
    <w:rsid w:val="006E1084"/>
    <w:rsid w:val="006F5EBA"/>
    <w:rsid w:val="00703CAB"/>
    <w:rsid w:val="00703FBE"/>
    <w:rsid w:val="00706432"/>
    <w:rsid w:val="00706D90"/>
    <w:rsid w:val="00712F8D"/>
    <w:rsid w:val="0072143D"/>
    <w:rsid w:val="0072476B"/>
    <w:rsid w:val="007259D9"/>
    <w:rsid w:val="00726C31"/>
    <w:rsid w:val="0073108C"/>
    <w:rsid w:val="007321CF"/>
    <w:rsid w:val="007321E8"/>
    <w:rsid w:val="00742010"/>
    <w:rsid w:val="00743D10"/>
    <w:rsid w:val="00760D82"/>
    <w:rsid w:val="00762FD7"/>
    <w:rsid w:val="00766E15"/>
    <w:rsid w:val="0076741B"/>
    <w:rsid w:val="00767458"/>
    <w:rsid w:val="00772C05"/>
    <w:rsid w:val="00785DD3"/>
    <w:rsid w:val="0079103C"/>
    <w:rsid w:val="00792EDD"/>
    <w:rsid w:val="007A2B94"/>
    <w:rsid w:val="007A3152"/>
    <w:rsid w:val="007A3B2E"/>
    <w:rsid w:val="007C1235"/>
    <w:rsid w:val="007C36EF"/>
    <w:rsid w:val="007C7AFC"/>
    <w:rsid w:val="007D6555"/>
    <w:rsid w:val="007E10E6"/>
    <w:rsid w:val="007E5F68"/>
    <w:rsid w:val="007F2CDB"/>
    <w:rsid w:val="007F43D7"/>
    <w:rsid w:val="007F7024"/>
    <w:rsid w:val="007F77C7"/>
    <w:rsid w:val="008011DB"/>
    <w:rsid w:val="00807818"/>
    <w:rsid w:val="00807E6F"/>
    <w:rsid w:val="0081282D"/>
    <w:rsid w:val="00812F22"/>
    <w:rsid w:val="00813C4B"/>
    <w:rsid w:val="00816D70"/>
    <w:rsid w:val="008220A6"/>
    <w:rsid w:val="008221D7"/>
    <w:rsid w:val="008222E5"/>
    <w:rsid w:val="00827A8B"/>
    <w:rsid w:val="008313EB"/>
    <w:rsid w:val="00836AC1"/>
    <w:rsid w:val="00840C3C"/>
    <w:rsid w:val="0084437D"/>
    <w:rsid w:val="0084609C"/>
    <w:rsid w:val="00846808"/>
    <w:rsid w:val="008474D3"/>
    <w:rsid w:val="00850BF3"/>
    <w:rsid w:val="008572FA"/>
    <w:rsid w:val="008635B5"/>
    <w:rsid w:val="00866CEF"/>
    <w:rsid w:val="00867BE0"/>
    <w:rsid w:val="00871EA0"/>
    <w:rsid w:val="00874A0E"/>
    <w:rsid w:val="00874BF6"/>
    <w:rsid w:val="00875A3E"/>
    <w:rsid w:val="00875DD6"/>
    <w:rsid w:val="00885EC9"/>
    <w:rsid w:val="00890A19"/>
    <w:rsid w:val="00890DBF"/>
    <w:rsid w:val="00891BB5"/>
    <w:rsid w:val="00896E68"/>
    <w:rsid w:val="008A3B0B"/>
    <w:rsid w:val="008A768E"/>
    <w:rsid w:val="008B0A87"/>
    <w:rsid w:val="008B0C25"/>
    <w:rsid w:val="008B3A44"/>
    <w:rsid w:val="008B5C1D"/>
    <w:rsid w:val="008B7A4C"/>
    <w:rsid w:val="008C30E9"/>
    <w:rsid w:val="008C3ABE"/>
    <w:rsid w:val="008C45E0"/>
    <w:rsid w:val="008C57F7"/>
    <w:rsid w:val="008D0516"/>
    <w:rsid w:val="008D51E5"/>
    <w:rsid w:val="008D65B9"/>
    <w:rsid w:val="008E3138"/>
    <w:rsid w:val="008E6632"/>
    <w:rsid w:val="008F2231"/>
    <w:rsid w:val="008F4830"/>
    <w:rsid w:val="008F4B10"/>
    <w:rsid w:val="008F5347"/>
    <w:rsid w:val="008F5FEF"/>
    <w:rsid w:val="00901B64"/>
    <w:rsid w:val="00902022"/>
    <w:rsid w:val="00905574"/>
    <w:rsid w:val="00910A45"/>
    <w:rsid w:val="00911F84"/>
    <w:rsid w:val="009225E6"/>
    <w:rsid w:val="00923033"/>
    <w:rsid w:val="00925978"/>
    <w:rsid w:val="00926EEA"/>
    <w:rsid w:val="00927831"/>
    <w:rsid w:val="00931179"/>
    <w:rsid w:val="00931C38"/>
    <w:rsid w:val="00932A91"/>
    <w:rsid w:val="0093634F"/>
    <w:rsid w:val="00943C93"/>
    <w:rsid w:val="009448CE"/>
    <w:rsid w:val="0094554C"/>
    <w:rsid w:val="0095002B"/>
    <w:rsid w:val="0095312A"/>
    <w:rsid w:val="00954D4E"/>
    <w:rsid w:val="00962CC2"/>
    <w:rsid w:val="00962D25"/>
    <w:rsid w:val="0096725B"/>
    <w:rsid w:val="009675B1"/>
    <w:rsid w:val="009726AD"/>
    <w:rsid w:val="009726B7"/>
    <w:rsid w:val="009804BC"/>
    <w:rsid w:val="00985633"/>
    <w:rsid w:val="009865F2"/>
    <w:rsid w:val="00987360"/>
    <w:rsid w:val="00990467"/>
    <w:rsid w:val="009922AE"/>
    <w:rsid w:val="00992861"/>
    <w:rsid w:val="00994108"/>
    <w:rsid w:val="009944F3"/>
    <w:rsid w:val="009A15B9"/>
    <w:rsid w:val="009A2C32"/>
    <w:rsid w:val="009A50B4"/>
    <w:rsid w:val="009B4DF0"/>
    <w:rsid w:val="009B52CA"/>
    <w:rsid w:val="009C6D99"/>
    <w:rsid w:val="009D1380"/>
    <w:rsid w:val="009D1E5B"/>
    <w:rsid w:val="009D2BB4"/>
    <w:rsid w:val="009D35B4"/>
    <w:rsid w:val="009D39A1"/>
    <w:rsid w:val="009D534D"/>
    <w:rsid w:val="009D5E52"/>
    <w:rsid w:val="009D7A3D"/>
    <w:rsid w:val="009E2403"/>
    <w:rsid w:val="009E2F95"/>
    <w:rsid w:val="009E3F80"/>
    <w:rsid w:val="009E5ECC"/>
    <w:rsid w:val="009E7D78"/>
    <w:rsid w:val="009E7F8E"/>
    <w:rsid w:val="009F186C"/>
    <w:rsid w:val="009F4933"/>
    <w:rsid w:val="009F498A"/>
    <w:rsid w:val="009F73C2"/>
    <w:rsid w:val="00A00654"/>
    <w:rsid w:val="00A078B7"/>
    <w:rsid w:val="00A10060"/>
    <w:rsid w:val="00A11BC3"/>
    <w:rsid w:val="00A14057"/>
    <w:rsid w:val="00A15BCD"/>
    <w:rsid w:val="00A2454B"/>
    <w:rsid w:val="00A3264A"/>
    <w:rsid w:val="00A32FC9"/>
    <w:rsid w:val="00A34457"/>
    <w:rsid w:val="00A348DA"/>
    <w:rsid w:val="00A414D3"/>
    <w:rsid w:val="00A4304F"/>
    <w:rsid w:val="00A444C1"/>
    <w:rsid w:val="00A46928"/>
    <w:rsid w:val="00A50220"/>
    <w:rsid w:val="00A5151D"/>
    <w:rsid w:val="00A537DC"/>
    <w:rsid w:val="00A54462"/>
    <w:rsid w:val="00A5671F"/>
    <w:rsid w:val="00A62234"/>
    <w:rsid w:val="00A62735"/>
    <w:rsid w:val="00A733CD"/>
    <w:rsid w:val="00A80DAA"/>
    <w:rsid w:val="00A81A6C"/>
    <w:rsid w:val="00A87AB7"/>
    <w:rsid w:val="00A90321"/>
    <w:rsid w:val="00A9134D"/>
    <w:rsid w:val="00A93E75"/>
    <w:rsid w:val="00A94A5B"/>
    <w:rsid w:val="00AA0038"/>
    <w:rsid w:val="00AA2744"/>
    <w:rsid w:val="00AA5DF6"/>
    <w:rsid w:val="00AB050A"/>
    <w:rsid w:val="00AB1A37"/>
    <w:rsid w:val="00AB3FE6"/>
    <w:rsid w:val="00AC03B2"/>
    <w:rsid w:val="00AC3EC9"/>
    <w:rsid w:val="00AD075F"/>
    <w:rsid w:val="00AD35FD"/>
    <w:rsid w:val="00AD617A"/>
    <w:rsid w:val="00AD7B87"/>
    <w:rsid w:val="00AD7CC7"/>
    <w:rsid w:val="00AE1BCD"/>
    <w:rsid w:val="00AE27D8"/>
    <w:rsid w:val="00AE2945"/>
    <w:rsid w:val="00AE4FC9"/>
    <w:rsid w:val="00AE5C3B"/>
    <w:rsid w:val="00AF489C"/>
    <w:rsid w:val="00AF5582"/>
    <w:rsid w:val="00AF6EB0"/>
    <w:rsid w:val="00B048C8"/>
    <w:rsid w:val="00B11005"/>
    <w:rsid w:val="00B140EC"/>
    <w:rsid w:val="00B148DB"/>
    <w:rsid w:val="00B20268"/>
    <w:rsid w:val="00B255C0"/>
    <w:rsid w:val="00B3076F"/>
    <w:rsid w:val="00B323B2"/>
    <w:rsid w:val="00B35B5D"/>
    <w:rsid w:val="00B41DCC"/>
    <w:rsid w:val="00B42DF3"/>
    <w:rsid w:val="00B474EC"/>
    <w:rsid w:val="00B51C81"/>
    <w:rsid w:val="00B5394E"/>
    <w:rsid w:val="00B54E04"/>
    <w:rsid w:val="00B61DCF"/>
    <w:rsid w:val="00B623EB"/>
    <w:rsid w:val="00B6514D"/>
    <w:rsid w:val="00B653FD"/>
    <w:rsid w:val="00B6718A"/>
    <w:rsid w:val="00B67C34"/>
    <w:rsid w:val="00B72D22"/>
    <w:rsid w:val="00B73858"/>
    <w:rsid w:val="00B74D7F"/>
    <w:rsid w:val="00B8090E"/>
    <w:rsid w:val="00B818F5"/>
    <w:rsid w:val="00B81AEB"/>
    <w:rsid w:val="00B81C7C"/>
    <w:rsid w:val="00B837E9"/>
    <w:rsid w:val="00B8447E"/>
    <w:rsid w:val="00B84E29"/>
    <w:rsid w:val="00B866ED"/>
    <w:rsid w:val="00B87CB1"/>
    <w:rsid w:val="00B93327"/>
    <w:rsid w:val="00B9458B"/>
    <w:rsid w:val="00B9612E"/>
    <w:rsid w:val="00BA0FA5"/>
    <w:rsid w:val="00BA14A9"/>
    <w:rsid w:val="00BA6DE9"/>
    <w:rsid w:val="00BA7E6D"/>
    <w:rsid w:val="00BB1814"/>
    <w:rsid w:val="00BB2A47"/>
    <w:rsid w:val="00BB53F2"/>
    <w:rsid w:val="00BB5515"/>
    <w:rsid w:val="00BC64C0"/>
    <w:rsid w:val="00BD023E"/>
    <w:rsid w:val="00BD03D0"/>
    <w:rsid w:val="00BD2CE6"/>
    <w:rsid w:val="00BD3815"/>
    <w:rsid w:val="00BD48AB"/>
    <w:rsid w:val="00BD6F06"/>
    <w:rsid w:val="00BE0048"/>
    <w:rsid w:val="00BE126F"/>
    <w:rsid w:val="00BE13B5"/>
    <w:rsid w:val="00BE253D"/>
    <w:rsid w:val="00BE4437"/>
    <w:rsid w:val="00BE6986"/>
    <w:rsid w:val="00BF3C9B"/>
    <w:rsid w:val="00BF3EED"/>
    <w:rsid w:val="00BF4D56"/>
    <w:rsid w:val="00C024E4"/>
    <w:rsid w:val="00C0332A"/>
    <w:rsid w:val="00C03875"/>
    <w:rsid w:val="00C0462C"/>
    <w:rsid w:val="00C12A38"/>
    <w:rsid w:val="00C12F4F"/>
    <w:rsid w:val="00C20598"/>
    <w:rsid w:val="00C24646"/>
    <w:rsid w:val="00C256A7"/>
    <w:rsid w:val="00C26DD5"/>
    <w:rsid w:val="00C3038A"/>
    <w:rsid w:val="00C30903"/>
    <w:rsid w:val="00C30CFA"/>
    <w:rsid w:val="00C315FE"/>
    <w:rsid w:val="00C32E0A"/>
    <w:rsid w:val="00C3563D"/>
    <w:rsid w:val="00C37550"/>
    <w:rsid w:val="00C41CF0"/>
    <w:rsid w:val="00C45884"/>
    <w:rsid w:val="00C47568"/>
    <w:rsid w:val="00C50C83"/>
    <w:rsid w:val="00C51641"/>
    <w:rsid w:val="00C53BAC"/>
    <w:rsid w:val="00C57B83"/>
    <w:rsid w:val="00C61C08"/>
    <w:rsid w:val="00C636E0"/>
    <w:rsid w:val="00C70F8E"/>
    <w:rsid w:val="00C70FE2"/>
    <w:rsid w:val="00C7208C"/>
    <w:rsid w:val="00C80E58"/>
    <w:rsid w:val="00C818C1"/>
    <w:rsid w:val="00C8601E"/>
    <w:rsid w:val="00C87706"/>
    <w:rsid w:val="00C91CA4"/>
    <w:rsid w:val="00C921A5"/>
    <w:rsid w:val="00C95F23"/>
    <w:rsid w:val="00CA39E0"/>
    <w:rsid w:val="00CA7B8E"/>
    <w:rsid w:val="00CB38C1"/>
    <w:rsid w:val="00CB4A9B"/>
    <w:rsid w:val="00CB68BF"/>
    <w:rsid w:val="00CB7A8A"/>
    <w:rsid w:val="00CB7D55"/>
    <w:rsid w:val="00CC313A"/>
    <w:rsid w:val="00CC5322"/>
    <w:rsid w:val="00CC66D8"/>
    <w:rsid w:val="00CC6BA8"/>
    <w:rsid w:val="00CC6E03"/>
    <w:rsid w:val="00CC793E"/>
    <w:rsid w:val="00CE1036"/>
    <w:rsid w:val="00CE2CA0"/>
    <w:rsid w:val="00CE5313"/>
    <w:rsid w:val="00CE7101"/>
    <w:rsid w:val="00CF08C9"/>
    <w:rsid w:val="00CF16CD"/>
    <w:rsid w:val="00CF4F56"/>
    <w:rsid w:val="00CF7650"/>
    <w:rsid w:val="00D0049E"/>
    <w:rsid w:val="00D00A93"/>
    <w:rsid w:val="00D023F9"/>
    <w:rsid w:val="00D03692"/>
    <w:rsid w:val="00D036DD"/>
    <w:rsid w:val="00D07C8E"/>
    <w:rsid w:val="00D1417F"/>
    <w:rsid w:val="00D14598"/>
    <w:rsid w:val="00D16AB1"/>
    <w:rsid w:val="00D20FA4"/>
    <w:rsid w:val="00D27F7C"/>
    <w:rsid w:val="00D31581"/>
    <w:rsid w:val="00D31978"/>
    <w:rsid w:val="00D328C2"/>
    <w:rsid w:val="00D337FB"/>
    <w:rsid w:val="00D42D18"/>
    <w:rsid w:val="00D43FFB"/>
    <w:rsid w:val="00D44D99"/>
    <w:rsid w:val="00D461BC"/>
    <w:rsid w:val="00D53067"/>
    <w:rsid w:val="00D537CA"/>
    <w:rsid w:val="00D53A70"/>
    <w:rsid w:val="00D54BED"/>
    <w:rsid w:val="00D55776"/>
    <w:rsid w:val="00D55FDC"/>
    <w:rsid w:val="00D572EF"/>
    <w:rsid w:val="00D618DD"/>
    <w:rsid w:val="00D745FF"/>
    <w:rsid w:val="00D80516"/>
    <w:rsid w:val="00D8054C"/>
    <w:rsid w:val="00D82788"/>
    <w:rsid w:val="00D923B3"/>
    <w:rsid w:val="00D933D3"/>
    <w:rsid w:val="00D95ABF"/>
    <w:rsid w:val="00D97D17"/>
    <w:rsid w:val="00DA16F8"/>
    <w:rsid w:val="00DA34DB"/>
    <w:rsid w:val="00DA4536"/>
    <w:rsid w:val="00DA6156"/>
    <w:rsid w:val="00DA78EE"/>
    <w:rsid w:val="00DB1DA5"/>
    <w:rsid w:val="00DB48B0"/>
    <w:rsid w:val="00DB5711"/>
    <w:rsid w:val="00DB66C6"/>
    <w:rsid w:val="00DC1A5B"/>
    <w:rsid w:val="00DC39DB"/>
    <w:rsid w:val="00DC5367"/>
    <w:rsid w:val="00DC78A3"/>
    <w:rsid w:val="00DD115C"/>
    <w:rsid w:val="00DD391E"/>
    <w:rsid w:val="00DD567A"/>
    <w:rsid w:val="00DD6FD0"/>
    <w:rsid w:val="00DD7700"/>
    <w:rsid w:val="00DD7F6B"/>
    <w:rsid w:val="00DE0008"/>
    <w:rsid w:val="00DE2FBF"/>
    <w:rsid w:val="00DE7851"/>
    <w:rsid w:val="00DE7AF5"/>
    <w:rsid w:val="00DF01CA"/>
    <w:rsid w:val="00DF02AB"/>
    <w:rsid w:val="00DF1FB2"/>
    <w:rsid w:val="00DF2222"/>
    <w:rsid w:val="00DF2902"/>
    <w:rsid w:val="00DF2E8C"/>
    <w:rsid w:val="00DF2F72"/>
    <w:rsid w:val="00E0039F"/>
    <w:rsid w:val="00E06A6A"/>
    <w:rsid w:val="00E1241F"/>
    <w:rsid w:val="00E13145"/>
    <w:rsid w:val="00E140ED"/>
    <w:rsid w:val="00E1602C"/>
    <w:rsid w:val="00E2146E"/>
    <w:rsid w:val="00E21F3A"/>
    <w:rsid w:val="00E22505"/>
    <w:rsid w:val="00E23DE5"/>
    <w:rsid w:val="00E3000E"/>
    <w:rsid w:val="00E30F9C"/>
    <w:rsid w:val="00E31D5C"/>
    <w:rsid w:val="00E3424F"/>
    <w:rsid w:val="00E34CF4"/>
    <w:rsid w:val="00E41A5E"/>
    <w:rsid w:val="00E439FF"/>
    <w:rsid w:val="00E44D02"/>
    <w:rsid w:val="00E46A8F"/>
    <w:rsid w:val="00E46E14"/>
    <w:rsid w:val="00E519D4"/>
    <w:rsid w:val="00E5434A"/>
    <w:rsid w:val="00E54A66"/>
    <w:rsid w:val="00E54A6B"/>
    <w:rsid w:val="00E54E8E"/>
    <w:rsid w:val="00E570DE"/>
    <w:rsid w:val="00E63032"/>
    <w:rsid w:val="00E67C84"/>
    <w:rsid w:val="00E76BEC"/>
    <w:rsid w:val="00E95538"/>
    <w:rsid w:val="00EA2BCD"/>
    <w:rsid w:val="00EB121A"/>
    <w:rsid w:val="00EB53DD"/>
    <w:rsid w:val="00EB6C69"/>
    <w:rsid w:val="00EB7885"/>
    <w:rsid w:val="00EC03CF"/>
    <w:rsid w:val="00EC5436"/>
    <w:rsid w:val="00EC6CBE"/>
    <w:rsid w:val="00ED6502"/>
    <w:rsid w:val="00EE0A09"/>
    <w:rsid w:val="00EE160F"/>
    <w:rsid w:val="00EE3F79"/>
    <w:rsid w:val="00EE784F"/>
    <w:rsid w:val="00EF0E2B"/>
    <w:rsid w:val="00EF2345"/>
    <w:rsid w:val="00EF234A"/>
    <w:rsid w:val="00EF6A41"/>
    <w:rsid w:val="00EF725F"/>
    <w:rsid w:val="00F015A9"/>
    <w:rsid w:val="00F03544"/>
    <w:rsid w:val="00F045BC"/>
    <w:rsid w:val="00F047AD"/>
    <w:rsid w:val="00F060A9"/>
    <w:rsid w:val="00F062C8"/>
    <w:rsid w:val="00F138C1"/>
    <w:rsid w:val="00F1496C"/>
    <w:rsid w:val="00F21D4F"/>
    <w:rsid w:val="00F23201"/>
    <w:rsid w:val="00F267A0"/>
    <w:rsid w:val="00F30E26"/>
    <w:rsid w:val="00F31753"/>
    <w:rsid w:val="00F318F1"/>
    <w:rsid w:val="00F31D9C"/>
    <w:rsid w:val="00F349CF"/>
    <w:rsid w:val="00F34EBC"/>
    <w:rsid w:val="00F35E07"/>
    <w:rsid w:val="00F4027D"/>
    <w:rsid w:val="00F44013"/>
    <w:rsid w:val="00F4453B"/>
    <w:rsid w:val="00F446A4"/>
    <w:rsid w:val="00F47019"/>
    <w:rsid w:val="00F47AE4"/>
    <w:rsid w:val="00F50687"/>
    <w:rsid w:val="00F51B6F"/>
    <w:rsid w:val="00F51CB6"/>
    <w:rsid w:val="00F54653"/>
    <w:rsid w:val="00F54B6C"/>
    <w:rsid w:val="00F55F08"/>
    <w:rsid w:val="00F57CA8"/>
    <w:rsid w:val="00F648F9"/>
    <w:rsid w:val="00F64F72"/>
    <w:rsid w:val="00F716F0"/>
    <w:rsid w:val="00F74665"/>
    <w:rsid w:val="00F74F7E"/>
    <w:rsid w:val="00F75D10"/>
    <w:rsid w:val="00F770B5"/>
    <w:rsid w:val="00F77C0B"/>
    <w:rsid w:val="00F86849"/>
    <w:rsid w:val="00F869D4"/>
    <w:rsid w:val="00F87DB6"/>
    <w:rsid w:val="00F93762"/>
    <w:rsid w:val="00F94F16"/>
    <w:rsid w:val="00F95B36"/>
    <w:rsid w:val="00FA2217"/>
    <w:rsid w:val="00FA372B"/>
    <w:rsid w:val="00FB327D"/>
    <w:rsid w:val="00FB49F4"/>
    <w:rsid w:val="00FB57F0"/>
    <w:rsid w:val="00FB771B"/>
    <w:rsid w:val="00FB798F"/>
    <w:rsid w:val="00FC223F"/>
    <w:rsid w:val="00FC34E6"/>
    <w:rsid w:val="00FC43F6"/>
    <w:rsid w:val="00FD0388"/>
    <w:rsid w:val="00FD0758"/>
    <w:rsid w:val="00FD0FF6"/>
    <w:rsid w:val="00FD1EC1"/>
    <w:rsid w:val="00FD62F1"/>
    <w:rsid w:val="00FD6925"/>
    <w:rsid w:val="00FE005A"/>
    <w:rsid w:val="00FE5D9D"/>
    <w:rsid w:val="00FF1045"/>
    <w:rsid w:val="00FF1FA5"/>
    <w:rsid w:val="00FF4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191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54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character" w:styleId="FollowedHyperlink">
    <w:name w:val="FollowedHyperlink"/>
    <w:basedOn w:val="DefaultParagraphFont"/>
    <w:uiPriority w:val="99"/>
    <w:semiHidden/>
    <w:unhideWhenUsed/>
    <w:rsid w:val="0034272E"/>
    <w:rPr>
      <w:color w:val="954F72" w:themeColor="followedHyperlink"/>
      <w:u w:val="single"/>
    </w:rPr>
  </w:style>
  <w:style w:type="character" w:customStyle="1" w:styleId="Heading2Char">
    <w:name w:val="Heading 2 Char"/>
    <w:basedOn w:val="DefaultParagraphFont"/>
    <w:link w:val="Heading2"/>
    <w:uiPriority w:val="9"/>
    <w:rsid w:val="00D54BE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5229A8"/>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 w:type="paragraph" w:customStyle="1" w:styleId="ds-markdown-paragraph">
    <w:name w:val="ds-markdown-paragraph"/>
    <w:basedOn w:val="Normal"/>
    <w:rsid w:val="00F062C8"/>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47803579">
      <w:bodyDiv w:val="1"/>
      <w:marLeft w:val="0"/>
      <w:marRight w:val="0"/>
      <w:marTop w:val="0"/>
      <w:marBottom w:val="0"/>
      <w:divBdr>
        <w:top w:val="none" w:sz="0" w:space="0" w:color="auto"/>
        <w:left w:val="none" w:sz="0" w:space="0" w:color="auto"/>
        <w:bottom w:val="none" w:sz="0" w:space="0" w:color="auto"/>
        <w:right w:val="none" w:sz="0" w:space="0" w:color="auto"/>
      </w:divBdr>
    </w:div>
    <w:div w:id="54016395">
      <w:bodyDiv w:val="1"/>
      <w:marLeft w:val="0"/>
      <w:marRight w:val="0"/>
      <w:marTop w:val="0"/>
      <w:marBottom w:val="0"/>
      <w:divBdr>
        <w:top w:val="none" w:sz="0" w:space="0" w:color="auto"/>
        <w:left w:val="none" w:sz="0" w:space="0" w:color="auto"/>
        <w:bottom w:val="none" w:sz="0" w:space="0" w:color="auto"/>
        <w:right w:val="none" w:sz="0" w:space="0" w:color="auto"/>
      </w:divBdr>
    </w:div>
    <w:div w:id="60179998">
      <w:bodyDiv w:val="1"/>
      <w:marLeft w:val="0"/>
      <w:marRight w:val="0"/>
      <w:marTop w:val="0"/>
      <w:marBottom w:val="0"/>
      <w:divBdr>
        <w:top w:val="none" w:sz="0" w:space="0" w:color="auto"/>
        <w:left w:val="none" w:sz="0" w:space="0" w:color="auto"/>
        <w:bottom w:val="none" w:sz="0" w:space="0" w:color="auto"/>
        <w:right w:val="none" w:sz="0" w:space="0" w:color="auto"/>
      </w:divBdr>
      <w:divsChild>
        <w:div w:id="255989144">
          <w:marLeft w:val="0"/>
          <w:marRight w:val="0"/>
          <w:marTop w:val="0"/>
          <w:marBottom w:val="0"/>
          <w:divBdr>
            <w:top w:val="none" w:sz="0" w:space="0" w:color="auto"/>
            <w:left w:val="none" w:sz="0" w:space="0" w:color="auto"/>
            <w:bottom w:val="none" w:sz="0" w:space="0" w:color="auto"/>
            <w:right w:val="none" w:sz="0" w:space="0" w:color="auto"/>
          </w:divBdr>
          <w:divsChild>
            <w:div w:id="1699813615">
              <w:marLeft w:val="0"/>
              <w:marRight w:val="0"/>
              <w:marTop w:val="0"/>
              <w:marBottom w:val="0"/>
              <w:divBdr>
                <w:top w:val="none" w:sz="0" w:space="0" w:color="auto"/>
                <w:left w:val="none" w:sz="0" w:space="0" w:color="auto"/>
                <w:bottom w:val="none" w:sz="0" w:space="0" w:color="auto"/>
                <w:right w:val="none" w:sz="0" w:space="0" w:color="auto"/>
              </w:divBdr>
            </w:div>
          </w:divsChild>
        </w:div>
        <w:div w:id="1811553046">
          <w:marLeft w:val="0"/>
          <w:marRight w:val="0"/>
          <w:marTop w:val="0"/>
          <w:marBottom w:val="0"/>
          <w:divBdr>
            <w:top w:val="none" w:sz="0" w:space="0" w:color="auto"/>
            <w:left w:val="none" w:sz="0" w:space="0" w:color="auto"/>
            <w:bottom w:val="none" w:sz="0" w:space="0" w:color="auto"/>
            <w:right w:val="none" w:sz="0" w:space="0" w:color="auto"/>
          </w:divBdr>
          <w:divsChild>
            <w:div w:id="1762070271">
              <w:marLeft w:val="0"/>
              <w:marRight w:val="0"/>
              <w:marTop w:val="0"/>
              <w:marBottom w:val="0"/>
              <w:divBdr>
                <w:top w:val="none" w:sz="0" w:space="0" w:color="auto"/>
                <w:left w:val="none" w:sz="0" w:space="0" w:color="auto"/>
                <w:bottom w:val="none" w:sz="0" w:space="0" w:color="auto"/>
                <w:right w:val="none" w:sz="0" w:space="0" w:color="auto"/>
              </w:divBdr>
            </w:div>
          </w:divsChild>
        </w:div>
        <w:div w:id="1512405664">
          <w:marLeft w:val="0"/>
          <w:marRight w:val="0"/>
          <w:marTop w:val="0"/>
          <w:marBottom w:val="0"/>
          <w:divBdr>
            <w:top w:val="none" w:sz="0" w:space="0" w:color="auto"/>
            <w:left w:val="none" w:sz="0" w:space="0" w:color="auto"/>
            <w:bottom w:val="none" w:sz="0" w:space="0" w:color="auto"/>
            <w:right w:val="none" w:sz="0" w:space="0" w:color="auto"/>
          </w:divBdr>
          <w:divsChild>
            <w:div w:id="630407031">
              <w:marLeft w:val="0"/>
              <w:marRight w:val="0"/>
              <w:marTop w:val="0"/>
              <w:marBottom w:val="0"/>
              <w:divBdr>
                <w:top w:val="none" w:sz="0" w:space="0" w:color="auto"/>
                <w:left w:val="none" w:sz="0" w:space="0" w:color="auto"/>
                <w:bottom w:val="none" w:sz="0" w:space="0" w:color="auto"/>
                <w:right w:val="none" w:sz="0" w:space="0" w:color="auto"/>
              </w:divBdr>
            </w:div>
          </w:divsChild>
        </w:div>
        <w:div w:id="9333145">
          <w:marLeft w:val="0"/>
          <w:marRight w:val="0"/>
          <w:marTop w:val="0"/>
          <w:marBottom w:val="0"/>
          <w:divBdr>
            <w:top w:val="none" w:sz="0" w:space="0" w:color="auto"/>
            <w:left w:val="none" w:sz="0" w:space="0" w:color="auto"/>
            <w:bottom w:val="none" w:sz="0" w:space="0" w:color="auto"/>
            <w:right w:val="none" w:sz="0" w:space="0" w:color="auto"/>
          </w:divBdr>
          <w:divsChild>
            <w:div w:id="173318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98783">
      <w:bodyDiv w:val="1"/>
      <w:marLeft w:val="0"/>
      <w:marRight w:val="0"/>
      <w:marTop w:val="0"/>
      <w:marBottom w:val="0"/>
      <w:divBdr>
        <w:top w:val="none" w:sz="0" w:space="0" w:color="auto"/>
        <w:left w:val="none" w:sz="0" w:space="0" w:color="auto"/>
        <w:bottom w:val="none" w:sz="0" w:space="0" w:color="auto"/>
        <w:right w:val="none" w:sz="0" w:space="0" w:color="auto"/>
      </w:divBdr>
      <w:divsChild>
        <w:div w:id="440878687">
          <w:marLeft w:val="660"/>
          <w:marRight w:val="660"/>
          <w:marTop w:val="0"/>
          <w:marBottom w:val="360"/>
          <w:divBdr>
            <w:top w:val="none" w:sz="0" w:space="0" w:color="auto"/>
            <w:left w:val="none" w:sz="0" w:space="0" w:color="auto"/>
            <w:bottom w:val="none" w:sz="0" w:space="0" w:color="auto"/>
            <w:right w:val="none" w:sz="0" w:space="0" w:color="auto"/>
          </w:divBdr>
          <w:divsChild>
            <w:div w:id="1637103731">
              <w:marLeft w:val="0"/>
              <w:marRight w:val="0"/>
              <w:marTop w:val="0"/>
              <w:marBottom w:val="0"/>
              <w:divBdr>
                <w:top w:val="none" w:sz="0" w:space="0" w:color="auto"/>
                <w:left w:val="none" w:sz="0" w:space="0" w:color="auto"/>
                <w:bottom w:val="none" w:sz="0" w:space="0" w:color="auto"/>
                <w:right w:val="none" w:sz="0" w:space="0" w:color="auto"/>
              </w:divBdr>
              <w:divsChild>
                <w:div w:id="1222133294">
                  <w:marLeft w:val="0"/>
                  <w:marRight w:val="0"/>
                  <w:marTop w:val="0"/>
                  <w:marBottom w:val="0"/>
                  <w:divBdr>
                    <w:top w:val="none" w:sz="0" w:space="0" w:color="auto"/>
                    <w:left w:val="none" w:sz="0" w:space="0" w:color="auto"/>
                    <w:bottom w:val="none" w:sz="0" w:space="0" w:color="auto"/>
                    <w:right w:val="none" w:sz="0" w:space="0" w:color="auto"/>
                  </w:divBdr>
                  <w:divsChild>
                    <w:div w:id="207369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37651">
      <w:bodyDiv w:val="1"/>
      <w:marLeft w:val="0"/>
      <w:marRight w:val="0"/>
      <w:marTop w:val="0"/>
      <w:marBottom w:val="0"/>
      <w:divBdr>
        <w:top w:val="none" w:sz="0" w:space="0" w:color="auto"/>
        <w:left w:val="none" w:sz="0" w:space="0" w:color="auto"/>
        <w:bottom w:val="none" w:sz="0" w:space="0" w:color="auto"/>
        <w:right w:val="none" w:sz="0" w:space="0" w:color="auto"/>
      </w:divBdr>
      <w:divsChild>
        <w:div w:id="1207836324">
          <w:marLeft w:val="0"/>
          <w:marRight w:val="0"/>
          <w:marTop w:val="0"/>
          <w:marBottom w:val="0"/>
          <w:divBdr>
            <w:top w:val="none" w:sz="0" w:space="0" w:color="auto"/>
            <w:left w:val="none" w:sz="0" w:space="0" w:color="auto"/>
            <w:bottom w:val="none" w:sz="0" w:space="0" w:color="auto"/>
            <w:right w:val="none" w:sz="0" w:space="0" w:color="auto"/>
          </w:divBdr>
        </w:div>
      </w:divsChild>
    </w:div>
    <w:div w:id="71005851">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00150710">
      <w:bodyDiv w:val="1"/>
      <w:marLeft w:val="0"/>
      <w:marRight w:val="0"/>
      <w:marTop w:val="0"/>
      <w:marBottom w:val="0"/>
      <w:divBdr>
        <w:top w:val="none" w:sz="0" w:space="0" w:color="auto"/>
        <w:left w:val="none" w:sz="0" w:space="0" w:color="auto"/>
        <w:bottom w:val="none" w:sz="0" w:space="0" w:color="auto"/>
        <w:right w:val="none" w:sz="0" w:space="0" w:color="auto"/>
      </w:divBdr>
    </w:div>
    <w:div w:id="103037406">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123813093">
      <w:bodyDiv w:val="1"/>
      <w:marLeft w:val="0"/>
      <w:marRight w:val="0"/>
      <w:marTop w:val="0"/>
      <w:marBottom w:val="0"/>
      <w:divBdr>
        <w:top w:val="none" w:sz="0" w:space="0" w:color="auto"/>
        <w:left w:val="none" w:sz="0" w:space="0" w:color="auto"/>
        <w:bottom w:val="none" w:sz="0" w:space="0" w:color="auto"/>
        <w:right w:val="none" w:sz="0" w:space="0" w:color="auto"/>
      </w:divBdr>
    </w:div>
    <w:div w:id="192378001">
      <w:bodyDiv w:val="1"/>
      <w:marLeft w:val="0"/>
      <w:marRight w:val="0"/>
      <w:marTop w:val="0"/>
      <w:marBottom w:val="0"/>
      <w:divBdr>
        <w:top w:val="none" w:sz="0" w:space="0" w:color="auto"/>
        <w:left w:val="none" w:sz="0" w:space="0" w:color="auto"/>
        <w:bottom w:val="none" w:sz="0" w:space="0" w:color="auto"/>
        <w:right w:val="none" w:sz="0" w:space="0" w:color="auto"/>
      </w:divBdr>
    </w:div>
    <w:div w:id="203642846">
      <w:bodyDiv w:val="1"/>
      <w:marLeft w:val="0"/>
      <w:marRight w:val="0"/>
      <w:marTop w:val="0"/>
      <w:marBottom w:val="0"/>
      <w:divBdr>
        <w:top w:val="none" w:sz="0" w:space="0" w:color="auto"/>
        <w:left w:val="none" w:sz="0" w:space="0" w:color="auto"/>
        <w:bottom w:val="none" w:sz="0" w:space="0" w:color="auto"/>
        <w:right w:val="none" w:sz="0" w:space="0" w:color="auto"/>
      </w:divBdr>
    </w:div>
    <w:div w:id="212079543">
      <w:bodyDiv w:val="1"/>
      <w:marLeft w:val="0"/>
      <w:marRight w:val="0"/>
      <w:marTop w:val="0"/>
      <w:marBottom w:val="0"/>
      <w:divBdr>
        <w:top w:val="none" w:sz="0" w:space="0" w:color="auto"/>
        <w:left w:val="none" w:sz="0" w:space="0" w:color="auto"/>
        <w:bottom w:val="none" w:sz="0" w:space="0" w:color="auto"/>
        <w:right w:val="none" w:sz="0" w:space="0" w:color="auto"/>
      </w:divBdr>
    </w:div>
    <w:div w:id="220601911">
      <w:bodyDiv w:val="1"/>
      <w:marLeft w:val="0"/>
      <w:marRight w:val="0"/>
      <w:marTop w:val="0"/>
      <w:marBottom w:val="0"/>
      <w:divBdr>
        <w:top w:val="none" w:sz="0" w:space="0" w:color="auto"/>
        <w:left w:val="none" w:sz="0" w:space="0" w:color="auto"/>
        <w:bottom w:val="none" w:sz="0" w:space="0" w:color="auto"/>
        <w:right w:val="none" w:sz="0" w:space="0" w:color="auto"/>
      </w:divBdr>
    </w:div>
    <w:div w:id="235165513">
      <w:bodyDiv w:val="1"/>
      <w:marLeft w:val="0"/>
      <w:marRight w:val="0"/>
      <w:marTop w:val="0"/>
      <w:marBottom w:val="0"/>
      <w:divBdr>
        <w:top w:val="none" w:sz="0" w:space="0" w:color="auto"/>
        <w:left w:val="none" w:sz="0" w:space="0" w:color="auto"/>
        <w:bottom w:val="none" w:sz="0" w:space="0" w:color="auto"/>
        <w:right w:val="none" w:sz="0" w:space="0" w:color="auto"/>
      </w:divBdr>
    </w:div>
    <w:div w:id="295793952">
      <w:bodyDiv w:val="1"/>
      <w:marLeft w:val="0"/>
      <w:marRight w:val="0"/>
      <w:marTop w:val="0"/>
      <w:marBottom w:val="0"/>
      <w:divBdr>
        <w:top w:val="none" w:sz="0" w:space="0" w:color="auto"/>
        <w:left w:val="none" w:sz="0" w:space="0" w:color="auto"/>
        <w:bottom w:val="none" w:sz="0" w:space="0" w:color="auto"/>
        <w:right w:val="none" w:sz="0" w:space="0" w:color="auto"/>
      </w:divBdr>
    </w:div>
    <w:div w:id="296687974">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382952567">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60881337">
      <w:bodyDiv w:val="1"/>
      <w:marLeft w:val="0"/>
      <w:marRight w:val="0"/>
      <w:marTop w:val="0"/>
      <w:marBottom w:val="0"/>
      <w:divBdr>
        <w:top w:val="none" w:sz="0" w:space="0" w:color="auto"/>
        <w:left w:val="none" w:sz="0" w:space="0" w:color="auto"/>
        <w:bottom w:val="none" w:sz="0" w:space="0" w:color="auto"/>
        <w:right w:val="none" w:sz="0" w:space="0" w:color="auto"/>
      </w:divBdr>
      <w:divsChild>
        <w:div w:id="1453328978">
          <w:marLeft w:val="0"/>
          <w:marRight w:val="0"/>
          <w:marTop w:val="0"/>
          <w:marBottom w:val="0"/>
          <w:divBdr>
            <w:top w:val="none" w:sz="0" w:space="0" w:color="auto"/>
            <w:left w:val="none" w:sz="0" w:space="0" w:color="auto"/>
            <w:bottom w:val="none" w:sz="0" w:space="0" w:color="auto"/>
            <w:right w:val="none" w:sz="0" w:space="0" w:color="auto"/>
          </w:divBdr>
          <w:divsChild>
            <w:div w:id="36930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870912">
      <w:bodyDiv w:val="1"/>
      <w:marLeft w:val="0"/>
      <w:marRight w:val="0"/>
      <w:marTop w:val="0"/>
      <w:marBottom w:val="0"/>
      <w:divBdr>
        <w:top w:val="none" w:sz="0" w:space="0" w:color="auto"/>
        <w:left w:val="none" w:sz="0" w:space="0" w:color="auto"/>
        <w:bottom w:val="none" w:sz="0" w:space="0" w:color="auto"/>
        <w:right w:val="none" w:sz="0" w:space="0" w:color="auto"/>
      </w:divBdr>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487597214">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51115282">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37686005">
      <w:bodyDiv w:val="1"/>
      <w:marLeft w:val="0"/>
      <w:marRight w:val="0"/>
      <w:marTop w:val="0"/>
      <w:marBottom w:val="0"/>
      <w:divBdr>
        <w:top w:val="none" w:sz="0" w:space="0" w:color="auto"/>
        <w:left w:val="none" w:sz="0" w:space="0" w:color="auto"/>
        <w:bottom w:val="none" w:sz="0" w:space="0" w:color="auto"/>
        <w:right w:val="none" w:sz="0" w:space="0" w:color="auto"/>
      </w:divBdr>
    </w:div>
    <w:div w:id="640574422">
      <w:bodyDiv w:val="1"/>
      <w:marLeft w:val="0"/>
      <w:marRight w:val="0"/>
      <w:marTop w:val="0"/>
      <w:marBottom w:val="0"/>
      <w:divBdr>
        <w:top w:val="none" w:sz="0" w:space="0" w:color="auto"/>
        <w:left w:val="none" w:sz="0" w:space="0" w:color="auto"/>
        <w:bottom w:val="none" w:sz="0" w:space="0" w:color="auto"/>
        <w:right w:val="none" w:sz="0" w:space="0" w:color="auto"/>
      </w:divBdr>
    </w:div>
    <w:div w:id="649020021">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32123305">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5957250">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788205006">
      <w:bodyDiv w:val="1"/>
      <w:marLeft w:val="0"/>
      <w:marRight w:val="0"/>
      <w:marTop w:val="0"/>
      <w:marBottom w:val="0"/>
      <w:divBdr>
        <w:top w:val="none" w:sz="0" w:space="0" w:color="auto"/>
        <w:left w:val="none" w:sz="0" w:space="0" w:color="auto"/>
        <w:bottom w:val="none" w:sz="0" w:space="0" w:color="auto"/>
        <w:right w:val="none" w:sz="0" w:space="0" w:color="auto"/>
      </w:divBdr>
      <w:divsChild>
        <w:div w:id="1685663982">
          <w:marLeft w:val="0"/>
          <w:marRight w:val="0"/>
          <w:marTop w:val="0"/>
          <w:marBottom w:val="0"/>
          <w:divBdr>
            <w:top w:val="none" w:sz="0" w:space="0" w:color="auto"/>
            <w:left w:val="none" w:sz="0" w:space="0" w:color="auto"/>
            <w:bottom w:val="none" w:sz="0" w:space="0" w:color="auto"/>
            <w:right w:val="none" w:sz="0" w:space="0" w:color="auto"/>
          </w:divBdr>
          <w:divsChild>
            <w:div w:id="257258206">
              <w:marLeft w:val="0"/>
              <w:marRight w:val="0"/>
              <w:marTop w:val="0"/>
              <w:marBottom w:val="0"/>
              <w:divBdr>
                <w:top w:val="none" w:sz="0" w:space="0" w:color="auto"/>
                <w:left w:val="none" w:sz="0" w:space="0" w:color="auto"/>
                <w:bottom w:val="none" w:sz="0" w:space="0" w:color="auto"/>
                <w:right w:val="none" w:sz="0" w:space="0" w:color="auto"/>
              </w:divBdr>
              <w:divsChild>
                <w:div w:id="2015066184">
                  <w:marLeft w:val="0"/>
                  <w:marRight w:val="0"/>
                  <w:marTop w:val="0"/>
                  <w:marBottom w:val="0"/>
                  <w:divBdr>
                    <w:top w:val="none" w:sz="0" w:space="0" w:color="auto"/>
                    <w:left w:val="none" w:sz="0" w:space="0" w:color="auto"/>
                    <w:bottom w:val="none" w:sz="0" w:space="0" w:color="auto"/>
                    <w:right w:val="none" w:sz="0" w:space="0" w:color="auto"/>
                  </w:divBdr>
                  <w:divsChild>
                    <w:div w:id="32710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979938">
      <w:bodyDiv w:val="1"/>
      <w:marLeft w:val="0"/>
      <w:marRight w:val="0"/>
      <w:marTop w:val="0"/>
      <w:marBottom w:val="0"/>
      <w:divBdr>
        <w:top w:val="none" w:sz="0" w:space="0" w:color="auto"/>
        <w:left w:val="none" w:sz="0" w:space="0" w:color="auto"/>
        <w:bottom w:val="none" w:sz="0" w:space="0" w:color="auto"/>
        <w:right w:val="none" w:sz="0" w:space="0" w:color="auto"/>
      </w:divBdr>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10514287">
      <w:bodyDiv w:val="1"/>
      <w:marLeft w:val="0"/>
      <w:marRight w:val="0"/>
      <w:marTop w:val="0"/>
      <w:marBottom w:val="0"/>
      <w:divBdr>
        <w:top w:val="none" w:sz="0" w:space="0" w:color="auto"/>
        <w:left w:val="none" w:sz="0" w:space="0" w:color="auto"/>
        <w:bottom w:val="none" w:sz="0" w:space="0" w:color="auto"/>
        <w:right w:val="none" w:sz="0" w:space="0" w:color="auto"/>
      </w:divBdr>
      <w:divsChild>
        <w:div w:id="904413670">
          <w:marLeft w:val="0"/>
          <w:marRight w:val="0"/>
          <w:marTop w:val="0"/>
          <w:marBottom w:val="0"/>
          <w:divBdr>
            <w:top w:val="none" w:sz="0" w:space="0" w:color="auto"/>
            <w:left w:val="none" w:sz="0" w:space="0" w:color="auto"/>
            <w:bottom w:val="none" w:sz="0" w:space="0" w:color="auto"/>
            <w:right w:val="none" w:sz="0" w:space="0" w:color="auto"/>
          </w:divBdr>
          <w:divsChild>
            <w:div w:id="175396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40900334">
      <w:bodyDiv w:val="1"/>
      <w:marLeft w:val="0"/>
      <w:marRight w:val="0"/>
      <w:marTop w:val="0"/>
      <w:marBottom w:val="0"/>
      <w:divBdr>
        <w:top w:val="none" w:sz="0" w:space="0" w:color="auto"/>
        <w:left w:val="none" w:sz="0" w:space="0" w:color="auto"/>
        <w:bottom w:val="none" w:sz="0" w:space="0" w:color="auto"/>
        <w:right w:val="none" w:sz="0" w:space="0" w:color="auto"/>
      </w:divBdr>
    </w:div>
    <w:div w:id="849680439">
      <w:bodyDiv w:val="1"/>
      <w:marLeft w:val="0"/>
      <w:marRight w:val="0"/>
      <w:marTop w:val="0"/>
      <w:marBottom w:val="0"/>
      <w:divBdr>
        <w:top w:val="none" w:sz="0" w:space="0" w:color="auto"/>
        <w:left w:val="none" w:sz="0" w:space="0" w:color="auto"/>
        <w:bottom w:val="none" w:sz="0" w:space="0" w:color="auto"/>
        <w:right w:val="none" w:sz="0" w:space="0" w:color="auto"/>
      </w:divBdr>
    </w:div>
    <w:div w:id="849836136">
      <w:bodyDiv w:val="1"/>
      <w:marLeft w:val="0"/>
      <w:marRight w:val="0"/>
      <w:marTop w:val="0"/>
      <w:marBottom w:val="0"/>
      <w:divBdr>
        <w:top w:val="none" w:sz="0" w:space="0" w:color="auto"/>
        <w:left w:val="none" w:sz="0" w:space="0" w:color="auto"/>
        <w:bottom w:val="none" w:sz="0" w:space="0" w:color="auto"/>
        <w:right w:val="none" w:sz="0" w:space="0" w:color="auto"/>
      </w:divBdr>
    </w:div>
    <w:div w:id="861673383">
      <w:bodyDiv w:val="1"/>
      <w:marLeft w:val="0"/>
      <w:marRight w:val="0"/>
      <w:marTop w:val="0"/>
      <w:marBottom w:val="0"/>
      <w:divBdr>
        <w:top w:val="none" w:sz="0" w:space="0" w:color="auto"/>
        <w:left w:val="none" w:sz="0" w:space="0" w:color="auto"/>
        <w:bottom w:val="none" w:sz="0" w:space="0" w:color="auto"/>
        <w:right w:val="none" w:sz="0" w:space="0" w:color="auto"/>
      </w:divBdr>
    </w:div>
    <w:div w:id="865485115">
      <w:bodyDiv w:val="1"/>
      <w:marLeft w:val="0"/>
      <w:marRight w:val="0"/>
      <w:marTop w:val="0"/>
      <w:marBottom w:val="0"/>
      <w:divBdr>
        <w:top w:val="none" w:sz="0" w:space="0" w:color="auto"/>
        <w:left w:val="none" w:sz="0" w:space="0" w:color="auto"/>
        <w:bottom w:val="none" w:sz="0" w:space="0" w:color="auto"/>
        <w:right w:val="none" w:sz="0" w:space="0" w:color="auto"/>
      </w:divBdr>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901015006">
      <w:bodyDiv w:val="1"/>
      <w:marLeft w:val="0"/>
      <w:marRight w:val="0"/>
      <w:marTop w:val="0"/>
      <w:marBottom w:val="0"/>
      <w:divBdr>
        <w:top w:val="none" w:sz="0" w:space="0" w:color="auto"/>
        <w:left w:val="none" w:sz="0" w:space="0" w:color="auto"/>
        <w:bottom w:val="none" w:sz="0" w:space="0" w:color="auto"/>
        <w:right w:val="none" w:sz="0" w:space="0" w:color="auto"/>
      </w:divBdr>
    </w:div>
    <w:div w:id="904993759">
      <w:bodyDiv w:val="1"/>
      <w:marLeft w:val="0"/>
      <w:marRight w:val="0"/>
      <w:marTop w:val="0"/>
      <w:marBottom w:val="0"/>
      <w:divBdr>
        <w:top w:val="none" w:sz="0" w:space="0" w:color="auto"/>
        <w:left w:val="none" w:sz="0" w:space="0" w:color="auto"/>
        <w:bottom w:val="none" w:sz="0" w:space="0" w:color="auto"/>
        <w:right w:val="none" w:sz="0" w:space="0" w:color="auto"/>
      </w:divBdr>
    </w:div>
    <w:div w:id="906305726">
      <w:bodyDiv w:val="1"/>
      <w:marLeft w:val="0"/>
      <w:marRight w:val="0"/>
      <w:marTop w:val="0"/>
      <w:marBottom w:val="0"/>
      <w:divBdr>
        <w:top w:val="none" w:sz="0" w:space="0" w:color="auto"/>
        <w:left w:val="none" w:sz="0" w:space="0" w:color="auto"/>
        <w:bottom w:val="none" w:sz="0" w:space="0" w:color="auto"/>
        <w:right w:val="none" w:sz="0" w:space="0" w:color="auto"/>
      </w:divBdr>
    </w:div>
    <w:div w:id="909081006">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36521373">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50037640">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87917771">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090080346">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17407247">
      <w:bodyDiv w:val="1"/>
      <w:marLeft w:val="0"/>
      <w:marRight w:val="0"/>
      <w:marTop w:val="0"/>
      <w:marBottom w:val="0"/>
      <w:divBdr>
        <w:top w:val="none" w:sz="0" w:space="0" w:color="auto"/>
        <w:left w:val="none" w:sz="0" w:space="0" w:color="auto"/>
        <w:bottom w:val="none" w:sz="0" w:space="0" w:color="auto"/>
        <w:right w:val="none" w:sz="0" w:space="0" w:color="auto"/>
      </w:divBdr>
    </w:div>
    <w:div w:id="1125806492">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128737863">
      <w:bodyDiv w:val="1"/>
      <w:marLeft w:val="0"/>
      <w:marRight w:val="0"/>
      <w:marTop w:val="0"/>
      <w:marBottom w:val="0"/>
      <w:divBdr>
        <w:top w:val="none" w:sz="0" w:space="0" w:color="auto"/>
        <w:left w:val="none" w:sz="0" w:space="0" w:color="auto"/>
        <w:bottom w:val="none" w:sz="0" w:space="0" w:color="auto"/>
        <w:right w:val="none" w:sz="0" w:space="0" w:color="auto"/>
      </w:divBdr>
    </w:div>
    <w:div w:id="1149710472">
      <w:bodyDiv w:val="1"/>
      <w:marLeft w:val="0"/>
      <w:marRight w:val="0"/>
      <w:marTop w:val="0"/>
      <w:marBottom w:val="0"/>
      <w:divBdr>
        <w:top w:val="none" w:sz="0" w:space="0" w:color="auto"/>
        <w:left w:val="none" w:sz="0" w:space="0" w:color="auto"/>
        <w:bottom w:val="none" w:sz="0" w:space="0" w:color="auto"/>
        <w:right w:val="none" w:sz="0" w:space="0" w:color="auto"/>
      </w:divBdr>
    </w:div>
    <w:div w:id="1193032466">
      <w:bodyDiv w:val="1"/>
      <w:marLeft w:val="0"/>
      <w:marRight w:val="0"/>
      <w:marTop w:val="0"/>
      <w:marBottom w:val="0"/>
      <w:divBdr>
        <w:top w:val="none" w:sz="0" w:space="0" w:color="auto"/>
        <w:left w:val="none" w:sz="0" w:space="0" w:color="auto"/>
        <w:bottom w:val="none" w:sz="0" w:space="0" w:color="auto"/>
        <w:right w:val="none" w:sz="0" w:space="0" w:color="auto"/>
      </w:divBdr>
    </w:div>
    <w:div w:id="1198469874">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61454058">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44672378">
      <w:bodyDiv w:val="1"/>
      <w:marLeft w:val="0"/>
      <w:marRight w:val="0"/>
      <w:marTop w:val="0"/>
      <w:marBottom w:val="0"/>
      <w:divBdr>
        <w:top w:val="none" w:sz="0" w:space="0" w:color="auto"/>
        <w:left w:val="none" w:sz="0" w:space="0" w:color="auto"/>
        <w:bottom w:val="none" w:sz="0" w:space="0" w:color="auto"/>
        <w:right w:val="none" w:sz="0" w:space="0" w:color="auto"/>
      </w:divBdr>
      <w:divsChild>
        <w:div w:id="844245938">
          <w:marLeft w:val="0"/>
          <w:marRight w:val="0"/>
          <w:marTop w:val="0"/>
          <w:marBottom w:val="0"/>
          <w:divBdr>
            <w:top w:val="none" w:sz="0" w:space="0" w:color="auto"/>
            <w:left w:val="none" w:sz="0" w:space="0" w:color="auto"/>
            <w:bottom w:val="none" w:sz="0" w:space="0" w:color="auto"/>
            <w:right w:val="none" w:sz="0" w:space="0" w:color="auto"/>
          </w:divBdr>
          <w:divsChild>
            <w:div w:id="173935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63096698">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392924662">
      <w:bodyDiv w:val="1"/>
      <w:marLeft w:val="0"/>
      <w:marRight w:val="0"/>
      <w:marTop w:val="0"/>
      <w:marBottom w:val="0"/>
      <w:divBdr>
        <w:top w:val="none" w:sz="0" w:space="0" w:color="auto"/>
        <w:left w:val="none" w:sz="0" w:space="0" w:color="auto"/>
        <w:bottom w:val="none" w:sz="0" w:space="0" w:color="auto"/>
        <w:right w:val="none" w:sz="0" w:space="0" w:color="auto"/>
      </w:divBdr>
    </w:div>
    <w:div w:id="1426151655">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50276003">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69517420">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498301454">
      <w:bodyDiv w:val="1"/>
      <w:marLeft w:val="0"/>
      <w:marRight w:val="0"/>
      <w:marTop w:val="0"/>
      <w:marBottom w:val="0"/>
      <w:divBdr>
        <w:top w:val="none" w:sz="0" w:space="0" w:color="auto"/>
        <w:left w:val="none" w:sz="0" w:space="0" w:color="auto"/>
        <w:bottom w:val="none" w:sz="0" w:space="0" w:color="auto"/>
        <w:right w:val="none" w:sz="0" w:space="0" w:color="auto"/>
      </w:divBdr>
    </w:div>
    <w:div w:id="1506821481">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41504771">
      <w:bodyDiv w:val="1"/>
      <w:marLeft w:val="0"/>
      <w:marRight w:val="0"/>
      <w:marTop w:val="0"/>
      <w:marBottom w:val="0"/>
      <w:divBdr>
        <w:top w:val="none" w:sz="0" w:space="0" w:color="auto"/>
        <w:left w:val="none" w:sz="0" w:space="0" w:color="auto"/>
        <w:bottom w:val="none" w:sz="0" w:space="0" w:color="auto"/>
        <w:right w:val="none" w:sz="0" w:space="0" w:color="auto"/>
      </w:divBdr>
    </w:div>
    <w:div w:id="1547981680">
      <w:bodyDiv w:val="1"/>
      <w:marLeft w:val="0"/>
      <w:marRight w:val="0"/>
      <w:marTop w:val="0"/>
      <w:marBottom w:val="0"/>
      <w:divBdr>
        <w:top w:val="none" w:sz="0" w:space="0" w:color="auto"/>
        <w:left w:val="none" w:sz="0" w:space="0" w:color="auto"/>
        <w:bottom w:val="none" w:sz="0" w:space="0" w:color="auto"/>
        <w:right w:val="none" w:sz="0" w:space="0" w:color="auto"/>
      </w:divBdr>
    </w:div>
    <w:div w:id="1550730185">
      <w:bodyDiv w:val="1"/>
      <w:marLeft w:val="0"/>
      <w:marRight w:val="0"/>
      <w:marTop w:val="0"/>
      <w:marBottom w:val="0"/>
      <w:divBdr>
        <w:top w:val="none" w:sz="0" w:space="0" w:color="auto"/>
        <w:left w:val="none" w:sz="0" w:space="0" w:color="auto"/>
        <w:bottom w:val="none" w:sz="0" w:space="0" w:color="auto"/>
        <w:right w:val="none" w:sz="0" w:space="0" w:color="auto"/>
      </w:divBdr>
    </w:div>
    <w:div w:id="1554345194">
      <w:bodyDiv w:val="1"/>
      <w:marLeft w:val="0"/>
      <w:marRight w:val="0"/>
      <w:marTop w:val="0"/>
      <w:marBottom w:val="0"/>
      <w:divBdr>
        <w:top w:val="none" w:sz="0" w:space="0" w:color="auto"/>
        <w:left w:val="none" w:sz="0" w:space="0" w:color="auto"/>
        <w:bottom w:val="none" w:sz="0" w:space="0" w:color="auto"/>
        <w:right w:val="none" w:sz="0" w:space="0" w:color="auto"/>
      </w:divBdr>
    </w:div>
    <w:div w:id="1561558274">
      <w:bodyDiv w:val="1"/>
      <w:marLeft w:val="0"/>
      <w:marRight w:val="0"/>
      <w:marTop w:val="0"/>
      <w:marBottom w:val="0"/>
      <w:divBdr>
        <w:top w:val="none" w:sz="0" w:space="0" w:color="auto"/>
        <w:left w:val="none" w:sz="0" w:space="0" w:color="auto"/>
        <w:bottom w:val="none" w:sz="0" w:space="0" w:color="auto"/>
        <w:right w:val="none" w:sz="0" w:space="0" w:color="auto"/>
      </w:divBdr>
    </w:div>
    <w:div w:id="1565799396">
      <w:bodyDiv w:val="1"/>
      <w:marLeft w:val="0"/>
      <w:marRight w:val="0"/>
      <w:marTop w:val="0"/>
      <w:marBottom w:val="0"/>
      <w:divBdr>
        <w:top w:val="none" w:sz="0" w:space="0" w:color="auto"/>
        <w:left w:val="none" w:sz="0" w:space="0" w:color="auto"/>
        <w:bottom w:val="none" w:sz="0" w:space="0" w:color="auto"/>
        <w:right w:val="none" w:sz="0" w:space="0" w:color="auto"/>
      </w:divBdr>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599170149">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77072434">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16612070">
      <w:bodyDiv w:val="1"/>
      <w:marLeft w:val="0"/>
      <w:marRight w:val="0"/>
      <w:marTop w:val="0"/>
      <w:marBottom w:val="0"/>
      <w:divBdr>
        <w:top w:val="none" w:sz="0" w:space="0" w:color="auto"/>
        <w:left w:val="none" w:sz="0" w:space="0" w:color="auto"/>
        <w:bottom w:val="none" w:sz="0" w:space="0" w:color="auto"/>
        <w:right w:val="none" w:sz="0" w:space="0" w:color="auto"/>
      </w:divBdr>
    </w:div>
    <w:div w:id="1722055710">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25370691">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34280732">
      <w:bodyDiv w:val="1"/>
      <w:marLeft w:val="0"/>
      <w:marRight w:val="0"/>
      <w:marTop w:val="0"/>
      <w:marBottom w:val="0"/>
      <w:divBdr>
        <w:top w:val="none" w:sz="0" w:space="0" w:color="auto"/>
        <w:left w:val="none" w:sz="0" w:space="0" w:color="auto"/>
        <w:bottom w:val="none" w:sz="0" w:space="0" w:color="auto"/>
        <w:right w:val="none" w:sz="0" w:space="0" w:color="auto"/>
      </w:divBdr>
    </w:div>
    <w:div w:id="1758019633">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1004195">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82644769">
      <w:bodyDiv w:val="1"/>
      <w:marLeft w:val="0"/>
      <w:marRight w:val="0"/>
      <w:marTop w:val="0"/>
      <w:marBottom w:val="0"/>
      <w:divBdr>
        <w:top w:val="none" w:sz="0" w:space="0" w:color="auto"/>
        <w:left w:val="none" w:sz="0" w:space="0" w:color="auto"/>
        <w:bottom w:val="none" w:sz="0" w:space="0" w:color="auto"/>
        <w:right w:val="none" w:sz="0" w:space="0" w:color="auto"/>
      </w:divBdr>
    </w:div>
    <w:div w:id="1788962962">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56843094">
      <w:bodyDiv w:val="1"/>
      <w:marLeft w:val="0"/>
      <w:marRight w:val="0"/>
      <w:marTop w:val="0"/>
      <w:marBottom w:val="0"/>
      <w:divBdr>
        <w:top w:val="none" w:sz="0" w:space="0" w:color="auto"/>
        <w:left w:val="none" w:sz="0" w:space="0" w:color="auto"/>
        <w:bottom w:val="none" w:sz="0" w:space="0" w:color="auto"/>
        <w:right w:val="none" w:sz="0" w:space="0" w:color="auto"/>
      </w:divBdr>
    </w:div>
    <w:div w:id="1866096491">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889805315">
      <w:bodyDiv w:val="1"/>
      <w:marLeft w:val="0"/>
      <w:marRight w:val="0"/>
      <w:marTop w:val="0"/>
      <w:marBottom w:val="0"/>
      <w:divBdr>
        <w:top w:val="none" w:sz="0" w:space="0" w:color="auto"/>
        <w:left w:val="none" w:sz="0" w:space="0" w:color="auto"/>
        <w:bottom w:val="none" w:sz="0" w:space="0" w:color="auto"/>
        <w:right w:val="none" w:sz="0" w:space="0" w:color="auto"/>
      </w:divBdr>
    </w:div>
    <w:div w:id="1896313094">
      <w:bodyDiv w:val="1"/>
      <w:marLeft w:val="0"/>
      <w:marRight w:val="0"/>
      <w:marTop w:val="0"/>
      <w:marBottom w:val="0"/>
      <w:divBdr>
        <w:top w:val="none" w:sz="0" w:space="0" w:color="auto"/>
        <w:left w:val="none" w:sz="0" w:space="0" w:color="auto"/>
        <w:bottom w:val="none" w:sz="0" w:space="0" w:color="auto"/>
        <w:right w:val="none" w:sz="0" w:space="0" w:color="auto"/>
      </w:divBdr>
    </w:div>
    <w:div w:id="1896382142">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25068502">
      <w:bodyDiv w:val="1"/>
      <w:marLeft w:val="0"/>
      <w:marRight w:val="0"/>
      <w:marTop w:val="0"/>
      <w:marBottom w:val="0"/>
      <w:divBdr>
        <w:top w:val="none" w:sz="0" w:space="0" w:color="auto"/>
        <w:left w:val="none" w:sz="0" w:space="0" w:color="auto"/>
        <w:bottom w:val="none" w:sz="0" w:space="0" w:color="auto"/>
        <w:right w:val="none" w:sz="0" w:space="0" w:color="auto"/>
      </w:divBdr>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38323301">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59486681">
      <w:bodyDiv w:val="1"/>
      <w:marLeft w:val="0"/>
      <w:marRight w:val="0"/>
      <w:marTop w:val="0"/>
      <w:marBottom w:val="0"/>
      <w:divBdr>
        <w:top w:val="none" w:sz="0" w:space="0" w:color="auto"/>
        <w:left w:val="none" w:sz="0" w:space="0" w:color="auto"/>
        <w:bottom w:val="none" w:sz="0" w:space="0" w:color="auto"/>
        <w:right w:val="none" w:sz="0" w:space="0" w:color="auto"/>
      </w:divBdr>
    </w:div>
    <w:div w:id="1962227217">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72245792">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01690490">
      <w:bodyDiv w:val="1"/>
      <w:marLeft w:val="0"/>
      <w:marRight w:val="0"/>
      <w:marTop w:val="0"/>
      <w:marBottom w:val="0"/>
      <w:divBdr>
        <w:top w:val="none" w:sz="0" w:space="0" w:color="auto"/>
        <w:left w:val="none" w:sz="0" w:space="0" w:color="auto"/>
        <w:bottom w:val="none" w:sz="0" w:space="0" w:color="auto"/>
        <w:right w:val="none" w:sz="0" w:space="0" w:color="auto"/>
      </w:divBdr>
    </w:div>
    <w:div w:id="2002853264">
      <w:bodyDiv w:val="1"/>
      <w:marLeft w:val="0"/>
      <w:marRight w:val="0"/>
      <w:marTop w:val="0"/>
      <w:marBottom w:val="0"/>
      <w:divBdr>
        <w:top w:val="none" w:sz="0" w:space="0" w:color="auto"/>
        <w:left w:val="none" w:sz="0" w:space="0" w:color="auto"/>
        <w:bottom w:val="none" w:sz="0" w:space="0" w:color="auto"/>
        <w:right w:val="none" w:sz="0" w:space="0" w:color="auto"/>
      </w:divBdr>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064677475">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37522377">
      <w:bodyDiv w:val="1"/>
      <w:marLeft w:val="0"/>
      <w:marRight w:val="0"/>
      <w:marTop w:val="0"/>
      <w:marBottom w:val="0"/>
      <w:divBdr>
        <w:top w:val="none" w:sz="0" w:space="0" w:color="auto"/>
        <w:left w:val="none" w:sz="0" w:space="0" w:color="auto"/>
        <w:bottom w:val="none" w:sz="0" w:space="0" w:color="auto"/>
        <w:right w:val="none" w:sz="0" w:space="0" w:color="auto"/>
      </w:divBdr>
    </w:div>
    <w:div w:id="2137798176">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chart" Target="charts/chart1.xml"/><Relationship Id="rId26"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emf"/><Relationship Id="rId25"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chart" Target="charts/chart3.xml"/><Relationship Id="rId29"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chart" Target="charts/chart7.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chart" Target="charts/chart6.xml"/><Relationship Id="rId28" Type="http://schemas.openxmlformats.org/officeDocument/2006/relationships/chart" Target="charts/chart11.xml"/><Relationship Id="rId10" Type="http://schemas.openxmlformats.org/officeDocument/2006/relationships/header" Target="header2.xml"/><Relationship Id="rId19" Type="http://schemas.openxmlformats.org/officeDocument/2006/relationships/chart" Target="charts/chart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chart" Target="charts/chart5.xml"/><Relationship Id="rId27" Type="http://schemas.openxmlformats.org/officeDocument/2006/relationships/chart" Target="charts/chart10.xml"/><Relationship Id="rId30" Type="http://schemas.openxmlformats.org/officeDocument/2006/relationships/image" Target="media/image5.png"/></Relationships>
</file>

<file path=word/charts/_rels/chart1.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file:///E:\Assignments\Salah\Salah%20MBA\Ratios%20working.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1"/>
          <c:order val="0"/>
          <c:tx>
            <c:strRef>
              <c:f>'Ratios (3)'!$C$6</c:f>
              <c:strCache>
                <c:ptCount val="1"/>
                <c:pt idx="0">
                  <c:v>Return on Capital Employed</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(3)'!$D$6:$H$6</c:f>
              <c:numCache>
                <c:formatCode>0%</c:formatCode>
                <c:ptCount val="5"/>
                <c:pt idx="0">
                  <c:v>0.11266400628816736</c:v>
                </c:pt>
                <c:pt idx="1">
                  <c:v>7.9210113059977313E-2</c:v>
                </c:pt>
                <c:pt idx="2">
                  <c:v>5.0568320066738504E-2</c:v>
                </c:pt>
                <c:pt idx="3">
                  <c:v>-0.43806105051252031</c:v>
                </c:pt>
                <c:pt idx="4">
                  <c:v>-9.2673706403009759E-2</c:v>
                </c:pt>
              </c:numCache>
            </c:numRef>
          </c:val>
          <c:smooth val="0"/>
          <c:extLst>
            <c:ext xmlns:c16="http://schemas.microsoft.com/office/drawing/2014/chart" uri="{C3380CC4-5D6E-409C-BE32-E72D297353CC}">
              <c16:uniqueId val="{00000000-7D33-A142-B7DD-A39F71583A46}"/>
            </c:ext>
          </c:extLst>
        </c:ser>
        <c:dLbls>
          <c:showLegendKey val="0"/>
          <c:showVal val="1"/>
          <c:showCatName val="0"/>
          <c:showSerName val="0"/>
          <c:showPercent val="0"/>
          <c:showBubbleSize val="0"/>
        </c:dLbls>
        <c:marker val="1"/>
        <c:smooth val="0"/>
        <c:axId val="288633984"/>
        <c:axId val="291951360"/>
      </c:lineChart>
      <c:catAx>
        <c:axId val="288633984"/>
        <c:scaling>
          <c:orientation val="minMax"/>
        </c:scaling>
        <c:delete val="0"/>
        <c:axPos val="b"/>
        <c:numFmt formatCode="General" sourceLinked="1"/>
        <c:majorTickMark val="none"/>
        <c:minorTickMark val="none"/>
        <c:tickLblPos val="nextTo"/>
        <c:crossAx val="291951360"/>
        <c:crosses val="autoZero"/>
        <c:auto val="1"/>
        <c:lblAlgn val="ctr"/>
        <c:lblOffset val="100"/>
        <c:noMultiLvlLbl val="0"/>
      </c:catAx>
      <c:valAx>
        <c:axId val="291951360"/>
        <c:scaling>
          <c:orientation val="minMax"/>
        </c:scaling>
        <c:delete val="1"/>
        <c:axPos val="l"/>
        <c:numFmt formatCode="0%" sourceLinked="1"/>
        <c:majorTickMark val="out"/>
        <c:minorTickMark val="none"/>
        <c:tickLblPos val="nextTo"/>
        <c:crossAx val="288633984"/>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'Ratios (3)'!$C$7</c:f>
              <c:strCache>
                <c:ptCount val="1"/>
                <c:pt idx="0">
                  <c:v>Return on Equity</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(3)'!$D$7:$H$7</c:f>
              <c:numCache>
                <c:formatCode>0%</c:formatCode>
                <c:ptCount val="5"/>
                <c:pt idx="0">
                  <c:v>0.1231148320624575</c:v>
                </c:pt>
                <c:pt idx="1">
                  <c:v>1.9210071426241804E-2</c:v>
                </c:pt>
                <c:pt idx="2">
                  <c:v>1.5163595448685946E-3</c:v>
                </c:pt>
                <c:pt idx="3">
                  <c:v>-0.54906103286384977</c:v>
                </c:pt>
                <c:pt idx="4">
                  <c:v>-0.1569445805166389</c:v>
                </c:pt>
              </c:numCache>
            </c:numRef>
          </c:val>
          <c:smooth val="0"/>
          <c:extLst>
            <c:ext xmlns:c16="http://schemas.microsoft.com/office/drawing/2014/chart" uri="{C3380CC4-5D6E-409C-BE32-E72D297353CC}">
              <c16:uniqueId val="{00000000-9BE3-8E40-8959-54DCEF7F948E}"/>
            </c:ext>
          </c:extLst>
        </c:ser>
        <c:dLbls>
          <c:showLegendKey val="0"/>
          <c:showVal val="1"/>
          <c:showCatName val="0"/>
          <c:showSerName val="0"/>
          <c:showPercent val="0"/>
          <c:showBubbleSize val="0"/>
        </c:dLbls>
        <c:marker val="1"/>
        <c:smooth val="0"/>
        <c:axId val="379715968"/>
        <c:axId val="379717504"/>
      </c:lineChart>
      <c:catAx>
        <c:axId val="379715968"/>
        <c:scaling>
          <c:orientation val="minMax"/>
        </c:scaling>
        <c:delete val="0"/>
        <c:axPos val="b"/>
        <c:numFmt formatCode="General" sourceLinked="1"/>
        <c:majorTickMark val="none"/>
        <c:minorTickMark val="none"/>
        <c:tickLblPos val="nextTo"/>
        <c:crossAx val="379717504"/>
        <c:crosses val="autoZero"/>
        <c:auto val="1"/>
        <c:lblAlgn val="ctr"/>
        <c:lblOffset val="100"/>
        <c:noMultiLvlLbl val="0"/>
      </c:catAx>
      <c:valAx>
        <c:axId val="379717504"/>
        <c:scaling>
          <c:orientation val="minMax"/>
        </c:scaling>
        <c:delete val="1"/>
        <c:axPos val="l"/>
        <c:numFmt formatCode="0%" sourceLinked="1"/>
        <c:majorTickMark val="out"/>
        <c:minorTickMark val="none"/>
        <c:tickLblPos val="nextTo"/>
        <c:crossAx val="379715968"/>
        <c:crosses val="autoZero"/>
        <c:crossBetween val="between"/>
      </c:valAx>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cked"/>
        <c:varyColors val="0"/>
        <c:ser>
          <c:idx val="0"/>
          <c:order val="0"/>
          <c:tx>
            <c:strRef>
              <c:f>'Ratios (3)'!$C$8</c:f>
              <c:strCache>
                <c:ptCount val="1"/>
                <c:pt idx="0">
                  <c:v>Gross Profit Ratio</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(3)'!$D$8:$H$8</c:f>
              <c:numCache>
                <c:formatCode>0%</c:formatCode>
                <c:ptCount val="5"/>
                <c:pt idx="0">
                  <c:v>0.28674432224897506</c:v>
                </c:pt>
                <c:pt idx="1">
                  <c:v>0.28759212901552855</c:v>
                </c:pt>
                <c:pt idx="2">
                  <c:v>0.28059275800505207</c:v>
                </c:pt>
                <c:pt idx="3">
                  <c:v>0.23203324002216635</c:v>
                </c:pt>
                <c:pt idx="4">
                  <c:v>0.28868083640811487</c:v>
                </c:pt>
              </c:numCache>
            </c:numRef>
          </c:val>
          <c:smooth val="0"/>
          <c:extLst>
            <c:ext xmlns:c16="http://schemas.microsoft.com/office/drawing/2014/chart" uri="{C3380CC4-5D6E-409C-BE32-E72D297353CC}">
              <c16:uniqueId val="{00000000-5DC5-C84F-9BCB-98DAADBD91F9}"/>
            </c:ext>
          </c:extLst>
        </c:ser>
        <c:dLbls>
          <c:showLegendKey val="0"/>
          <c:showVal val="1"/>
          <c:showCatName val="0"/>
          <c:showSerName val="0"/>
          <c:showPercent val="0"/>
          <c:showBubbleSize val="0"/>
        </c:dLbls>
        <c:marker val="1"/>
        <c:smooth val="0"/>
        <c:axId val="408810240"/>
        <c:axId val="288552064"/>
      </c:lineChart>
      <c:catAx>
        <c:axId val="408810240"/>
        <c:scaling>
          <c:orientation val="minMax"/>
        </c:scaling>
        <c:delete val="0"/>
        <c:axPos val="b"/>
        <c:numFmt formatCode="General" sourceLinked="1"/>
        <c:majorTickMark val="none"/>
        <c:minorTickMark val="none"/>
        <c:tickLblPos val="nextTo"/>
        <c:crossAx val="288552064"/>
        <c:crosses val="autoZero"/>
        <c:auto val="1"/>
        <c:lblAlgn val="ctr"/>
        <c:lblOffset val="100"/>
        <c:noMultiLvlLbl val="0"/>
      </c:catAx>
      <c:valAx>
        <c:axId val="288552064"/>
        <c:scaling>
          <c:orientation val="minMax"/>
        </c:scaling>
        <c:delete val="1"/>
        <c:axPos val="l"/>
        <c:numFmt formatCode="0%" sourceLinked="1"/>
        <c:majorTickMark val="none"/>
        <c:minorTickMark val="none"/>
        <c:tickLblPos val="nextTo"/>
        <c:crossAx val="408810240"/>
        <c:crosses val="autoZero"/>
        <c:crossBetween val="between"/>
      </c:valAx>
    </c:plotArea>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percentStacked"/>
        <c:varyColors val="0"/>
        <c:ser>
          <c:idx val="0"/>
          <c:order val="0"/>
          <c:tx>
            <c:strRef>
              <c:f>'Ratios (3)'!$C$9</c:f>
              <c:strCache>
                <c:ptCount val="1"/>
                <c:pt idx="0">
                  <c:v>Operating Profit Ratio</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(3)'!$D$9:$H$9</c:f>
              <c:numCache>
                <c:formatCode>0%</c:formatCode>
                <c:ptCount val="5"/>
                <c:pt idx="0">
                  <c:v>6.0628294397084663E-2</c:v>
                </c:pt>
                <c:pt idx="1">
                  <c:v>3.8651799694814845E-2</c:v>
                </c:pt>
                <c:pt idx="2">
                  <c:v>2.6804188292605634E-2</c:v>
                </c:pt>
                <c:pt idx="3">
                  <c:v>-0.20287686969178775</c:v>
                </c:pt>
                <c:pt idx="4">
                  <c:v>-3.8738448993235905E-2</c:v>
                </c:pt>
              </c:numCache>
            </c:numRef>
          </c:val>
          <c:smooth val="0"/>
          <c:extLst>
            <c:ext xmlns:c16="http://schemas.microsoft.com/office/drawing/2014/chart" uri="{C3380CC4-5D6E-409C-BE32-E72D297353CC}">
              <c16:uniqueId val="{00000000-B0DA-4E4B-A25F-8EABFA25C03B}"/>
            </c:ext>
          </c:extLst>
        </c:ser>
        <c:dLbls>
          <c:showLegendKey val="0"/>
          <c:showVal val="1"/>
          <c:showCatName val="0"/>
          <c:showSerName val="0"/>
          <c:showPercent val="0"/>
          <c:showBubbleSize val="0"/>
        </c:dLbls>
        <c:marker val="1"/>
        <c:smooth val="0"/>
        <c:axId val="288642560"/>
        <c:axId val="288644096"/>
      </c:lineChart>
      <c:catAx>
        <c:axId val="288642560"/>
        <c:scaling>
          <c:orientation val="minMax"/>
        </c:scaling>
        <c:delete val="0"/>
        <c:axPos val="b"/>
        <c:numFmt formatCode="General" sourceLinked="1"/>
        <c:majorTickMark val="none"/>
        <c:minorTickMark val="none"/>
        <c:tickLblPos val="nextTo"/>
        <c:crossAx val="288644096"/>
        <c:crosses val="autoZero"/>
        <c:auto val="1"/>
        <c:lblAlgn val="ctr"/>
        <c:lblOffset val="100"/>
        <c:noMultiLvlLbl val="0"/>
      </c:catAx>
      <c:valAx>
        <c:axId val="288644096"/>
        <c:scaling>
          <c:orientation val="minMax"/>
        </c:scaling>
        <c:delete val="1"/>
        <c:axPos val="l"/>
        <c:numFmt formatCode="0%" sourceLinked="1"/>
        <c:majorTickMark val="out"/>
        <c:minorTickMark val="none"/>
        <c:tickLblPos val="nextTo"/>
        <c:crossAx val="288642560"/>
        <c:crosses val="autoZero"/>
        <c:crossBetween val="between"/>
      </c:valAx>
    </c:plotArea>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'Ratios (3)'!$C$10</c:f>
              <c:strCache>
                <c:ptCount val="1"/>
                <c:pt idx="0">
                  <c:v>Current Ratio</c:v>
                </c:pt>
              </c:strCache>
            </c:strRef>
          </c:tx>
          <c:marker>
            <c:symbol val="none"/>
          </c:marker>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(3)'!$D$10:$H$10</c:f>
              <c:numCache>
                <c:formatCode>[$£-809]#,##0.00</c:formatCode>
                <c:ptCount val="5"/>
                <c:pt idx="0">
                  <c:v>1.8207509330956493</c:v>
                </c:pt>
                <c:pt idx="1">
                  <c:v>1.5551947303113194</c:v>
                </c:pt>
                <c:pt idx="2">
                  <c:v>1.5615804280441441</c:v>
                </c:pt>
                <c:pt idx="3">
                  <c:v>1.6062935934668752</c:v>
                </c:pt>
                <c:pt idx="4">
                  <c:v>1.5319506478574272</c:v>
                </c:pt>
              </c:numCache>
            </c:numRef>
          </c:val>
          <c:smooth val="0"/>
          <c:extLst>
            <c:ext xmlns:c16="http://schemas.microsoft.com/office/drawing/2014/chart" uri="{C3380CC4-5D6E-409C-BE32-E72D297353CC}">
              <c16:uniqueId val="{00000000-F798-C248-A557-E873E0582193}"/>
            </c:ext>
          </c:extLst>
        </c:ser>
        <c:dLbls>
          <c:showLegendKey val="0"/>
          <c:showVal val="1"/>
          <c:showCatName val="0"/>
          <c:showSerName val="0"/>
          <c:showPercent val="0"/>
          <c:showBubbleSize val="0"/>
        </c:dLbls>
        <c:smooth val="0"/>
        <c:axId val="288652672"/>
        <c:axId val="288658560"/>
      </c:lineChart>
      <c:catAx>
        <c:axId val="288652672"/>
        <c:scaling>
          <c:orientation val="minMax"/>
        </c:scaling>
        <c:delete val="0"/>
        <c:axPos val="b"/>
        <c:numFmt formatCode="General" sourceLinked="1"/>
        <c:majorTickMark val="none"/>
        <c:minorTickMark val="none"/>
        <c:tickLblPos val="nextTo"/>
        <c:crossAx val="288658560"/>
        <c:crosses val="autoZero"/>
        <c:auto val="1"/>
        <c:lblAlgn val="ctr"/>
        <c:lblOffset val="100"/>
        <c:noMultiLvlLbl val="0"/>
      </c:catAx>
      <c:valAx>
        <c:axId val="288658560"/>
        <c:scaling>
          <c:orientation val="minMax"/>
        </c:scaling>
        <c:delete val="1"/>
        <c:axPos val="l"/>
        <c:numFmt formatCode="[$£-809]#,##0.00" sourceLinked="1"/>
        <c:majorTickMark val="out"/>
        <c:minorTickMark val="none"/>
        <c:tickLblPos val="nextTo"/>
        <c:crossAx val="288652672"/>
        <c:crosses val="autoZero"/>
        <c:crossBetween val="between"/>
      </c:valAx>
    </c:plotArea>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'Ratios (3)'!$C$11</c:f>
              <c:strCache>
                <c:ptCount val="1"/>
                <c:pt idx="0">
                  <c:v>Quick Ratio</c:v>
                </c:pt>
              </c:strCache>
            </c:strRef>
          </c:tx>
          <c:marker>
            <c:symbol val="none"/>
          </c:marker>
          <c:cat>
            <c:numRef>
              <c:f>'Ratios (3)'!$D$5:$H$5</c:f>
              <c:numCache>
                <c:formatCode>General</c:formatCode>
                <c:ptCount val="5"/>
                <c:pt idx="0">
                  <c:v>2020</c:v>
                </c:pt>
                <c:pt idx="1">
                  <c:v>2021</c:v>
                </c:pt>
                <c:pt idx="2">
                  <c:v>2022</c:v>
                </c:pt>
                <c:pt idx="3">
                  <c:v>2023</c:v>
                </c:pt>
                <c:pt idx="4">
                  <c:v>2024</c:v>
                </c:pt>
              </c:numCache>
            </c:numRef>
          </c:cat>
          <c:val>
            <c:numRef>
              <c:f>'Ratios (3)'!$D$11:$H$11</c:f>
              <c:numCache>
                <c:formatCode>[$£-809]#,##0.00</c:formatCode>
                <c:ptCount val="5"/>
                <c:pt idx="0">
                  <c:v>-1.1498690880730877</c:v>
                </c:pt>
                <c:pt idx="1">
                  <c:v>-0.93491307135575474</c:v>
                </c:pt>
                <c:pt idx="2">
                  <c:v>-0.9140123710578224</c:v>
                </c:pt>
                <c:pt idx="3">
                  <c:v>-1.0585176359619728</c:v>
                </c:pt>
                <c:pt idx="4">
                  <c:v>-1.0306271360974408</c:v>
                </c:pt>
              </c:numCache>
            </c:numRef>
          </c:val>
          <c:smooth val="0"/>
          <c:extLst>
            <c:ext xmlns:c16="http://schemas.microsoft.com/office/drawing/2014/chart" uri="{C3380CC4-5D6E-409C-BE32-E72D297353CC}">
              <c16:uniqueId val="{00000000-7C30-264D-9E8F-C8AA9C4C13F6}"/>
            </c:ext>
          </c:extLst>
        </c:ser>
        <c:dLbls>
          <c:showLegendKey val="0"/>
          <c:showVal val="0"/>
          <c:showCatName val="0"/>
          <c:showSerName val="0"/>
          <c:showPercent val="0"/>
          <c:showBubbleSize val="0"/>
        </c:dLbls>
        <c:smooth val="0"/>
        <c:axId val="288674560"/>
        <c:axId val="288676096"/>
      </c:lineChart>
      <c:catAx>
        <c:axId val="288674560"/>
        <c:scaling>
          <c:orientation val="minMax"/>
        </c:scaling>
        <c:delete val="0"/>
        <c:axPos val="b"/>
        <c:numFmt formatCode="General" sourceLinked="1"/>
        <c:majorTickMark val="out"/>
        <c:minorTickMark val="none"/>
        <c:tickLblPos val="nextTo"/>
        <c:crossAx val="288676096"/>
        <c:crosses val="autoZero"/>
        <c:auto val="1"/>
        <c:lblAlgn val="ctr"/>
        <c:lblOffset val="100"/>
        <c:noMultiLvlLbl val="0"/>
      </c:catAx>
      <c:valAx>
        <c:axId val="288676096"/>
        <c:scaling>
          <c:orientation val="minMax"/>
        </c:scaling>
        <c:delete val="0"/>
        <c:axPos val="l"/>
        <c:majorGridlines/>
        <c:numFmt formatCode="[$£-809]#,##0.00" sourceLinked="1"/>
        <c:majorTickMark val="out"/>
        <c:minorTickMark val="none"/>
        <c:tickLblPos val="nextTo"/>
        <c:crossAx val="288674560"/>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cked"/>
        <c:varyColors val="0"/>
        <c:ser>
          <c:idx val="0"/>
          <c:order val="0"/>
          <c:tx>
            <c:strRef>
              <c:f>'Ratios (3)'!$C$12</c:f>
              <c:strCache>
                <c:ptCount val="1"/>
                <c:pt idx="0">
                  <c:v>Assets Turnover Ratio</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(3)'!$D$12:$H$12</c:f>
              <c:numCache>
                <c:formatCode>[$£-809]#,##0.00</c:formatCode>
                <c:ptCount val="5"/>
                <c:pt idx="0">
                  <c:v>3.4242103503983063</c:v>
                </c:pt>
                <c:pt idx="1">
                  <c:v>2.7750833767707475</c:v>
                </c:pt>
                <c:pt idx="2">
                  <c:v>2.5072457073168479</c:v>
                </c:pt>
                <c:pt idx="3">
                  <c:v>2.6091357013428649</c:v>
                </c:pt>
                <c:pt idx="4">
                  <c:v>2.494639619435091</c:v>
                </c:pt>
              </c:numCache>
            </c:numRef>
          </c:val>
          <c:smooth val="0"/>
          <c:extLst>
            <c:ext xmlns:c16="http://schemas.microsoft.com/office/drawing/2014/chart" uri="{C3380CC4-5D6E-409C-BE32-E72D297353CC}">
              <c16:uniqueId val="{00000000-9679-9B41-869F-8FC4CEC83289}"/>
            </c:ext>
          </c:extLst>
        </c:ser>
        <c:dLbls>
          <c:showLegendKey val="0"/>
          <c:showVal val="1"/>
          <c:showCatName val="0"/>
          <c:showSerName val="0"/>
          <c:showPercent val="0"/>
          <c:showBubbleSize val="0"/>
        </c:dLbls>
        <c:marker val="1"/>
        <c:smooth val="0"/>
        <c:axId val="288684672"/>
        <c:axId val="343425408"/>
      </c:lineChart>
      <c:catAx>
        <c:axId val="288684672"/>
        <c:scaling>
          <c:orientation val="minMax"/>
        </c:scaling>
        <c:delete val="0"/>
        <c:axPos val="b"/>
        <c:numFmt formatCode="General" sourceLinked="1"/>
        <c:majorTickMark val="none"/>
        <c:minorTickMark val="none"/>
        <c:tickLblPos val="nextTo"/>
        <c:crossAx val="343425408"/>
        <c:crosses val="autoZero"/>
        <c:auto val="1"/>
        <c:lblAlgn val="ctr"/>
        <c:lblOffset val="100"/>
        <c:noMultiLvlLbl val="0"/>
      </c:catAx>
      <c:valAx>
        <c:axId val="343425408"/>
        <c:scaling>
          <c:orientation val="minMax"/>
        </c:scaling>
        <c:delete val="1"/>
        <c:axPos val="l"/>
        <c:numFmt formatCode="[$£-809]#,##0.00" sourceLinked="1"/>
        <c:majorTickMark val="out"/>
        <c:minorTickMark val="none"/>
        <c:tickLblPos val="nextTo"/>
        <c:crossAx val="288684672"/>
        <c:crosses val="autoZero"/>
        <c:crossBetween val="between"/>
      </c:valAx>
    </c:plotArea>
    <c:legend>
      <c:legendPos val="t"/>
      <c:overlay val="0"/>
    </c:legend>
    <c:plotVisOnly val="1"/>
    <c:dispBlanksAs val="zero"/>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'Ratios (3)'!$C$13</c:f>
              <c:strCache>
                <c:ptCount val="1"/>
                <c:pt idx="0">
                  <c:v>Stock Holding Period</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(3)'!$D$13:$H$13</c:f>
              <c:numCache>
                <c:formatCode>0</c:formatCode>
                <c:ptCount val="5"/>
                <c:pt idx="0">
                  <c:v>100.26127675492218</c:v>
                </c:pt>
                <c:pt idx="1">
                  <c:v>114.51887135837381</c:v>
                </c:pt>
                <c:pt idx="2">
                  <c:v>131.04081350410669</c:v>
                </c:pt>
                <c:pt idx="3">
                  <c:v>99.783042270445378</c:v>
                </c:pt>
                <c:pt idx="4">
                  <c:v>103.11898107766524</c:v>
                </c:pt>
              </c:numCache>
            </c:numRef>
          </c:val>
          <c:smooth val="0"/>
          <c:extLst>
            <c:ext xmlns:c16="http://schemas.microsoft.com/office/drawing/2014/chart" uri="{C3380CC4-5D6E-409C-BE32-E72D297353CC}">
              <c16:uniqueId val="{00000000-A6CF-AD45-A247-9621BC9566D7}"/>
            </c:ext>
          </c:extLst>
        </c:ser>
        <c:dLbls>
          <c:showLegendKey val="0"/>
          <c:showVal val="1"/>
          <c:showCatName val="0"/>
          <c:showSerName val="0"/>
          <c:showPercent val="0"/>
          <c:showBubbleSize val="0"/>
        </c:dLbls>
        <c:marker val="1"/>
        <c:smooth val="0"/>
        <c:axId val="345654400"/>
        <c:axId val="345655936"/>
      </c:lineChart>
      <c:catAx>
        <c:axId val="345654400"/>
        <c:scaling>
          <c:orientation val="minMax"/>
        </c:scaling>
        <c:delete val="0"/>
        <c:axPos val="b"/>
        <c:numFmt formatCode="General" sourceLinked="1"/>
        <c:majorTickMark val="none"/>
        <c:minorTickMark val="none"/>
        <c:tickLblPos val="nextTo"/>
        <c:crossAx val="345655936"/>
        <c:crosses val="autoZero"/>
        <c:auto val="1"/>
        <c:lblAlgn val="ctr"/>
        <c:lblOffset val="100"/>
        <c:noMultiLvlLbl val="0"/>
      </c:catAx>
      <c:valAx>
        <c:axId val="345655936"/>
        <c:scaling>
          <c:orientation val="minMax"/>
        </c:scaling>
        <c:delete val="1"/>
        <c:axPos val="l"/>
        <c:numFmt formatCode="0" sourceLinked="1"/>
        <c:majorTickMark val="out"/>
        <c:minorTickMark val="none"/>
        <c:tickLblPos val="nextTo"/>
        <c:crossAx val="345654400"/>
        <c:crosses val="autoZero"/>
        <c:crossBetween val="between"/>
      </c:valAx>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strRef>
              <c:f>'Ratios (3)'!$C$15</c:f>
              <c:strCache>
                <c:ptCount val="1"/>
                <c:pt idx="0">
                  <c:v>Creditors Payment Period</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(3)'!$D$15:$H$15</c:f>
              <c:numCache>
                <c:formatCode>0</c:formatCode>
                <c:ptCount val="5"/>
                <c:pt idx="0">
                  <c:v>69.290424338083682</c:v>
                </c:pt>
                <c:pt idx="1">
                  <c:v>78.952777272239402</c:v>
                </c:pt>
                <c:pt idx="2">
                  <c:v>66.719284227025113</c:v>
                </c:pt>
                <c:pt idx="3">
                  <c:v>64.469614149403682</c:v>
                </c:pt>
                <c:pt idx="4">
                  <c:v>93.601705324243014</c:v>
                </c:pt>
              </c:numCache>
            </c:numRef>
          </c:val>
          <c:smooth val="0"/>
          <c:extLst>
            <c:ext xmlns:c16="http://schemas.microsoft.com/office/drawing/2014/chart" uri="{C3380CC4-5D6E-409C-BE32-E72D297353CC}">
              <c16:uniqueId val="{00000000-E2DB-064C-BB4F-1A1F1766DC82}"/>
            </c:ext>
          </c:extLst>
        </c:ser>
        <c:dLbls>
          <c:showLegendKey val="0"/>
          <c:showVal val="1"/>
          <c:showCatName val="0"/>
          <c:showSerName val="0"/>
          <c:showPercent val="0"/>
          <c:showBubbleSize val="0"/>
        </c:dLbls>
        <c:marker val="1"/>
        <c:smooth val="0"/>
        <c:axId val="345771392"/>
        <c:axId val="345810048"/>
      </c:lineChart>
      <c:catAx>
        <c:axId val="345771392"/>
        <c:scaling>
          <c:orientation val="minMax"/>
        </c:scaling>
        <c:delete val="0"/>
        <c:axPos val="b"/>
        <c:numFmt formatCode="General" sourceLinked="1"/>
        <c:majorTickMark val="none"/>
        <c:minorTickMark val="none"/>
        <c:tickLblPos val="nextTo"/>
        <c:crossAx val="345810048"/>
        <c:crosses val="autoZero"/>
        <c:auto val="1"/>
        <c:lblAlgn val="ctr"/>
        <c:lblOffset val="100"/>
        <c:noMultiLvlLbl val="0"/>
      </c:catAx>
      <c:valAx>
        <c:axId val="345810048"/>
        <c:scaling>
          <c:orientation val="minMax"/>
        </c:scaling>
        <c:delete val="1"/>
        <c:axPos val="l"/>
        <c:numFmt formatCode="0" sourceLinked="1"/>
        <c:majorTickMark val="out"/>
        <c:minorTickMark val="none"/>
        <c:tickLblPos val="nextTo"/>
        <c:crossAx val="345771392"/>
        <c:crosses val="autoZero"/>
        <c:crossBetween val="between"/>
      </c:valAx>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cked"/>
        <c:varyColors val="0"/>
        <c:ser>
          <c:idx val="0"/>
          <c:order val="0"/>
          <c:tx>
            <c:strRef>
              <c:f>'Ratios (3)'!$C$16</c:f>
              <c:strCache>
                <c:ptCount val="1"/>
                <c:pt idx="0">
                  <c:v>Interest Coverage Ratio</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(3)'!$D$16:$H$16</c:f>
              <c:numCache>
                <c:formatCode>0.00</c:formatCode>
                <c:ptCount val="5"/>
                <c:pt idx="0">
                  <c:v>-26.20745428973277</c:v>
                </c:pt>
                <c:pt idx="1">
                  <c:v>-41.083038869257948</c:v>
                </c:pt>
                <c:pt idx="2">
                  <c:v>-6.6127272727272723</c:v>
                </c:pt>
                <c:pt idx="3">
                  <c:v>19.690904893813482</c:v>
                </c:pt>
                <c:pt idx="4">
                  <c:v>4.5513240107110979</c:v>
                </c:pt>
              </c:numCache>
            </c:numRef>
          </c:val>
          <c:smooth val="0"/>
          <c:extLst>
            <c:ext xmlns:c16="http://schemas.microsoft.com/office/drawing/2014/chart" uri="{C3380CC4-5D6E-409C-BE32-E72D297353CC}">
              <c16:uniqueId val="{00000000-95AF-F84A-99AF-42AAC2D89403}"/>
            </c:ext>
          </c:extLst>
        </c:ser>
        <c:dLbls>
          <c:showLegendKey val="0"/>
          <c:showVal val="1"/>
          <c:showCatName val="0"/>
          <c:showSerName val="0"/>
          <c:showPercent val="0"/>
          <c:showBubbleSize val="0"/>
        </c:dLbls>
        <c:marker val="1"/>
        <c:smooth val="0"/>
        <c:axId val="345826816"/>
        <c:axId val="345828352"/>
      </c:lineChart>
      <c:catAx>
        <c:axId val="345826816"/>
        <c:scaling>
          <c:orientation val="minMax"/>
        </c:scaling>
        <c:delete val="0"/>
        <c:axPos val="b"/>
        <c:numFmt formatCode="General" sourceLinked="1"/>
        <c:majorTickMark val="none"/>
        <c:minorTickMark val="none"/>
        <c:tickLblPos val="nextTo"/>
        <c:crossAx val="345828352"/>
        <c:crosses val="autoZero"/>
        <c:auto val="1"/>
        <c:lblAlgn val="ctr"/>
        <c:lblOffset val="100"/>
        <c:noMultiLvlLbl val="0"/>
      </c:catAx>
      <c:valAx>
        <c:axId val="345828352"/>
        <c:scaling>
          <c:orientation val="minMax"/>
        </c:scaling>
        <c:delete val="1"/>
        <c:axPos val="l"/>
        <c:numFmt formatCode="0.00" sourceLinked="1"/>
        <c:majorTickMark val="out"/>
        <c:minorTickMark val="none"/>
        <c:tickLblPos val="nextTo"/>
        <c:crossAx val="345826816"/>
        <c:crosses val="autoZero"/>
        <c:crossBetween val="between"/>
      </c:valAx>
    </c:plotArea>
    <c:plotVisOnly val="1"/>
    <c:dispBlanksAs val="zero"/>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0"/>
    </c:view3D>
    <c:floor>
      <c:thickness val="0"/>
    </c:floor>
    <c:sideWall>
      <c:thickness val="0"/>
    </c:sideWall>
    <c:backWall>
      <c:thickness val="0"/>
    </c:backWall>
    <c:plotArea>
      <c:layout/>
      <c:line3DChart>
        <c:grouping val="standard"/>
        <c:varyColors val="0"/>
        <c:ser>
          <c:idx val="0"/>
          <c:order val="0"/>
          <c:tx>
            <c:strRef>
              <c:f>'Ratios (3)'!$C$17</c:f>
              <c:strCache>
                <c:ptCount val="1"/>
                <c:pt idx="0">
                  <c:v>Gearing Ratio</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(3)'!$D$17:$H$17</c:f>
              <c:numCache>
                <c:formatCode>0%</c:formatCode>
                <c:ptCount val="5"/>
                <c:pt idx="0">
                  <c:v>3.3680848145172353E-2</c:v>
                </c:pt>
                <c:pt idx="1">
                  <c:v>3.4509785479711882E-2</c:v>
                </c:pt>
                <c:pt idx="2">
                  <c:v>3.8249534376778936E-2</c:v>
                </c:pt>
                <c:pt idx="3">
                  <c:v>4.4409225789047747E-2</c:v>
                </c:pt>
                <c:pt idx="4">
                  <c:v>3.6981141411579876E-2</c:v>
                </c:pt>
              </c:numCache>
            </c:numRef>
          </c:val>
          <c:smooth val="0"/>
          <c:extLst>
            <c:ext xmlns:c16="http://schemas.microsoft.com/office/drawing/2014/chart" uri="{C3380CC4-5D6E-409C-BE32-E72D297353CC}">
              <c16:uniqueId val="{00000000-0450-A14C-8537-351199AD3F34}"/>
            </c:ext>
          </c:extLst>
        </c:ser>
        <c:dLbls>
          <c:showLegendKey val="0"/>
          <c:showVal val="1"/>
          <c:showCatName val="0"/>
          <c:showSerName val="0"/>
          <c:showPercent val="0"/>
          <c:showBubbleSize val="0"/>
        </c:dLbls>
        <c:axId val="345882624"/>
        <c:axId val="345884160"/>
        <c:axId val="345833920"/>
      </c:line3DChart>
      <c:catAx>
        <c:axId val="345882624"/>
        <c:scaling>
          <c:orientation val="minMax"/>
        </c:scaling>
        <c:delete val="0"/>
        <c:axPos val="b"/>
        <c:numFmt formatCode="General" sourceLinked="1"/>
        <c:majorTickMark val="none"/>
        <c:minorTickMark val="none"/>
        <c:tickLblPos val="nextTo"/>
        <c:crossAx val="345884160"/>
        <c:crosses val="autoZero"/>
        <c:auto val="1"/>
        <c:lblAlgn val="ctr"/>
        <c:lblOffset val="100"/>
        <c:noMultiLvlLbl val="0"/>
      </c:catAx>
      <c:valAx>
        <c:axId val="345884160"/>
        <c:scaling>
          <c:orientation val="minMax"/>
        </c:scaling>
        <c:delete val="1"/>
        <c:axPos val="l"/>
        <c:numFmt formatCode="0%" sourceLinked="1"/>
        <c:majorTickMark val="out"/>
        <c:minorTickMark val="none"/>
        <c:tickLblPos val="nextTo"/>
        <c:crossAx val="345882624"/>
        <c:crosses val="autoZero"/>
        <c:crossBetween val="between"/>
      </c:valAx>
      <c:serAx>
        <c:axId val="345833920"/>
        <c:scaling>
          <c:orientation val="minMax"/>
        </c:scaling>
        <c:delete val="1"/>
        <c:axPos val="b"/>
        <c:majorTickMark val="out"/>
        <c:minorTickMark val="none"/>
        <c:tickLblPos val="nextTo"/>
        <c:crossAx val="345884160"/>
        <c:crosses val="autoZero"/>
      </c:serAx>
    </c:plotArea>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0"/>
    </c:view3D>
    <c:floor>
      <c:thickness val="0"/>
    </c:floor>
    <c:sideWall>
      <c:thickness val="0"/>
    </c:sideWall>
    <c:backWall>
      <c:thickness val="0"/>
    </c:backWall>
    <c:plotArea>
      <c:layout/>
      <c:line3DChart>
        <c:grouping val="standard"/>
        <c:varyColors val="0"/>
        <c:ser>
          <c:idx val="0"/>
          <c:order val="0"/>
          <c:tx>
            <c:strRef>
              <c:f>'Ratios (3)'!$C$19</c:f>
              <c:strCache>
                <c:ptCount val="1"/>
                <c:pt idx="0">
                  <c:v>Earnings Per Share</c:v>
                </c:pt>
              </c:strCache>
            </c:strRef>
          </c:tx>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'Ratios (3)'!$D$5:$H$5</c:f>
              <c:numCache>
                <c:formatCode>General</c:formatCode>
                <c:ptCount val="5"/>
                <c:pt idx="0">
                  <c:v>2020</c:v>
                </c:pt>
                <c:pt idx="1">
                  <c:v>2021</c:v>
                </c:pt>
                <c:pt idx="2">
                  <c:v>2022</c:v>
                </c:pt>
                <c:pt idx="3">
                  <c:v>2023</c:v>
                </c:pt>
                <c:pt idx="4">
                  <c:v>2024</c:v>
                </c:pt>
              </c:numCache>
            </c:numRef>
          </c:cat>
          <c:val>
            <c:numRef>
              <c:f>'Ratios (3)'!$D$19:$H$19</c:f>
              <c:numCache>
                <c:formatCode>[$£-809]#,##0.00</c:formatCode>
                <c:ptCount val="5"/>
                <c:pt idx="0">
                  <c:v>2.77636219678975</c:v>
                </c:pt>
                <c:pt idx="1">
                  <c:v>0.39368733754177498</c:v>
                </c:pt>
                <c:pt idx="2">
                  <c:v>3.2039675667165236E-2</c:v>
                </c:pt>
                <c:pt idx="3">
                  <c:v>-7.6420070011668608</c:v>
                </c:pt>
                <c:pt idx="4">
                  <c:v>-1.8542325796743575</c:v>
                </c:pt>
              </c:numCache>
            </c:numRef>
          </c:val>
          <c:smooth val="0"/>
          <c:extLst>
            <c:ext xmlns:c16="http://schemas.microsoft.com/office/drawing/2014/chart" uri="{C3380CC4-5D6E-409C-BE32-E72D297353CC}">
              <c16:uniqueId val="{00000000-AB08-E740-8E34-1D4B1EAFC769}"/>
            </c:ext>
          </c:extLst>
        </c:ser>
        <c:dLbls>
          <c:showLegendKey val="0"/>
          <c:showVal val="1"/>
          <c:showCatName val="0"/>
          <c:showSerName val="0"/>
          <c:showPercent val="0"/>
          <c:showBubbleSize val="0"/>
        </c:dLbls>
        <c:axId val="351296896"/>
        <c:axId val="351335552"/>
        <c:axId val="379207680"/>
      </c:line3DChart>
      <c:catAx>
        <c:axId val="351296896"/>
        <c:scaling>
          <c:orientation val="minMax"/>
        </c:scaling>
        <c:delete val="0"/>
        <c:axPos val="b"/>
        <c:numFmt formatCode="General" sourceLinked="1"/>
        <c:majorTickMark val="none"/>
        <c:minorTickMark val="none"/>
        <c:tickLblPos val="nextTo"/>
        <c:crossAx val="351335552"/>
        <c:crosses val="autoZero"/>
        <c:auto val="1"/>
        <c:lblAlgn val="ctr"/>
        <c:lblOffset val="100"/>
        <c:noMultiLvlLbl val="0"/>
      </c:catAx>
      <c:valAx>
        <c:axId val="351335552"/>
        <c:scaling>
          <c:orientation val="minMax"/>
        </c:scaling>
        <c:delete val="1"/>
        <c:axPos val="l"/>
        <c:numFmt formatCode="[$£-809]#,##0.00" sourceLinked="1"/>
        <c:majorTickMark val="out"/>
        <c:minorTickMark val="none"/>
        <c:tickLblPos val="nextTo"/>
        <c:crossAx val="351296896"/>
        <c:crosses val="autoZero"/>
        <c:crossBetween val="between"/>
      </c:valAx>
      <c:serAx>
        <c:axId val="379207680"/>
        <c:scaling>
          <c:orientation val="minMax"/>
        </c:scaling>
        <c:delete val="1"/>
        <c:axPos val="b"/>
        <c:majorTickMark val="out"/>
        <c:minorTickMark val="none"/>
        <c:tickLblPos val="nextTo"/>
        <c:crossAx val="351335552"/>
        <c:crosses val="autoZero"/>
      </c:ser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F6C1D0-6254-4EF7-8F47-F66A16B28E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8551</Words>
  <Characters>48745</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2025-11-23T20:53:00Z</dcterms:created>
  <dcterms:modified xsi:type="dcterms:W3CDTF">2025-11-23T20:53:00Z</dcterms:modified>
</cp:coreProperties>
</file>