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29229" w14:textId="77777777" w:rsidR="00396F28" w:rsidRDefault="00396F28" w:rsidP="00396F28">
      <w:pPr>
        <w:pBdr>
          <w:top w:val="none" w:sz="0" w:space="0" w:color="auto"/>
          <w:left w:val="none" w:sz="0" w:space="0" w:color="auto"/>
          <w:bottom w:val="none" w:sz="0" w:space="0" w:color="auto"/>
          <w:right w:val="none" w:sz="0" w:space="0" w:color="auto"/>
          <w:between w:val="none" w:sz="0" w:space="0" w:color="auto"/>
          <w:bar w:val="none" w:sz="0" w:color="auto"/>
        </w:pBdr>
        <w:spacing w:after="200"/>
        <w:jc w:val="center"/>
        <w:rPr>
          <w:rFonts w:cs="Arial"/>
          <w:b/>
          <w:sz w:val="28"/>
          <w:szCs w:val="28"/>
          <w:lang w:val="en-GB"/>
        </w:rPr>
      </w:pPr>
      <w:r w:rsidRPr="00802C43">
        <w:rPr>
          <w:rFonts w:cs="Arial"/>
          <w:b/>
          <w:noProof/>
          <w:sz w:val="28"/>
          <w:szCs w:val="28"/>
          <w:lang w:val="en-GB"/>
        </w:rPr>
        <w:drawing>
          <wp:anchor distT="0" distB="0" distL="114300" distR="114300" simplePos="0" relativeHeight="251659264" behindDoc="0" locked="0" layoutInCell="1" allowOverlap="1" wp14:anchorId="07FB8CCA" wp14:editId="5854DB9A">
            <wp:simplePos x="0" y="0"/>
            <wp:positionH relativeFrom="column">
              <wp:posOffset>2266950</wp:posOffset>
            </wp:positionH>
            <wp:positionV relativeFrom="paragraph">
              <wp:posOffset>-400050</wp:posOffset>
            </wp:positionV>
            <wp:extent cx="1809750" cy="723900"/>
            <wp:effectExtent l="19050" t="0" r="0" b="0"/>
            <wp:wrapSquare wrapText="bothSides"/>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E9DF9AC" w14:textId="77777777" w:rsidR="00396F28" w:rsidRDefault="00396F28" w:rsidP="00396F28">
      <w:pPr>
        <w:pBdr>
          <w:top w:val="none" w:sz="0" w:space="0" w:color="auto"/>
          <w:left w:val="none" w:sz="0" w:space="0" w:color="auto"/>
          <w:bottom w:val="none" w:sz="0" w:space="0" w:color="auto"/>
          <w:right w:val="none" w:sz="0" w:space="0" w:color="auto"/>
          <w:between w:val="none" w:sz="0" w:space="0" w:color="auto"/>
          <w:bar w:val="none" w:sz="0" w:color="auto"/>
        </w:pBdr>
        <w:spacing w:after="200"/>
        <w:jc w:val="center"/>
        <w:rPr>
          <w:rFonts w:cs="Arial"/>
          <w:b/>
          <w:sz w:val="28"/>
          <w:szCs w:val="28"/>
          <w:lang w:val="en-GB"/>
        </w:rPr>
      </w:pPr>
      <w:r w:rsidRPr="00380B8E">
        <w:rPr>
          <w:rFonts w:cs="Arial"/>
          <w:b/>
          <w:sz w:val="28"/>
          <w:szCs w:val="28"/>
          <w:lang w:val="en-GB"/>
        </w:rPr>
        <w:t>International Hotel Management</w:t>
      </w:r>
    </w:p>
    <w:p w14:paraId="1D801FF7" w14:textId="77777777" w:rsidR="00396F28" w:rsidRPr="00380B8E" w:rsidRDefault="00396F28" w:rsidP="00396F28">
      <w:pPr>
        <w:pBdr>
          <w:top w:val="none" w:sz="0" w:space="0" w:color="auto"/>
          <w:left w:val="none" w:sz="0" w:space="0" w:color="auto"/>
          <w:bottom w:val="none" w:sz="0" w:space="0" w:color="auto"/>
          <w:right w:val="none" w:sz="0" w:space="0" w:color="auto"/>
          <w:between w:val="none" w:sz="0" w:space="0" w:color="auto"/>
          <w:bar w:val="none" w:sz="0" w:color="auto"/>
        </w:pBdr>
        <w:spacing w:after="200"/>
        <w:jc w:val="center"/>
        <w:rPr>
          <w:rFonts w:cs="Arial"/>
          <w:b/>
          <w:sz w:val="28"/>
          <w:szCs w:val="28"/>
          <w:lang w:val="en-GB"/>
        </w:rPr>
      </w:pPr>
    </w:p>
    <w:p w14:paraId="57571075" w14:textId="77777777" w:rsidR="00396F28" w:rsidRPr="00F9531A" w:rsidRDefault="00396F28" w:rsidP="00396F28">
      <w:pPr>
        <w:pBdr>
          <w:top w:val="single" w:sz="4" w:space="1" w:color="auto"/>
          <w:left w:val="none" w:sz="0" w:space="0" w:color="auto"/>
          <w:bottom w:val="single" w:sz="4" w:space="1" w:color="auto"/>
          <w:right w:val="none" w:sz="0" w:space="0" w:color="auto"/>
          <w:between w:val="none" w:sz="0" w:space="0" w:color="auto"/>
          <w:bar w:val="none" w:sz="0" w:color="auto"/>
        </w:pBdr>
        <w:spacing w:after="200"/>
        <w:jc w:val="center"/>
        <w:rPr>
          <w:rFonts w:cs="Arial"/>
          <w:b/>
          <w:sz w:val="36"/>
          <w:szCs w:val="36"/>
          <w:lang w:val="en-GB"/>
        </w:rPr>
      </w:pPr>
      <w:r>
        <w:rPr>
          <w:rFonts w:cs="Arial"/>
          <w:b/>
          <w:sz w:val="36"/>
          <w:szCs w:val="36"/>
          <w:lang w:val="en-GB"/>
        </w:rPr>
        <w:t>Allergy and intolerance</w:t>
      </w:r>
    </w:p>
    <w:p w14:paraId="421F4E84" w14:textId="77777777" w:rsidR="00396F28" w:rsidRPr="00F9531A" w:rsidRDefault="00396F28" w:rsidP="00396F28">
      <w:pPr>
        <w:pBdr>
          <w:top w:val="none" w:sz="0" w:space="0" w:color="auto"/>
          <w:left w:val="none" w:sz="0" w:space="0" w:color="auto"/>
          <w:bottom w:val="none" w:sz="0" w:space="0" w:color="auto"/>
          <w:right w:val="none" w:sz="0" w:space="0" w:color="auto"/>
          <w:between w:val="none" w:sz="0" w:space="0" w:color="auto"/>
          <w:bar w:val="none" w:sz="0" w:color="auto"/>
        </w:pBdr>
        <w:spacing w:after="200"/>
        <w:rPr>
          <w:rFonts w:cs="Arial"/>
          <w:b/>
          <w:szCs w:val="24"/>
          <w:lang w:val="en-GB"/>
        </w:rPr>
      </w:pPr>
    </w:p>
    <w:p w14:paraId="4613FB04" w14:textId="77777777" w:rsidR="00396F28" w:rsidRPr="00F9531A" w:rsidRDefault="00396F28" w:rsidP="00396F28">
      <w:pPr>
        <w:pBdr>
          <w:top w:val="none" w:sz="0" w:space="0" w:color="auto"/>
          <w:left w:val="none" w:sz="0" w:space="0" w:color="auto"/>
          <w:bottom w:val="none" w:sz="0" w:space="0" w:color="auto"/>
          <w:right w:val="none" w:sz="0" w:space="0" w:color="auto"/>
          <w:between w:val="none" w:sz="0" w:space="0" w:color="auto"/>
          <w:bar w:val="none" w:sz="0" w:color="auto"/>
        </w:pBdr>
        <w:spacing w:after="200"/>
        <w:jc w:val="center"/>
        <w:rPr>
          <w:rFonts w:cs="Arial"/>
          <w:b/>
          <w:szCs w:val="24"/>
          <w:lang w:val="en-GB"/>
        </w:rPr>
      </w:pPr>
    </w:p>
    <w:p w14:paraId="079192DC" w14:textId="77777777" w:rsidR="00396F28" w:rsidRPr="00F9531A" w:rsidRDefault="00396F28" w:rsidP="00396F28">
      <w:pPr>
        <w:pBdr>
          <w:top w:val="none" w:sz="0" w:space="0" w:color="auto"/>
          <w:left w:val="none" w:sz="0" w:space="0" w:color="auto"/>
          <w:bottom w:val="none" w:sz="0" w:space="0" w:color="auto"/>
          <w:right w:val="none" w:sz="0" w:space="0" w:color="auto"/>
          <w:between w:val="none" w:sz="0" w:space="0" w:color="auto"/>
          <w:bar w:val="none" w:sz="0" w:color="auto"/>
        </w:pBdr>
        <w:spacing w:after="200"/>
        <w:rPr>
          <w:rFonts w:cs="Arial"/>
          <w:b/>
          <w:szCs w:val="24"/>
          <w:lang w:val="en-GB"/>
        </w:rPr>
      </w:pPr>
    </w:p>
    <w:p w14:paraId="76BBC38E" w14:textId="2240AF8B" w:rsidR="00396F28" w:rsidRPr="00F9531A" w:rsidRDefault="00396F28" w:rsidP="00396F28">
      <w:pPr>
        <w:pBdr>
          <w:top w:val="none" w:sz="0" w:space="0" w:color="auto"/>
          <w:left w:val="none" w:sz="0" w:space="0" w:color="auto"/>
          <w:bottom w:val="none" w:sz="0" w:space="0" w:color="auto"/>
          <w:right w:val="none" w:sz="0" w:space="0" w:color="auto"/>
          <w:between w:val="none" w:sz="0" w:space="0" w:color="auto"/>
          <w:bar w:val="none" w:sz="0" w:color="auto"/>
        </w:pBdr>
        <w:spacing w:after="200"/>
        <w:jc w:val="center"/>
        <w:rPr>
          <w:rFonts w:cs="Arial"/>
          <w:bCs/>
          <w:szCs w:val="24"/>
          <w:lang w:val="en-GB"/>
        </w:rPr>
      </w:pPr>
      <w:r w:rsidRPr="00F9531A">
        <w:rPr>
          <w:rFonts w:cs="Arial"/>
          <w:bCs/>
          <w:szCs w:val="24"/>
          <w:lang w:val="en-GB"/>
        </w:rPr>
        <w:t>Student’s name:</w:t>
      </w:r>
      <w:r>
        <w:rPr>
          <w:rFonts w:cs="Arial"/>
          <w:bCs/>
          <w:szCs w:val="24"/>
          <w:lang w:val="en-GB"/>
        </w:rPr>
        <w:t xml:space="preserve"> </w:t>
      </w:r>
      <w:proofErr w:type="spellStart"/>
      <w:r>
        <w:rPr>
          <w:rFonts w:cs="Arial"/>
          <w:bCs/>
          <w:szCs w:val="24"/>
          <w:lang w:val="en-GB"/>
        </w:rPr>
        <w:t>Iuliana</w:t>
      </w:r>
      <w:proofErr w:type="spellEnd"/>
      <w:r>
        <w:rPr>
          <w:rFonts w:cs="Arial"/>
          <w:bCs/>
          <w:szCs w:val="24"/>
          <w:lang w:val="en-GB"/>
        </w:rPr>
        <w:t xml:space="preserve"> </w:t>
      </w:r>
      <w:proofErr w:type="spellStart"/>
      <w:r>
        <w:rPr>
          <w:rFonts w:cs="Arial"/>
          <w:bCs/>
          <w:szCs w:val="24"/>
          <w:lang w:val="en-GB"/>
        </w:rPr>
        <w:t>Cezara</w:t>
      </w:r>
      <w:proofErr w:type="spellEnd"/>
      <w:r>
        <w:rPr>
          <w:rFonts w:cs="Arial"/>
          <w:bCs/>
          <w:szCs w:val="24"/>
          <w:lang w:val="en-GB"/>
        </w:rPr>
        <w:t xml:space="preserve"> Asavei</w:t>
      </w:r>
    </w:p>
    <w:p w14:paraId="1C4A2349" w14:textId="3FD0FDB5" w:rsidR="00396F28" w:rsidRPr="00F9531A" w:rsidRDefault="00396F28" w:rsidP="00396F28">
      <w:pPr>
        <w:pBdr>
          <w:top w:val="none" w:sz="0" w:space="0" w:color="auto"/>
          <w:left w:val="none" w:sz="0" w:space="0" w:color="auto"/>
          <w:bottom w:val="none" w:sz="0" w:space="0" w:color="auto"/>
          <w:right w:val="none" w:sz="0" w:space="0" w:color="auto"/>
          <w:between w:val="none" w:sz="0" w:space="0" w:color="auto"/>
          <w:bar w:val="none" w:sz="0" w:color="auto"/>
        </w:pBdr>
        <w:spacing w:after="200"/>
        <w:jc w:val="center"/>
        <w:rPr>
          <w:rFonts w:cs="Arial"/>
          <w:bCs/>
          <w:szCs w:val="24"/>
          <w:lang w:val="en-GB"/>
        </w:rPr>
      </w:pPr>
      <w:r>
        <w:rPr>
          <w:rFonts w:cs="Arial"/>
          <w:bCs/>
          <w:szCs w:val="24"/>
          <w:lang w:val="en-GB"/>
        </w:rPr>
        <w:t>Student ID: 202517</w:t>
      </w:r>
      <w:r>
        <w:rPr>
          <w:rFonts w:cs="Arial"/>
          <w:bCs/>
          <w:szCs w:val="24"/>
          <w:lang w:val="en-GB"/>
        </w:rPr>
        <w:t>5</w:t>
      </w:r>
    </w:p>
    <w:p w14:paraId="6338755E" w14:textId="77777777" w:rsidR="00396F28" w:rsidRPr="00F9531A" w:rsidRDefault="00396F28" w:rsidP="00396F28">
      <w:pPr>
        <w:pBdr>
          <w:top w:val="none" w:sz="0" w:space="0" w:color="auto"/>
          <w:left w:val="none" w:sz="0" w:space="0" w:color="auto"/>
          <w:bottom w:val="none" w:sz="0" w:space="0" w:color="auto"/>
          <w:right w:val="none" w:sz="0" w:space="0" w:color="auto"/>
          <w:between w:val="none" w:sz="0" w:space="0" w:color="auto"/>
          <w:bar w:val="none" w:sz="0" w:color="auto"/>
        </w:pBdr>
        <w:spacing w:after="200"/>
        <w:jc w:val="center"/>
        <w:rPr>
          <w:rFonts w:cs="Arial"/>
          <w:szCs w:val="24"/>
          <w:lang w:val="en-GB"/>
        </w:rPr>
      </w:pPr>
      <w:r>
        <w:rPr>
          <w:rFonts w:cs="Arial"/>
          <w:bCs/>
          <w:szCs w:val="24"/>
          <w:lang w:val="en-GB"/>
        </w:rPr>
        <w:t xml:space="preserve">Lecturer Name: Samantha </w:t>
      </w:r>
      <w:proofErr w:type="spellStart"/>
      <w:r>
        <w:rPr>
          <w:rFonts w:cs="Arial"/>
          <w:bCs/>
          <w:szCs w:val="24"/>
          <w:lang w:val="en-GB"/>
        </w:rPr>
        <w:t>Birdsell</w:t>
      </w:r>
      <w:proofErr w:type="spellEnd"/>
      <w:r w:rsidRPr="00F9531A">
        <w:rPr>
          <w:rFonts w:cs="Arial"/>
          <w:szCs w:val="24"/>
          <w:lang w:val="en-GB"/>
        </w:rPr>
        <w:br w:type="page"/>
      </w:r>
    </w:p>
    <w:p w14:paraId="5756E6B8" w14:textId="01C4ED2C" w:rsidR="00461209" w:rsidRPr="00004AF9" w:rsidRDefault="00461209" w:rsidP="00461209">
      <w:pPr>
        <w:rPr>
          <w:rFonts w:cs="Arial"/>
          <w:color w:val="202124"/>
          <w:szCs w:val="24"/>
          <w:shd w:val="clear" w:color="auto" w:fill="FFFFFF"/>
        </w:rPr>
      </w:pPr>
      <w:r w:rsidRPr="00004AF9">
        <w:rPr>
          <w:rFonts w:cs="Arial"/>
          <w:color w:val="202124"/>
          <w:szCs w:val="24"/>
          <w:shd w:val="clear" w:color="auto" w:fill="FFFFFF"/>
        </w:rPr>
        <w:lastRenderedPageBreak/>
        <w:t xml:space="preserve">Frequently, </w:t>
      </w:r>
      <w:r w:rsidR="00C244A1" w:rsidRPr="00004AF9">
        <w:rPr>
          <w:rFonts w:cs="Arial"/>
          <w:color w:val="202124"/>
          <w:szCs w:val="24"/>
          <w:shd w:val="clear" w:color="auto" w:fill="FFFFFF"/>
        </w:rPr>
        <w:t>many</w:t>
      </w:r>
      <w:r w:rsidRPr="00004AF9">
        <w:rPr>
          <w:rFonts w:cs="Arial"/>
          <w:color w:val="202124"/>
          <w:szCs w:val="24"/>
          <w:shd w:val="clear" w:color="auto" w:fill="FFFFFF"/>
        </w:rPr>
        <w:t xml:space="preserve"> individuals are negatively affected by the food they eat. Vomiting, loose stools, abdominal pain and fever are some of the accurate signs of foodborne illnesses that a person may experience after consuming unclean food. Microorganisms, infections, parasites, and toxins cause most illnesses, hospitalizations, and deaths (</w:t>
      </w:r>
      <w:r w:rsidRPr="00004AF9">
        <w:rPr>
          <w:rFonts w:cs="Arial"/>
          <w:color w:val="222222"/>
          <w:szCs w:val="24"/>
          <w:shd w:val="clear" w:color="auto" w:fill="FFFFFF"/>
        </w:rPr>
        <w:t>Wood, R.C., 2013)</w:t>
      </w:r>
      <w:r w:rsidRPr="00004AF9">
        <w:rPr>
          <w:rFonts w:cs="Arial"/>
          <w:color w:val="202124"/>
          <w:szCs w:val="24"/>
          <w:shd w:val="clear" w:color="auto" w:fill="FFFFFF"/>
        </w:rPr>
        <w:t>.</w:t>
      </w:r>
      <w:r w:rsidRPr="008D426D">
        <w:t xml:space="preserve"> </w:t>
      </w:r>
      <w:r w:rsidRPr="008D426D">
        <w:rPr>
          <w:rFonts w:cs="Arial"/>
          <w:color w:val="202124"/>
          <w:szCs w:val="24"/>
          <w:shd w:val="clear" w:color="auto" w:fill="FFFFFF"/>
        </w:rPr>
        <w:t>According to Natasha's Law</w:t>
      </w:r>
      <w:r>
        <w:rPr>
          <w:rFonts w:cs="Arial"/>
          <w:color w:val="202124"/>
          <w:szCs w:val="24"/>
          <w:shd w:val="clear" w:color="auto" w:fill="FFFFFF"/>
        </w:rPr>
        <w:t xml:space="preserve"> (</w:t>
      </w:r>
      <w:hyperlink r:id="rId7" w:history="1">
        <w:r w:rsidRPr="008D426D">
          <w:rPr>
            <w:rStyle w:val="Hyperlink"/>
            <w:rFonts w:cs="Arial"/>
            <w:szCs w:val="24"/>
            <w:shd w:val="clear" w:color="auto" w:fill="FFFFFF"/>
          </w:rPr>
          <w:t>https://www.narf.org.uk/</w:t>
        </w:r>
      </w:hyperlink>
      <w:r>
        <w:rPr>
          <w:rFonts w:cs="Arial"/>
          <w:color w:val="202124"/>
          <w:szCs w:val="24"/>
          <w:shd w:val="clear" w:color="auto" w:fill="FFFFFF"/>
        </w:rPr>
        <w:t>)</w:t>
      </w:r>
      <w:r w:rsidRPr="008D426D">
        <w:rPr>
          <w:rFonts w:cs="Arial"/>
          <w:color w:val="202124"/>
          <w:szCs w:val="24"/>
          <w:shd w:val="clear" w:color="auto" w:fill="FFFFFF"/>
        </w:rPr>
        <w:t xml:space="preserve">, all ingredients must be listed on each packaging of products considered pre-packaged for direct purchase (PPDS). Products created at the request of a consumer do not </w:t>
      </w:r>
      <w:r w:rsidR="00E357F6" w:rsidRPr="008D426D">
        <w:rPr>
          <w:rFonts w:cs="Arial"/>
          <w:color w:val="202124"/>
          <w:szCs w:val="24"/>
          <w:shd w:val="clear" w:color="auto" w:fill="FFFFFF"/>
        </w:rPr>
        <w:t>require</w:t>
      </w:r>
      <w:r w:rsidRPr="008D426D">
        <w:rPr>
          <w:rFonts w:cs="Arial"/>
          <w:color w:val="202124"/>
          <w:szCs w:val="24"/>
          <w:shd w:val="clear" w:color="auto" w:fill="FFFFFF"/>
        </w:rPr>
        <w:t xml:space="preserve"> to bear an allergens label, but this knowledge must be provided to consumers if they request it. If you distribute PPDS food, you must guarantee that the new regulations have been followed. While COVID-19 has had a significant impact on business trading and supply chain disruptions, you should have had more than enough time with the 2 different transition </w:t>
      </w:r>
      <w:r w:rsidR="00C244A1" w:rsidRPr="008D426D">
        <w:rPr>
          <w:rFonts w:cs="Arial"/>
          <w:color w:val="202124"/>
          <w:szCs w:val="24"/>
          <w:shd w:val="clear" w:color="auto" w:fill="FFFFFF"/>
        </w:rPr>
        <w:t>phases</w:t>
      </w:r>
      <w:r w:rsidRPr="008D426D">
        <w:rPr>
          <w:rFonts w:cs="Arial"/>
          <w:color w:val="202124"/>
          <w:szCs w:val="24"/>
          <w:shd w:val="clear" w:color="auto" w:fill="FFFFFF"/>
        </w:rPr>
        <w:t xml:space="preserve"> to make those changes.</w:t>
      </w:r>
      <w:r w:rsidRPr="00004AF9">
        <w:rPr>
          <w:rFonts w:cs="Arial"/>
          <w:color w:val="202124"/>
          <w:szCs w:val="24"/>
          <w:shd w:val="clear" w:color="auto" w:fill="FFFFFF"/>
        </w:rPr>
        <w:t xml:space="preserve">  Food sensitization is a safe framework reaction when interacting with specific foods. Substances that cause hypersensitivity reactions are called allergens. Foods that contain allergens are not harmful to most individuals; however, they may have a quick response to certain individuals. Over the past twenty years, the dramatic increase in cases of food sensitivities, especially in children, has underscored the growing consumer concern about food allergens. Food sensitivities are now viewed as a food handling problem. Food allergen management is a shared obligation between purchasers, regulatory authorities, and food manufacturers. In this regard, many public and global guidelines tend to emphasize the importance of allergens for leaders and highlight the essential needs that food manufacturers must response. On a global basis, the Codex Alimentarius Commission has compiled a list of common foods that can cause allergies. Each country may have its own rules when it comes to naming allergens (</w:t>
      </w:r>
      <w:r w:rsidRPr="00004AF9">
        <w:rPr>
          <w:rFonts w:cs="Arial"/>
          <w:color w:val="222222"/>
          <w:szCs w:val="24"/>
          <w:shd w:val="clear" w:color="auto" w:fill="FFFFFF"/>
        </w:rPr>
        <w:t>Wood, R.C., 2013)</w:t>
      </w:r>
      <w:r w:rsidRPr="00004AF9">
        <w:rPr>
          <w:rFonts w:cs="Arial"/>
          <w:color w:val="202124"/>
          <w:szCs w:val="24"/>
          <w:shd w:val="clear" w:color="auto" w:fill="FFFFFF"/>
        </w:rPr>
        <w:t xml:space="preserve">. For example, the EU regulation registers fourteen food allergens that must be declared when used in </w:t>
      </w:r>
      <w:proofErr w:type="spellStart"/>
      <w:r w:rsidR="00C244A1" w:rsidRPr="00004AF9">
        <w:rPr>
          <w:rFonts w:cs="Arial"/>
          <w:color w:val="202124"/>
          <w:szCs w:val="24"/>
          <w:shd w:val="clear" w:color="auto" w:fill="FFFFFF"/>
        </w:rPr>
        <w:t>subgrouped</w:t>
      </w:r>
      <w:proofErr w:type="spellEnd"/>
      <w:r w:rsidRPr="00004AF9">
        <w:rPr>
          <w:rFonts w:cs="Arial"/>
          <w:color w:val="202124"/>
          <w:szCs w:val="24"/>
          <w:shd w:val="clear" w:color="auto" w:fill="FFFFFF"/>
        </w:rPr>
        <w:t xml:space="preserve"> food sources. The list includes grains containing gluten, crustaceans, shellfish, eggs, fish, peanuts, tree nuts, soybeans, milk, celery, mustard, sesame seeds, </w:t>
      </w:r>
      <w:r w:rsidR="00D002AA" w:rsidRPr="00004AF9">
        <w:rPr>
          <w:rFonts w:cs="Arial"/>
          <w:color w:val="202124"/>
          <w:szCs w:val="24"/>
          <w:shd w:val="clear" w:color="auto" w:fill="FFFFFF"/>
        </w:rPr>
        <w:t>lupines,</w:t>
      </w:r>
      <w:r w:rsidRPr="00004AF9">
        <w:rPr>
          <w:rFonts w:cs="Arial"/>
          <w:color w:val="202124"/>
          <w:szCs w:val="24"/>
          <w:shd w:val="clear" w:color="auto" w:fill="FFFFFF"/>
        </w:rPr>
        <w:t xml:space="preserve"> and </w:t>
      </w:r>
      <w:proofErr w:type="spellStart"/>
      <w:r w:rsidRPr="00004AF9">
        <w:rPr>
          <w:rFonts w:cs="Arial"/>
          <w:color w:val="202124"/>
          <w:szCs w:val="24"/>
          <w:shd w:val="clear" w:color="auto" w:fill="FFFFFF"/>
        </w:rPr>
        <w:t>sulphites</w:t>
      </w:r>
      <w:proofErr w:type="spellEnd"/>
      <w:r w:rsidRPr="00004AF9">
        <w:rPr>
          <w:rFonts w:cs="Arial"/>
          <w:color w:val="202124"/>
          <w:szCs w:val="24"/>
          <w:shd w:val="clear" w:color="auto" w:fill="FFFFFF"/>
        </w:rPr>
        <w:t xml:space="preserve">. When you show up, after calling first, contact your server or the chef. Be clear about your food sensitivities or </w:t>
      </w:r>
      <w:r w:rsidR="00C244A1" w:rsidRPr="00004AF9">
        <w:rPr>
          <w:rFonts w:cs="Arial"/>
          <w:color w:val="202124"/>
          <w:szCs w:val="24"/>
          <w:shd w:val="clear" w:color="auto" w:fill="FFFFFF"/>
        </w:rPr>
        <w:t>biases and</w:t>
      </w:r>
      <w:r w:rsidRPr="00004AF9">
        <w:rPr>
          <w:rFonts w:cs="Arial"/>
          <w:color w:val="202124"/>
          <w:szCs w:val="24"/>
          <w:shd w:val="clear" w:color="auto" w:fill="FFFFFF"/>
        </w:rPr>
        <w:t xml:space="preserve"> share your previous discussions with staff when booking a restaurant. </w:t>
      </w:r>
    </w:p>
    <w:p w14:paraId="3BDDF969" w14:textId="77777777" w:rsidR="00461209" w:rsidRPr="00004AF9" w:rsidRDefault="00461209" w:rsidP="00461209">
      <w:pPr>
        <w:rPr>
          <w:rFonts w:cs="Arial"/>
          <w:color w:val="202124"/>
          <w:szCs w:val="24"/>
          <w:shd w:val="clear" w:color="auto" w:fill="FFFFFF"/>
        </w:rPr>
      </w:pPr>
      <w:r w:rsidRPr="00004AF9">
        <w:rPr>
          <w:rFonts w:cs="Arial"/>
          <w:color w:val="202124"/>
          <w:szCs w:val="24"/>
          <w:shd w:val="clear" w:color="auto" w:fill="FFFFFF"/>
        </w:rPr>
        <w:t xml:space="preserve"> Check if dinner decisions are right for you or they can make changes based on your dietary needs. </w:t>
      </w:r>
    </w:p>
    <w:p w14:paraId="4DB5FF72" w14:textId="0A9B8ECF" w:rsidR="00461209" w:rsidRPr="00004AF9" w:rsidRDefault="00461209" w:rsidP="00461209">
      <w:pPr>
        <w:rPr>
          <w:rFonts w:cs="Arial"/>
          <w:color w:val="202124"/>
          <w:szCs w:val="24"/>
          <w:shd w:val="clear" w:color="auto" w:fill="FFFFFF"/>
        </w:rPr>
      </w:pPr>
      <w:r w:rsidRPr="00004AF9">
        <w:rPr>
          <w:rFonts w:cs="Arial"/>
          <w:color w:val="202124"/>
          <w:szCs w:val="24"/>
          <w:shd w:val="clear" w:color="auto" w:fill="FFFFFF"/>
        </w:rPr>
        <w:lastRenderedPageBreak/>
        <w:t xml:space="preserve"> Help them to be mindful </w:t>
      </w:r>
      <w:r w:rsidR="00C244A1" w:rsidRPr="00004AF9">
        <w:rPr>
          <w:rFonts w:cs="Arial"/>
          <w:color w:val="202124"/>
          <w:szCs w:val="24"/>
          <w:shd w:val="clear" w:color="auto" w:fill="FFFFFF"/>
        </w:rPr>
        <w:t>to</w:t>
      </w:r>
      <w:r w:rsidRPr="00004AF9">
        <w:rPr>
          <w:rFonts w:cs="Arial"/>
          <w:color w:val="202124"/>
          <w:szCs w:val="24"/>
          <w:shd w:val="clear" w:color="auto" w:fill="FFFFFF"/>
        </w:rPr>
        <w:t xml:space="preserve"> remember cross tainting or added allergens from coats, trims, sauces, cooking oils, and to deal with your feast with care. </w:t>
      </w:r>
    </w:p>
    <w:p w14:paraId="5A158B22" w14:textId="1587B211" w:rsidR="00461209" w:rsidRPr="00004AF9" w:rsidRDefault="00461209" w:rsidP="00461209">
      <w:pPr>
        <w:rPr>
          <w:rFonts w:cs="Arial"/>
          <w:color w:val="202124"/>
          <w:szCs w:val="24"/>
          <w:shd w:val="clear" w:color="auto" w:fill="FFFFFF"/>
        </w:rPr>
      </w:pPr>
      <w:r w:rsidRPr="00004AF9">
        <w:rPr>
          <w:rFonts w:cs="Arial"/>
          <w:color w:val="202124"/>
          <w:szCs w:val="24"/>
          <w:shd w:val="clear" w:color="auto" w:fill="FFFFFF"/>
        </w:rPr>
        <w:t xml:space="preserve"> </w:t>
      </w:r>
      <w:r w:rsidR="00C244A1" w:rsidRPr="00004AF9">
        <w:rPr>
          <w:rFonts w:cs="Arial"/>
          <w:color w:val="202124"/>
          <w:szCs w:val="24"/>
          <w:shd w:val="clear" w:color="auto" w:fill="FFFFFF"/>
        </w:rPr>
        <w:t>If</w:t>
      </w:r>
      <w:r w:rsidRPr="00004AF9">
        <w:rPr>
          <w:rFonts w:cs="Arial"/>
          <w:color w:val="202124"/>
          <w:szCs w:val="24"/>
          <w:shd w:val="clear" w:color="auto" w:fill="FFFFFF"/>
        </w:rPr>
        <w:t xml:space="preserve"> you have any uncertainty about the staff understanding the significance of your dietary necessities, don`t eat there. </w:t>
      </w:r>
    </w:p>
    <w:p w14:paraId="07878593" w14:textId="77777777" w:rsidR="00461209" w:rsidRPr="00004AF9" w:rsidRDefault="00461209" w:rsidP="00461209">
      <w:pPr>
        <w:rPr>
          <w:rFonts w:cs="Arial"/>
          <w:color w:val="202124"/>
          <w:szCs w:val="24"/>
          <w:shd w:val="clear" w:color="auto" w:fill="FFFFFF"/>
        </w:rPr>
      </w:pPr>
      <w:r w:rsidRPr="00004AF9">
        <w:rPr>
          <w:rFonts w:cs="Arial"/>
          <w:color w:val="202124"/>
          <w:szCs w:val="24"/>
          <w:shd w:val="clear" w:color="auto" w:fill="FFFFFF"/>
        </w:rPr>
        <w:t xml:space="preserve"> As indicated by Food sensitivity and narrow mindedness research program, </w:t>
      </w:r>
      <w:hyperlink r:id="rId8" w:history="1">
        <w:r w:rsidRPr="00004AF9">
          <w:rPr>
            <w:rStyle w:val="Hyperlink"/>
            <w:rFonts w:cs="Arial"/>
            <w:szCs w:val="24"/>
            <w:shd w:val="clear" w:color="auto" w:fill="FFFFFF"/>
          </w:rPr>
          <w:t>(https://www.food.gov.uk/)</w:t>
        </w:r>
      </w:hyperlink>
      <w:r w:rsidRPr="00004AF9">
        <w:rPr>
          <w:rFonts w:cs="Arial"/>
          <w:color w:val="202124"/>
          <w:szCs w:val="24"/>
          <w:shd w:val="clear" w:color="auto" w:fill="FFFFFF"/>
        </w:rPr>
        <w:t xml:space="preserve"> the program is as of now subsidizing research under various key topics of work, laid out underneath: </w:t>
      </w:r>
    </w:p>
    <w:p w14:paraId="751C134B" w14:textId="3E6DE68E" w:rsidR="00461209" w:rsidRPr="00004AF9" w:rsidRDefault="00461209" w:rsidP="00461209">
      <w:pPr>
        <w:rPr>
          <w:rFonts w:cs="Arial"/>
          <w:color w:val="202124"/>
          <w:szCs w:val="24"/>
          <w:shd w:val="clear" w:color="auto" w:fill="FFFFFF"/>
        </w:rPr>
      </w:pPr>
      <w:r w:rsidRPr="00004AF9">
        <w:rPr>
          <w:rFonts w:cs="Arial"/>
          <w:color w:val="202124"/>
          <w:szCs w:val="24"/>
          <w:shd w:val="clear" w:color="auto" w:fill="FFFFFF"/>
        </w:rPr>
        <w:t xml:space="preserve"> • Improvement of the </w:t>
      </w:r>
      <w:r w:rsidR="00C244A1" w:rsidRPr="00004AF9">
        <w:rPr>
          <w:rFonts w:cs="Arial"/>
          <w:color w:val="202124"/>
          <w:szCs w:val="24"/>
          <w:shd w:val="clear" w:color="auto" w:fill="FFFFFF"/>
        </w:rPr>
        <w:t>executive’s</w:t>
      </w:r>
      <w:r w:rsidRPr="00004AF9">
        <w:rPr>
          <w:rFonts w:cs="Arial"/>
          <w:color w:val="202124"/>
          <w:szCs w:val="24"/>
          <w:shd w:val="clear" w:color="auto" w:fill="FFFFFF"/>
        </w:rPr>
        <w:t xml:space="preserve"> limits for allergenic food sources </w:t>
      </w:r>
    </w:p>
    <w:p w14:paraId="511D1B9B" w14:textId="77777777" w:rsidR="00461209" w:rsidRPr="00004AF9" w:rsidRDefault="00461209" w:rsidP="00461209">
      <w:pPr>
        <w:rPr>
          <w:rFonts w:cs="Arial"/>
          <w:color w:val="202124"/>
          <w:szCs w:val="24"/>
          <w:shd w:val="clear" w:color="auto" w:fill="FFFFFF"/>
        </w:rPr>
      </w:pPr>
      <w:r w:rsidRPr="00004AF9">
        <w:rPr>
          <w:rFonts w:cs="Arial"/>
          <w:color w:val="202124"/>
          <w:szCs w:val="24"/>
          <w:shd w:val="clear" w:color="auto" w:fill="FFFFFF"/>
        </w:rPr>
        <w:t xml:space="preserve"> • Course and timing of openness to food allergens in early life </w:t>
      </w:r>
    </w:p>
    <w:p w14:paraId="64B8F0C8" w14:textId="77777777" w:rsidR="00461209" w:rsidRPr="00004AF9" w:rsidRDefault="00461209" w:rsidP="00461209">
      <w:pPr>
        <w:rPr>
          <w:rFonts w:cs="Arial"/>
          <w:color w:val="202124"/>
          <w:szCs w:val="24"/>
          <w:shd w:val="clear" w:color="auto" w:fill="FFFFFF"/>
        </w:rPr>
      </w:pPr>
      <w:r w:rsidRPr="00004AF9">
        <w:rPr>
          <w:rFonts w:cs="Arial"/>
          <w:color w:val="202124"/>
          <w:szCs w:val="24"/>
          <w:shd w:val="clear" w:color="auto" w:fill="FFFFFF"/>
        </w:rPr>
        <w:t xml:space="preserve"> • Immunological parts of food sensitivity </w:t>
      </w:r>
    </w:p>
    <w:p w14:paraId="25FA22F1" w14:textId="77777777" w:rsidR="00461209" w:rsidRPr="00004AF9" w:rsidRDefault="00461209" w:rsidP="00461209">
      <w:pPr>
        <w:rPr>
          <w:rFonts w:cs="Arial"/>
          <w:color w:val="202124"/>
          <w:szCs w:val="24"/>
          <w:shd w:val="clear" w:color="auto" w:fill="FFFFFF"/>
        </w:rPr>
      </w:pPr>
      <w:r w:rsidRPr="00004AF9">
        <w:rPr>
          <w:rFonts w:cs="Arial"/>
          <w:color w:val="202124"/>
          <w:szCs w:val="24"/>
          <w:shd w:val="clear" w:color="auto" w:fill="FFFFFF"/>
        </w:rPr>
        <w:t xml:space="preserve"> • Predominance and qualities of food sensitivity and prejudice </w:t>
      </w:r>
    </w:p>
    <w:p w14:paraId="081B3BD0" w14:textId="77777777" w:rsidR="00461209" w:rsidRPr="00004AF9" w:rsidRDefault="00461209" w:rsidP="00461209">
      <w:pPr>
        <w:rPr>
          <w:rFonts w:cs="Arial"/>
          <w:color w:val="202124"/>
          <w:szCs w:val="24"/>
          <w:shd w:val="clear" w:color="auto" w:fill="FFFFFF"/>
        </w:rPr>
      </w:pPr>
      <w:r w:rsidRPr="00004AF9">
        <w:rPr>
          <w:rFonts w:cs="Arial"/>
          <w:color w:val="202124"/>
          <w:szCs w:val="24"/>
          <w:shd w:val="clear" w:color="auto" w:fill="FFFFFF"/>
        </w:rPr>
        <w:t xml:space="preserve"> • Food allergen naming and buyer decision research </w:t>
      </w:r>
    </w:p>
    <w:p w14:paraId="17D26040" w14:textId="77777777" w:rsidR="00461209" w:rsidRPr="00004AF9" w:rsidRDefault="00461209" w:rsidP="00461209">
      <w:pPr>
        <w:rPr>
          <w:rFonts w:cs="Arial"/>
          <w:color w:val="202124"/>
          <w:szCs w:val="24"/>
          <w:shd w:val="clear" w:color="auto" w:fill="FFFFFF"/>
        </w:rPr>
      </w:pPr>
      <w:r w:rsidRPr="00004AF9">
        <w:rPr>
          <w:rFonts w:cs="Arial"/>
          <w:color w:val="202124"/>
          <w:szCs w:val="24"/>
          <w:shd w:val="clear" w:color="auto" w:fill="FFFFFF"/>
        </w:rPr>
        <w:t xml:space="preserve"> • Assessment of FSA sensitivity direction </w:t>
      </w:r>
    </w:p>
    <w:p w14:paraId="7CC327E0" w14:textId="46D46D8A" w:rsidR="00461209" w:rsidRPr="00004AF9" w:rsidRDefault="00461209" w:rsidP="00461209">
      <w:pPr>
        <w:rPr>
          <w:rFonts w:cs="Arial"/>
          <w:color w:val="202124"/>
          <w:szCs w:val="24"/>
          <w:shd w:val="clear" w:color="auto" w:fill="FFFFFF"/>
        </w:rPr>
      </w:pPr>
      <w:r w:rsidRPr="00004AF9">
        <w:rPr>
          <w:rFonts w:cs="Arial"/>
          <w:color w:val="202124"/>
          <w:szCs w:val="24"/>
          <w:shd w:val="clear" w:color="auto" w:fill="FFFFFF"/>
        </w:rPr>
        <w:t xml:space="preserve"> Significant points incorporate working with the advancement of allergen the executive’s edges for use by industry and controllers and distinguishing hazard factors related with the improvement of food sensitivity so that fitting data can be accommodated shoppers. What's more the program additionally centers on understanding customer perspectives to food sensitivity and bigotry and its marking (</w:t>
      </w:r>
      <w:r w:rsidRPr="00004AF9">
        <w:rPr>
          <w:rFonts w:cs="Arial"/>
          <w:color w:val="222222"/>
          <w:szCs w:val="24"/>
          <w:shd w:val="clear" w:color="auto" w:fill="FFFFFF"/>
        </w:rPr>
        <w:t>Fraser, B., 2020.)</w:t>
      </w:r>
      <w:r w:rsidRPr="00004AF9">
        <w:rPr>
          <w:rFonts w:cs="Arial"/>
          <w:color w:val="202124"/>
          <w:szCs w:val="24"/>
          <w:shd w:val="clear" w:color="auto" w:fill="FFFFFF"/>
        </w:rPr>
        <w:t>.  Food administration organizations, for example, cafés should know about how to deal with individuals with food sensitivities (</w:t>
      </w:r>
      <w:r w:rsidRPr="00004AF9">
        <w:rPr>
          <w:rFonts w:cs="Arial"/>
          <w:color w:val="222222"/>
          <w:szCs w:val="24"/>
          <w:shd w:val="clear" w:color="auto" w:fill="FFFFFF"/>
        </w:rPr>
        <w:t>Wood, R., 2015)</w:t>
      </w:r>
      <w:r w:rsidRPr="00004AF9">
        <w:rPr>
          <w:rFonts w:cs="Arial"/>
          <w:color w:val="202124"/>
          <w:szCs w:val="24"/>
          <w:shd w:val="clear" w:color="auto" w:fill="FFFFFF"/>
        </w:rPr>
        <w:t xml:space="preserve">.  Food and place the food in a clearly distinguishable place and deliver it straight to the customer in a responsive manner. An extensive preparation program limits sensitive periods and protects your visitors. In ideal circumstances, it permits you to make a </w:t>
      </w:r>
      <w:r w:rsidR="00C244A1" w:rsidRPr="00004AF9">
        <w:rPr>
          <w:rFonts w:cs="Arial"/>
          <w:color w:val="202124"/>
          <w:szCs w:val="24"/>
          <w:shd w:val="clear" w:color="auto" w:fill="FFFFFF"/>
        </w:rPr>
        <w:t>tailor-made</w:t>
      </w:r>
      <w:r w:rsidRPr="00004AF9">
        <w:rPr>
          <w:rFonts w:cs="Arial"/>
          <w:color w:val="202124"/>
          <w:szCs w:val="24"/>
          <w:shd w:val="clear" w:color="auto" w:fill="FFFFFF"/>
        </w:rPr>
        <w:t xml:space="preserve"> feast that dispenses with any likelihood that a client will experience an unfavorably susceptible response at your café.</w:t>
      </w:r>
    </w:p>
    <w:p w14:paraId="65DDB828" w14:textId="77777777" w:rsidR="00461209" w:rsidRPr="00004AF9" w:rsidRDefault="00461209" w:rsidP="00461209">
      <w:pPr>
        <w:pStyle w:val="ListParagraph"/>
        <w:numPr>
          <w:ilvl w:val="0"/>
          <w:numId w:val="1"/>
        </w:numPr>
        <w:spacing w:line="360" w:lineRule="auto"/>
        <w:jc w:val="both"/>
        <w:rPr>
          <w:rFonts w:ascii="Arial" w:hAnsi="Arial" w:cs="Arial"/>
          <w:color w:val="202124"/>
          <w:sz w:val="24"/>
          <w:szCs w:val="24"/>
          <w:shd w:val="clear" w:color="auto" w:fill="FFFFFF"/>
        </w:rPr>
      </w:pPr>
      <w:r w:rsidRPr="00004AF9">
        <w:rPr>
          <w:rFonts w:ascii="Arial" w:hAnsi="Arial" w:cs="Arial"/>
          <w:color w:val="202124"/>
          <w:sz w:val="24"/>
          <w:szCs w:val="24"/>
          <w:shd w:val="clear" w:color="auto" w:fill="FFFFFF"/>
        </w:rPr>
        <w:t xml:space="preserve">Dealing with the production network </w:t>
      </w:r>
    </w:p>
    <w:p w14:paraId="05EEB312" w14:textId="77777777" w:rsidR="00461209" w:rsidRPr="00004AF9" w:rsidRDefault="00461209" w:rsidP="00461209">
      <w:pPr>
        <w:pStyle w:val="ListParagraph"/>
        <w:numPr>
          <w:ilvl w:val="0"/>
          <w:numId w:val="1"/>
        </w:numPr>
        <w:spacing w:line="360" w:lineRule="auto"/>
        <w:jc w:val="both"/>
        <w:rPr>
          <w:rFonts w:ascii="Arial" w:hAnsi="Arial" w:cs="Arial"/>
          <w:color w:val="202124"/>
          <w:sz w:val="24"/>
          <w:szCs w:val="24"/>
          <w:shd w:val="clear" w:color="auto" w:fill="FFFFFF"/>
        </w:rPr>
      </w:pPr>
      <w:r w:rsidRPr="00004AF9">
        <w:rPr>
          <w:rFonts w:ascii="Arial" w:hAnsi="Arial" w:cs="Arial"/>
          <w:color w:val="202124"/>
          <w:sz w:val="24"/>
          <w:szCs w:val="24"/>
          <w:shd w:val="clear" w:color="auto" w:fill="FFFFFF"/>
        </w:rPr>
        <w:t xml:space="preserve">Knowing normal food allergens </w:t>
      </w:r>
    </w:p>
    <w:p w14:paraId="31587987" w14:textId="77777777" w:rsidR="00461209" w:rsidRPr="00004AF9" w:rsidRDefault="00461209" w:rsidP="00461209">
      <w:pPr>
        <w:pStyle w:val="ListParagraph"/>
        <w:numPr>
          <w:ilvl w:val="0"/>
          <w:numId w:val="1"/>
        </w:numPr>
        <w:spacing w:line="360" w:lineRule="auto"/>
        <w:jc w:val="both"/>
        <w:rPr>
          <w:rFonts w:ascii="Arial" w:hAnsi="Arial" w:cs="Arial"/>
          <w:color w:val="202124"/>
          <w:sz w:val="24"/>
          <w:szCs w:val="24"/>
          <w:shd w:val="clear" w:color="auto" w:fill="FFFFFF"/>
        </w:rPr>
      </w:pPr>
      <w:r w:rsidRPr="00004AF9">
        <w:rPr>
          <w:rFonts w:ascii="Arial" w:hAnsi="Arial" w:cs="Arial"/>
          <w:color w:val="202124"/>
          <w:sz w:val="24"/>
          <w:szCs w:val="24"/>
          <w:shd w:val="clear" w:color="auto" w:fill="FFFFFF"/>
        </w:rPr>
        <w:t xml:space="preserve">Correspondence best practices </w:t>
      </w:r>
    </w:p>
    <w:p w14:paraId="2A3B0E87" w14:textId="77777777" w:rsidR="00461209" w:rsidRPr="00004AF9" w:rsidRDefault="00461209" w:rsidP="00461209">
      <w:pPr>
        <w:pStyle w:val="ListParagraph"/>
        <w:numPr>
          <w:ilvl w:val="0"/>
          <w:numId w:val="1"/>
        </w:numPr>
        <w:spacing w:line="360" w:lineRule="auto"/>
        <w:jc w:val="both"/>
        <w:rPr>
          <w:rFonts w:ascii="Arial" w:hAnsi="Arial" w:cs="Arial"/>
          <w:color w:val="202124"/>
          <w:sz w:val="24"/>
          <w:szCs w:val="24"/>
          <w:shd w:val="clear" w:color="auto" w:fill="FFFFFF"/>
        </w:rPr>
      </w:pPr>
      <w:r w:rsidRPr="00004AF9">
        <w:rPr>
          <w:rFonts w:ascii="Arial" w:hAnsi="Arial" w:cs="Arial"/>
          <w:color w:val="202124"/>
          <w:sz w:val="24"/>
          <w:szCs w:val="24"/>
          <w:shd w:val="clear" w:color="auto" w:fill="FFFFFF"/>
        </w:rPr>
        <w:t xml:space="preserve">Forestalling cross contact in the kitchen </w:t>
      </w:r>
    </w:p>
    <w:p w14:paraId="36A92CC2" w14:textId="77777777" w:rsidR="00461209" w:rsidRPr="00004AF9" w:rsidRDefault="00461209" w:rsidP="00461209">
      <w:pPr>
        <w:pStyle w:val="ListParagraph"/>
        <w:numPr>
          <w:ilvl w:val="0"/>
          <w:numId w:val="1"/>
        </w:numPr>
        <w:spacing w:line="360" w:lineRule="auto"/>
        <w:jc w:val="both"/>
        <w:rPr>
          <w:rFonts w:ascii="Arial" w:hAnsi="Arial" w:cs="Arial"/>
          <w:color w:val="202124"/>
          <w:sz w:val="24"/>
          <w:szCs w:val="24"/>
          <w:shd w:val="clear" w:color="auto" w:fill="FFFFFF"/>
        </w:rPr>
      </w:pPr>
      <w:r w:rsidRPr="00004AF9">
        <w:rPr>
          <w:rFonts w:ascii="Arial" w:hAnsi="Arial" w:cs="Arial"/>
          <w:color w:val="202124"/>
          <w:sz w:val="24"/>
          <w:szCs w:val="24"/>
          <w:shd w:val="clear" w:color="auto" w:fill="FFFFFF"/>
        </w:rPr>
        <w:t xml:space="preserve">Perceiving and reacting to food sensitivity crises </w:t>
      </w:r>
    </w:p>
    <w:p w14:paraId="1326CE8B" w14:textId="34A42285" w:rsidR="00461209" w:rsidRPr="00004AF9" w:rsidRDefault="00461209" w:rsidP="00461209">
      <w:pPr>
        <w:rPr>
          <w:rFonts w:cs="Arial"/>
          <w:color w:val="202124"/>
          <w:szCs w:val="24"/>
          <w:shd w:val="clear" w:color="auto" w:fill="FFFFFF"/>
        </w:rPr>
      </w:pPr>
      <w:r w:rsidRPr="00004AF9">
        <w:rPr>
          <w:rFonts w:cs="Arial"/>
          <w:color w:val="202124"/>
          <w:szCs w:val="24"/>
          <w:shd w:val="clear" w:color="auto" w:fill="FFFFFF"/>
        </w:rPr>
        <w:lastRenderedPageBreak/>
        <w:t xml:space="preserve"> Food sensitivity is a significant general medical condition that influences kids and grownups and might be expanding in pervasiveness</w:t>
      </w:r>
      <w:r w:rsidRPr="00004AF9">
        <w:rPr>
          <w:rFonts w:cs="Arial"/>
          <w:szCs w:val="24"/>
        </w:rPr>
        <w:t xml:space="preserve"> (</w:t>
      </w:r>
      <w:r w:rsidRPr="00004AF9">
        <w:rPr>
          <w:rFonts w:cs="Arial"/>
          <w:color w:val="202124"/>
          <w:szCs w:val="24"/>
          <w:shd w:val="clear" w:color="auto" w:fill="FFFFFF"/>
        </w:rPr>
        <w:t xml:space="preserve">Cousins, J., </w:t>
      </w:r>
      <w:proofErr w:type="spellStart"/>
      <w:r w:rsidRPr="00004AF9">
        <w:rPr>
          <w:rFonts w:cs="Arial"/>
          <w:color w:val="202124"/>
          <w:szCs w:val="24"/>
          <w:shd w:val="clear" w:color="auto" w:fill="FFFFFF"/>
        </w:rPr>
        <w:t>Foskett</w:t>
      </w:r>
      <w:proofErr w:type="spellEnd"/>
      <w:r w:rsidRPr="00004AF9">
        <w:rPr>
          <w:rFonts w:cs="Arial"/>
          <w:color w:val="202124"/>
          <w:szCs w:val="24"/>
          <w:shd w:val="clear" w:color="auto" w:fill="FFFFFF"/>
        </w:rPr>
        <w:t xml:space="preserve">, D., Graham, D. and Hollier, A., 2019). </w:t>
      </w:r>
      <w:r w:rsidR="00C244A1" w:rsidRPr="00004AF9">
        <w:rPr>
          <w:rFonts w:cs="Arial"/>
          <w:color w:val="202124"/>
          <w:szCs w:val="24"/>
          <w:shd w:val="clear" w:color="auto" w:fill="FFFFFF"/>
        </w:rPr>
        <w:t>Despite</w:t>
      </w:r>
      <w:r w:rsidRPr="00004AF9">
        <w:rPr>
          <w:rFonts w:cs="Arial"/>
          <w:color w:val="202124"/>
          <w:szCs w:val="24"/>
          <w:shd w:val="clear" w:color="auto" w:fill="FFFFFF"/>
        </w:rPr>
        <w:t xml:space="preserve"> the danger of serious unfavorably susceptible responses and even demise, there is no flow treatment for food sensitivity: the infection must be overseen by allergen evasion or treatment of indications. The finding and the executives of food sensitivity additionally may differ starting with one clinical work on setting then onto the next.</w:t>
      </w:r>
    </w:p>
    <w:p w14:paraId="52CE6996" w14:textId="77777777" w:rsidR="00461209" w:rsidRPr="00004AF9" w:rsidRDefault="00461209" w:rsidP="00461209">
      <w:pPr>
        <w:pStyle w:val="Heading1"/>
        <w:jc w:val="both"/>
        <w:rPr>
          <w:rFonts w:cs="Arial"/>
          <w:sz w:val="24"/>
          <w:szCs w:val="24"/>
          <w:shd w:val="clear" w:color="auto" w:fill="FFFFFF"/>
        </w:rPr>
      </w:pPr>
      <w:r w:rsidRPr="00004AF9">
        <w:rPr>
          <w:rFonts w:cs="Arial"/>
          <w:sz w:val="24"/>
          <w:szCs w:val="24"/>
          <w:shd w:val="clear" w:color="auto" w:fill="FFFFFF"/>
        </w:rPr>
        <w:t>References:</w:t>
      </w:r>
    </w:p>
    <w:p w14:paraId="53B57715" w14:textId="1AAE20F3" w:rsidR="00461209" w:rsidRPr="00004AF9" w:rsidRDefault="00461209" w:rsidP="00461209">
      <w:pPr>
        <w:rPr>
          <w:rFonts w:cs="Arial"/>
          <w:szCs w:val="24"/>
        </w:rPr>
      </w:pPr>
      <w:r w:rsidRPr="00004AF9">
        <w:rPr>
          <w:rFonts w:cs="Arial"/>
          <w:szCs w:val="24"/>
        </w:rPr>
        <w:t xml:space="preserve">Cousins, J., </w:t>
      </w:r>
      <w:proofErr w:type="spellStart"/>
      <w:r w:rsidRPr="00004AF9">
        <w:rPr>
          <w:rFonts w:cs="Arial"/>
          <w:szCs w:val="24"/>
        </w:rPr>
        <w:t>Foskett</w:t>
      </w:r>
      <w:proofErr w:type="spellEnd"/>
      <w:r w:rsidRPr="00004AF9">
        <w:rPr>
          <w:rFonts w:cs="Arial"/>
          <w:szCs w:val="24"/>
        </w:rPr>
        <w:t xml:space="preserve">, D., Graham, D. and Hollier, A., 2019. Food and beverage management: for the hospitality, </w:t>
      </w:r>
      <w:r w:rsidR="00C244A1" w:rsidRPr="00004AF9">
        <w:rPr>
          <w:rFonts w:cs="Arial"/>
          <w:szCs w:val="24"/>
        </w:rPr>
        <w:t>tourism,</w:t>
      </w:r>
      <w:r w:rsidRPr="00004AF9">
        <w:rPr>
          <w:rFonts w:cs="Arial"/>
          <w:szCs w:val="24"/>
        </w:rPr>
        <w:t xml:space="preserve"> and event industries. Goodfellow Publishers Ltd.</w:t>
      </w:r>
    </w:p>
    <w:p w14:paraId="73A6476D" w14:textId="77777777" w:rsidR="00461209" w:rsidRPr="00004AF9" w:rsidRDefault="00461209" w:rsidP="00461209">
      <w:pPr>
        <w:rPr>
          <w:rFonts w:cs="Arial"/>
          <w:color w:val="222222"/>
          <w:szCs w:val="24"/>
          <w:shd w:val="clear" w:color="auto" w:fill="FFFFFF"/>
        </w:rPr>
      </w:pPr>
      <w:r w:rsidRPr="00004AF9">
        <w:rPr>
          <w:rFonts w:cs="Arial"/>
          <w:color w:val="222222"/>
          <w:szCs w:val="24"/>
          <w:shd w:val="clear" w:color="auto" w:fill="FFFFFF"/>
        </w:rPr>
        <w:t>Fraser, B., 2020. From Hospitality Classrooms to Successful Careers: A Current Appraisal of Australian International Hotel Requirements. </w:t>
      </w:r>
      <w:r w:rsidRPr="00004AF9">
        <w:rPr>
          <w:rFonts w:cs="Arial"/>
          <w:i/>
          <w:iCs/>
          <w:color w:val="222222"/>
          <w:szCs w:val="24"/>
          <w:shd w:val="clear" w:color="auto" w:fill="FFFFFF"/>
        </w:rPr>
        <w:t>Journal of Hospitality &amp; Tourism Education</w:t>
      </w:r>
      <w:r w:rsidRPr="00004AF9">
        <w:rPr>
          <w:rFonts w:cs="Arial"/>
          <w:color w:val="222222"/>
          <w:szCs w:val="24"/>
          <w:shd w:val="clear" w:color="auto" w:fill="FFFFFF"/>
        </w:rPr>
        <w:t>, </w:t>
      </w:r>
      <w:r w:rsidRPr="00004AF9">
        <w:rPr>
          <w:rFonts w:cs="Arial"/>
          <w:i/>
          <w:iCs/>
          <w:color w:val="222222"/>
          <w:szCs w:val="24"/>
          <w:shd w:val="clear" w:color="auto" w:fill="FFFFFF"/>
        </w:rPr>
        <w:t>32</w:t>
      </w:r>
      <w:r w:rsidRPr="00004AF9">
        <w:rPr>
          <w:rFonts w:cs="Arial"/>
          <w:color w:val="222222"/>
          <w:szCs w:val="24"/>
          <w:shd w:val="clear" w:color="auto" w:fill="FFFFFF"/>
        </w:rPr>
        <w:t>(4), pp.234-254.</w:t>
      </w:r>
    </w:p>
    <w:p w14:paraId="4D0F28E4" w14:textId="77777777" w:rsidR="00461209" w:rsidRPr="00004AF9" w:rsidRDefault="00461209" w:rsidP="00461209">
      <w:pPr>
        <w:rPr>
          <w:rFonts w:cs="Arial"/>
          <w:color w:val="222222"/>
          <w:szCs w:val="24"/>
          <w:shd w:val="clear" w:color="auto" w:fill="FFFFFF"/>
        </w:rPr>
      </w:pPr>
      <w:r w:rsidRPr="00004AF9">
        <w:rPr>
          <w:rFonts w:cs="Arial"/>
          <w:color w:val="222222"/>
          <w:szCs w:val="24"/>
          <w:shd w:val="clear" w:color="auto" w:fill="FFFFFF"/>
        </w:rPr>
        <w:t>Wood, R.C., 2013. Hospitality management education. In </w:t>
      </w:r>
      <w:r w:rsidRPr="00004AF9">
        <w:rPr>
          <w:rFonts w:cs="Arial"/>
          <w:i/>
          <w:iCs/>
          <w:color w:val="222222"/>
          <w:szCs w:val="24"/>
          <w:shd w:val="clear" w:color="auto" w:fill="FFFFFF"/>
        </w:rPr>
        <w:t>Key concepts in hospitality management</w:t>
      </w:r>
      <w:r w:rsidRPr="00004AF9">
        <w:rPr>
          <w:rFonts w:cs="Arial"/>
          <w:color w:val="222222"/>
          <w:szCs w:val="24"/>
          <w:shd w:val="clear" w:color="auto" w:fill="FFFFFF"/>
        </w:rPr>
        <w:t> (pp. 63-67). Sage.</w:t>
      </w:r>
    </w:p>
    <w:p w14:paraId="59A09C40" w14:textId="77777777" w:rsidR="00461209" w:rsidRPr="00004AF9" w:rsidRDefault="00461209" w:rsidP="00461209">
      <w:pPr>
        <w:rPr>
          <w:rFonts w:cs="Arial"/>
          <w:color w:val="222222"/>
          <w:szCs w:val="24"/>
          <w:shd w:val="clear" w:color="auto" w:fill="FFFFFF"/>
        </w:rPr>
      </w:pPr>
      <w:r w:rsidRPr="00004AF9">
        <w:rPr>
          <w:rFonts w:cs="Arial"/>
          <w:color w:val="222222"/>
          <w:szCs w:val="24"/>
          <w:shd w:val="clear" w:color="auto" w:fill="FFFFFF"/>
        </w:rPr>
        <w:t>Wood, R.C., 2013. Service, service industries and the hospitality sector. In </w:t>
      </w:r>
      <w:r w:rsidRPr="00004AF9">
        <w:rPr>
          <w:rFonts w:cs="Arial"/>
          <w:i/>
          <w:iCs/>
          <w:color w:val="222222"/>
          <w:szCs w:val="24"/>
          <w:shd w:val="clear" w:color="auto" w:fill="FFFFFF"/>
        </w:rPr>
        <w:t>Key concepts in hospitality management</w:t>
      </w:r>
      <w:r w:rsidRPr="00004AF9">
        <w:rPr>
          <w:rFonts w:cs="Arial"/>
          <w:color w:val="222222"/>
          <w:szCs w:val="24"/>
          <w:shd w:val="clear" w:color="auto" w:fill="FFFFFF"/>
        </w:rPr>
        <w:t> (pp. 148-152). Sage.</w:t>
      </w:r>
    </w:p>
    <w:p w14:paraId="019732E6" w14:textId="781C7199" w:rsidR="00461209" w:rsidRPr="00004AF9" w:rsidRDefault="00461209" w:rsidP="00461209">
      <w:pPr>
        <w:rPr>
          <w:rFonts w:cs="Arial"/>
          <w:szCs w:val="24"/>
        </w:rPr>
      </w:pPr>
      <w:r w:rsidRPr="00004AF9">
        <w:rPr>
          <w:rFonts w:cs="Arial"/>
          <w:color w:val="222222"/>
          <w:szCs w:val="24"/>
          <w:shd w:val="clear" w:color="auto" w:fill="FFFFFF"/>
        </w:rPr>
        <w:t>Wood, R., 2015. ‘</w:t>
      </w:r>
      <w:r w:rsidR="00E357F6" w:rsidRPr="00004AF9">
        <w:rPr>
          <w:rFonts w:cs="Arial"/>
          <w:color w:val="222222"/>
          <w:szCs w:val="24"/>
          <w:shd w:val="clear" w:color="auto" w:fill="FFFFFF"/>
        </w:rPr>
        <w:t>Folk ‘understandings</w:t>
      </w:r>
      <w:r w:rsidRPr="00004AF9">
        <w:rPr>
          <w:rFonts w:cs="Arial"/>
          <w:color w:val="222222"/>
          <w:szCs w:val="24"/>
          <w:shd w:val="clear" w:color="auto" w:fill="FFFFFF"/>
        </w:rPr>
        <w:t xml:space="preserve"> of quality in UK higher hospitality education. </w:t>
      </w:r>
      <w:r w:rsidRPr="00004AF9">
        <w:rPr>
          <w:rFonts w:cs="Arial"/>
          <w:i/>
          <w:iCs/>
          <w:color w:val="222222"/>
          <w:szCs w:val="24"/>
          <w:shd w:val="clear" w:color="auto" w:fill="FFFFFF"/>
        </w:rPr>
        <w:t>Quality Assurance in Education</w:t>
      </w:r>
      <w:r w:rsidRPr="00004AF9">
        <w:rPr>
          <w:rFonts w:cs="Arial"/>
          <w:color w:val="222222"/>
          <w:szCs w:val="24"/>
          <w:shd w:val="clear" w:color="auto" w:fill="FFFFFF"/>
        </w:rPr>
        <w:t>.</w:t>
      </w:r>
    </w:p>
    <w:p w14:paraId="3DAD98AC" w14:textId="77777777" w:rsidR="0011741C" w:rsidRDefault="0011741C"/>
    <w:sectPr w:rsidR="001174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10F26"/>
    <w:multiLevelType w:val="hybridMultilevel"/>
    <w:tmpl w:val="CE482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19E"/>
    <w:rsid w:val="0011741C"/>
    <w:rsid w:val="00396F28"/>
    <w:rsid w:val="00461209"/>
    <w:rsid w:val="00C244A1"/>
    <w:rsid w:val="00C6319E"/>
    <w:rsid w:val="00D002AA"/>
    <w:rsid w:val="00E357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8CDC5"/>
  <w15:chartTrackingRefBased/>
  <w15:docId w15:val="{6155D410-7358-49AE-A5AE-9FE3576E9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F28"/>
    <w:pPr>
      <w:pBdr>
        <w:top w:val="nil"/>
        <w:left w:val="nil"/>
        <w:bottom w:val="nil"/>
        <w:right w:val="nil"/>
        <w:between w:val="nil"/>
        <w:bar w:val="nil"/>
      </w:pBdr>
      <w:spacing w:before="120" w:after="120" w:line="360" w:lineRule="auto"/>
      <w:jc w:val="both"/>
    </w:pPr>
    <w:rPr>
      <w:rFonts w:ascii="Arial" w:eastAsia="Times New Roman" w:hAnsi="Arial" w:cs="Times New Roman"/>
      <w:color w:val="000000"/>
      <w:sz w:val="24"/>
      <w:szCs w:val="20"/>
      <w:u w:color="000000"/>
      <w:bdr w:val="nil"/>
      <w:lang w:val="en-US" w:eastAsia="en-IN"/>
    </w:rPr>
  </w:style>
  <w:style w:type="paragraph" w:styleId="Heading1">
    <w:name w:val="heading 1"/>
    <w:basedOn w:val="Normal"/>
    <w:next w:val="Normal"/>
    <w:link w:val="Heading1Char"/>
    <w:uiPriority w:val="9"/>
    <w:qFormat/>
    <w:rsid w:val="00461209"/>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240" w:after="0" w:line="259" w:lineRule="auto"/>
      <w:jc w:val="left"/>
      <w:outlineLvl w:val="0"/>
    </w:pPr>
    <w:rPr>
      <w:rFonts w:eastAsiaTheme="majorEastAsia" w:cstheme="majorBidi"/>
      <w:b/>
      <w:color w:val="auto"/>
      <w:sz w:val="28"/>
      <w:szCs w:val="32"/>
      <w:bdr w:val="none" w:sz="0" w:space="0" w:color="auto"/>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209"/>
    <w:rPr>
      <w:rFonts w:ascii="Arial" w:eastAsiaTheme="majorEastAsia" w:hAnsi="Arial" w:cstheme="majorBidi"/>
      <w:b/>
      <w:sz w:val="28"/>
      <w:szCs w:val="32"/>
      <w:lang w:val="en-US"/>
    </w:rPr>
  </w:style>
  <w:style w:type="character" w:styleId="Hyperlink">
    <w:name w:val="Hyperlink"/>
    <w:basedOn w:val="DefaultParagraphFont"/>
    <w:uiPriority w:val="99"/>
    <w:unhideWhenUsed/>
    <w:rsid w:val="00461209"/>
    <w:rPr>
      <w:color w:val="0563C1" w:themeColor="hyperlink"/>
      <w:u w:val="single"/>
    </w:rPr>
  </w:style>
  <w:style w:type="paragraph" w:styleId="ListParagraph">
    <w:name w:val="List Paragraph"/>
    <w:basedOn w:val="Normal"/>
    <w:uiPriority w:val="34"/>
    <w:qFormat/>
    <w:rsid w:val="00461209"/>
    <w:pPr>
      <w:pBdr>
        <w:top w:val="none" w:sz="0" w:space="0" w:color="auto"/>
        <w:left w:val="none" w:sz="0" w:space="0" w:color="auto"/>
        <w:bottom w:val="none" w:sz="0" w:space="0" w:color="auto"/>
        <w:right w:val="none" w:sz="0" w:space="0" w:color="auto"/>
        <w:between w:val="none" w:sz="0" w:space="0" w:color="auto"/>
        <w:bar w:val="none" w:sz="0" w:color="auto"/>
      </w:pBdr>
      <w:spacing w:before="0" w:after="160" w:line="259" w:lineRule="auto"/>
      <w:ind w:left="720"/>
      <w:contextualSpacing/>
      <w:jc w:val="left"/>
    </w:pPr>
    <w:rPr>
      <w:rFonts w:asciiTheme="minorHAnsi" w:eastAsiaTheme="minorHAnsi" w:hAnsiTheme="minorHAnsi" w:cstheme="minorBidi"/>
      <w:color w:val="auto"/>
      <w:sz w:val="22"/>
      <w:szCs w:val="22"/>
      <w:bdr w:val="none" w:sz="0" w:space="0" w:color="auto"/>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20" TargetMode="External"/><Relationship Id="rId3" Type="http://schemas.openxmlformats.org/officeDocument/2006/relationships/settings" Target="settings.xml"/><Relationship Id="rId7" Type="http://schemas.openxmlformats.org/officeDocument/2006/relationships/hyperlink" Target="https://www.narf.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909</Words>
  <Characters>5184</Characters>
  <Application>Microsoft Office Word</Application>
  <DocSecurity>0</DocSecurity>
  <Lines>43</Lines>
  <Paragraphs>12</Paragraphs>
  <ScaleCrop>false</ScaleCrop>
  <Company/>
  <LinksUpToDate>false</LinksUpToDate>
  <CharactersWithSpaces>6081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dc:creator>
  <cp:keywords/>
  <dc:description/>
  <cp:lastModifiedBy>Catalin</cp:lastModifiedBy>
  <cp:revision>2</cp:revision>
  <dcterms:created xsi:type="dcterms:W3CDTF">2022-02-10T18:41:00Z</dcterms:created>
  <dcterms:modified xsi:type="dcterms:W3CDTF">2022-02-10T18:41:00Z</dcterms:modified>
</cp:coreProperties>
</file>