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47E38" w14:textId="77777777" w:rsidR="00937904" w:rsidRPr="00A91DF2" w:rsidRDefault="00937904" w:rsidP="00A91DF2">
      <w:pPr>
        <w:pStyle w:val="Title"/>
        <w:spacing w:line="360" w:lineRule="auto"/>
        <w:ind w:left="720"/>
        <w:rPr>
          <w:rFonts w:ascii="Calibri" w:eastAsia="Myriad Pro" w:hAnsi="Calibri"/>
          <w:sz w:val="24"/>
          <w:szCs w:val="24"/>
        </w:rPr>
      </w:pPr>
      <w:r w:rsidRPr="00A91DF2">
        <w:rPr>
          <w:rFonts w:ascii="Calibri" w:hAnsi="Calibr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7317E2C" wp14:editId="60C20984">
            <wp:simplePos x="0" y="0"/>
            <wp:positionH relativeFrom="column">
              <wp:posOffset>956310</wp:posOffset>
            </wp:positionH>
            <wp:positionV relativeFrom="paragraph">
              <wp:posOffset>5</wp:posOffset>
            </wp:positionV>
            <wp:extent cx="4048760" cy="1805936"/>
            <wp:effectExtent l="0" t="0" r="0" b="444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48760" cy="18059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B492C6" w14:textId="77777777" w:rsidR="005D4B26" w:rsidRPr="00A91DF2" w:rsidRDefault="00937904" w:rsidP="00A91DF2">
      <w:pPr>
        <w:pStyle w:val="Title"/>
        <w:spacing w:line="360" w:lineRule="auto"/>
        <w:jc w:val="center"/>
        <w:rPr>
          <w:rFonts w:ascii="Calibri" w:eastAsia="Times New Roman" w:hAnsi="Calibri" w:cs="Segoe UI"/>
          <w:color w:val="0F0F0F"/>
          <w:sz w:val="24"/>
          <w:szCs w:val="24"/>
          <w:shd w:val="clear" w:color="auto" w:fill="FFFFFF"/>
        </w:rPr>
      </w:pPr>
      <w:r w:rsidRPr="00A91DF2">
        <w:rPr>
          <w:rFonts w:ascii="Calibri" w:eastAsia="Times New Roman" w:hAnsi="Calibri" w:cs="Segoe UI"/>
          <w:color w:val="0F0F0F"/>
          <w:sz w:val="24"/>
          <w:szCs w:val="24"/>
          <w:shd w:val="clear" w:color="auto" w:fill="FFFFFF"/>
        </w:rPr>
        <w:t xml:space="preserve">Title: </w:t>
      </w:r>
      <w:r w:rsidR="005D4B26" w:rsidRPr="00A91DF2">
        <w:rPr>
          <w:rFonts w:ascii="Calibri" w:eastAsia="Times New Roman" w:hAnsi="Calibri" w:cs="Segoe UI"/>
          <w:color w:val="0F0F0F"/>
          <w:sz w:val="24"/>
          <w:szCs w:val="24"/>
          <w:shd w:val="clear" w:color="auto" w:fill="FFFFFF"/>
        </w:rPr>
        <w:t xml:space="preserve">Understanding how the learner, the school and the local community work together to </w:t>
      </w:r>
    </w:p>
    <w:p w14:paraId="5E6F8E45" w14:textId="304BF00F" w:rsidR="005D4B26" w:rsidRPr="00A91DF2" w:rsidRDefault="005D4B26" w:rsidP="00A91DF2">
      <w:pPr>
        <w:pStyle w:val="Title"/>
        <w:spacing w:line="360" w:lineRule="auto"/>
        <w:jc w:val="center"/>
        <w:rPr>
          <w:rFonts w:ascii="Calibri" w:eastAsia="Times New Roman" w:hAnsi="Calibri" w:cs="Segoe UI"/>
          <w:color w:val="0F0F0F"/>
          <w:sz w:val="24"/>
          <w:szCs w:val="24"/>
          <w:shd w:val="clear" w:color="auto" w:fill="FFFFFF"/>
        </w:rPr>
      </w:pPr>
      <w:r w:rsidRPr="00A91DF2">
        <w:rPr>
          <w:rFonts w:ascii="Calibri" w:eastAsia="Times New Roman" w:hAnsi="Calibri" w:cs="Segoe UI"/>
          <w:color w:val="0F0F0F"/>
          <w:sz w:val="24"/>
          <w:szCs w:val="24"/>
          <w:shd w:val="clear" w:color="auto" w:fill="FFFFFF"/>
        </w:rPr>
        <w:t xml:space="preserve">deliver one of the four purposes of the curriculum: </w:t>
      </w:r>
      <w:r w:rsidR="0059536A" w:rsidRPr="00A91DF2">
        <w:rPr>
          <w:rFonts w:ascii="Calibri" w:eastAsia="Times New Roman" w:hAnsi="Calibri" w:cs="Segoe UI"/>
          <w:color w:val="0F0F0F"/>
          <w:sz w:val="24"/>
          <w:szCs w:val="24"/>
          <w:shd w:val="clear" w:color="auto" w:fill="FFFFFF"/>
        </w:rPr>
        <w:t>A</w:t>
      </w:r>
      <w:r w:rsidRPr="00A91DF2">
        <w:rPr>
          <w:rFonts w:ascii="Calibri" w:eastAsia="Times New Roman" w:hAnsi="Calibri" w:cs="Segoe UI"/>
          <w:color w:val="0F0F0F"/>
          <w:sz w:val="24"/>
          <w:szCs w:val="24"/>
          <w:shd w:val="clear" w:color="auto" w:fill="FFFFFF"/>
        </w:rPr>
        <w:t xml:space="preserve"> video presentation that critically </w:t>
      </w:r>
    </w:p>
    <w:p w14:paraId="3E6B10FF" w14:textId="78B1CCD2" w:rsidR="00937904" w:rsidRPr="00A91DF2" w:rsidRDefault="005D4B26" w:rsidP="00A91DF2">
      <w:pPr>
        <w:pStyle w:val="Title"/>
        <w:spacing w:line="360" w:lineRule="auto"/>
        <w:jc w:val="center"/>
        <w:rPr>
          <w:rFonts w:ascii="Calibri" w:eastAsia="Myriad Pro" w:hAnsi="Calibri"/>
          <w:sz w:val="24"/>
          <w:szCs w:val="24"/>
        </w:rPr>
      </w:pPr>
      <w:r w:rsidRPr="00A91DF2">
        <w:rPr>
          <w:rFonts w:ascii="Calibri" w:eastAsia="Times New Roman" w:hAnsi="Calibri" w:cs="Segoe UI"/>
          <w:color w:val="0F0F0F"/>
          <w:sz w:val="24"/>
          <w:szCs w:val="24"/>
          <w:shd w:val="clear" w:color="auto" w:fill="FFFFFF"/>
        </w:rPr>
        <w:t>examines this process.</w:t>
      </w:r>
    </w:p>
    <w:p w14:paraId="2C77DAA2" w14:textId="77777777" w:rsidR="00937904" w:rsidRPr="00A91DF2" w:rsidRDefault="00937904" w:rsidP="00A91DF2">
      <w:pPr>
        <w:spacing w:line="360" w:lineRule="auto"/>
        <w:rPr>
          <w:rFonts w:ascii="Calibri" w:hAnsi="Calibri"/>
        </w:rPr>
      </w:pPr>
    </w:p>
    <w:p w14:paraId="0D0B4415" w14:textId="77777777" w:rsidR="00937904" w:rsidRPr="00A91DF2" w:rsidRDefault="00937904" w:rsidP="00A91DF2">
      <w:pPr>
        <w:spacing w:line="360" w:lineRule="auto"/>
        <w:jc w:val="center"/>
        <w:rPr>
          <w:rFonts w:ascii="Calibri" w:hAnsi="Calibri"/>
        </w:rPr>
      </w:pPr>
      <w:r w:rsidRPr="00A91DF2">
        <w:rPr>
          <w:rFonts w:ascii="Calibri" w:hAnsi="Calibri"/>
        </w:rPr>
        <w:t xml:space="preserve">Name: </w:t>
      </w:r>
      <w:proofErr w:type="spellStart"/>
      <w:r w:rsidRPr="00A91DF2">
        <w:rPr>
          <w:rFonts w:ascii="Calibri" w:hAnsi="Calibri"/>
        </w:rPr>
        <w:t>McKennzie</w:t>
      </w:r>
      <w:proofErr w:type="spellEnd"/>
      <w:r w:rsidRPr="00A91DF2">
        <w:rPr>
          <w:rFonts w:ascii="Calibri" w:hAnsi="Calibri"/>
        </w:rPr>
        <w:t xml:space="preserve"> Price</w:t>
      </w:r>
    </w:p>
    <w:p w14:paraId="043F9B32" w14:textId="77777777" w:rsidR="00937904" w:rsidRPr="00A91DF2" w:rsidRDefault="00937904" w:rsidP="00A91DF2">
      <w:pPr>
        <w:spacing w:line="360" w:lineRule="auto"/>
        <w:jc w:val="center"/>
        <w:rPr>
          <w:rFonts w:ascii="Calibri" w:hAnsi="Calibri"/>
        </w:rPr>
      </w:pPr>
      <w:r w:rsidRPr="00A91DF2">
        <w:rPr>
          <w:rFonts w:ascii="Calibri" w:hAnsi="Calibri"/>
        </w:rPr>
        <w:t>Student number: 2305401</w:t>
      </w:r>
    </w:p>
    <w:p w14:paraId="5C9DCA72" w14:textId="7B0A6CC5" w:rsidR="00314654" w:rsidRPr="00A91DF2" w:rsidRDefault="00314654" w:rsidP="00A91DF2">
      <w:pPr>
        <w:pStyle w:val="Title"/>
        <w:spacing w:line="360" w:lineRule="auto"/>
        <w:rPr>
          <w:rFonts w:ascii="Calibri" w:hAnsi="Calibri"/>
          <w:color w:val="000000"/>
          <w:sz w:val="24"/>
          <w:szCs w:val="24"/>
        </w:rPr>
      </w:pPr>
    </w:p>
    <w:p w14:paraId="7C010EA1" w14:textId="77777777" w:rsidR="00224847" w:rsidRPr="00A91DF2" w:rsidRDefault="00224847" w:rsidP="00A91DF2">
      <w:pPr>
        <w:spacing w:line="360" w:lineRule="auto"/>
        <w:rPr>
          <w:rFonts w:ascii="Calibri" w:hAnsi="Calibri"/>
        </w:rPr>
      </w:pPr>
    </w:p>
    <w:p w14:paraId="0F4EE455" w14:textId="77777777" w:rsidR="00224847" w:rsidRPr="00A91DF2" w:rsidRDefault="00224847" w:rsidP="00A91DF2">
      <w:pPr>
        <w:spacing w:line="360" w:lineRule="auto"/>
        <w:rPr>
          <w:rFonts w:ascii="Calibri" w:hAnsi="Calibri"/>
        </w:rPr>
      </w:pPr>
    </w:p>
    <w:p w14:paraId="18BBCE8E" w14:textId="77777777" w:rsidR="00224847" w:rsidRPr="00A91DF2" w:rsidRDefault="00224847" w:rsidP="00A91DF2">
      <w:pPr>
        <w:spacing w:line="360" w:lineRule="auto"/>
        <w:rPr>
          <w:rFonts w:ascii="Calibri" w:hAnsi="Calibri"/>
        </w:rPr>
      </w:pPr>
    </w:p>
    <w:p w14:paraId="452E9041" w14:textId="77777777" w:rsidR="00224847" w:rsidRPr="00A91DF2" w:rsidRDefault="00224847" w:rsidP="00A91DF2">
      <w:pPr>
        <w:spacing w:line="360" w:lineRule="auto"/>
        <w:rPr>
          <w:rFonts w:ascii="Calibri" w:hAnsi="Calibri"/>
        </w:rPr>
      </w:pPr>
    </w:p>
    <w:p w14:paraId="6D432E54" w14:textId="77777777" w:rsidR="00224847" w:rsidRPr="00A91DF2" w:rsidRDefault="00224847" w:rsidP="00A91DF2">
      <w:pPr>
        <w:spacing w:line="360" w:lineRule="auto"/>
        <w:rPr>
          <w:rFonts w:ascii="Calibri" w:hAnsi="Calibri"/>
        </w:rPr>
      </w:pPr>
    </w:p>
    <w:p w14:paraId="73BAC89B" w14:textId="77777777" w:rsidR="00224847" w:rsidRPr="00A91DF2" w:rsidRDefault="00224847" w:rsidP="00A91DF2">
      <w:pPr>
        <w:spacing w:line="360" w:lineRule="auto"/>
        <w:rPr>
          <w:rFonts w:ascii="Calibri" w:hAnsi="Calibri"/>
        </w:rPr>
      </w:pPr>
    </w:p>
    <w:p w14:paraId="523A7883" w14:textId="77777777" w:rsidR="00224847" w:rsidRPr="00A91DF2" w:rsidRDefault="00224847" w:rsidP="00A91DF2">
      <w:pPr>
        <w:spacing w:line="360" w:lineRule="auto"/>
        <w:rPr>
          <w:rFonts w:ascii="Calibri" w:hAnsi="Calibri"/>
        </w:rPr>
      </w:pPr>
    </w:p>
    <w:p w14:paraId="0C97BE86" w14:textId="77777777" w:rsidR="00224847" w:rsidRPr="00A91DF2" w:rsidRDefault="00224847" w:rsidP="00A91DF2">
      <w:pPr>
        <w:spacing w:line="360" w:lineRule="auto"/>
        <w:rPr>
          <w:rFonts w:ascii="Calibri" w:hAnsi="Calibri"/>
        </w:rPr>
      </w:pPr>
    </w:p>
    <w:p w14:paraId="7DE51F6B" w14:textId="77777777" w:rsidR="00224847" w:rsidRPr="00A91DF2" w:rsidRDefault="00224847" w:rsidP="00A91DF2">
      <w:pPr>
        <w:spacing w:line="360" w:lineRule="auto"/>
        <w:rPr>
          <w:rFonts w:ascii="Calibri" w:hAnsi="Calibri"/>
        </w:rPr>
      </w:pPr>
    </w:p>
    <w:p w14:paraId="70445534" w14:textId="77777777" w:rsidR="008C39A6" w:rsidRPr="00A91DF2" w:rsidRDefault="008C39A6" w:rsidP="00A91DF2">
      <w:pPr>
        <w:spacing w:line="360" w:lineRule="auto"/>
        <w:rPr>
          <w:rFonts w:ascii="Calibri" w:hAnsi="Calibri"/>
        </w:rPr>
      </w:pPr>
    </w:p>
    <w:p w14:paraId="505BC3C0" w14:textId="0CDC8D4D" w:rsidR="00612876" w:rsidRPr="00A91DF2" w:rsidRDefault="007747A1" w:rsidP="00A91DF2">
      <w:pPr>
        <w:pStyle w:val="Title"/>
        <w:spacing w:line="360" w:lineRule="auto"/>
        <w:rPr>
          <w:rStyle w:val="oypena"/>
          <w:rFonts w:ascii="Calibri" w:hAnsi="Calibri"/>
          <w:color w:val="000000"/>
          <w:sz w:val="24"/>
          <w:szCs w:val="24"/>
        </w:rPr>
      </w:pPr>
      <w:r w:rsidRPr="00A91DF2">
        <w:rPr>
          <w:rStyle w:val="oypena"/>
          <w:rFonts w:ascii="Calibri" w:hAnsi="Calibri"/>
          <w:color w:val="000000"/>
          <w:sz w:val="24"/>
          <w:szCs w:val="24"/>
        </w:rPr>
        <w:t>Reference</w:t>
      </w:r>
      <w:r w:rsidR="00612876" w:rsidRPr="00A91DF2">
        <w:rPr>
          <w:rStyle w:val="oypena"/>
          <w:rFonts w:ascii="Calibri" w:hAnsi="Calibri"/>
          <w:color w:val="000000"/>
          <w:sz w:val="24"/>
          <w:szCs w:val="24"/>
        </w:rPr>
        <w:t xml:space="preserve"> list:</w:t>
      </w:r>
    </w:p>
    <w:p w14:paraId="79B17E1A" w14:textId="77777777" w:rsidR="00612876" w:rsidRPr="00A91DF2" w:rsidRDefault="00612876" w:rsidP="00A91DF2">
      <w:pPr>
        <w:spacing w:line="360" w:lineRule="auto"/>
        <w:rPr>
          <w:rFonts w:ascii="Calibri" w:hAnsi="Calibri"/>
        </w:rPr>
      </w:pPr>
    </w:p>
    <w:p w14:paraId="61C82E52" w14:textId="77777777" w:rsidR="00256A7F" w:rsidRPr="00A91DF2" w:rsidRDefault="00256A7F" w:rsidP="00A91DF2">
      <w:pPr>
        <w:pStyle w:val="cvgsua"/>
        <w:spacing w:line="360" w:lineRule="auto"/>
        <w:divId w:val="2135979276"/>
        <w:rPr>
          <w:rFonts w:ascii="Calibri" w:hAnsi="Calibri"/>
          <w:color w:val="000000"/>
          <w:spacing w:val="6"/>
        </w:rPr>
      </w:pPr>
      <w:r w:rsidRPr="00A91DF2">
        <w:rPr>
          <w:rStyle w:val="oypena"/>
          <w:rFonts w:ascii="Calibri" w:hAnsi="Calibri"/>
          <w:color w:val="000000"/>
          <w:spacing w:val="6"/>
        </w:rPr>
        <w:lastRenderedPageBreak/>
        <w:t xml:space="preserve">Baldwin, C., Cave, B., &amp; </w:t>
      </w:r>
      <w:proofErr w:type="spellStart"/>
      <w:r w:rsidRPr="00A91DF2">
        <w:rPr>
          <w:rStyle w:val="oypena"/>
          <w:rFonts w:ascii="Calibri" w:hAnsi="Calibri"/>
          <w:color w:val="000000"/>
          <w:spacing w:val="6"/>
        </w:rPr>
        <w:t>Rawstorne</w:t>
      </w:r>
      <w:proofErr w:type="spellEnd"/>
      <w:r w:rsidRPr="00A91DF2">
        <w:rPr>
          <w:rStyle w:val="oypena"/>
          <w:rFonts w:ascii="Calibri" w:hAnsi="Calibri"/>
          <w:color w:val="000000"/>
          <w:spacing w:val="6"/>
        </w:rPr>
        <w:t>, P. (2020). Measuring the impact of public understandings of risk from urban and industrial development on community psychosocial well-being: A mixed methods strategy. International Journal of Community Well-Being, 3, 57-82.</w:t>
      </w:r>
    </w:p>
    <w:p w14:paraId="57A5DCEC" w14:textId="77777777" w:rsidR="00256A7F" w:rsidRPr="00A91DF2" w:rsidRDefault="00256A7F" w:rsidP="00A91DF2">
      <w:pPr>
        <w:pStyle w:val="cvgsua"/>
        <w:spacing w:line="360" w:lineRule="auto"/>
        <w:divId w:val="2135979276"/>
        <w:rPr>
          <w:rFonts w:ascii="Calibri" w:hAnsi="Calibri"/>
          <w:color w:val="000000"/>
          <w:spacing w:val="6"/>
        </w:rPr>
      </w:pPr>
      <w:r w:rsidRPr="00A91DF2">
        <w:rPr>
          <w:rStyle w:val="oypena"/>
          <w:rFonts w:ascii="Calibri" w:hAnsi="Calibri"/>
          <w:color w:val="000000"/>
          <w:spacing w:val="6"/>
        </w:rPr>
        <w:t>- Bartels, K.P. (2023). Experiential learning: A relational approach to sustaining community-led social innovation. Innovation: The European Journal of Social Science Research, 36(3), 434-452.</w:t>
      </w:r>
    </w:p>
    <w:p w14:paraId="11194179" w14:textId="77777777" w:rsidR="00256A7F" w:rsidRPr="00A91DF2" w:rsidRDefault="00256A7F" w:rsidP="00A91DF2">
      <w:pPr>
        <w:pStyle w:val="cvgsua"/>
        <w:spacing w:line="360" w:lineRule="auto"/>
        <w:divId w:val="2135979276"/>
        <w:rPr>
          <w:rFonts w:ascii="Calibri" w:hAnsi="Calibri"/>
          <w:color w:val="000000"/>
          <w:spacing w:val="6"/>
        </w:rPr>
      </w:pPr>
      <w:r w:rsidRPr="00A91DF2">
        <w:rPr>
          <w:rStyle w:val="oypena"/>
          <w:rFonts w:ascii="Calibri" w:hAnsi="Calibri"/>
          <w:color w:val="000000"/>
          <w:spacing w:val="6"/>
        </w:rPr>
        <w:t xml:space="preserve">- Cohen, J.F., Hecht, A.A., </w:t>
      </w:r>
      <w:proofErr w:type="spellStart"/>
      <w:r w:rsidRPr="00A91DF2">
        <w:rPr>
          <w:rStyle w:val="oypena"/>
          <w:rFonts w:ascii="Calibri" w:hAnsi="Calibri"/>
          <w:color w:val="000000"/>
          <w:spacing w:val="6"/>
        </w:rPr>
        <w:t>McLoughlin</w:t>
      </w:r>
      <w:proofErr w:type="spellEnd"/>
      <w:r w:rsidRPr="00A91DF2">
        <w:rPr>
          <w:rStyle w:val="oypena"/>
          <w:rFonts w:ascii="Calibri" w:hAnsi="Calibri"/>
          <w:color w:val="000000"/>
          <w:spacing w:val="6"/>
        </w:rPr>
        <w:t>, G.M., Turner, L., &amp; Schwartz, M.B. (2021). Universal school meals and associations with student participation, attendance, academic performance, diet quality, food security, and body mass index: A systematic review. Nutrients, 13(3), 911.</w:t>
      </w:r>
    </w:p>
    <w:p w14:paraId="10F17C7A" w14:textId="77777777" w:rsidR="00256A7F" w:rsidRPr="00A91DF2" w:rsidRDefault="00256A7F" w:rsidP="00A91DF2">
      <w:pPr>
        <w:pStyle w:val="cvgsua"/>
        <w:spacing w:line="360" w:lineRule="auto"/>
        <w:divId w:val="2135979276"/>
        <w:rPr>
          <w:rFonts w:ascii="Calibri" w:hAnsi="Calibri"/>
          <w:color w:val="000000"/>
          <w:spacing w:val="6"/>
        </w:rPr>
      </w:pPr>
      <w:r w:rsidRPr="00A91DF2">
        <w:rPr>
          <w:rStyle w:val="oypena"/>
          <w:rFonts w:ascii="Calibri" w:hAnsi="Calibri"/>
          <w:color w:val="000000"/>
          <w:spacing w:val="6"/>
        </w:rPr>
        <w:t xml:space="preserve">- </w:t>
      </w:r>
      <w:proofErr w:type="spellStart"/>
      <w:r w:rsidRPr="00A91DF2">
        <w:rPr>
          <w:rStyle w:val="oypena"/>
          <w:rFonts w:ascii="Calibri" w:hAnsi="Calibri"/>
          <w:color w:val="000000"/>
          <w:spacing w:val="6"/>
        </w:rPr>
        <w:t>Enokela</w:t>
      </w:r>
      <w:proofErr w:type="spellEnd"/>
      <w:r w:rsidRPr="00A91DF2">
        <w:rPr>
          <w:rStyle w:val="oypena"/>
          <w:rFonts w:ascii="Calibri" w:hAnsi="Calibri"/>
          <w:color w:val="000000"/>
          <w:spacing w:val="6"/>
        </w:rPr>
        <w:t>, A.E. (2021). The impact of hunger on children and adolescents. School Farms: Feeding and Educating Children, 31.</w:t>
      </w:r>
    </w:p>
    <w:p w14:paraId="1B410CAB" w14:textId="77777777" w:rsidR="00256A7F" w:rsidRPr="00A91DF2" w:rsidRDefault="00256A7F" w:rsidP="00A91DF2">
      <w:pPr>
        <w:pStyle w:val="cvgsua"/>
        <w:spacing w:line="360" w:lineRule="auto"/>
        <w:divId w:val="2135979276"/>
        <w:rPr>
          <w:rFonts w:ascii="Calibri" w:hAnsi="Calibri"/>
          <w:color w:val="000000"/>
          <w:spacing w:val="6"/>
        </w:rPr>
      </w:pPr>
      <w:r w:rsidRPr="00A91DF2">
        <w:rPr>
          <w:rStyle w:val="oypena"/>
          <w:rFonts w:ascii="Calibri" w:hAnsi="Calibri"/>
          <w:color w:val="000000"/>
          <w:spacing w:val="6"/>
        </w:rPr>
        <w:t xml:space="preserve">- </w:t>
      </w:r>
      <w:proofErr w:type="spellStart"/>
      <w:r w:rsidRPr="00A91DF2">
        <w:rPr>
          <w:rStyle w:val="oypena"/>
          <w:rFonts w:ascii="Calibri" w:hAnsi="Calibri"/>
          <w:color w:val="000000"/>
          <w:spacing w:val="6"/>
        </w:rPr>
        <w:t>Fram</w:t>
      </w:r>
      <w:proofErr w:type="spellEnd"/>
      <w:r w:rsidRPr="00A91DF2">
        <w:rPr>
          <w:rStyle w:val="oypena"/>
          <w:rFonts w:ascii="Calibri" w:hAnsi="Calibri"/>
          <w:color w:val="000000"/>
          <w:spacing w:val="6"/>
        </w:rPr>
        <w:t xml:space="preserve">, M.S., Nguyen, H.T., &amp; </w:t>
      </w:r>
      <w:proofErr w:type="spellStart"/>
      <w:r w:rsidRPr="00A91DF2">
        <w:rPr>
          <w:rStyle w:val="oypena"/>
          <w:rFonts w:ascii="Calibri" w:hAnsi="Calibri"/>
          <w:color w:val="000000"/>
          <w:spacing w:val="6"/>
        </w:rPr>
        <w:t>Frongillo</w:t>
      </w:r>
      <w:proofErr w:type="spellEnd"/>
      <w:r w:rsidRPr="00A91DF2">
        <w:rPr>
          <w:rStyle w:val="oypena"/>
          <w:rFonts w:ascii="Calibri" w:hAnsi="Calibri"/>
          <w:color w:val="000000"/>
          <w:spacing w:val="6"/>
        </w:rPr>
        <w:t>, E.A. (2022). Food insecurity among adolescent students from 95 countries is associated with diet, behaviour, and health, and associations differ by student age and sex. Current Developments in Nutrition, 6(3), nzac024.</w:t>
      </w:r>
    </w:p>
    <w:p w14:paraId="298FC660" w14:textId="77777777" w:rsidR="00256A7F" w:rsidRPr="00A91DF2" w:rsidRDefault="00256A7F" w:rsidP="00A91DF2">
      <w:pPr>
        <w:pStyle w:val="cvgsua"/>
        <w:spacing w:line="360" w:lineRule="auto"/>
        <w:divId w:val="2135979276"/>
        <w:rPr>
          <w:rFonts w:ascii="Calibri" w:hAnsi="Calibri"/>
          <w:color w:val="000000"/>
          <w:spacing w:val="6"/>
        </w:rPr>
      </w:pPr>
      <w:r w:rsidRPr="00A91DF2">
        <w:rPr>
          <w:rStyle w:val="oypena"/>
          <w:rFonts w:ascii="Calibri" w:hAnsi="Calibri"/>
          <w:color w:val="000000"/>
          <w:spacing w:val="6"/>
        </w:rPr>
        <w:t xml:space="preserve">- </w:t>
      </w:r>
      <w:proofErr w:type="spellStart"/>
      <w:r w:rsidRPr="00A91DF2">
        <w:rPr>
          <w:rStyle w:val="oypena"/>
          <w:rFonts w:ascii="Calibri" w:hAnsi="Calibri"/>
          <w:color w:val="000000"/>
          <w:spacing w:val="6"/>
        </w:rPr>
        <w:t>Karasik</w:t>
      </w:r>
      <w:proofErr w:type="spellEnd"/>
      <w:r w:rsidRPr="00A91DF2">
        <w:rPr>
          <w:rStyle w:val="oypena"/>
          <w:rFonts w:ascii="Calibri" w:hAnsi="Calibri"/>
          <w:color w:val="000000"/>
          <w:spacing w:val="6"/>
        </w:rPr>
        <w:t>, R.J. (2020). Community partners’ perspectives and the faculty role in community-based learning. Journal of Experiential Education, 43(2), 113-135.</w:t>
      </w:r>
    </w:p>
    <w:p w14:paraId="0BBA2AF1" w14:textId="77777777" w:rsidR="00256A7F" w:rsidRPr="00A91DF2" w:rsidRDefault="00256A7F" w:rsidP="00A91DF2">
      <w:pPr>
        <w:pStyle w:val="cvgsua"/>
        <w:spacing w:line="360" w:lineRule="auto"/>
        <w:divId w:val="2135979276"/>
        <w:rPr>
          <w:rFonts w:ascii="Calibri" w:hAnsi="Calibri"/>
          <w:color w:val="000000"/>
          <w:spacing w:val="6"/>
        </w:rPr>
      </w:pPr>
      <w:r w:rsidRPr="00A91DF2">
        <w:rPr>
          <w:rStyle w:val="oypena"/>
          <w:rFonts w:ascii="Calibri" w:hAnsi="Calibri"/>
          <w:color w:val="000000"/>
          <w:spacing w:val="6"/>
        </w:rPr>
        <w:t xml:space="preserve">- Martinez, L.S., </w:t>
      </w:r>
      <w:proofErr w:type="spellStart"/>
      <w:r w:rsidRPr="00A91DF2">
        <w:rPr>
          <w:rStyle w:val="oypena"/>
          <w:rFonts w:ascii="Calibri" w:hAnsi="Calibri"/>
          <w:color w:val="000000"/>
          <w:spacing w:val="6"/>
        </w:rPr>
        <w:t>Rapkin</w:t>
      </w:r>
      <w:proofErr w:type="spellEnd"/>
      <w:r w:rsidRPr="00A91DF2">
        <w:rPr>
          <w:rStyle w:val="oypena"/>
          <w:rFonts w:ascii="Calibri" w:hAnsi="Calibri"/>
          <w:color w:val="000000"/>
          <w:spacing w:val="6"/>
        </w:rPr>
        <w:t xml:space="preserve">, B.D., Young, A., </w:t>
      </w:r>
      <w:proofErr w:type="spellStart"/>
      <w:r w:rsidRPr="00A91DF2">
        <w:rPr>
          <w:rStyle w:val="oypena"/>
          <w:rFonts w:ascii="Calibri" w:hAnsi="Calibri"/>
          <w:color w:val="000000"/>
          <w:spacing w:val="6"/>
        </w:rPr>
        <w:t>Freisthler</w:t>
      </w:r>
      <w:proofErr w:type="spellEnd"/>
      <w:r w:rsidRPr="00A91DF2">
        <w:rPr>
          <w:rStyle w:val="oypena"/>
          <w:rFonts w:ascii="Calibri" w:hAnsi="Calibri"/>
          <w:color w:val="000000"/>
          <w:spacing w:val="6"/>
        </w:rPr>
        <w:t xml:space="preserve">, B., Glasgow, L., Hunt, T., </w:t>
      </w:r>
      <w:proofErr w:type="spellStart"/>
      <w:r w:rsidRPr="00A91DF2">
        <w:rPr>
          <w:rStyle w:val="oypena"/>
          <w:rFonts w:ascii="Calibri" w:hAnsi="Calibri"/>
          <w:color w:val="000000"/>
          <w:spacing w:val="6"/>
        </w:rPr>
        <w:t>Salsberry</w:t>
      </w:r>
      <w:proofErr w:type="spellEnd"/>
      <w:r w:rsidRPr="00A91DF2">
        <w:rPr>
          <w:rStyle w:val="oypena"/>
          <w:rFonts w:ascii="Calibri" w:hAnsi="Calibri"/>
          <w:color w:val="000000"/>
          <w:spacing w:val="6"/>
        </w:rPr>
        <w:t xml:space="preserve">, P.J., </w:t>
      </w:r>
      <w:proofErr w:type="spellStart"/>
      <w:r w:rsidRPr="00A91DF2">
        <w:rPr>
          <w:rStyle w:val="oypena"/>
          <w:rFonts w:ascii="Calibri" w:hAnsi="Calibri"/>
          <w:color w:val="000000"/>
          <w:spacing w:val="6"/>
        </w:rPr>
        <w:t>Oga</w:t>
      </w:r>
      <w:proofErr w:type="spellEnd"/>
      <w:r w:rsidRPr="00A91DF2">
        <w:rPr>
          <w:rStyle w:val="oypena"/>
          <w:rFonts w:ascii="Calibri" w:hAnsi="Calibri"/>
          <w:color w:val="000000"/>
          <w:spacing w:val="6"/>
        </w:rPr>
        <w:t xml:space="preserve">, E.A., </w:t>
      </w:r>
      <w:proofErr w:type="spellStart"/>
      <w:r w:rsidRPr="00A91DF2">
        <w:rPr>
          <w:rStyle w:val="oypena"/>
          <w:rFonts w:ascii="Calibri" w:hAnsi="Calibri"/>
          <w:color w:val="000000"/>
          <w:spacing w:val="6"/>
        </w:rPr>
        <w:t>Bennet-Fallin</w:t>
      </w:r>
      <w:proofErr w:type="spellEnd"/>
      <w:r w:rsidRPr="00A91DF2">
        <w:rPr>
          <w:rStyle w:val="oypena"/>
          <w:rFonts w:ascii="Calibri" w:hAnsi="Calibri"/>
          <w:color w:val="000000"/>
          <w:spacing w:val="6"/>
        </w:rPr>
        <w:t xml:space="preserve">, A., </w:t>
      </w:r>
      <w:proofErr w:type="spellStart"/>
      <w:r w:rsidRPr="00A91DF2">
        <w:rPr>
          <w:rStyle w:val="oypena"/>
          <w:rFonts w:ascii="Calibri" w:hAnsi="Calibri"/>
          <w:color w:val="000000"/>
          <w:spacing w:val="6"/>
        </w:rPr>
        <w:t>Plouck</w:t>
      </w:r>
      <w:proofErr w:type="spellEnd"/>
      <w:r w:rsidRPr="00A91DF2">
        <w:rPr>
          <w:rStyle w:val="oypena"/>
          <w:rFonts w:ascii="Calibri" w:hAnsi="Calibri"/>
          <w:color w:val="000000"/>
          <w:spacing w:val="6"/>
        </w:rPr>
        <w:t xml:space="preserve">, T.J., &amp; </w:t>
      </w:r>
      <w:proofErr w:type="spellStart"/>
      <w:r w:rsidRPr="00A91DF2">
        <w:rPr>
          <w:rStyle w:val="oypena"/>
          <w:rFonts w:ascii="Calibri" w:hAnsi="Calibri"/>
          <w:color w:val="000000"/>
          <w:spacing w:val="6"/>
        </w:rPr>
        <w:t>Drainoni</w:t>
      </w:r>
      <w:proofErr w:type="spellEnd"/>
      <w:r w:rsidRPr="00A91DF2">
        <w:rPr>
          <w:rStyle w:val="oypena"/>
          <w:rFonts w:ascii="Calibri" w:hAnsi="Calibri"/>
          <w:color w:val="000000"/>
          <w:spacing w:val="6"/>
        </w:rPr>
        <w:t>, M.L. (2020). Community engagement to implement evidence-based practices in the Healing communities study. Drug and alcohol dependence, 217, 108326.</w:t>
      </w:r>
    </w:p>
    <w:p w14:paraId="000E1FC5" w14:textId="77777777" w:rsidR="00256A7F" w:rsidRPr="00A91DF2" w:rsidRDefault="00256A7F" w:rsidP="00A91DF2">
      <w:pPr>
        <w:pStyle w:val="cvgsua"/>
        <w:spacing w:line="360" w:lineRule="auto"/>
        <w:divId w:val="2135979276"/>
        <w:rPr>
          <w:rFonts w:ascii="Calibri" w:hAnsi="Calibri"/>
          <w:color w:val="000000"/>
          <w:spacing w:val="6"/>
        </w:rPr>
      </w:pPr>
      <w:r w:rsidRPr="00A91DF2">
        <w:rPr>
          <w:rStyle w:val="oypena"/>
          <w:rFonts w:ascii="Calibri" w:hAnsi="Calibri"/>
          <w:color w:val="000000"/>
          <w:spacing w:val="6"/>
        </w:rPr>
        <w:t>- O’Neill, M. (2020). Increasing community engagement in collective impact approaches to advance social change. Community Development, 51(1), 17-35.</w:t>
      </w:r>
    </w:p>
    <w:p w14:paraId="38E56F3B" w14:textId="2F927CBC" w:rsidR="00256A7F" w:rsidRPr="00A91DF2" w:rsidRDefault="00256A7F" w:rsidP="00A91DF2">
      <w:pPr>
        <w:pStyle w:val="cvgsua"/>
        <w:spacing w:line="360" w:lineRule="auto"/>
        <w:divId w:val="2135979276"/>
        <w:rPr>
          <w:rFonts w:ascii="Calibri" w:hAnsi="Calibri"/>
          <w:color w:val="000000"/>
          <w:spacing w:val="6"/>
        </w:rPr>
      </w:pPr>
      <w:r w:rsidRPr="00A91DF2">
        <w:rPr>
          <w:rStyle w:val="oypena"/>
          <w:rFonts w:ascii="Calibri" w:hAnsi="Calibri"/>
          <w:color w:val="000000"/>
          <w:spacing w:val="6"/>
        </w:rPr>
        <w:lastRenderedPageBreak/>
        <w:t xml:space="preserve">- Welsh Government. (2015). Well-being of Future Generations (Wales) Act 2015. Retrieved from </w:t>
      </w:r>
      <w:hyperlink r:id="rId6" w:history="1">
        <w:r w:rsidRPr="00A91DF2">
          <w:rPr>
            <w:rStyle w:val="Hyperlink"/>
            <w:rFonts w:ascii="Calibri" w:hAnsi="Calibri"/>
            <w:spacing w:val="6"/>
          </w:rPr>
          <w:t>https://www.legislation.gov.uk/anaw/2015/2/contents/enacted</w:t>
        </w:r>
      </w:hyperlink>
      <w:r w:rsidRPr="00A91DF2">
        <w:rPr>
          <w:rStyle w:val="oypena"/>
          <w:rFonts w:ascii="Calibri" w:hAnsi="Calibri"/>
          <w:color w:val="000000"/>
          <w:spacing w:val="6"/>
        </w:rPr>
        <w:t xml:space="preserve"> </w:t>
      </w:r>
    </w:p>
    <w:p w14:paraId="208B98EF" w14:textId="1ED227E7" w:rsidR="002A58C4" w:rsidRPr="00A91DF2" w:rsidRDefault="00C5408C" w:rsidP="00A91DF2">
      <w:pPr>
        <w:pStyle w:val="cvgsua"/>
        <w:spacing w:line="360" w:lineRule="auto"/>
        <w:rPr>
          <w:rFonts w:ascii="Calibri" w:hAnsi="Calibri"/>
          <w:color w:val="000000"/>
        </w:rPr>
      </w:pPr>
      <w:r w:rsidRPr="00A91DF2">
        <w:rPr>
          <w:rStyle w:val="oypena"/>
          <w:rFonts w:ascii="Calibri" w:hAnsi="Calibri"/>
          <w:color w:val="000000"/>
        </w:rPr>
        <w:t xml:space="preserve"> </w:t>
      </w:r>
    </w:p>
    <w:sectPr w:rsidR="002A58C4" w:rsidRPr="00A91D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Segoe UI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B5E9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8A7685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39716105">
    <w:abstractNumId w:val="0"/>
  </w:num>
  <w:num w:numId="2" w16cid:durableId="11952710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823"/>
    <w:rsid w:val="00074D50"/>
    <w:rsid w:val="000A186C"/>
    <w:rsid w:val="000B4444"/>
    <w:rsid w:val="0010268B"/>
    <w:rsid w:val="00161E8E"/>
    <w:rsid w:val="001D5B89"/>
    <w:rsid w:val="00224847"/>
    <w:rsid w:val="00256A7F"/>
    <w:rsid w:val="002A58C4"/>
    <w:rsid w:val="00314654"/>
    <w:rsid w:val="0059536A"/>
    <w:rsid w:val="005D4B26"/>
    <w:rsid w:val="00612876"/>
    <w:rsid w:val="007747A1"/>
    <w:rsid w:val="0077756F"/>
    <w:rsid w:val="008C39A6"/>
    <w:rsid w:val="00937904"/>
    <w:rsid w:val="00A91DF2"/>
    <w:rsid w:val="00B52823"/>
    <w:rsid w:val="00C33C3F"/>
    <w:rsid w:val="00C5408C"/>
    <w:rsid w:val="00D1049E"/>
    <w:rsid w:val="00D612FF"/>
    <w:rsid w:val="00DD5129"/>
    <w:rsid w:val="00E6768B"/>
    <w:rsid w:val="00E8295A"/>
    <w:rsid w:val="00EE6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F44A9A"/>
  <w15:chartTrackingRefBased/>
  <w15:docId w15:val="{DE112751-0FE1-3443-9F49-432E8EA02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28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28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28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28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28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8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28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28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28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28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28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28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28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28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28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28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28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28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28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28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28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28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28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28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28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28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28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28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282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52823"/>
    <w:rPr>
      <w:color w:val="0000FF"/>
      <w:u w:val="single"/>
    </w:rPr>
  </w:style>
  <w:style w:type="paragraph" w:customStyle="1" w:styleId="cvgsua">
    <w:name w:val="cvgsua"/>
    <w:basedOn w:val="Normal"/>
    <w:rsid w:val="00C5408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oypena">
    <w:name w:val="oypena"/>
    <w:basedOn w:val="DefaultParagraphFont"/>
    <w:rsid w:val="00C5408C"/>
  </w:style>
  <w:style w:type="character" w:styleId="UnresolvedMention">
    <w:name w:val="Unresolved Mention"/>
    <w:basedOn w:val="DefaultParagraphFont"/>
    <w:uiPriority w:val="99"/>
    <w:semiHidden/>
    <w:unhideWhenUsed/>
    <w:rsid w:val="00C540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57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legislation.gov.uk/anaw/2015/2/contents/enacted" TargetMode="Externa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334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mckennzie price</dc:creator>
  <cp:keywords/>
  <dc:description/>
  <cp:lastModifiedBy>mckennzie price</cp:lastModifiedBy>
  <cp:revision>5</cp:revision>
  <dcterms:created xsi:type="dcterms:W3CDTF">2024-02-09T13:16:00Z</dcterms:created>
  <dcterms:modified xsi:type="dcterms:W3CDTF">2024-02-28T22:01:00Z</dcterms:modified>
</cp:coreProperties>
</file>