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A201" w14:textId="77777777" w:rsidR="001E7DF0" w:rsidRDefault="00C6203A" w:rsidP="001E7DF0">
      <w:pPr>
        <w:spacing w:after="120" w:line="360" w:lineRule="auto"/>
        <w:jc w:val="both"/>
        <w:rPr>
          <w:rFonts w:ascii="Arial" w:hAnsi="Arial" w:cs="Arial"/>
          <w:b/>
          <w:bCs/>
          <w:sz w:val="24"/>
          <w:szCs w:val="24"/>
        </w:rPr>
      </w:pPr>
      <w:r w:rsidRPr="00C93BC9">
        <w:rPr>
          <w:rFonts w:ascii="Arial" w:hAnsi="Arial" w:cs="Arial"/>
          <w:b/>
          <w:bCs/>
          <w:sz w:val="24"/>
          <w:szCs w:val="24"/>
        </w:rPr>
        <w:t>UWTSD</w:t>
      </w:r>
    </w:p>
    <w:p w14:paraId="59550738" w14:textId="3B49091E" w:rsidR="001E7DF0" w:rsidRDefault="00C6203A" w:rsidP="001E7DF0">
      <w:pPr>
        <w:spacing w:after="120" w:line="360" w:lineRule="auto"/>
        <w:jc w:val="both"/>
        <w:rPr>
          <w:rFonts w:ascii="Arial" w:hAnsi="Arial" w:cs="Arial"/>
          <w:b/>
          <w:bCs/>
          <w:sz w:val="24"/>
          <w:szCs w:val="24"/>
        </w:rPr>
      </w:pPr>
      <w:r w:rsidRPr="00C93BC9">
        <w:rPr>
          <w:rFonts w:ascii="Arial" w:hAnsi="Arial" w:cs="Arial"/>
          <w:b/>
          <w:bCs/>
          <w:sz w:val="24"/>
          <w:szCs w:val="24"/>
        </w:rPr>
        <w:t>BA (Hons) Leadership and Management Skills for the Workplace</w:t>
      </w:r>
    </w:p>
    <w:p w14:paraId="6F2B49D1" w14:textId="64061B5F" w:rsidR="001E7DF0" w:rsidRDefault="00C6203A" w:rsidP="001E7DF0">
      <w:pPr>
        <w:spacing w:after="120" w:line="360" w:lineRule="auto"/>
        <w:jc w:val="both"/>
        <w:rPr>
          <w:rFonts w:ascii="Arial" w:hAnsi="Arial" w:cs="Arial"/>
          <w:b/>
          <w:bCs/>
          <w:sz w:val="24"/>
          <w:szCs w:val="24"/>
        </w:rPr>
      </w:pPr>
      <w:r w:rsidRPr="00C93BC9">
        <w:rPr>
          <w:rFonts w:ascii="Arial" w:hAnsi="Arial" w:cs="Arial"/>
          <w:b/>
          <w:bCs/>
          <w:sz w:val="24"/>
          <w:szCs w:val="24"/>
        </w:rPr>
        <w:t xml:space="preserve">Lecturer: </w:t>
      </w:r>
      <w:r w:rsidRPr="00C93BC9">
        <w:rPr>
          <w:rFonts w:ascii="Arial" w:eastAsia="Arial" w:hAnsi="Arial" w:cs="Arial"/>
          <w:b/>
          <w:bCs/>
          <w:color w:val="000000" w:themeColor="text1"/>
          <w:sz w:val="24"/>
          <w:szCs w:val="24"/>
        </w:rPr>
        <w:t>Rexon Nting</w:t>
      </w:r>
      <w:r>
        <w:rPr>
          <w:rFonts w:ascii="Arial" w:eastAsia="Arial" w:hAnsi="Arial" w:cs="Arial"/>
          <w:b/>
          <w:bCs/>
          <w:color w:val="000000" w:themeColor="text1"/>
          <w:sz w:val="24"/>
          <w:szCs w:val="24"/>
        </w:rPr>
        <w:t xml:space="preserve"> and </w:t>
      </w:r>
      <w:r w:rsidRPr="00C93BC9">
        <w:rPr>
          <w:rFonts w:ascii="Arial" w:eastAsia="Arial" w:hAnsi="Arial" w:cs="Arial"/>
          <w:b/>
          <w:bCs/>
          <w:color w:val="000000" w:themeColor="text1"/>
          <w:sz w:val="24"/>
          <w:szCs w:val="24"/>
        </w:rPr>
        <w:t>Sharin Mcdowall-Emefiele</w:t>
      </w:r>
    </w:p>
    <w:p w14:paraId="01F84B01" w14:textId="332705F6" w:rsidR="00C6203A" w:rsidRDefault="00C6203A" w:rsidP="001E7DF0">
      <w:pPr>
        <w:spacing w:after="120" w:line="360" w:lineRule="auto"/>
        <w:jc w:val="both"/>
        <w:rPr>
          <w:rFonts w:ascii="Arial" w:hAnsi="Arial" w:cs="Arial"/>
          <w:b/>
          <w:bCs/>
          <w:sz w:val="24"/>
          <w:szCs w:val="24"/>
        </w:rPr>
      </w:pPr>
      <w:r w:rsidRPr="00C93BC9">
        <w:rPr>
          <w:rFonts w:ascii="Arial" w:hAnsi="Arial" w:cs="Arial"/>
          <w:b/>
          <w:bCs/>
          <w:sz w:val="24"/>
          <w:szCs w:val="24"/>
        </w:rPr>
        <w:t>Student: Lisa-Maria Fechete – 2239078</w:t>
      </w:r>
    </w:p>
    <w:p w14:paraId="0FDEB3B9" w14:textId="77777777" w:rsidR="001E7DF0" w:rsidRDefault="001E7DF0" w:rsidP="005C0745">
      <w:pPr>
        <w:spacing w:after="120" w:line="360" w:lineRule="auto"/>
        <w:jc w:val="both"/>
        <w:rPr>
          <w:rFonts w:ascii="Arial" w:hAnsi="Arial" w:cs="Arial"/>
          <w:b/>
          <w:bCs/>
          <w:sz w:val="24"/>
          <w:szCs w:val="24"/>
        </w:rPr>
      </w:pPr>
    </w:p>
    <w:p w14:paraId="6510AA98" w14:textId="7B1C831C" w:rsidR="00C6203A" w:rsidRDefault="00C6203A" w:rsidP="005C0745">
      <w:pPr>
        <w:spacing w:after="120" w:line="360" w:lineRule="auto"/>
        <w:jc w:val="both"/>
        <w:rPr>
          <w:rFonts w:ascii="Arial" w:hAnsi="Arial" w:cs="Arial"/>
          <w:b/>
          <w:bCs/>
          <w:sz w:val="24"/>
          <w:szCs w:val="24"/>
        </w:rPr>
      </w:pPr>
      <w:r>
        <w:rPr>
          <w:rFonts w:ascii="Arial" w:hAnsi="Arial" w:cs="Arial"/>
          <w:b/>
          <w:bCs/>
          <w:sz w:val="24"/>
          <w:szCs w:val="24"/>
        </w:rPr>
        <w:t>Part A – Po</w:t>
      </w:r>
      <w:r w:rsidR="00DA3EC2">
        <w:rPr>
          <w:rFonts w:ascii="Arial" w:hAnsi="Arial" w:cs="Arial"/>
          <w:b/>
          <w:bCs/>
          <w:sz w:val="24"/>
          <w:szCs w:val="24"/>
        </w:rPr>
        <w:t>s</w:t>
      </w:r>
      <w:r>
        <w:rPr>
          <w:rFonts w:ascii="Arial" w:hAnsi="Arial" w:cs="Arial"/>
          <w:b/>
          <w:bCs/>
          <w:sz w:val="24"/>
          <w:szCs w:val="24"/>
        </w:rPr>
        <w:t>ter</w:t>
      </w:r>
    </w:p>
    <w:p w14:paraId="5DE2552D" w14:textId="5ACD47A2" w:rsidR="00C6203A" w:rsidRDefault="00C6203A" w:rsidP="005C0745">
      <w:pPr>
        <w:spacing w:after="120" w:line="360" w:lineRule="auto"/>
        <w:jc w:val="both"/>
        <w:rPr>
          <w:rFonts w:ascii="Arial" w:hAnsi="Arial" w:cs="Arial"/>
          <w:b/>
          <w:bCs/>
          <w:sz w:val="24"/>
          <w:szCs w:val="24"/>
        </w:rPr>
      </w:pPr>
      <w:r>
        <w:rPr>
          <w:noProof/>
        </w:rPr>
        <w:drawing>
          <wp:inline distT="0" distB="0" distL="0" distR="0" wp14:anchorId="1041FBF4" wp14:editId="057D1CDF">
            <wp:extent cx="5731510" cy="3223895"/>
            <wp:effectExtent l="0" t="0" r="2540" b="0"/>
            <wp:docPr id="969747006" name="Picture 1" descr="A map of a ro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47006" name="Picture 1" descr="A map of a road with text&#10;&#10;AI-generated content may be incorrect."/>
                    <pic:cNvPicPr/>
                  </pic:nvPicPr>
                  <pic:blipFill>
                    <a:blip r:embed="rId8"/>
                    <a:stretch>
                      <a:fillRect/>
                    </a:stretch>
                  </pic:blipFill>
                  <pic:spPr>
                    <a:xfrm>
                      <a:off x="0" y="0"/>
                      <a:ext cx="5731510" cy="3223895"/>
                    </a:xfrm>
                    <a:prstGeom prst="rect">
                      <a:avLst/>
                    </a:prstGeom>
                  </pic:spPr>
                </pic:pic>
              </a:graphicData>
            </a:graphic>
          </wp:inline>
        </w:drawing>
      </w:r>
    </w:p>
    <w:p w14:paraId="6794BE96" w14:textId="77777777" w:rsidR="001E7DF0" w:rsidRDefault="001E7DF0" w:rsidP="005C0745">
      <w:pPr>
        <w:spacing w:after="120" w:line="360" w:lineRule="auto"/>
        <w:jc w:val="both"/>
        <w:rPr>
          <w:rFonts w:ascii="Arial" w:eastAsia="Arial" w:hAnsi="Arial" w:cs="Arial"/>
          <w:b/>
          <w:bCs/>
          <w:sz w:val="24"/>
          <w:szCs w:val="24"/>
        </w:rPr>
      </w:pPr>
    </w:p>
    <w:p w14:paraId="29009801" w14:textId="6DA17F12" w:rsidR="00C6203A" w:rsidRDefault="00C6203A" w:rsidP="005C0745">
      <w:pPr>
        <w:spacing w:after="120" w:line="360" w:lineRule="auto"/>
        <w:jc w:val="both"/>
        <w:rPr>
          <w:rFonts w:ascii="Arial" w:eastAsia="Arial" w:hAnsi="Arial" w:cs="Arial"/>
          <w:b/>
          <w:bCs/>
          <w:sz w:val="24"/>
          <w:szCs w:val="24"/>
        </w:rPr>
      </w:pPr>
      <w:r>
        <w:rPr>
          <w:rFonts w:ascii="Arial" w:eastAsia="Arial" w:hAnsi="Arial" w:cs="Arial"/>
          <w:b/>
          <w:bCs/>
          <w:sz w:val="24"/>
          <w:szCs w:val="24"/>
        </w:rPr>
        <w:t xml:space="preserve">Part B – </w:t>
      </w:r>
      <w:r w:rsidRPr="00C6203A">
        <w:rPr>
          <w:rFonts w:ascii="Arial" w:eastAsia="Arial" w:hAnsi="Arial" w:cs="Arial"/>
          <w:b/>
          <w:bCs/>
          <w:sz w:val="24"/>
          <w:szCs w:val="24"/>
        </w:rPr>
        <w:t>Reflection on Feedback</w:t>
      </w:r>
    </w:p>
    <w:p w14:paraId="0710940B" w14:textId="77777777" w:rsidR="001E7DF0" w:rsidRPr="001E7DF0" w:rsidRDefault="001E7DF0" w:rsidP="001E7DF0">
      <w:pPr>
        <w:spacing w:after="120" w:line="360" w:lineRule="auto"/>
        <w:ind w:firstLine="720"/>
        <w:jc w:val="both"/>
        <w:rPr>
          <w:rFonts w:ascii="Arial" w:eastAsia="Arial" w:hAnsi="Arial" w:cs="Arial"/>
          <w:sz w:val="24"/>
          <w:szCs w:val="24"/>
        </w:rPr>
      </w:pPr>
      <w:r w:rsidRPr="001E7DF0">
        <w:rPr>
          <w:rFonts w:ascii="Arial" w:eastAsia="Arial" w:hAnsi="Arial" w:cs="Arial"/>
          <w:sz w:val="24"/>
          <w:szCs w:val="24"/>
        </w:rPr>
        <w:t>After presenting my project poster, I received constructive feedback from both my tutor and peers. This feedback was very useful as it helped me understand what I did well and what areas I can improve for the final project plan. The purpose of this reflection is to analyse the strengths and weaknesses identified through feedback and to explain how I plan to apply these insights in the future.</w:t>
      </w:r>
    </w:p>
    <w:p w14:paraId="220C14B5" w14:textId="77777777" w:rsidR="001E7DF0" w:rsidRPr="001E7DF0" w:rsidRDefault="001E7DF0" w:rsidP="001E7DF0">
      <w:pPr>
        <w:spacing w:after="120" w:line="360" w:lineRule="auto"/>
        <w:ind w:firstLine="720"/>
        <w:jc w:val="both"/>
        <w:rPr>
          <w:rFonts w:ascii="Arial" w:eastAsia="Arial" w:hAnsi="Arial" w:cs="Arial"/>
          <w:sz w:val="24"/>
          <w:szCs w:val="24"/>
        </w:rPr>
      </w:pPr>
      <w:r w:rsidRPr="001E7DF0">
        <w:rPr>
          <w:rFonts w:ascii="Arial" w:eastAsia="Arial" w:hAnsi="Arial" w:cs="Arial"/>
          <w:sz w:val="24"/>
          <w:szCs w:val="24"/>
        </w:rPr>
        <w:t xml:space="preserve">According to my tutor and classmates, one of my main strengths was the way I delivered the presentation. I maintained good eye contact with the audience, which helped to create a confident and engaging atmosphere. This showed that I was well-prepared and comfortable with my topic. Another positive aspect highlighted was the clear structure of my presentation. I followed a logical order when explaining each </w:t>
      </w:r>
      <w:r w:rsidRPr="001E7DF0">
        <w:rPr>
          <w:rFonts w:ascii="Arial" w:eastAsia="Arial" w:hAnsi="Arial" w:cs="Arial"/>
          <w:sz w:val="24"/>
          <w:szCs w:val="24"/>
        </w:rPr>
        <w:lastRenderedPageBreak/>
        <w:t>section of the poster, which made it easier for the audience to follow my ideas. I also managed to speak naturally without reading from the board, except for a few details about the timeline and budget, which shows that I had a good understanding of the content and was able to communicate it effectively.</w:t>
      </w:r>
    </w:p>
    <w:p w14:paraId="44832BC3" w14:textId="77777777" w:rsidR="001E7DF0" w:rsidRPr="001E7DF0" w:rsidRDefault="001E7DF0" w:rsidP="001E7DF0">
      <w:pPr>
        <w:spacing w:after="120" w:line="360" w:lineRule="auto"/>
        <w:ind w:firstLine="720"/>
        <w:jc w:val="both"/>
        <w:rPr>
          <w:rFonts w:ascii="Arial" w:eastAsia="Arial" w:hAnsi="Arial" w:cs="Arial"/>
          <w:sz w:val="24"/>
          <w:szCs w:val="24"/>
        </w:rPr>
      </w:pPr>
      <w:r w:rsidRPr="001E7DF0">
        <w:rPr>
          <w:rFonts w:ascii="Arial" w:eastAsia="Arial" w:hAnsi="Arial" w:cs="Arial"/>
          <w:sz w:val="24"/>
          <w:szCs w:val="24"/>
        </w:rPr>
        <w:t>The feedback also confirmed that my visual materials were clear and easy to understand. The layout of the poster, as well as the balance between text and visuals, helped convey the key points of my project efficiently. Overall, I was pleased to hear that my confidence, body language, and clarity of speech created a positive impression and that I successfully captured the audience’s attention.</w:t>
      </w:r>
    </w:p>
    <w:p w14:paraId="7732A0AB" w14:textId="77777777" w:rsidR="001E7DF0" w:rsidRPr="001E7DF0" w:rsidRDefault="001E7DF0" w:rsidP="001E7DF0">
      <w:pPr>
        <w:spacing w:after="120" w:line="360" w:lineRule="auto"/>
        <w:ind w:firstLine="720"/>
        <w:jc w:val="both"/>
        <w:rPr>
          <w:rFonts w:ascii="Arial" w:eastAsia="Arial" w:hAnsi="Arial" w:cs="Arial"/>
          <w:sz w:val="24"/>
          <w:szCs w:val="24"/>
        </w:rPr>
      </w:pPr>
      <w:r w:rsidRPr="001E7DF0">
        <w:rPr>
          <w:rFonts w:ascii="Arial" w:eastAsia="Arial" w:hAnsi="Arial" w:cs="Arial"/>
          <w:sz w:val="24"/>
          <w:szCs w:val="24"/>
        </w:rPr>
        <w:t>However, both my tutor and peers mentioned that I missed including a few elements that were covered during the lessons. Although my presentation was strong in delivery, it lacked some theoretical components and supporting information that were expected to be shown in the poster. This feedback made me realise that I need to review the course materials more carefully to ensure that all required aspects are included in the final version. I also recognised the importance of aligning my work more closely with the marking criteria, so that the content is not only visually appealing but also academically complete.</w:t>
      </w:r>
    </w:p>
    <w:p w14:paraId="6C4AAF3D" w14:textId="77777777" w:rsidR="001E7DF0" w:rsidRPr="001E7DF0" w:rsidRDefault="001E7DF0" w:rsidP="001E7DF0">
      <w:pPr>
        <w:spacing w:after="120" w:line="360" w:lineRule="auto"/>
        <w:ind w:firstLine="720"/>
        <w:jc w:val="both"/>
        <w:rPr>
          <w:rFonts w:ascii="Arial" w:eastAsia="Arial" w:hAnsi="Arial" w:cs="Arial"/>
          <w:sz w:val="24"/>
          <w:szCs w:val="24"/>
        </w:rPr>
      </w:pPr>
      <w:r w:rsidRPr="001E7DF0">
        <w:rPr>
          <w:rFonts w:ascii="Arial" w:eastAsia="Arial" w:hAnsi="Arial" w:cs="Arial"/>
          <w:sz w:val="24"/>
          <w:szCs w:val="24"/>
        </w:rPr>
        <w:t>Based on this feedback, my plan for improvement is to revisit the topics discussed in class and check which elements were missing. I will make sure that the final project plan includes all necessary components such as detailed analysis, relevant theories, and clear links to learning outcomes. Additionally, I intend to practise my presentation skills further to reduce the need to read from notes, aiming for an even smoother and more confident delivery.</w:t>
      </w:r>
    </w:p>
    <w:p w14:paraId="08319F64" w14:textId="77777777" w:rsidR="001E7DF0" w:rsidRPr="001E7DF0" w:rsidRDefault="001E7DF0" w:rsidP="001E7DF0">
      <w:pPr>
        <w:spacing w:after="120" w:line="360" w:lineRule="auto"/>
        <w:ind w:firstLine="720"/>
        <w:jc w:val="both"/>
        <w:rPr>
          <w:rFonts w:ascii="Arial" w:eastAsia="Arial" w:hAnsi="Arial" w:cs="Arial"/>
          <w:sz w:val="24"/>
          <w:szCs w:val="24"/>
        </w:rPr>
      </w:pPr>
      <w:r w:rsidRPr="001E7DF0">
        <w:rPr>
          <w:rFonts w:ascii="Arial" w:eastAsia="Arial" w:hAnsi="Arial" w:cs="Arial"/>
          <w:sz w:val="24"/>
          <w:szCs w:val="24"/>
        </w:rPr>
        <w:t>Reflecting on this experience, I learned that effective communication involves both confident delivery and comprehensive content. Feedback helped me see that even if my presentation skills are strong, academic completeness is equally important. I also realised that peer and tutor comments are valuable tools for self-development, as they provide an external perspective that I might not notice myself.</w:t>
      </w:r>
    </w:p>
    <w:p w14:paraId="35F788C4" w14:textId="334B1678" w:rsidR="00C6203A" w:rsidRDefault="001E7DF0" w:rsidP="005C0745">
      <w:pPr>
        <w:spacing w:after="120" w:line="360" w:lineRule="auto"/>
        <w:jc w:val="both"/>
        <w:rPr>
          <w:rFonts w:ascii="Arial" w:eastAsia="Arial" w:hAnsi="Arial" w:cs="Arial"/>
          <w:sz w:val="24"/>
          <w:szCs w:val="24"/>
        </w:rPr>
      </w:pPr>
      <w:r w:rsidRPr="001E7DF0">
        <w:rPr>
          <w:rFonts w:ascii="Arial" w:eastAsia="Arial" w:hAnsi="Arial" w:cs="Arial"/>
          <w:sz w:val="24"/>
          <w:szCs w:val="24"/>
        </w:rPr>
        <w:t xml:space="preserve">In conclusion, this experience taught me how to balance content and delivery in future presentations. I will </w:t>
      </w:r>
      <w:r w:rsidR="00D06531" w:rsidRPr="001E7DF0">
        <w:rPr>
          <w:rFonts w:ascii="Arial" w:eastAsia="Arial" w:hAnsi="Arial" w:cs="Arial"/>
          <w:sz w:val="24"/>
          <w:szCs w:val="24"/>
        </w:rPr>
        <w:t>consider</w:t>
      </w:r>
      <w:r w:rsidRPr="001E7DF0">
        <w:rPr>
          <w:rFonts w:ascii="Arial" w:eastAsia="Arial" w:hAnsi="Arial" w:cs="Arial"/>
          <w:sz w:val="24"/>
          <w:szCs w:val="24"/>
        </w:rPr>
        <w:t xml:space="preserve"> the feedback I received to enhance the final project by including the missing theoretical parts and improving my overall performance. Receiving positive and constructive feedback has increased my motivation and given </w:t>
      </w:r>
      <w:r w:rsidRPr="001E7DF0">
        <w:rPr>
          <w:rFonts w:ascii="Arial" w:eastAsia="Arial" w:hAnsi="Arial" w:cs="Arial"/>
          <w:sz w:val="24"/>
          <w:szCs w:val="24"/>
        </w:rPr>
        <w:lastRenderedPageBreak/>
        <w:t>me a clearer direction for how to develop my academic and presentation skills going forward.</w:t>
      </w:r>
    </w:p>
    <w:p w14:paraId="00522185" w14:textId="77777777" w:rsidR="001E7DF0" w:rsidRPr="001E7DF0" w:rsidRDefault="001E7DF0" w:rsidP="005C0745">
      <w:pPr>
        <w:spacing w:after="120" w:line="360" w:lineRule="auto"/>
        <w:jc w:val="both"/>
        <w:rPr>
          <w:rFonts w:ascii="Arial" w:eastAsia="Arial" w:hAnsi="Arial" w:cs="Arial"/>
          <w:sz w:val="24"/>
          <w:szCs w:val="24"/>
        </w:rPr>
      </w:pPr>
    </w:p>
    <w:p w14:paraId="6085A5B4" w14:textId="4FC3A1DE" w:rsidR="004A1E66" w:rsidRPr="00C93BC9" w:rsidRDefault="00C93BC9" w:rsidP="001E7DF0">
      <w:pPr>
        <w:spacing w:after="120" w:line="360" w:lineRule="auto"/>
        <w:jc w:val="both"/>
        <w:rPr>
          <w:rFonts w:ascii="Arial" w:eastAsia="Arial" w:hAnsi="Arial" w:cs="Arial"/>
          <w:b/>
          <w:bCs/>
          <w:sz w:val="24"/>
          <w:szCs w:val="24"/>
        </w:rPr>
      </w:pPr>
      <w:r w:rsidRPr="00C93BC9">
        <w:rPr>
          <w:rFonts w:ascii="Arial" w:eastAsia="Arial" w:hAnsi="Arial" w:cs="Arial"/>
          <w:b/>
          <w:bCs/>
          <w:sz w:val="24"/>
          <w:szCs w:val="24"/>
        </w:rPr>
        <w:t>Part C - Project management plan</w:t>
      </w:r>
    </w:p>
    <w:p w14:paraId="5527F147" w14:textId="3B8BB86D" w:rsidR="00C93BC9" w:rsidRPr="00C93BC9" w:rsidRDefault="00742CC8" w:rsidP="005C0745">
      <w:pPr>
        <w:pStyle w:val="ListParagraph"/>
        <w:numPr>
          <w:ilvl w:val="0"/>
          <w:numId w:val="24"/>
        </w:numPr>
        <w:spacing w:line="360" w:lineRule="auto"/>
        <w:rPr>
          <w:rFonts w:ascii="Arial" w:hAnsi="Arial" w:cs="Arial"/>
          <w:sz w:val="24"/>
          <w:szCs w:val="24"/>
        </w:rPr>
      </w:pPr>
      <w:r w:rsidRPr="00C93BC9">
        <w:rPr>
          <w:rFonts w:ascii="Arial" w:hAnsi="Arial" w:cs="Arial"/>
          <w:sz w:val="24"/>
          <w:szCs w:val="24"/>
        </w:rPr>
        <w:t>Introduction</w:t>
      </w:r>
    </w:p>
    <w:p w14:paraId="68D8759F" w14:textId="66008F0E" w:rsidR="00E920FB" w:rsidRPr="00C93BC9" w:rsidRDefault="00E920FB" w:rsidP="005C0745">
      <w:pPr>
        <w:spacing w:line="360" w:lineRule="auto"/>
        <w:ind w:firstLine="720"/>
        <w:rPr>
          <w:rFonts w:ascii="Arial" w:hAnsi="Arial" w:cs="Arial"/>
          <w:sz w:val="24"/>
          <w:szCs w:val="24"/>
        </w:rPr>
      </w:pPr>
      <w:r w:rsidRPr="00C93BC9">
        <w:rPr>
          <w:rFonts w:ascii="Arial" w:hAnsi="Arial" w:cs="Arial"/>
          <w:sz w:val="24"/>
          <w:szCs w:val="24"/>
        </w:rPr>
        <w:t>Project management has become a critical discipline in modern organisations, enabling businesses to deliver complex initiatives on time, within budget, and to the required quality. As consumer expectations evolve and competitive pressures intensify, retail organisations such as Sainsbury’s must adopt structured project management approaches to remain efficient and innovative. A project management plan (PMP) provides the foundation for planning, monitoring, and controlling project activities, ensuring alignment with organisational objectives and stakeholder expectations (PMI, 2021).</w:t>
      </w:r>
    </w:p>
    <w:p w14:paraId="532553C4" w14:textId="77777777" w:rsidR="00E920FB" w:rsidRPr="00C93BC9" w:rsidRDefault="00E920FB" w:rsidP="005C0745">
      <w:pPr>
        <w:spacing w:line="360" w:lineRule="auto"/>
        <w:ind w:firstLine="720"/>
        <w:rPr>
          <w:rFonts w:ascii="Arial" w:hAnsi="Arial" w:cs="Arial"/>
          <w:sz w:val="24"/>
          <w:szCs w:val="24"/>
        </w:rPr>
      </w:pPr>
      <w:r w:rsidRPr="00C93BC9">
        <w:rPr>
          <w:rFonts w:ascii="Arial" w:hAnsi="Arial" w:cs="Arial"/>
          <w:sz w:val="24"/>
          <w:szCs w:val="24"/>
        </w:rPr>
        <w:t>This plan focuses on Sainsbury’s “Smart Retail Transformation Project,” an initiative designed to enhance operational efficiency and customer experience through the deployment of self-service automation and AI-driven analytics. The project reflects the increasing need for retailers to integrate advanced technology into their operations, addressing challenges such as rising labour costs, supply chain complexities, and the growing demand for personalised shopping experiences (Meredith &amp; Shafer, 2020). By applying established project management methodologies, including Work Breakdown Structures (WBS), Gantt charts, stakeholder analysis, and risk assessment, this plan demonstrates how theory can be translated into practical outcomes.</w:t>
      </w:r>
    </w:p>
    <w:p w14:paraId="640166BA" w14:textId="77777777" w:rsidR="00742CC8" w:rsidRPr="00C93BC9" w:rsidRDefault="00E920FB" w:rsidP="005C0745">
      <w:pPr>
        <w:spacing w:line="360" w:lineRule="auto"/>
        <w:ind w:firstLine="720"/>
        <w:rPr>
          <w:rFonts w:ascii="Arial" w:hAnsi="Arial" w:cs="Arial"/>
          <w:sz w:val="24"/>
          <w:szCs w:val="24"/>
        </w:rPr>
      </w:pPr>
      <w:r w:rsidRPr="00C93BC9">
        <w:rPr>
          <w:rFonts w:ascii="Arial" w:hAnsi="Arial" w:cs="Arial"/>
          <w:sz w:val="24"/>
          <w:szCs w:val="24"/>
        </w:rPr>
        <w:t>The introduction establishes the rationale for the project and sets the tone for subsequent sections. It highlights the importance of structured planning, stakeholder engagement, and effective resource allocation in ensuring successful project delivery within Sainsbury’s competitive retail environment.</w:t>
      </w:r>
    </w:p>
    <w:p w14:paraId="51620D1C" w14:textId="77777777" w:rsidR="00A63EAA" w:rsidRPr="00C93BC9" w:rsidRDefault="00742CC8" w:rsidP="005C0745">
      <w:pPr>
        <w:pStyle w:val="ListParagraph"/>
        <w:numPr>
          <w:ilvl w:val="0"/>
          <w:numId w:val="24"/>
        </w:numPr>
        <w:spacing w:line="360" w:lineRule="auto"/>
        <w:rPr>
          <w:rFonts w:ascii="Arial" w:hAnsi="Arial" w:cs="Arial"/>
          <w:sz w:val="24"/>
          <w:szCs w:val="24"/>
        </w:rPr>
      </w:pPr>
      <w:r w:rsidRPr="00C93BC9">
        <w:rPr>
          <w:rFonts w:ascii="Arial" w:hAnsi="Arial" w:cs="Arial"/>
          <w:sz w:val="24"/>
          <w:szCs w:val="24"/>
        </w:rPr>
        <w:t>Project description</w:t>
      </w:r>
    </w:p>
    <w:p w14:paraId="4D223E4E" w14:textId="1A5BDE0B"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 xml:space="preserve">The Smart Retail Transformation Project at Sainsbury’s is a strategic initiative aimed at modernising operations and enhancing customer engagement through the integration of advanced technologies. The project involves three key components: </w:t>
      </w:r>
      <w:r w:rsidRPr="00C93BC9">
        <w:rPr>
          <w:rFonts w:ascii="Arial" w:hAnsi="Arial" w:cs="Arial"/>
          <w:sz w:val="24"/>
          <w:szCs w:val="24"/>
        </w:rPr>
        <w:lastRenderedPageBreak/>
        <w:t>upgrading in-store self-service checkouts, implementing AI-driven customer analytics platforms, and streamlining supply chain systems using automation. Collectively, these elements are designed to improve efficiency, reduce operational costs, and deliver a more seamless customer experience.</w:t>
      </w:r>
    </w:p>
    <w:p w14:paraId="35BD084F" w14:textId="77777777"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The project responds to several external and internal pressures. Externally, UK retailers face heightened competition from online giants such as Amazon, which leverage data analytics and automation to dominate the market (Deloitte, 2022). Internally, Sainsbury’s has identified inefficiencies in its legacy checkout and inventory systems, as well as rising labour costs, which reduce profit margins. By introducing self-service and predictive analytics, the company aims to optimise workforce deployment, improve inventory accuracy, and offer personalised promotions to customers.</w:t>
      </w:r>
    </w:p>
    <w:p w14:paraId="2FF48D9A" w14:textId="77777777"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The expected outcomes of the project include shorter checkout times, increased customer satisfaction, reduced operational costs, and better decision-making through real-time data insights. Successful implementation will also support Sainsbury’s long-term strategy of becoming a digital-first retailer while maintaining its reputation for quality and value. The project is therefore both a technological upgrade and a transformational step towards maintaining competitiveness in the rapidly evolving retail sector.</w:t>
      </w:r>
    </w:p>
    <w:p w14:paraId="61B799D1" w14:textId="2EDE5FC2" w:rsidR="00D563A5" w:rsidRPr="00C93BC9" w:rsidRDefault="00742CC8" w:rsidP="005C0745">
      <w:pPr>
        <w:pStyle w:val="ListParagraph"/>
        <w:numPr>
          <w:ilvl w:val="0"/>
          <w:numId w:val="24"/>
        </w:numPr>
        <w:spacing w:line="360" w:lineRule="auto"/>
        <w:rPr>
          <w:rFonts w:ascii="Arial" w:hAnsi="Arial" w:cs="Arial"/>
          <w:sz w:val="24"/>
          <w:szCs w:val="24"/>
        </w:rPr>
      </w:pPr>
      <w:r w:rsidRPr="00C93BC9">
        <w:rPr>
          <w:rFonts w:ascii="Arial" w:hAnsi="Arial" w:cs="Arial"/>
          <w:sz w:val="24"/>
          <w:szCs w:val="24"/>
        </w:rPr>
        <w:t>Scope</w:t>
      </w:r>
    </w:p>
    <w:p w14:paraId="47B5F2A7" w14:textId="77777777"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The scope of the Smart Retail Transformation Project at Sainsbury’s outlines the boundaries of work required to deliver the agreed objectives. Clearly defining scope ensures that all stakeholders share a common understanding of what is included and excluded, thereby minimising risks of misalignment or scope creep (Kerzner, 2017).</w:t>
      </w:r>
    </w:p>
    <w:p w14:paraId="2A2AC676"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Inclusions:</w:t>
      </w:r>
    </w:p>
    <w:p w14:paraId="460C75E2" w14:textId="77777777" w:rsidR="00D563A5" w:rsidRPr="00C93BC9" w:rsidRDefault="00D563A5" w:rsidP="005C0745">
      <w:pPr>
        <w:numPr>
          <w:ilvl w:val="0"/>
          <w:numId w:val="1"/>
        </w:numPr>
        <w:spacing w:line="360" w:lineRule="auto"/>
        <w:rPr>
          <w:rFonts w:ascii="Arial" w:hAnsi="Arial" w:cs="Arial"/>
          <w:sz w:val="24"/>
          <w:szCs w:val="24"/>
        </w:rPr>
      </w:pPr>
      <w:r w:rsidRPr="00C93BC9">
        <w:rPr>
          <w:rFonts w:ascii="Arial" w:hAnsi="Arial" w:cs="Arial"/>
          <w:sz w:val="24"/>
          <w:szCs w:val="24"/>
        </w:rPr>
        <w:t>Deployment of upgraded self-service checkout machines across flagship stores and eventual rollout to selected regional outlets.</w:t>
      </w:r>
    </w:p>
    <w:p w14:paraId="671330D9" w14:textId="77777777" w:rsidR="00D563A5" w:rsidRPr="00C93BC9" w:rsidRDefault="00D563A5" w:rsidP="005C0745">
      <w:pPr>
        <w:numPr>
          <w:ilvl w:val="0"/>
          <w:numId w:val="1"/>
        </w:numPr>
        <w:spacing w:line="360" w:lineRule="auto"/>
        <w:rPr>
          <w:rFonts w:ascii="Arial" w:hAnsi="Arial" w:cs="Arial"/>
          <w:sz w:val="24"/>
          <w:szCs w:val="24"/>
        </w:rPr>
      </w:pPr>
      <w:r w:rsidRPr="00C93BC9">
        <w:rPr>
          <w:rFonts w:ascii="Arial" w:hAnsi="Arial" w:cs="Arial"/>
          <w:sz w:val="24"/>
          <w:szCs w:val="24"/>
        </w:rPr>
        <w:t>Implementation of AI-driven customer analytics platforms to gather, process, and utilise consumer behaviour data for targeted promotions and stock management.</w:t>
      </w:r>
    </w:p>
    <w:p w14:paraId="6645D530" w14:textId="77777777" w:rsidR="00D563A5" w:rsidRPr="00C93BC9" w:rsidRDefault="00D563A5" w:rsidP="005C0745">
      <w:pPr>
        <w:numPr>
          <w:ilvl w:val="0"/>
          <w:numId w:val="1"/>
        </w:numPr>
        <w:spacing w:line="360" w:lineRule="auto"/>
        <w:rPr>
          <w:rFonts w:ascii="Arial" w:hAnsi="Arial" w:cs="Arial"/>
          <w:sz w:val="24"/>
          <w:szCs w:val="24"/>
        </w:rPr>
      </w:pPr>
      <w:r w:rsidRPr="00C93BC9">
        <w:rPr>
          <w:rFonts w:ascii="Arial" w:hAnsi="Arial" w:cs="Arial"/>
          <w:sz w:val="24"/>
          <w:szCs w:val="24"/>
        </w:rPr>
        <w:lastRenderedPageBreak/>
        <w:t>Integration of supply chain automation tools, including predictive demand planning and automated replenishment systems.</w:t>
      </w:r>
    </w:p>
    <w:p w14:paraId="201082E8" w14:textId="77777777" w:rsidR="00D563A5" w:rsidRPr="00C93BC9" w:rsidRDefault="00D563A5" w:rsidP="005C0745">
      <w:pPr>
        <w:numPr>
          <w:ilvl w:val="0"/>
          <w:numId w:val="1"/>
        </w:numPr>
        <w:spacing w:line="360" w:lineRule="auto"/>
        <w:rPr>
          <w:rFonts w:ascii="Arial" w:hAnsi="Arial" w:cs="Arial"/>
          <w:sz w:val="24"/>
          <w:szCs w:val="24"/>
        </w:rPr>
      </w:pPr>
      <w:r w:rsidRPr="00C93BC9">
        <w:rPr>
          <w:rFonts w:ascii="Arial" w:hAnsi="Arial" w:cs="Arial"/>
          <w:sz w:val="24"/>
          <w:szCs w:val="24"/>
        </w:rPr>
        <w:t>Training programmes for employees to support adoption of new technologies.</w:t>
      </w:r>
    </w:p>
    <w:p w14:paraId="347ACA69" w14:textId="77777777" w:rsidR="00D563A5" w:rsidRPr="00C93BC9" w:rsidRDefault="00D563A5" w:rsidP="005C0745">
      <w:pPr>
        <w:numPr>
          <w:ilvl w:val="0"/>
          <w:numId w:val="1"/>
        </w:numPr>
        <w:spacing w:line="360" w:lineRule="auto"/>
        <w:rPr>
          <w:rFonts w:ascii="Arial" w:hAnsi="Arial" w:cs="Arial"/>
          <w:sz w:val="24"/>
          <w:szCs w:val="24"/>
        </w:rPr>
      </w:pPr>
      <w:r w:rsidRPr="00C93BC9">
        <w:rPr>
          <w:rFonts w:ascii="Arial" w:hAnsi="Arial" w:cs="Arial"/>
          <w:sz w:val="24"/>
          <w:szCs w:val="24"/>
        </w:rPr>
        <w:t>Development of customer support channels to address queries and technical issues related to new systems.</w:t>
      </w:r>
    </w:p>
    <w:p w14:paraId="65B3E699"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Exclusions:</w:t>
      </w:r>
    </w:p>
    <w:p w14:paraId="41A26E39" w14:textId="77777777" w:rsidR="00D563A5" w:rsidRPr="00C93BC9" w:rsidRDefault="00D563A5" w:rsidP="005C0745">
      <w:pPr>
        <w:numPr>
          <w:ilvl w:val="0"/>
          <w:numId w:val="2"/>
        </w:numPr>
        <w:spacing w:line="360" w:lineRule="auto"/>
        <w:rPr>
          <w:rFonts w:ascii="Arial" w:hAnsi="Arial" w:cs="Arial"/>
          <w:sz w:val="24"/>
          <w:szCs w:val="24"/>
        </w:rPr>
      </w:pPr>
      <w:r w:rsidRPr="00C93BC9">
        <w:rPr>
          <w:rFonts w:ascii="Arial" w:hAnsi="Arial" w:cs="Arial"/>
          <w:sz w:val="24"/>
          <w:szCs w:val="24"/>
        </w:rPr>
        <w:t>Full replacement of all checkout systems nationwide at this stage; the project is limited to priority stores only.</w:t>
      </w:r>
    </w:p>
    <w:p w14:paraId="0F6B571A" w14:textId="77777777" w:rsidR="00D563A5" w:rsidRPr="00C93BC9" w:rsidRDefault="00D563A5" w:rsidP="005C0745">
      <w:pPr>
        <w:numPr>
          <w:ilvl w:val="0"/>
          <w:numId w:val="2"/>
        </w:numPr>
        <w:spacing w:line="360" w:lineRule="auto"/>
        <w:rPr>
          <w:rFonts w:ascii="Arial" w:hAnsi="Arial" w:cs="Arial"/>
          <w:sz w:val="24"/>
          <w:szCs w:val="24"/>
        </w:rPr>
      </w:pPr>
      <w:r w:rsidRPr="00C93BC9">
        <w:rPr>
          <w:rFonts w:ascii="Arial" w:hAnsi="Arial" w:cs="Arial"/>
          <w:sz w:val="24"/>
          <w:szCs w:val="24"/>
        </w:rPr>
        <w:t>Broader marketing campaigns beyond those directly linked to new technologies.</w:t>
      </w:r>
    </w:p>
    <w:p w14:paraId="23F9447B" w14:textId="77777777" w:rsidR="00D563A5" w:rsidRPr="00C93BC9" w:rsidRDefault="00D563A5" w:rsidP="005C0745">
      <w:pPr>
        <w:numPr>
          <w:ilvl w:val="0"/>
          <w:numId w:val="2"/>
        </w:numPr>
        <w:spacing w:line="360" w:lineRule="auto"/>
        <w:rPr>
          <w:rFonts w:ascii="Arial" w:hAnsi="Arial" w:cs="Arial"/>
          <w:sz w:val="24"/>
          <w:szCs w:val="24"/>
        </w:rPr>
      </w:pPr>
      <w:r w:rsidRPr="00C93BC9">
        <w:rPr>
          <w:rFonts w:ascii="Arial" w:hAnsi="Arial" w:cs="Arial"/>
          <w:sz w:val="24"/>
          <w:szCs w:val="24"/>
        </w:rPr>
        <w:t>Structural refurbishments or non-technology related store improvements.</w:t>
      </w:r>
    </w:p>
    <w:p w14:paraId="2CC4F9D4" w14:textId="77777777" w:rsidR="00D563A5" w:rsidRPr="00C93BC9" w:rsidRDefault="00D563A5" w:rsidP="005C0745">
      <w:pPr>
        <w:numPr>
          <w:ilvl w:val="0"/>
          <w:numId w:val="2"/>
        </w:numPr>
        <w:spacing w:line="360" w:lineRule="auto"/>
        <w:rPr>
          <w:rFonts w:ascii="Arial" w:hAnsi="Arial" w:cs="Arial"/>
          <w:sz w:val="24"/>
          <w:szCs w:val="24"/>
        </w:rPr>
      </w:pPr>
      <w:r w:rsidRPr="00C93BC9">
        <w:rPr>
          <w:rFonts w:ascii="Arial" w:hAnsi="Arial" w:cs="Arial"/>
          <w:sz w:val="24"/>
          <w:szCs w:val="24"/>
        </w:rPr>
        <w:t>Expansion into international markets, as the project is UK-specific.</w:t>
      </w:r>
    </w:p>
    <w:p w14:paraId="1BB0F703" w14:textId="77777777" w:rsidR="00D563A5" w:rsidRPr="00C93BC9" w:rsidRDefault="00D563A5" w:rsidP="005C0745">
      <w:pPr>
        <w:spacing w:line="360" w:lineRule="auto"/>
        <w:rPr>
          <w:rFonts w:ascii="Arial" w:hAnsi="Arial" w:cs="Arial"/>
          <w:sz w:val="24"/>
          <w:szCs w:val="24"/>
        </w:rPr>
      </w:pPr>
      <w:r w:rsidRPr="00C93BC9">
        <w:rPr>
          <w:rFonts w:ascii="Arial" w:hAnsi="Arial" w:cs="Arial"/>
          <w:sz w:val="24"/>
          <w:szCs w:val="24"/>
        </w:rPr>
        <w:t>The project will be deemed successful when upgraded technologies are fully operational in selected stores, employees are adequately trained, and measurable improvements in efficiency and customer satisfaction are achieved. Scope control will be managed through change request processes, ensuring alignment with objectives, timelines, and budgetary constraints.</w:t>
      </w:r>
    </w:p>
    <w:p w14:paraId="6C1F25A4" w14:textId="6069A86F" w:rsidR="00D563A5" w:rsidRPr="00C93BC9" w:rsidRDefault="00742CC8" w:rsidP="005C0745">
      <w:pPr>
        <w:pStyle w:val="ListParagraph"/>
        <w:numPr>
          <w:ilvl w:val="0"/>
          <w:numId w:val="24"/>
        </w:numPr>
        <w:spacing w:line="360" w:lineRule="auto"/>
        <w:rPr>
          <w:rFonts w:ascii="Arial" w:hAnsi="Arial" w:cs="Arial"/>
          <w:sz w:val="24"/>
          <w:szCs w:val="24"/>
        </w:rPr>
      </w:pPr>
      <w:r w:rsidRPr="00C93BC9">
        <w:rPr>
          <w:rFonts w:ascii="Arial" w:hAnsi="Arial" w:cs="Arial"/>
          <w:sz w:val="24"/>
          <w:szCs w:val="24"/>
          <w:lang w:val="en-US"/>
        </w:rPr>
        <w:t>Work breakdown structure</w:t>
      </w:r>
    </w:p>
    <w:p w14:paraId="73CC693F" w14:textId="77777777"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A Work Breakdown Structure (WBS) is a hierarchical decomposition of project deliverables into smaller, more manageable components. It enables project managers to allocate responsibilities, monitor progress, and ensure that all necessary tasks are identified (PMI, 2021). For Sainsbury’s Smart Retail Transformation Project, the WBS is structured into four main phases, each with associated work packages.</w:t>
      </w:r>
    </w:p>
    <w:p w14:paraId="03EE9797"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Level 1: Project Initiation</w:t>
      </w:r>
    </w:p>
    <w:p w14:paraId="733A3F83" w14:textId="77777777" w:rsidR="00D563A5" w:rsidRPr="00C93BC9" w:rsidRDefault="00D563A5" w:rsidP="005C0745">
      <w:pPr>
        <w:numPr>
          <w:ilvl w:val="0"/>
          <w:numId w:val="3"/>
        </w:numPr>
        <w:spacing w:line="360" w:lineRule="auto"/>
        <w:rPr>
          <w:rFonts w:ascii="Arial" w:hAnsi="Arial" w:cs="Arial"/>
          <w:sz w:val="24"/>
          <w:szCs w:val="24"/>
        </w:rPr>
      </w:pPr>
      <w:r w:rsidRPr="00C93BC9">
        <w:rPr>
          <w:rFonts w:ascii="Arial" w:hAnsi="Arial" w:cs="Arial"/>
          <w:sz w:val="24"/>
          <w:szCs w:val="24"/>
        </w:rPr>
        <w:t>Define project objectives and business case.</w:t>
      </w:r>
    </w:p>
    <w:p w14:paraId="1CA3859E" w14:textId="77777777" w:rsidR="00D563A5" w:rsidRPr="00C93BC9" w:rsidRDefault="00D563A5" w:rsidP="005C0745">
      <w:pPr>
        <w:numPr>
          <w:ilvl w:val="0"/>
          <w:numId w:val="3"/>
        </w:numPr>
        <w:spacing w:line="360" w:lineRule="auto"/>
        <w:rPr>
          <w:rFonts w:ascii="Arial" w:hAnsi="Arial" w:cs="Arial"/>
          <w:sz w:val="24"/>
          <w:szCs w:val="24"/>
        </w:rPr>
      </w:pPr>
      <w:r w:rsidRPr="00C93BC9">
        <w:rPr>
          <w:rFonts w:ascii="Arial" w:hAnsi="Arial" w:cs="Arial"/>
          <w:sz w:val="24"/>
          <w:szCs w:val="24"/>
        </w:rPr>
        <w:t>Appoint project manager and establish governance structure.</w:t>
      </w:r>
    </w:p>
    <w:p w14:paraId="4849D025" w14:textId="77777777" w:rsidR="00D563A5" w:rsidRPr="00C93BC9" w:rsidRDefault="00D563A5" w:rsidP="005C0745">
      <w:pPr>
        <w:numPr>
          <w:ilvl w:val="0"/>
          <w:numId w:val="3"/>
        </w:numPr>
        <w:spacing w:line="360" w:lineRule="auto"/>
        <w:rPr>
          <w:rFonts w:ascii="Arial" w:hAnsi="Arial" w:cs="Arial"/>
          <w:sz w:val="24"/>
          <w:szCs w:val="24"/>
        </w:rPr>
      </w:pPr>
      <w:r w:rsidRPr="00C93BC9">
        <w:rPr>
          <w:rFonts w:ascii="Arial" w:hAnsi="Arial" w:cs="Arial"/>
          <w:sz w:val="24"/>
          <w:szCs w:val="24"/>
        </w:rPr>
        <w:t>Secure stakeholder approvals and allocate initial budget.</w:t>
      </w:r>
    </w:p>
    <w:p w14:paraId="52C2FBCC"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lastRenderedPageBreak/>
        <w:t>Level 2: Planning</w:t>
      </w:r>
    </w:p>
    <w:p w14:paraId="1D42B194" w14:textId="77777777" w:rsidR="00D563A5" w:rsidRPr="00C93BC9" w:rsidRDefault="00D563A5" w:rsidP="005C0745">
      <w:pPr>
        <w:numPr>
          <w:ilvl w:val="0"/>
          <w:numId w:val="4"/>
        </w:numPr>
        <w:spacing w:line="360" w:lineRule="auto"/>
        <w:rPr>
          <w:rFonts w:ascii="Arial" w:hAnsi="Arial" w:cs="Arial"/>
          <w:sz w:val="24"/>
          <w:szCs w:val="24"/>
        </w:rPr>
      </w:pPr>
      <w:r w:rsidRPr="00C93BC9">
        <w:rPr>
          <w:rFonts w:ascii="Arial" w:hAnsi="Arial" w:cs="Arial"/>
          <w:sz w:val="24"/>
          <w:szCs w:val="24"/>
        </w:rPr>
        <w:t>Develop detailed project schedule and milestones.</w:t>
      </w:r>
    </w:p>
    <w:p w14:paraId="22A346E5" w14:textId="77777777" w:rsidR="00D563A5" w:rsidRPr="00C93BC9" w:rsidRDefault="00D563A5" w:rsidP="005C0745">
      <w:pPr>
        <w:numPr>
          <w:ilvl w:val="0"/>
          <w:numId w:val="4"/>
        </w:numPr>
        <w:spacing w:line="360" w:lineRule="auto"/>
        <w:rPr>
          <w:rFonts w:ascii="Arial" w:hAnsi="Arial" w:cs="Arial"/>
          <w:sz w:val="24"/>
          <w:szCs w:val="24"/>
        </w:rPr>
      </w:pPr>
      <w:r w:rsidRPr="00C93BC9">
        <w:rPr>
          <w:rFonts w:ascii="Arial" w:hAnsi="Arial" w:cs="Arial"/>
          <w:sz w:val="24"/>
          <w:szCs w:val="24"/>
        </w:rPr>
        <w:t>Identify suppliers and negotiate contracts for hardware and software.</w:t>
      </w:r>
    </w:p>
    <w:p w14:paraId="6CE387A5" w14:textId="77777777" w:rsidR="00D563A5" w:rsidRPr="00C93BC9" w:rsidRDefault="00D563A5" w:rsidP="005C0745">
      <w:pPr>
        <w:numPr>
          <w:ilvl w:val="0"/>
          <w:numId w:val="4"/>
        </w:numPr>
        <w:spacing w:line="360" w:lineRule="auto"/>
        <w:rPr>
          <w:rFonts w:ascii="Arial" w:hAnsi="Arial" w:cs="Arial"/>
          <w:sz w:val="24"/>
          <w:szCs w:val="24"/>
        </w:rPr>
      </w:pPr>
      <w:r w:rsidRPr="00C93BC9">
        <w:rPr>
          <w:rFonts w:ascii="Arial" w:hAnsi="Arial" w:cs="Arial"/>
          <w:sz w:val="24"/>
          <w:szCs w:val="24"/>
        </w:rPr>
        <w:t>Create communication and training plans.</w:t>
      </w:r>
    </w:p>
    <w:p w14:paraId="6FD7B794" w14:textId="77777777" w:rsidR="00D563A5" w:rsidRPr="00C93BC9" w:rsidRDefault="00D563A5" w:rsidP="005C0745">
      <w:pPr>
        <w:numPr>
          <w:ilvl w:val="0"/>
          <w:numId w:val="4"/>
        </w:numPr>
        <w:spacing w:line="360" w:lineRule="auto"/>
        <w:rPr>
          <w:rFonts w:ascii="Arial" w:hAnsi="Arial" w:cs="Arial"/>
          <w:sz w:val="24"/>
          <w:szCs w:val="24"/>
        </w:rPr>
      </w:pPr>
      <w:r w:rsidRPr="00C93BC9">
        <w:rPr>
          <w:rFonts w:ascii="Arial" w:hAnsi="Arial" w:cs="Arial"/>
          <w:sz w:val="24"/>
          <w:szCs w:val="24"/>
        </w:rPr>
        <w:t>Conduct risk assessments and mitigation planning.</w:t>
      </w:r>
    </w:p>
    <w:p w14:paraId="41AAA5AC"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Level 3: Execution</w:t>
      </w:r>
    </w:p>
    <w:p w14:paraId="4AA28988" w14:textId="77777777" w:rsidR="00D563A5" w:rsidRPr="00C93BC9" w:rsidRDefault="00D563A5" w:rsidP="005C0745">
      <w:pPr>
        <w:numPr>
          <w:ilvl w:val="0"/>
          <w:numId w:val="5"/>
        </w:numPr>
        <w:spacing w:line="360" w:lineRule="auto"/>
        <w:rPr>
          <w:rFonts w:ascii="Arial" w:hAnsi="Arial" w:cs="Arial"/>
          <w:sz w:val="24"/>
          <w:szCs w:val="24"/>
        </w:rPr>
      </w:pPr>
      <w:r w:rsidRPr="00C93BC9">
        <w:rPr>
          <w:rFonts w:ascii="Arial" w:hAnsi="Arial" w:cs="Arial"/>
          <w:sz w:val="24"/>
          <w:szCs w:val="24"/>
        </w:rPr>
        <w:t>Upgrade self-service checkout systems in pilot stores.</w:t>
      </w:r>
    </w:p>
    <w:p w14:paraId="5882FC46" w14:textId="77777777" w:rsidR="00D563A5" w:rsidRPr="00C93BC9" w:rsidRDefault="00D563A5" w:rsidP="005C0745">
      <w:pPr>
        <w:numPr>
          <w:ilvl w:val="0"/>
          <w:numId w:val="5"/>
        </w:numPr>
        <w:spacing w:line="360" w:lineRule="auto"/>
        <w:rPr>
          <w:rFonts w:ascii="Arial" w:hAnsi="Arial" w:cs="Arial"/>
          <w:sz w:val="24"/>
          <w:szCs w:val="24"/>
        </w:rPr>
      </w:pPr>
      <w:r w:rsidRPr="00C93BC9">
        <w:rPr>
          <w:rFonts w:ascii="Arial" w:hAnsi="Arial" w:cs="Arial"/>
          <w:sz w:val="24"/>
          <w:szCs w:val="24"/>
        </w:rPr>
        <w:t>Install AI analytics platforms and integrate with customer databases.</w:t>
      </w:r>
    </w:p>
    <w:p w14:paraId="3414E96A" w14:textId="77777777" w:rsidR="00D563A5" w:rsidRPr="00C93BC9" w:rsidRDefault="00D563A5" w:rsidP="005C0745">
      <w:pPr>
        <w:numPr>
          <w:ilvl w:val="0"/>
          <w:numId w:val="5"/>
        </w:numPr>
        <w:spacing w:line="360" w:lineRule="auto"/>
        <w:rPr>
          <w:rFonts w:ascii="Arial" w:hAnsi="Arial" w:cs="Arial"/>
          <w:sz w:val="24"/>
          <w:szCs w:val="24"/>
        </w:rPr>
      </w:pPr>
      <w:r w:rsidRPr="00C93BC9">
        <w:rPr>
          <w:rFonts w:ascii="Arial" w:hAnsi="Arial" w:cs="Arial"/>
          <w:sz w:val="24"/>
          <w:szCs w:val="24"/>
        </w:rPr>
        <w:t>Implement supply chain automation tools.</w:t>
      </w:r>
    </w:p>
    <w:p w14:paraId="214B5523" w14:textId="77777777" w:rsidR="00D563A5" w:rsidRPr="00C93BC9" w:rsidRDefault="00D563A5" w:rsidP="005C0745">
      <w:pPr>
        <w:numPr>
          <w:ilvl w:val="0"/>
          <w:numId w:val="5"/>
        </w:numPr>
        <w:spacing w:line="360" w:lineRule="auto"/>
        <w:rPr>
          <w:rFonts w:ascii="Arial" w:hAnsi="Arial" w:cs="Arial"/>
          <w:sz w:val="24"/>
          <w:szCs w:val="24"/>
        </w:rPr>
      </w:pPr>
      <w:r w:rsidRPr="00C93BC9">
        <w:rPr>
          <w:rFonts w:ascii="Arial" w:hAnsi="Arial" w:cs="Arial"/>
          <w:sz w:val="24"/>
          <w:szCs w:val="24"/>
        </w:rPr>
        <w:t>Deliver staff training programmes and support materials.</w:t>
      </w:r>
    </w:p>
    <w:p w14:paraId="620DDA15" w14:textId="77777777" w:rsidR="00D563A5" w:rsidRPr="00C93BC9" w:rsidRDefault="00D563A5" w:rsidP="005C0745">
      <w:pPr>
        <w:numPr>
          <w:ilvl w:val="0"/>
          <w:numId w:val="5"/>
        </w:numPr>
        <w:spacing w:line="360" w:lineRule="auto"/>
        <w:rPr>
          <w:rFonts w:ascii="Arial" w:hAnsi="Arial" w:cs="Arial"/>
          <w:sz w:val="24"/>
          <w:szCs w:val="24"/>
        </w:rPr>
      </w:pPr>
      <w:r w:rsidRPr="00C93BC9">
        <w:rPr>
          <w:rFonts w:ascii="Arial" w:hAnsi="Arial" w:cs="Arial"/>
          <w:sz w:val="24"/>
          <w:szCs w:val="24"/>
        </w:rPr>
        <w:t>Test systems for functionality, security, and compliance.</w:t>
      </w:r>
    </w:p>
    <w:p w14:paraId="48744493"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Level 4: Closure and Evaluation</w:t>
      </w:r>
    </w:p>
    <w:p w14:paraId="2F77994A" w14:textId="77777777" w:rsidR="00D563A5" w:rsidRPr="00C93BC9" w:rsidRDefault="00D563A5" w:rsidP="005C0745">
      <w:pPr>
        <w:numPr>
          <w:ilvl w:val="0"/>
          <w:numId w:val="6"/>
        </w:numPr>
        <w:spacing w:line="360" w:lineRule="auto"/>
        <w:rPr>
          <w:rFonts w:ascii="Arial" w:hAnsi="Arial" w:cs="Arial"/>
          <w:sz w:val="24"/>
          <w:szCs w:val="24"/>
        </w:rPr>
      </w:pPr>
      <w:r w:rsidRPr="00C93BC9">
        <w:rPr>
          <w:rFonts w:ascii="Arial" w:hAnsi="Arial" w:cs="Arial"/>
          <w:sz w:val="24"/>
          <w:szCs w:val="24"/>
        </w:rPr>
        <w:t>Review performance against project objectives.</w:t>
      </w:r>
    </w:p>
    <w:p w14:paraId="1A407637" w14:textId="77777777" w:rsidR="00D563A5" w:rsidRPr="00C93BC9" w:rsidRDefault="00D563A5" w:rsidP="005C0745">
      <w:pPr>
        <w:numPr>
          <w:ilvl w:val="0"/>
          <w:numId w:val="6"/>
        </w:numPr>
        <w:spacing w:line="360" w:lineRule="auto"/>
        <w:rPr>
          <w:rFonts w:ascii="Arial" w:hAnsi="Arial" w:cs="Arial"/>
          <w:sz w:val="24"/>
          <w:szCs w:val="24"/>
        </w:rPr>
      </w:pPr>
      <w:r w:rsidRPr="00C93BC9">
        <w:rPr>
          <w:rFonts w:ascii="Arial" w:hAnsi="Arial" w:cs="Arial"/>
          <w:sz w:val="24"/>
          <w:szCs w:val="24"/>
        </w:rPr>
        <w:t>Gather feedback from employees and customers.</w:t>
      </w:r>
    </w:p>
    <w:p w14:paraId="3603D6A6" w14:textId="77777777" w:rsidR="00D563A5" w:rsidRPr="00C93BC9" w:rsidRDefault="00D563A5" w:rsidP="005C0745">
      <w:pPr>
        <w:numPr>
          <w:ilvl w:val="0"/>
          <w:numId w:val="6"/>
        </w:numPr>
        <w:spacing w:line="360" w:lineRule="auto"/>
        <w:rPr>
          <w:rFonts w:ascii="Arial" w:hAnsi="Arial" w:cs="Arial"/>
          <w:sz w:val="24"/>
          <w:szCs w:val="24"/>
        </w:rPr>
      </w:pPr>
      <w:r w:rsidRPr="00C93BC9">
        <w:rPr>
          <w:rFonts w:ascii="Arial" w:hAnsi="Arial" w:cs="Arial"/>
          <w:sz w:val="24"/>
          <w:szCs w:val="24"/>
        </w:rPr>
        <w:t>Produce final project report and lessons learned.</w:t>
      </w:r>
    </w:p>
    <w:p w14:paraId="4C4E80C3" w14:textId="77777777" w:rsidR="00D563A5" w:rsidRPr="00C93BC9" w:rsidRDefault="00D563A5" w:rsidP="005C0745">
      <w:pPr>
        <w:numPr>
          <w:ilvl w:val="0"/>
          <w:numId w:val="6"/>
        </w:numPr>
        <w:spacing w:line="360" w:lineRule="auto"/>
        <w:rPr>
          <w:rFonts w:ascii="Arial" w:hAnsi="Arial" w:cs="Arial"/>
          <w:sz w:val="24"/>
          <w:szCs w:val="24"/>
        </w:rPr>
      </w:pPr>
      <w:r w:rsidRPr="00C93BC9">
        <w:rPr>
          <w:rFonts w:ascii="Arial" w:hAnsi="Arial" w:cs="Arial"/>
          <w:sz w:val="24"/>
          <w:szCs w:val="24"/>
        </w:rPr>
        <w:t>Transition project deliverables to operational teams.</w:t>
      </w:r>
    </w:p>
    <w:p w14:paraId="7AAE863D" w14:textId="77777777" w:rsidR="00D563A5" w:rsidRPr="00C93BC9" w:rsidRDefault="00D563A5" w:rsidP="005C0745">
      <w:pPr>
        <w:spacing w:line="360" w:lineRule="auto"/>
        <w:rPr>
          <w:rFonts w:ascii="Arial" w:hAnsi="Arial" w:cs="Arial"/>
          <w:sz w:val="24"/>
          <w:szCs w:val="24"/>
        </w:rPr>
      </w:pPr>
      <w:r w:rsidRPr="00C93BC9">
        <w:rPr>
          <w:rFonts w:ascii="Arial" w:hAnsi="Arial" w:cs="Arial"/>
          <w:sz w:val="24"/>
          <w:szCs w:val="24"/>
        </w:rPr>
        <w:t>By breaking down the project into defined levels, the WBS ensures that each activity contributes directly to delivering Sainsbury’s technological transformation while supporting effective resource allocation and monitoring.</w:t>
      </w:r>
    </w:p>
    <w:p w14:paraId="715B52CB" w14:textId="77777777" w:rsidR="00A63EAA" w:rsidRPr="00C93BC9" w:rsidRDefault="009F2305" w:rsidP="005C0745">
      <w:pPr>
        <w:pStyle w:val="ListParagraph"/>
        <w:numPr>
          <w:ilvl w:val="0"/>
          <w:numId w:val="24"/>
        </w:numPr>
        <w:spacing w:after="0" w:line="360" w:lineRule="auto"/>
        <w:jc w:val="both"/>
        <w:rPr>
          <w:rFonts w:ascii="Arial" w:hAnsi="Arial" w:cs="Arial"/>
          <w:sz w:val="24"/>
          <w:szCs w:val="24"/>
          <w:lang w:val="en-US"/>
        </w:rPr>
      </w:pPr>
      <w:r w:rsidRPr="00C93BC9">
        <w:rPr>
          <w:rFonts w:ascii="Arial" w:hAnsi="Arial" w:cs="Arial"/>
          <w:sz w:val="24"/>
          <w:szCs w:val="24"/>
          <w:lang w:val="en-US"/>
        </w:rPr>
        <w:t xml:space="preserve">Quad Chart </w:t>
      </w:r>
    </w:p>
    <w:p w14:paraId="79E59D8B" w14:textId="2AF3B39E" w:rsidR="00D563A5" w:rsidRPr="00C93BC9" w:rsidRDefault="000E3ED8" w:rsidP="005C0745">
      <w:pPr>
        <w:spacing w:after="0" w:line="360" w:lineRule="auto"/>
        <w:ind w:firstLine="720"/>
        <w:jc w:val="both"/>
        <w:rPr>
          <w:rFonts w:ascii="Arial" w:hAnsi="Arial" w:cs="Arial"/>
          <w:sz w:val="24"/>
          <w:szCs w:val="24"/>
          <w:lang w:val="en-US"/>
        </w:rPr>
      </w:pPr>
      <w:r w:rsidRPr="00C93BC9">
        <w:rPr>
          <w:rFonts w:ascii="Arial" w:hAnsi="Arial" w:cs="Arial"/>
          <w:sz w:val="24"/>
          <w:szCs w:val="24"/>
        </w:rPr>
        <w:t>A</w:t>
      </w:r>
      <w:r w:rsidR="00D563A5" w:rsidRPr="00C93BC9">
        <w:rPr>
          <w:rFonts w:ascii="Arial" w:hAnsi="Arial" w:cs="Arial"/>
          <w:sz w:val="24"/>
          <w:szCs w:val="24"/>
        </w:rPr>
        <w:t xml:space="preserve"> quad chart is a concise visual communication tool that summarises the critical aspects of a project into four key areas: objectives, deliverables, schedule/cost, and risks. It provides stakeholders with a clear overview of the project’s intent and progress, enabling rapid understanding and decision-making (Lock, 2020). The quad chart for Sainsbury’s Smart Retail Transformation Project is outlined below:</w:t>
      </w:r>
    </w:p>
    <w:p w14:paraId="78D9E4AA"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1. Objectives</w:t>
      </w:r>
    </w:p>
    <w:p w14:paraId="5A2641AC" w14:textId="77777777" w:rsidR="00D563A5" w:rsidRPr="00C93BC9" w:rsidRDefault="00D563A5" w:rsidP="005C0745">
      <w:pPr>
        <w:numPr>
          <w:ilvl w:val="0"/>
          <w:numId w:val="7"/>
        </w:numPr>
        <w:spacing w:line="360" w:lineRule="auto"/>
        <w:rPr>
          <w:rFonts w:ascii="Arial" w:hAnsi="Arial" w:cs="Arial"/>
          <w:sz w:val="24"/>
          <w:szCs w:val="24"/>
        </w:rPr>
      </w:pPr>
      <w:r w:rsidRPr="00C93BC9">
        <w:rPr>
          <w:rFonts w:ascii="Arial" w:hAnsi="Arial" w:cs="Arial"/>
          <w:sz w:val="24"/>
          <w:szCs w:val="24"/>
        </w:rPr>
        <w:t>Enhance customer experience through faster, reliable self-service checkouts.</w:t>
      </w:r>
    </w:p>
    <w:p w14:paraId="08B23D54" w14:textId="77777777" w:rsidR="00D563A5" w:rsidRPr="00C93BC9" w:rsidRDefault="00D563A5" w:rsidP="005C0745">
      <w:pPr>
        <w:numPr>
          <w:ilvl w:val="0"/>
          <w:numId w:val="7"/>
        </w:numPr>
        <w:spacing w:line="360" w:lineRule="auto"/>
        <w:rPr>
          <w:rFonts w:ascii="Arial" w:hAnsi="Arial" w:cs="Arial"/>
          <w:sz w:val="24"/>
          <w:szCs w:val="24"/>
        </w:rPr>
      </w:pPr>
      <w:r w:rsidRPr="00C93BC9">
        <w:rPr>
          <w:rFonts w:ascii="Arial" w:hAnsi="Arial" w:cs="Arial"/>
          <w:sz w:val="24"/>
          <w:szCs w:val="24"/>
        </w:rPr>
        <w:lastRenderedPageBreak/>
        <w:t>Improve operational efficiency by leveraging AI-driven analytics for demand forecasting.</w:t>
      </w:r>
    </w:p>
    <w:p w14:paraId="38E76AD3" w14:textId="77777777" w:rsidR="00D563A5" w:rsidRPr="00C93BC9" w:rsidRDefault="00D563A5" w:rsidP="005C0745">
      <w:pPr>
        <w:numPr>
          <w:ilvl w:val="0"/>
          <w:numId w:val="7"/>
        </w:numPr>
        <w:spacing w:line="360" w:lineRule="auto"/>
        <w:rPr>
          <w:rFonts w:ascii="Arial" w:hAnsi="Arial" w:cs="Arial"/>
          <w:sz w:val="24"/>
          <w:szCs w:val="24"/>
        </w:rPr>
      </w:pPr>
      <w:r w:rsidRPr="00C93BC9">
        <w:rPr>
          <w:rFonts w:ascii="Arial" w:hAnsi="Arial" w:cs="Arial"/>
          <w:sz w:val="24"/>
          <w:szCs w:val="24"/>
        </w:rPr>
        <w:t>Reduce costs associated with manual processes and inventory inaccuracies.</w:t>
      </w:r>
    </w:p>
    <w:p w14:paraId="20F9FA0B" w14:textId="77777777" w:rsidR="00D563A5" w:rsidRPr="00C93BC9" w:rsidRDefault="00D563A5" w:rsidP="005C0745">
      <w:pPr>
        <w:numPr>
          <w:ilvl w:val="0"/>
          <w:numId w:val="7"/>
        </w:numPr>
        <w:spacing w:line="360" w:lineRule="auto"/>
        <w:rPr>
          <w:rFonts w:ascii="Arial" w:hAnsi="Arial" w:cs="Arial"/>
          <w:sz w:val="24"/>
          <w:szCs w:val="24"/>
        </w:rPr>
      </w:pPr>
      <w:r w:rsidRPr="00C93BC9">
        <w:rPr>
          <w:rFonts w:ascii="Arial" w:hAnsi="Arial" w:cs="Arial"/>
          <w:sz w:val="24"/>
          <w:szCs w:val="24"/>
        </w:rPr>
        <w:t>Strengthen Sainsbury’s competitive advantage in the retail sector.</w:t>
      </w:r>
    </w:p>
    <w:p w14:paraId="30FA4639"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2. Deliverables</w:t>
      </w:r>
    </w:p>
    <w:p w14:paraId="0C64C477" w14:textId="77777777" w:rsidR="00D563A5" w:rsidRPr="00C93BC9" w:rsidRDefault="00D563A5" w:rsidP="005C0745">
      <w:pPr>
        <w:numPr>
          <w:ilvl w:val="0"/>
          <w:numId w:val="8"/>
        </w:numPr>
        <w:spacing w:line="360" w:lineRule="auto"/>
        <w:rPr>
          <w:rFonts w:ascii="Arial" w:hAnsi="Arial" w:cs="Arial"/>
          <w:sz w:val="24"/>
          <w:szCs w:val="24"/>
        </w:rPr>
      </w:pPr>
      <w:r w:rsidRPr="00C93BC9">
        <w:rPr>
          <w:rFonts w:ascii="Arial" w:hAnsi="Arial" w:cs="Arial"/>
          <w:sz w:val="24"/>
          <w:szCs w:val="24"/>
        </w:rPr>
        <w:t>Upgraded self-service checkout systems in selected stores.</w:t>
      </w:r>
    </w:p>
    <w:p w14:paraId="10D1AED9" w14:textId="77777777" w:rsidR="00D563A5" w:rsidRPr="00C93BC9" w:rsidRDefault="00D563A5" w:rsidP="005C0745">
      <w:pPr>
        <w:numPr>
          <w:ilvl w:val="0"/>
          <w:numId w:val="8"/>
        </w:numPr>
        <w:spacing w:line="360" w:lineRule="auto"/>
        <w:rPr>
          <w:rFonts w:ascii="Arial" w:hAnsi="Arial" w:cs="Arial"/>
          <w:sz w:val="24"/>
          <w:szCs w:val="24"/>
        </w:rPr>
      </w:pPr>
      <w:r w:rsidRPr="00C93BC9">
        <w:rPr>
          <w:rFonts w:ascii="Arial" w:hAnsi="Arial" w:cs="Arial"/>
          <w:sz w:val="24"/>
          <w:szCs w:val="24"/>
        </w:rPr>
        <w:t>Fully functional AI customer analytics platform.</w:t>
      </w:r>
    </w:p>
    <w:p w14:paraId="572D755A" w14:textId="77777777" w:rsidR="00D563A5" w:rsidRPr="00C93BC9" w:rsidRDefault="00D563A5" w:rsidP="005C0745">
      <w:pPr>
        <w:numPr>
          <w:ilvl w:val="0"/>
          <w:numId w:val="8"/>
        </w:numPr>
        <w:spacing w:line="360" w:lineRule="auto"/>
        <w:rPr>
          <w:rFonts w:ascii="Arial" w:hAnsi="Arial" w:cs="Arial"/>
          <w:sz w:val="24"/>
          <w:szCs w:val="24"/>
        </w:rPr>
      </w:pPr>
      <w:r w:rsidRPr="00C93BC9">
        <w:rPr>
          <w:rFonts w:ascii="Arial" w:hAnsi="Arial" w:cs="Arial"/>
          <w:sz w:val="24"/>
          <w:szCs w:val="24"/>
        </w:rPr>
        <w:t>Automated supply chain replenishment tools.</w:t>
      </w:r>
    </w:p>
    <w:p w14:paraId="05FBD238" w14:textId="77777777" w:rsidR="00D563A5" w:rsidRPr="00C93BC9" w:rsidRDefault="00D563A5" w:rsidP="005C0745">
      <w:pPr>
        <w:numPr>
          <w:ilvl w:val="0"/>
          <w:numId w:val="8"/>
        </w:numPr>
        <w:spacing w:line="360" w:lineRule="auto"/>
        <w:rPr>
          <w:rFonts w:ascii="Arial" w:hAnsi="Arial" w:cs="Arial"/>
          <w:sz w:val="24"/>
          <w:szCs w:val="24"/>
        </w:rPr>
      </w:pPr>
      <w:r w:rsidRPr="00C93BC9">
        <w:rPr>
          <w:rFonts w:ascii="Arial" w:hAnsi="Arial" w:cs="Arial"/>
          <w:sz w:val="24"/>
          <w:szCs w:val="24"/>
        </w:rPr>
        <w:t>Training programmes for employees to adopt new technologies.</w:t>
      </w:r>
    </w:p>
    <w:p w14:paraId="28BC5DA0"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3. Schedule and Cost</w:t>
      </w:r>
    </w:p>
    <w:p w14:paraId="5D608E34" w14:textId="77777777" w:rsidR="00D563A5" w:rsidRPr="00C93BC9" w:rsidRDefault="00D563A5" w:rsidP="005C0745">
      <w:pPr>
        <w:numPr>
          <w:ilvl w:val="0"/>
          <w:numId w:val="9"/>
        </w:numPr>
        <w:spacing w:line="360" w:lineRule="auto"/>
        <w:rPr>
          <w:rFonts w:ascii="Arial" w:hAnsi="Arial" w:cs="Arial"/>
          <w:sz w:val="24"/>
          <w:szCs w:val="24"/>
        </w:rPr>
      </w:pPr>
      <w:r w:rsidRPr="00C93BC9">
        <w:rPr>
          <w:rFonts w:ascii="Arial" w:hAnsi="Arial" w:cs="Arial"/>
          <w:sz w:val="24"/>
          <w:szCs w:val="24"/>
        </w:rPr>
        <w:t>Duration: 18 months (January 2025 – June 2026).</w:t>
      </w:r>
    </w:p>
    <w:p w14:paraId="5C3C3AE1" w14:textId="77777777" w:rsidR="00D563A5" w:rsidRPr="00C93BC9" w:rsidRDefault="00D563A5" w:rsidP="005C0745">
      <w:pPr>
        <w:numPr>
          <w:ilvl w:val="0"/>
          <w:numId w:val="9"/>
        </w:numPr>
        <w:spacing w:line="360" w:lineRule="auto"/>
        <w:rPr>
          <w:rFonts w:ascii="Arial" w:hAnsi="Arial" w:cs="Arial"/>
          <w:sz w:val="24"/>
          <w:szCs w:val="24"/>
        </w:rPr>
      </w:pPr>
      <w:r w:rsidRPr="00C93BC9">
        <w:rPr>
          <w:rFonts w:ascii="Arial" w:hAnsi="Arial" w:cs="Arial"/>
          <w:sz w:val="24"/>
          <w:szCs w:val="24"/>
        </w:rPr>
        <w:t>Estimated budget: £25 million, covering hardware, software, training, and contingency.</w:t>
      </w:r>
    </w:p>
    <w:p w14:paraId="0DABA95A" w14:textId="77777777" w:rsidR="00D563A5" w:rsidRPr="00C93BC9" w:rsidRDefault="00D563A5" w:rsidP="005C0745">
      <w:pPr>
        <w:numPr>
          <w:ilvl w:val="0"/>
          <w:numId w:val="9"/>
        </w:numPr>
        <w:spacing w:line="360" w:lineRule="auto"/>
        <w:rPr>
          <w:rFonts w:ascii="Arial" w:hAnsi="Arial" w:cs="Arial"/>
          <w:sz w:val="24"/>
          <w:szCs w:val="24"/>
        </w:rPr>
      </w:pPr>
      <w:r w:rsidRPr="00C93BC9">
        <w:rPr>
          <w:rFonts w:ascii="Arial" w:hAnsi="Arial" w:cs="Arial"/>
          <w:sz w:val="24"/>
          <w:szCs w:val="24"/>
        </w:rPr>
        <w:t>Key milestones: pilot launch (Month 6), mid-term review (Month 9), full rollout (Month 15), project closure (Month 18).</w:t>
      </w:r>
    </w:p>
    <w:p w14:paraId="0D8C8C7C"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4. Risks</w:t>
      </w:r>
    </w:p>
    <w:p w14:paraId="63F619A8" w14:textId="77777777" w:rsidR="00D563A5" w:rsidRPr="00C93BC9" w:rsidRDefault="00D563A5" w:rsidP="005C0745">
      <w:pPr>
        <w:numPr>
          <w:ilvl w:val="0"/>
          <w:numId w:val="10"/>
        </w:numPr>
        <w:spacing w:line="360" w:lineRule="auto"/>
        <w:rPr>
          <w:rFonts w:ascii="Arial" w:hAnsi="Arial" w:cs="Arial"/>
          <w:sz w:val="24"/>
          <w:szCs w:val="24"/>
        </w:rPr>
      </w:pPr>
      <w:r w:rsidRPr="00C93BC9">
        <w:rPr>
          <w:rFonts w:ascii="Arial" w:hAnsi="Arial" w:cs="Arial"/>
          <w:sz w:val="24"/>
          <w:szCs w:val="24"/>
        </w:rPr>
        <w:t>Technical failures during system integration.</w:t>
      </w:r>
    </w:p>
    <w:p w14:paraId="73432D1A" w14:textId="77777777" w:rsidR="00D563A5" w:rsidRPr="00C93BC9" w:rsidRDefault="00D563A5" w:rsidP="005C0745">
      <w:pPr>
        <w:numPr>
          <w:ilvl w:val="0"/>
          <w:numId w:val="10"/>
        </w:numPr>
        <w:spacing w:line="360" w:lineRule="auto"/>
        <w:rPr>
          <w:rFonts w:ascii="Arial" w:hAnsi="Arial" w:cs="Arial"/>
          <w:sz w:val="24"/>
          <w:szCs w:val="24"/>
        </w:rPr>
      </w:pPr>
      <w:r w:rsidRPr="00C93BC9">
        <w:rPr>
          <w:rFonts w:ascii="Arial" w:hAnsi="Arial" w:cs="Arial"/>
          <w:sz w:val="24"/>
          <w:szCs w:val="24"/>
        </w:rPr>
        <w:t>Employee resistance to technological change.</w:t>
      </w:r>
    </w:p>
    <w:p w14:paraId="73262DF0" w14:textId="77777777" w:rsidR="00D563A5" w:rsidRPr="00C93BC9" w:rsidRDefault="00D563A5" w:rsidP="005C0745">
      <w:pPr>
        <w:numPr>
          <w:ilvl w:val="0"/>
          <w:numId w:val="10"/>
        </w:numPr>
        <w:spacing w:line="360" w:lineRule="auto"/>
        <w:rPr>
          <w:rFonts w:ascii="Arial" w:hAnsi="Arial" w:cs="Arial"/>
          <w:sz w:val="24"/>
          <w:szCs w:val="24"/>
        </w:rPr>
      </w:pPr>
      <w:r w:rsidRPr="00C93BC9">
        <w:rPr>
          <w:rFonts w:ascii="Arial" w:hAnsi="Arial" w:cs="Arial"/>
          <w:sz w:val="24"/>
          <w:szCs w:val="24"/>
        </w:rPr>
        <w:t>Budget overruns due to unforeseen complexities.</w:t>
      </w:r>
    </w:p>
    <w:p w14:paraId="1ABD34D2" w14:textId="77777777" w:rsidR="00D563A5" w:rsidRPr="00C93BC9" w:rsidRDefault="00D563A5" w:rsidP="005C0745">
      <w:pPr>
        <w:numPr>
          <w:ilvl w:val="0"/>
          <w:numId w:val="10"/>
        </w:numPr>
        <w:spacing w:line="360" w:lineRule="auto"/>
        <w:rPr>
          <w:rFonts w:ascii="Arial" w:hAnsi="Arial" w:cs="Arial"/>
          <w:sz w:val="24"/>
          <w:szCs w:val="24"/>
        </w:rPr>
      </w:pPr>
      <w:r w:rsidRPr="00C93BC9">
        <w:rPr>
          <w:rFonts w:ascii="Arial" w:hAnsi="Arial" w:cs="Arial"/>
          <w:sz w:val="24"/>
          <w:szCs w:val="24"/>
        </w:rPr>
        <w:t>Data privacy and regulatory compliance challenges.</w:t>
      </w:r>
    </w:p>
    <w:p w14:paraId="67A00DAA" w14:textId="77777777" w:rsidR="00D563A5" w:rsidRPr="00C93BC9" w:rsidRDefault="00D563A5" w:rsidP="005C0745">
      <w:pPr>
        <w:spacing w:line="360" w:lineRule="auto"/>
        <w:rPr>
          <w:rFonts w:ascii="Arial" w:hAnsi="Arial" w:cs="Arial"/>
          <w:sz w:val="24"/>
          <w:szCs w:val="24"/>
        </w:rPr>
      </w:pPr>
      <w:r w:rsidRPr="00C93BC9">
        <w:rPr>
          <w:rFonts w:ascii="Arial" w:hAnsi="Arial" w:cs="Arial"/>
          <w:sz w:val="24"/>
          <w:szCs w:val="24"/>
        </w:rPr>
        <w:t>This structured overview enables senior stakeholders to make informed decisions quickly, ensuring alignment between project goals, resources, and risk management strategies.</w:t>
      </w:r>
    </w:p>
    <w:p w14:paraId="15DC54D5" w14:textId="1905BBEC" w:rsidR="00BA6EB6" w:rsidRPr="00C93BC9" w:rsidRDefault="00BA6EB6" w:rsidP="005C0745">
      <w:pPr>
        <w:pStyle w:val="ListParagraph"/>
        <w:numPr>
          <w:ilvl w:val="0"/>
          <w:numId w:val="24"/>
        </w:numPr>
        <w:spacing w:after="0" w:line="360" w:lineRule="auto"/>
        <w:jc w:val="both"/>
        <w:rPr>
          <w:rFonts w:ascii="Arial" w:hAnsi="Arial" w:cs="Arial"/>
          <w:bCs/>
          <w:sz w:val="24"/>
          <w:szCs w:val="24"/>
          <w:lang w:val="en-US"/>
        </w:rPr>
      </w:pPr>
      <w:r w:rsidRPr="00C93BC9">
        <w:rPr>
          <w:rFonts w:ascii="Arial" w:hAnsi="Arial" w:cs="Arial"/>
          <w:bCs/>
          <w:sz w:val="24"/>
          <w:szCs w:val="24"/>
          <w:lang w:val="en-US"/>
        </w:rPr>
        <w:t xml:space="preserve">Gantt Chart </w:t>
      </w:r>
    </w:p>
    <w:p w14:paraId="0676DDC4" w14:textId="088949AE"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 xml:space="preserve">A Gantt chart is a visual project scheduling tool that illustrates the timing, duration, and dependencies of tasks within a project. It provides project managers and stakeholders with a clear overview of project progress, enabling efficient </w:t>
      </w:r>
      <w:r w:rsidRPr="00C93BC9">
        <w:rPr>
          <w:rFonts w:ascii="Arial" w:hAnsi="Arial" w:cs="Arial"/>
          <w:sz w:val="24"/>
          <w:szCs w:val="24"/>
        </w:rPr>
        <w:lastRenderedPageBreak/>
        <w:t>monitoring and control (Kerzner, 2017). For the Sainsbury’s Smart Retail Transformation Project, the Gantt chart has been structured across four main phases: Initiation, Planning, Execution, and Closure.</w:t>
      </w:r>
    </w:p>
    <w:p w14:paraId="19264953"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Phase 1: Initiation (Months 1–2)</w:t>
      </w:r>
    </w:p>
    <w:p w14:paraId="6CD7B391" w14:textId="77777777" w:rsidR="00D563A5" w:rsidRPr="00C93BC9" w:rsidRDefault="00D563A5" w:rsidP="005C0745">
      <w:pPr>
        <w:numPr>
          <w:ilvl w:val="0"/>
          <w:numId w:val="11"/>
        </w:numPr>
        <w:spacing w:line="360" w:lineRule="auto"/>
        <w:rPr>
          <w:rFonts w:ascii="Arial" w:hAnsi="Arial" w:cs="Arial"/>
          <w:sz w:val="24"/>
          <w:szCs w:val="24"/>
        </w:rPr>
      </w:pPr>
      <w:r w:rsidRPr="00C93BC9">
        <w:rPr>
          <w:rFonts w:ascii="Arial" w:hAnsi="Arial" w:cs="Arial"/>
          <w:sz w:val="24"/>
          <w:szCs w:val="24"/>
        </w:rPr>
        <w:t>Define project objectives and business case (Weeks 1–2)</w:t>
      </w:r>
    </w:p>
    <w:p w14:paraId="2A10A748" w14:textId="77777777" w:rsidR="00D563A5" w:rsidRPr="00C93BC9" w:rsidRDefault="00D563A5" w:rsidP="005C0745">
      <w:pPr>
        <w:numPr>
          <w:ilvl w:val="0"/>
          <w:numId w:val="11"/>
        </w:numPr>
        <w:spacing w:line="360" w:lineRule="auto"/>
        <w:rPr>
          <w:rFonts w:ascii="Arial" w:hAnsi="Arial" w:cs="Arial"/>
          <w:sz w:val="24"/>
          <w:szCs w:val="24"/>
        </w:rPr>
      </w:pPr>
      <w:r w:rsidRPr="00C93BC9">
        <w:rPr>
          <w:rFonts w:ascii="Arial" w:hAnsi="Arial" w:cs="Arial"/>
          <w:sz w:val="24"/>
          <w:szCs w:val="24"/>
        </w:rPr>
        <w:t>Appoint project manager and governance structure (Weeks 2–3)</w:t>
      </w:r>
    </w:p>
    <w:p w14:paraId="5BEE3452" w14:textId="77777777" w:rsidR="00D563A5" w:rsidRPr="00C93BC9" w:rsidRDefault="00D563A5" w:rsidP="005C0745">
      <w:pPr>
        <w:numPr>
          <w:ilvl w:val="0"/>
          <w:numId w:val="11"/>
        </w:numPr>
        <w:spacing w:line="360" w:lineRule="auto"/>
        <w:rPr>
          <w:rFonts w:ascii="Arial" w:hAnsi="Arial" w:cs="Arial"/>
          <w:sz w:val="24"/>
          <w:szCs w:val="24"/>
        </w:rPr>
      </w:pPr>
      <w:r w:rsidRPr="00C93BC9">
        <w:rPr>
          <w:rFonts w:ascii="Arial" w:hAnsi="Arial" w:cs="Arial"/>
          <w:sz w:val="24"/>
          <w:szCs w:val="24"/>
        </w:rPr>
        <w:t>Stakeholder approvals and initial budget allocation (Weeks 3–8)</w:t>
      </w:r>
    </w:p>
    <w:p w14:paraId="5C5A0C59"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Phase 2: Planning (Months 3–5)</w:t>
      </w:r>
    </w:p>
    <w:p w14:paraId="05989504" w14:textId="77777777" w:rsidR="00D563A5" w:rsidRPr="00C93BC9" w:rsidRDefault="00D563A5" w:rsidP="005C0745">
      <w:pPr>
        <w:numPr>
          <w:ilvl w:val="0"/>
          <w:numId w:val="12"/>
        </w:numPr>
        <w:spacing w:line="360" w:lineRule="auto"/>
        <w:rPr>
          <w:rFonts w:ascii="Arial" w:hAnsi="Arial" w:cs="Arial"/>
          <w:sz w:val="24"/>
          <w:szCs w:val="24"/>
        </w:rPr>
      </w:pPr>
      <w:r w:rsidRPr="00C93BC9">
        <w:rPr>
          <w:rFonts w:ascii="Arial" w:hAnsi="Arial" w:cs="Arial"/>
          <w:sz w:val="24"/>
          <w:szCs w:val="24"/>
        </w:rPr>
        <w:t>Detailed project schedule and milestones (Weeks 9–12)</w:t>
      </w:r>
    </w:p>
    <w:p w14:paraId="49997665" w14:textId="77777777" w:rsidR="00D563A5" w:rsidRPr="00C93BC9" w:rsidRDefault="00D563A5" w:rsidP="005C0745">
      <w:pPr>
        <w:numPr>
          <w:ilvl w:val="0"/>
          <w:numId w:val="12"/>
        </w:numPr>
        <w:spacing w:line="360" w:lineRule="auto"/>
        <w:rPr>
          <w:rFonts w:ascii="Arial" w:hAnsi="Arial" w:cs="Arial"/>
          <w:sz w:val="24"/>
          <w:szCs w:val="24"/>
        </w:rPr>
      </w:pPr>
      <w:r w:rsidRPr="00C93BC9">
        <w:rPr>
          <w:rFonts w:ascii="Arial" w:hAnsi="Arial" w:cs="Arial"/>
          <w:sz w:val="24"/>
          <w:szCs w:val="24"/>
        </w:rPr>
        <w:t>Supplier selection and contract negotiation (Weeks 10–16)</w:t>
      </w:r>
    </w:p>
    <w:p w14:paraId="1F5FE685" w14:textId="77777777" w:rsidR="00D563A5" w:rsidRPr="00C93BC9" w:rsidRDefault="00D563A5" w:rsidP="005C0745">
      <w:pPr>
        <w:numPr>
          <w:ilvl w:val="0"/>
          <w:numId w:val="12"/>
        </w:numPr>
        <w:spacing w:line="360" w:lineRule="auto"/>
        <w:rPr>
          <w:rFonts w:ascii="Arial" w:hAnsi="Arial" w:cs="Arial"/>
          <w:sz w:val="24"/>
          <w:szCs w:val="24"/>
        </w:rPr>
      </w:pPr>
      <w:r w:rsidRPr="00C93BC9">
        <w:rPr>
          <w:rFonts w:ascii="Arial" w:hAnsi="Arial" w:cs="Arial"/>
          <w:sz w:val="24"/>
          <w:szCs w:val="24"/>
        </w:rPr>
        <w:t>Risk assessment and mitigation strategies (Weeks 11–16)</w:t>
      </w:r>
    </w:p>
    <w:p w14:paraId="3D1B5063" w14:textId="77777777" w:rsidR="00D563A5" w:rsidRPr="00C93BC9" w:rsidRDefault="00D563A5" w:rsidP="005C0745">
      <w:pPr>
        <w:numPr>
          <w:ilvl w:val="0"/>
          <w:numId w:val="12"/>
        </w:numPr>
        <w:spacing w:line="360" w:lineRule="auto"/>
        <w:rPr>
          <w:rFonts w:ascii="Arial" w:hAnsi="Arial" w:cs="Arial"/>
          <w:sz w:val="24"/>
          <w:szCs w:val="24"/>
        </w:rPr>
      </w:pPr>
      <w:r w:rsidRPr="00C93BC9">
        <w:rPr>
          <w:rFonts w:ascii="Arial" w:hAnsi="Arial" w:cs="Arial"/>
          <w:sz w:val="24"/>
          <w:szCs w:val="24"/>
        </w:rPr>
        <w:t>Communication and training plan development (Weeks 13–20)</w:t>
      </w:r>
    </w:p>
    <w:p w14:paraId="5BE7B829"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Phase 3: Execution (Months 6–15)</w:t>
      </w:r>
    </w:p>
    <w:p w14:paraId="6390E0B2" w14:textId="77777777" w:rsidR="00D563A5" w:rsidRPr="00C93BC9" w:rsidRDefault="00D563A5" w:rsidP="005C0745">
      <w:pPr>
        <w:numPr>
          <w:ilvl w:val="0"/>
          <w:numId w:val="13"/>
        </w:numPr>
        <w:spacing w:line="360" w:lineRule="auto"/>
        <w:rPr>
          <w:rFonts w:ascii="Arial" w:hAnsi="Arial" w:cs="Arial"/>
          <w:sz w:val="24"/>
          <w:szCs w:val="24"/>
        </w:rPr>
      </w:pPr>
      <w:r w:rsidRPr="00C93BC9">
        <w:rPr>
          <w:rFonts w:ascii="Arial" w:hAnsi="Arial" w:cs="Arial"/>
          <w:sz w:val="24"/>
          <w:szCs w:val="24"/>
        </w:rPr>
        <w:t>Pilot rollout of self-service checkouts (Months 6–8)</w:t>
      </w:r>
    </w:p>
    <w:p w14:paraId="48090AC5" w14:textId="77777777" w:rsidR="00D563A5" w:rsidRPr="00C93BC9" w:rsidRDefault="00D563A5" w:rsidP="005C0745">
      <w:pPr>
        <w:numPr>
          <w:ilvl w:val="0"/>
          <w:numId w:val="13"/>
        </w:numPr>
        <w:spacing w:line="360" w:lineRule="auto"/>
        <w:rPr>
          <w:rFonts w:ascii="Arial" w:hAnsi="Arial" w:cs="Arial"/>
          <w:sz w:val="24"/>
          <w:szCs w:val="24"/>
        </w:rPr>
      </w:pPr>
      <w:r w:rsidRPr="00C93BC9">
        <w:rPr>
          <w:rFonts w:ascii="Arial" w:hAnsi="Arial" w:cs="Arial"/>
          <w:sz w:val="24"/>
          <w:szCs w:val="24"/>
        </w:rPr>
        <w:t>AI analytics platform installation and testing (Months 7–12)</w:t>
      </w:r>
    </w:p>
    <w:p w14:paraId="1DEEF5F2" w14:textId="77777777" w:rsidR="00D563A5" w:rsidRPr="00C93BC9" w:rsidRDefault="00D563A5" w:rsidP="005C0745">
      <w:pPr>
        <w:numPr>
          <w:ilvl w:val="0"/>
          <w:numId w:val="13"/>
        </w:numPr>
        <w:spacing w:line="360" w:lineRule="auto"/>
        <w:rPr>
          <w:rFonts w:ascii="Arial" w:hAnsi="Arial" w:cs="Arial"/>
          <w:sz w:val="24"/>
          <w:szCs w:val="24"/>
        </w:rPr>
      </w:pPr>
      <w:r w:rsidRPr="00C93BC9">
        <w:rPr>
          <w:rFonts w:ascii="Arial" w:hAnsi="Arial" w:cs="Arial"/>
          <w:sz w:val="24"/>
          <w:szCs w:val="24"/>
        </w:rPr>
        <w:t>Supply chain automation implementation (Months 8–14)</w:t>
      </w:r>
    </w:p>
    <w:p w14:paraId="735DF83D" w14:textId="77777777" w:rsidR="00D563A5" w:rsidRPr="00C93BC9" w:rsidRDefault="00D563A5" w:rsidP="005C0745">
      <w:pPr>
        <w:numPr>
          <w:ilvl w:val="0"/>
          <w:numId w:val="13"/>
        </w:numPr>
        <w:spacing w:line="360" w:lineRule="auto"/>
        <w:rPr>
          <w:rFonts w:ascii="Arial" w:hAnsi="Arial" w:cs="Arial"/>
          <w:sz w:val="24"/>
          <w:szCs w:val="24"/>
        </w:rPr>
      </w:pPr>
      <w:r w:rsidRPr="00C93BC9">
        <w:rPr>
          <w:rFonts w:ascii="Arial" w:hAnsi="Arial" w:cs="Arial"/>
          <w:sz w:val="24"/>
          <w:szCs w:val="24"/>
        </w:rPr>
        <w:t>Employee training and support (Months 7–15)</w:t>
      </w:r>
    </w:p>
    <w:p w14:paraId="6587E15A" w14:textId="77777777" w:rsidR="009E1871" w:rsidRPr="00C93BC9" w:rsidRDefault="009E1871" w:rsidP="005C0745">
      <w:pPr>
        <w:spacing w:line="360" w:lineRule="auto"/>
        <w:rPr>
          <w:rFonts w:ascii="Arial" w:hAnsi="Arial" w:cs="Arial"/>
          <w:sz w:val="24"/>
          <w:szCs w:val="24"/>
        </w:rPr>
      </w:pPr>
      <w:r w:rsidRPr="00C93BC9">
        <w:rPr>
          <w:rFonts w:ascii="Arial" w:hAnsi="Arial" w:cs="Arial"/>
          <w:b/>
          <w:bCs/>
          <w:sz w:val="24"/>
          <w:szCs w:val="24"/>
        </w:rPr>
        <w:t>Phase 4: Closure (Months 16–18)</w:t>
      </w:r>
    </w:p>
    <w:p w14:paraId="28DD2AC4" w14:textId="77777777" w:rsidR="009E1871" w:rsidRPr="00C93BC9" w:rsidRDefault="009E1871" w:rsidP="005C0745">
      <w:pPr>
        <w:numPr>
          <w:ilvl w:val="0"/>
          <w:numId w:val="26"/>
        </w:numPr>
        <w:spacing w:line="360" w:lineRule="auto"/>
        <w:rPr>
          <w:rFonts w:ascii="Arial" w:hAnsi="Arial" w:cs="Arial"/>
          <w:sz w:val="24"/>
          <w:szCs w:val="24"/>
        </w:rPr>
      </w:pPr>
      <w:r w:rsidRPr="00C93BC9">
        <w:rPr>
          <w:rFonts w:ascii="Arial" w:hAnsi="Arial" w:cs="Arial"/>
          <w:sz w:val="24"/>
          <w:szCs w:val="24"/>
        </w:rPr>
        <w:t>Performance evaluation and feedback collection (Months 16–17)</w:t>
      </w:r>
    </w:p>
    <w:p w14:paraId="47BE585A" w14:textId="77777777" w:rsidR="009E1871" w:rsidRPr="00C93BC9" w:rsidRDefault="009E1871" w:rsidP="005C0745">
      <w:pPr>
        <w:numPr>
          <w:ilvl w:val="0"/>
          <w:numId w:val="26"/>
        </w:numPr>
        <w:spacing w:line="360" w:lineRule="auto"/>
        <w:rPr>
          <w:rFonts w:ascii="Arial" w:hAnsi="Arial" w:cs="Arial"/>
          <w:sz w:val="24"/>
          <w:szCs w:val="24"/>
        </w:rPr>
      </w:pPr>
      <w:r w:rsidRPr="00C93BC9">
        <w:rPr>
          <w:rFonts w:ascii="Arial" w:hAnsi="Arial" w:cs="Arial"/>
          <w:sz w:val="24"/>
          <w:szCs w:val="24"/>
        </w:rPr>
        <w:t>Final report and lessons learned (Months 17–18)</w:t>
      </w:r>
    </w:p>
    <w:p w14:paraId="6C50428B" w14:textId="77777777" w:rsidR="009E1871" w:rsidRPr="00C93BC9" w:rsidRDefault="009E1871" w:rsidP="005C0745">
      <w:pPr>
        <w:numPr>
          <w:ilvl w:val="0"/>
          <w:numId w:val="26"/>
        </w:numPr>
        <w:spacing w:line="360" w:lineRule="auto"/>
        <w:rPr>
          <w:rFonts w:ascii="Arial" w:hAnsi="Arial" w:cs="Arial"/>
          <w:sz w:val="24"/>
          <w:szCs w:val="24"/>
        </w:rPr>
      </w:pPr>
      <w:r w:rsidRPr="00C93BC9">
        <w:rPr>
          <w:rFonts w:ascii="Arial" w:hAnsi="Arial" w:cs="Arial"/>
          <w:sz w:val="24"/>
          <w:szCs w:val="24"/>
        </w:rPr>
        <w:t>Transition of systems to operational teams (Month 18)</w:t>
      </w:r>
    </w:p>
    <w:p w14:paraId="5E927597" w14:textId="29F2937E" w:rsidR="00D563A5" w:rsidRPr="00C93BC9" w:rsidRDefault="009E1871" w:rsidP="005C0745">
      <w:pPr>
        <w:spacing w:line="360" w:lineRule="auto"/>
        <w:rPr>
          <w:rFonts w:ascii="Arial" w:hAnsi="Arial" w:cs="Arial"/>
          <w:sz w:val="24"/>
          <w:szCs w:val="24"/>
        </w:rPr>
      </w:pPr>
      <w:r w:rsidRPr="00C93BC9">
        <w:rPr>
          <w:rFonts w:ascii="Arial" w:hAnsi="Arial" w:cs="Arial"/>
          <w:sz w:val="24"/>
          <w:szCs w:val="24"/>
        </w:rPr>
        <w:t>This Gantt chart structure ensures a sequential and overlapping timeline, highlighting dependencies, critical milestones, and the overall 18-month project schedule.</w:t>
      </w:r>
    </w:p>
    <w:p w14:paraId="267291DA" w14:textId="77777777" w:rsidR="000E3ED8" w:rsidRPr="00C93BC9" w:rsidRDefault="00A63EAA" w:rsidP="005C0745">
      <w:pPr>
        <w:pStyle w:val="ListParagraph"/>
        <w:numPr>
          <w:ilvl w:val="0"/>
          <w:numId w:val="24"/>
        </w:numPr>
        <w:spacing w:after="0" w:line="360" w:lineRule="auto"/>
        <w:jc w:val="both"/>
        <w:rPr>
          <w:rFonts w:ascii="Arial" w:hAnsi="Arial" w:cs="Arial"/>
          <w:bCs/>
          <w:sz w:val="24"/>
          <w:szCs w:val="24"/>
          <w:lang w:val="en-US"/>
        </w:rPr>
      </w:pPr>
      <w:r w:rsidRPr="00C93BC9">
        <w:rPr>
          <w:rFonts w:ascii="Arial" w:hAnsi="Arial" w:cs="Arial"/>
          <w:bCs/>
          <w:sz w:val="24"/>
          <w:szCs w:val="24"/>
          <w:lang w:val="en-US"/>
        </w:rPr>
        <w:t>Stakeholders' involvement</w:t>
      </w:r>
    </w:p>
    <w:p w14:paraId="628DB94E" w14:textId="4FE8863C" w:rsidR="00D563A5" w:rsidRPr="00C93BC9" w:rsidRDefault="00D563A5" w:rsidP="005C0745">
      <w:pPr>
        <w:spacing w:after="0" w:line="360" w:lineRule="auto"/>
        <w:ind w:firstLine="720"/>
        <w:jc w:val="both"/>
        <w:rPr>
          <w:rFonts w:ascii="Arial" w:hAnsi="Arial" w:cs="Arial"/>
          <w:bCs/>
          <w:sz w:val="24"/>
          <w:szCs w:val="24"/>
          <w:lang w:val="en-US"/>
        </w:rPr>
      </w:pPr>
      <w:r w:rsidRPr="00C93BC9">
        <w:rPr>
          <w:rFonts w:ascii="Arial" w:hAnsi="Arial" w:cs="Arial"/>
          <w:sz w:val="24"/>
          <w:szCs w:val="24"/>
        </w:rPr>
        <w:t xml:space="preserve">Stakeholder involvement is a critical factor in the success of any project, as stakeholders influence decision-making, resource allocation, and overall project </w:t>
      </w:r>
      <w:r w:rsidRPr="00C93BC9">
        <w:rPr>
          <w:rFonts w:ascii="Arial" w:hAnsi="Arial" w:cs="Arial"/>
          <w:sz w:val="24"/>
          <w:szCs w:val="24"/>
        </w:rPr>
        <w:lastRenderedPageBreak/>
        <w:t>acceptance. For Sainsbury’s Smart Retail Transformation Project, key stakeholders have been identified across internal and external categories, each with distinct roles and levels of influence (Freeman, 2010).</w:t>
      </w:r>
    </w:p>
    <w:p w14:paraId="720ACCA9"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Internal Stakeholders:</w:t>
      </w:r>
    </w:p>
    <w:p w14:paraId="235A5BBE" w14:textId="77777777" w:rsidR="00D563A5" w:rsidRPr="00C93BC9" w:rsidRDefault="00D563A5" w:rsidP="005C0745">
      <w:pPr>
        <w:numPr>
          <w:ilvl w:val="0"/>
          <w:numId w:val="14"/>
        </w:numPr>
        <w:spacing w:line="360" w:lineRule="auto"/>
        <w:rPr>
          <w:rFonts w:ascii="Arial" w:hAnsi="Arial" w:cs="Arial"/>
          <w:sz w:val="24"/>
          <w:szCs w:val="24"/>
        </w:rPr>
      </w:pPr>
      <w:r w:rsidRPr="00C93BC9">
        <w:rPr>
          <w:rFonts w:ascii="Arial" w:hAnsi="Arial" w:cs="Arial"/>
          <w:b/>
          <w:bCs/>
          <w:sz w:val="24"/>
          <w:szCs w:val="24"/>
        </w:rPr>
        <w:t>Executive Board</w:t>
      </w:r>
      <w:r w:rsidRPr="00C93BC9">
        <w:rPr>
          <w:rFonts w:ascii="Arial" w:hAnsi="Arial" w:cs="Arial"/>
          <w:sz w:val="24"/>
          <w:szCs w:val="24"/>
        </w:rPr>
        <w:t>: Provides strategic direction, approves budgets, and monitors overall project progress.</w:t>
      </w:r>
    </w:p>
    <w:p w14:paraId="5C7E54AC" w14:textId="77777777" w:rsidR="00D563A5" w:rsidRPr="00C93BC9" w:rsidRDefault="00D563A5" w:rsidP="005C0745">
      <w:pPr>
        <w:numPr>
          <w:ilvl w:val="0"/>
          <w:numId w:val="14"/>
        </w:numPr>
        <w:spacing w:line="360" w:lineRule="auto"/>
        <w:rPr>
          <w:rFonts w:ascii="Arial" w:hAnsi="Arial" w:cs="Arial"/>
          <w:sz w:val="24"/>
          <w:szCs w:val="24"/>
        </w:rPr>
      </w:pPr>
      <w:r w:rsidRPr="00C93BC9">
        <w:rPr>
          <w:rFonts w:ascii="Arial" w:hAnsi="Arial" w:cs="Arial"/>
          <w:b/>
          <w:bCs/>
          <w:sz w:val="24"/>
          <w:szCs w:val="24"/>
        </w:rPr>
        <w:t>Project Manager</w:t>
      </w:r>
      <w:r w:rsidRPr="00C93BC9">
        <w:rPr>
          <w:rFonts w:ascii="Arial" w:hAnsi="Arial" w:cs="Arial"/>
          <w:sz w:val="24"/>
          <w:szCs w:val="24"/>
        </w:rPr>
        <w:t>: Oversees planning, execution, and delivery; acts as the primary liaison between teams and stakeholders.</w:t>
      </w:r>
    </w:p>
    <w:p w14:paraId="758343B7" w14:textId="77777777" w:rsidR="00D563A5" w:rsidRPr="00C93BC9" w:rsidRDefault="00D563A5" w:rsidP="005C0745">
      <w:pPr>
        <w:numPr>
          <w:ilvl w:val="0"/>
          <w:numId w:val="14"/>
        </w:numPr>
        <w:spacing w:line="360" w:lineRule="auto"/>
        <w:rPr>
          <w:rFonts w:ascii="Arial" w:hAnsi="Arial" w:cs="Arial"/>
          <w:sz w:val="24"/>
          <w:szCs w:val="24"/>
        </w:rPr>
      </w:pPr>
      <w:r w:rsidRPr="00C93BC9">
        <w:rPr>
          <w:rFonts w:ascii="Arial" w:hAnsi="Arial" w:cs="Arial"/>
          <w:b/>
          <w:bCs/>
          <w:sz w:val="24"/>
          <w:szCs w:val="24"/>
        </w:rPr>
        <w:t>Store Managers</w:t>
      </w:r>
      <w:r w:rsidRPr="00C93BC9">
        <w:rPr>
          <w:rFonts w:ascii="Arial" w:hAnsi="Arial" w:cs="Arial"/>
          <w:sz w:val="24"/>
          <w:szCs w:val="24"/>
        </w:rPr>
        <w:t>: Facilitate implementation at store level, coordinate staff training, and provide feedback on operational challenges.</w:t>
      </w:r>
    </w:p>
    <w:p w14:paraId="47C9BFA3" w14:textId="77777777" w:rsidR="00D563A5" w:rsidRPr="00C93BC9" w:rsidRDefault="00D563A5" w:rsidP="005C0745">
      <w:pPr>
        <w:numPr>
          <w:ilvl w:val="0"/>
          <w:numId w:val="14"/>
        </w:numPr>
        <w:spacing w:line="360" w:lineRule="auto"/>
        <w:rPr>
          <w:rFonts w:ascii="Arial" w:hAnsi="Arial" w:cs="Arial"/>
          <w:sz w:val="24"/>
          <w:szCs w:val="24"/>
        </w:rPr>
      </w:pPr>
      <w:r w:rsidRPr="00C93BC9">
        <w:rPr>
          <w:rFonts w:ascii="Arial" w:hAnsi="Arial" w:cs="Arial"/>
          <w:b/>
          <w:bCs/>
          <w:sz w:val="24"/>
          <w:szCs w:val="24"/>
        </w:rPr>
        <w:t>IT and Operations Teams</w:t>
      </w:r>
      <w:r w:rsidRPr="00C93BC9">
        <w:rPr>
          <w:rFonts w:ascii="Arial" w:hAnsi="Arial" w:cs="Arial"/>
          <w:sz w:val="24"/>
          <w:szCs w:val="24"/>
        </w:rPr>
        <w:t>: Responsible for system integration, deployment of automation tools, and ongoing technical support.</w:t>
      </w:r>
    </w:p>
    <w:p w14:paraId="21C9A94F"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External Stakeholders:</w:t>
      </w:r>
    </w:p>
    <w:p w14:paraId="5070EE0D" w14:textId="77777777" w:rsidR="00D563A5" w:rsidRPr="00C93BC9" w:rsidRDefault="00D563A5" w:rsidP="005C0745">
      <w:pPr>
        <w:numPr>
          <w:ilvl w:val="0"/>
          <w:numId w:val="15"/>
        </w:numPr>
        <w:spacing w:line="360" w:lineRule="auto"/>
        <w:rPr>
          <w:rFonts w:ascii="Arial" w:hAnsi="Arial" w:cs="Arial"/>
          <w:sz w:val="24"/>
          <w:szCs w:val="24"/>
        </w:rPr>
      </w:pPr>
      <w:r w:rsidRPr="00C93BC9">
        <w:rPr>
          <w:rFonts w:ascii="Arial" w:hAnsi="Arial" w:cs="Arial"/>
          <w:b/>
          <w:bCs/>
          <w:sz w:val="24"/>
          <w:szCs w:val="24"/>
        </w:rPr>
        <w:t>Technology Vendors</w:t>
      </w:r>
      <w:r w:rsidRPr="00C93BC9">
        <w:rPr>
          <w:rFonts w:ascii="Arial" w:hAnsi="Arial" w:cs="Arial"/>
          <w:sz w:val="24"/>
          <w:szCs w:val="24"/>
        </w:rPr>
        <w:t>: Supply hardware, software, and analytics solutions, ensuring compatibility with existing systems.</w:t>
      </w:r>
    </w:p>
    <w:p w14:paraId="176944F6" w14:textId="77777777" w:rsidR="00D563A5" w:rsidRPr="00C93BC9" w:rsidRDefault="00D563A5" w:rsidP="005C0745">
      <w:pPr>
        <w:numPr>
          <w:ilvl w:val="0"/>
          <w:numId w:val="15"/>
        </w:numPr>
        <w:spacing w:line="360" w:lineRule="auto"/>
        <w:rPr>
          <w:rFonts w:ascii="Arial" w:hAnsi="Arial" w:cs="Arial"/>
          <w:sz w:val="24"/>
          <w:szCs w:val="24"/>
        </w:rPr>
      </w:pPr>
      <w:r w:rsidRPr="00C93BC9">
        <w:rPr>
          <w:rFonts w:ascii="Arial" w:hAnsi="Arial" w:cs="Arial"/>
          <w:b/>
          <w:bCs/>
          <w:sz w:val="24"/>
          <w:szCs w:val="24"/>
        </w:rPr>
        <w:t>Customers</w:t>
      </w:r>
      <w:r w:rsidRPr="00C93BC9">
        <w:rPr>
          <w:rFonts w:ascii="Arial" w:hAnsi="Arial" w:cs="Arial"/>
          <w:sz w:val="24"/>
          <w:szCs w:val="24"/>
        </w:rPr>
        <w:t>: End-users of self-service checkouts and AI-driven personalisation; their feedback informs iterative improvements.</w:t>
      </w:r>
    </w:p>
    <w:p w14:paraId="3C875BD9" w14:textId="77777777" w:rsidR="00D563A5" w:rsidRPr="00C93BC9" w:rsidRDefault="00D563A5" w:rsidP="005C0745">
      <w:pPr>
        <w:numPr>
          <w:ilvl w:val="0"/>
          <w:numId w:val="15"/>
        </w:numPr>
        <w:spacing w:line="360" w:lineRule="auto"/>
        <w:rPr>
          <w:rFonts w:ascii="Arial" w:hAnsi="Arial" w:cs="Arial"/>
          <w:sz w:val="24"/>
          <w:szCs w:val="24"/>
        </w:rPr>
      </w:pPr>
      <w:r w:rsidRPr="00C93BC9">
        <w:rPr>
          <w:rFonts w:ascii="Arial" w:hAnsi="Arial" w:cs="Arial"/>
          <w:b/>
          <w:bCs/>
          <w:sz w:val="24"/>
          <w:szCs w:val="24"/>
        </w:rPr>
        <w:t>Regulatory Bodies</w:t>
      </w:r>
      <w:r w:rsidRPr="00C93BC9">
        <w:rPr>
          <w:rFonts w:ascii="Arial" w:hAnsi="Arial" w:cs="Arial"/>
          <w:sz w:val="24"/>
          <w:szCs w:val="24"/>
        </w:rPr>
        <w:t>: Ensure compliance with data protection, health and safety, and retail regulations.</w:t>
      </w:r>
    </w:p>
    <w:p w14:paraId="2FDB5C70"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Engagement Strategy:</w:t>
      </w:r>
      <w:r w:rsidRPr="00C93BC9">
        <w:rPr>
          <w:rFonts w:ascii="Arial" w:hAnsi="Arial" w:cs="Arial"/>
          <w:sz w:val="24"/>
          <w:szCs w:val="24"/>
        </w:rPr>
        <w:br/>
        <w:t>Regular communication is maintained via progress reports, workshops, and steering committee meetings. A RACI (Responsible, Accountable, Consulted, Informed) framework ensures clarity in roles, decision-making, and accountability, fostering collaboration and mitigating resistance to change.</w:t>
      </w:r>
    </w:p>
    <w:p w14:paraId="73FFA9A9" w14:textId="77777777" w:rsidR="00261D57" w:rsidRPr="00C93BC9" w:rsidRDefault="00D563A5" w:rsidP="005C0745">
      <w:pPr>
        <w:spacing w:line="360" w:lineRule="auto"/>
        <w:rPr>
          <w:rFonts w:ascii="Arial" w:hAnsi="Arial" w:cs="Arial"/>
          <w:sz w:val="24"/>
          <w:szCs w:val="24"/>
        </w:rPr>
      </w:pPr>
      <w:r w:rsidRPr="00C93BC9">
        <w:rPr>
          <w:rFonts w:ascii="Arial" w:hAnsi="Arial" w:cs="Arial"/>
          <w:sz w:val="24"/>
          <w:szCs w:val="24"/>
        </w:rPr>
        <w:t>Effective stakeholder involvement ensures alignment of project goals with business objectives, enhances adoption of new systems, and ultimately supports successful project outcomes.</w:t>
      </w:r>
    </w:p>
    <w:p w14:paraId="7F333049" w14:textId="77777777" w:rsidR="00D129CE" w:rsidRPr="00C93BC9" w:rsidRDefault="00261D57" w:rsidP="005C0745">
      <w:pPr>
        <w:pStyle w:val="ListParagraph"/>
        <w:numPr>
          <w:ilvl w:val="0"/>
          <w:numId w:val="24"/>
        </w:numPr>
        <w:spacing w:line="360" w:lineRule="auto"/>
        <w:rPr>
          <w:rFonts w:ascii="Arial" w:hAnsi="Arial" w:cs="Arial"/>
          <w:sz w:val="24"/>
          <w:szCs w:val="24"/>
        </w:rPr>
      </w:pPr>
      <w:r w:rsidRPr="00C93BC9">
        <w:rPr>
          <w:rFonts w:ascii="Arial" w:hAnsi="Arial" w:cs="Arial"/>
          <w:bCs/>
          <w:sz w:val="24"/>
          <w:szCs w:val="24"/>
          <w:lang w:val="en-US"/>
        </w:rPr>
        <w:t>Allocation of resources</w:t>
      </w:r>
    </w:p>
    <w:p w14:paraId="0B8066C2" w14:textId="398D5CF0"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lastRenderedPageBreak/>
        <w:t>Effective resource allocation is essential to ensure that all project activities are delivered on time, within budget, and at the desired quality. For the Sainsbury’s Smart Retail Transformation Project, resources have been allocated across human, financial, technological, and physical categories, aligned with the Work Breakdown Structure and project schedule (Meredith &amp; Mantel, 2017).</w:t>
      </w:r>
    </w:p>
    <w:p w14:paraId="57F2E2DD"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Human Resources:</w:t>
      </w:r>
    </w:p>
    <w:p w14:paraId="1BF60F94" w14:textId="77777777" w:rsidR="00D563A5" w:rsidRPr="00C93BC9" w:rsidRDefault="00D563A5" w:rsidP="005C0745">
      <w:pPr>
        <w:numPr>
          <w:ilvl w:val="0"/>
          <w:numId w:val="16"/>
        </w:numPr>
        <w:spacing w:line="360" w:lineRule="auto"/>
        <w:rPr>
          <w:rFonts w:ascii="Arial" w:hAnsi="Arial" w:cs="Arial"/>
          <w:sz w:val="24"/>
          <w:szCs w:val="24"/>
        </w:rPr>
      </w:pPr>
      <w:r w:rsidRPr="00C93BC9">
        <w:rPr>
          <w:rFonts w:ascii="Arial" w:hAnsi="Arial" w:cs="Arial"/>
          <w:b/>
          <w:bCs/>
          <w:sz w:val="24"/>
          <w:szCs w:val="24"/>
        </w:rPr>
        <w:t>Project Manager</w:t>
      </w:r>
      <w:r w:rsidRPr="00C93BC9">
        <w:rPr>
          <w:rFonts w:ascii="Arial" w:hAnsi="Arial" w:cs="Arial"/>
          <w:sz w:val="24"/>
          <w:szCs w:val="24"/>
        </w:rPr>
        <w:t>: Oversees overall planning, execution, and monitoring.</w:t>
      </w:r>
    </w:p>
    <w:p w14:paraId="49C06BB2" w14:textId="77777777" w:rsidR="00D563A5" w:rsidRPr="00C93BC9" w:rsidRDefault="00D563A5" w:rsidP="005C0745">
      <w:pPr>
        <w:numPr>
          <w:ilvl w:val="0"/>
          <w:numId w:val="16"/>
        </w:numPr>
        <w:spacing w:line="360" w:lineRule="auto"/>
        <w:rPr>
          <w:rFonts w:ascii="Arial" w:hAnsi="Arial" w:cs="Arial"/>
          <w:sz w:val="24"/>
          <w:szCs w:val="24"/>
        </w:rPr>
      </w:pPr>
      <w:r w:rsidRPr="00C93BC9">
        <w:rPr>
          <w:rFonts w:ascii="Arial" w:hAnsi="Arial" w:cs="Arial"/>
          <w:b/>
          <w:bCs/>
          <w:sz w:val="24"/>
          <w:szCs w:val="24"/>
        </w:rPr>
        <w:t>IT Specialists</w:t>
      </w:r>
      <w:r w:rsidRPr="00C93BC9">
        <w:rPr>
          <w:rFonts w:ascii="Arial" w:hAnsi="Arial" w:cs="Arial"/>
          <w:sz w:val="24"/>
          <w:szCs w:val="24"/>
        </w:rPr>
        <w:t>: Responsible for system installation, integration, and testing of self-service checkouts and AI platforms.</w:t>
      </w:r>
    </w:p>
    <w:p w14:paraId="75F057B7" w14:textId="77777777" w:rsidR="00D563A5" w:rsidRPr="00C93BC9" w:rsidRDefault="00D563A5" w:rsidP="005C0745">
      <w:pPr>
        <w:numPr>
          <w:ilvl w:val="0"/>
          <w:numId w:val="16"/>
        </w:numPr>
        <w:spacing w:line="360" w:lineRule="auto"/>
        <w:rPr>
          <w:rFonts w:ascii="Arial" w:hAnsi="Arial" w:cs="Arial"/>
          <w:sz w:val="24"/>
          <w:szCs w:val="24"/>
        </w:rPr>
      </w:pPr>
      <w:r w:rsidRPr="00C93BC9">
        <w:rPr>
          <w:rFonts w:ascii="Arial" w:hAnsi="Arial" w:cs="Arial"/>
          <w:b/>
          <w:bCs/>
          <w:sz w:val="24"/>
          <w:szCs w:val="24"/>
        </w:rPr>
        <w:t>Operations Team</w:t>
      </w:r>
      <w:r w:rsidRPr="00C93BC9">
        <w:rPr>
          <w:rFonts w:ascii="Arial" w:hAnsi="Arial" w:cs="Arial"/>
          <w:sz w:val="24"/>
          <w:szCs w:val="24"/>
        </w:rPr>
        <w:t>: Coordinates store-level implementation and ensures minimal disruption to daily operations.</w:t>
      </w:r>
    </w:p>
    <w:p w14:paraId="2061EF55" w14:textId="77777777" w:rsidR="00D563A5" w:rsidRPr="00C93BC9" w:rsidRDefault="00D563A5" w:rsidP="005C0745">
      <w:pPr>
        <w:numPr>
          <w:ilvl w:val="0"/>
          <w:numId w:val="16"/>
        </w:numPr>
        <w:spacing w:line="360" w:lineRule="auto"/>
        <w:rPr>
          <w:rFonts w:ascii="Arial" w:hAnsi="Arial" w:cs="Arial"/>
          <w:sz w:val="24"/>
          <w:szCs w:val="24"/>
        </w:rPr>
      </w:pPr>
      <w:r w:rsidRPr="00C93BC9">
        <w:rPr>
          <w:rFonts w:ascii="Arial" w:hAnsi="Arial" w:cs="Arial"/>
          <w:b/>
          <w:bCs/>
          <w:sz w:val="24"/>
          <w:szCs w:val="24"/>
        </w:rPr>
        <w:t>Trainers</w:t>
      </w:r>
      <w:r w:rsidRPr="00C93BC9">
        <w:rPr>
          <w:rFonts w:ascii="Arial" w:hAnsi="Arial" w:cs="Arial"/>
          <w:sz w:val="24"/>
          <w:szCs w:val="24"/>
        </w:rPr>
        <w:t>: Deliver staff training programmes on new technologies.</w:t>
      </w:r>
    </w:p>
    <w:p w14:paraId="6827606D" w14:textId="77777777" w:rsidR="00D563A5" w:rsidRPr="00C93BC9" w:rsidRDefault="00D563A5" w:rsidP="005C0745">
      <w:pPr>
        <w:numPr>
          <w:ilvl w:val="0"/>
          <w:numId w:val="16"/>
        </w:numPr>
        <w:spacing w:line="360" w:lineRule="auto"/>
        <w:rPr>
          <w:rFonts w:ascii="Arial" w:hAnsi="Arial" w:cs="Arial"/>
          <w:sz w:val="24"/>
          <w:szCs w:val="24"/>
        </w:rPr>
      </w:pPr>
      <w:r w:rsidRPr="00C93BC9">
        <w:rPr>
          <w:rFonts w:ascii="Arial" w:hAnsi="Arial" w:cs="Arial"/>
          <w:b/>
          <w:bCs/>
          <w:sz w:val="24"/>
          <w:szCs w:val="24"/>
        </w:rPr>
        <w:t>Support Staff</w:t>
      </w:r>
      <w:r w:rsidRPr="00C93BC9">
        <w:rPr>
          <w:rFonts w:ascii="Arial" w:hAnsi="Arial" w:cs="Arial"/>
          <w:sz w:val="24"/>
          <w:szCs w:val="24"/>
        </w:rPr>
        <w:t>: Provide ongoing assistance and address technical or operational queries.</w:t>
      </w:r>
    </w:p>
    <w:p w14:paraId="49AB198D"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Financial Resources:</w:t>
      </w:r>
    </w:p>
    <w:p w14:paraId="44001BE7" w14:textId="77777777" w:rsidR="00D563A5" w:rsidRPr="00C93BC9" w:rsidRDefault="00D563A5" w:rsidP="005C0745">
      <w:pPr>
        <w:numPr>
          <w:ilvl w:val="0"/>
          <w:numId w:val="17"/>
        </w:numPr>
        <w:spacing w:line="360" w:lineRule="auto"/>
        <w:rPr>
          <w:rFonts w:ascii="Arial" w:hAnsi="Arial" w:cs="Arial"/>
          <w:sz w:val="24"/>
          <w:szCs w:val="24"/>
        </w:rPr>
      </w:pPr>
      <w:r w:rsidRPr="00C93BC9">
        <w:rPr>
          <w:rFonts w:ascii="Arial" w:hAnsi="Arial" w:cs="Arial"/>
          <w:sz w:val="24"/>
          <w:szCs w:val="24"/>
        </w:rPr>
        <w:t>Estimated budget: £25 million, distributed across hardware, software licenses, training, vendor contracts, contingency, and project management overheads.</w:t>
      </w:r>
    </w:p>
    <w:p w14:paraId="533B330D"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Technological Resources:</w:t>
      </w:r>
    </w:p>
    <w:p w14:paraId="2122542A" w14:textId="77777777" w:rsidR="00D563A5" w:rsidRPr="00C93BC9" w:rsidRDefault="00D563A5" w:rsidP="005C0745">
      <w:pPr>
        <w:numPr>
          <w:ilvl w:val="0"/>
          <w:numId w:val="18"/>
        </w:numPr>
        <w:spacing w:line="360" w:lineRule="auto"/>
        <w:rPr>
          <w:rFonts w:ascii="Arial" w:hAnsi="Arial" w:cs="Arial"/>
          <w:sz w:val="24"/>
          <w:szCs w:val="24"/>
        </w:rPr>
      </w:pPr>
      <w:r w:rsidRPr="00C93BC9">
        <w:rPr>
          <w:rFonts w:ascii="Arial" w:hAnsi="Arial" w:cs="Arial"/>
          <w:sz w:val="24"/>
          <w:szCs w:val="24"/>
        </w:rPr>
        <w:t>Self-service checkout terminals, AI analytics software, cloud storage, and automated supply chain systems.</w:t>
      </w:r>
    </w:p>
    <w:p w14:paraId="3D038BF3" w14:textId="77777777" w:rsidR="00D563A5" w:rsidRPr="00C93BC9" w:rsidRDefault="00D563A5" w:rsidP="005C0745">
      <w:pPr>
        <w:numPr>
          <w:ilvl w:val="0"/>
          <w:numId w:val="18"/>
        </w:numPr>
        <w:spacing w:line="360" w:lineRule="auto"/>
        <w:rPr>
          <w:rFonts w:ascii="Arial" w:hAnsi="Arial" w:cs="Arial"/>
          <w:sz w:val="24"/>
          <w:szCs w:val="24"/>
        </w:rPr>
      </w:pPr>
      <w:r w:rsidRPr="00C93BC9">
        <w:rPr>
          <w:rFonts w:ascii="Arial" w:hAnsi="Arial" w:cs="Arial"/>
          <w:sz w:val="24"/>
          <w:szCs w:val="24"/>
        </w:rPr>
        <w:t>Necessary IT infrastructure, including servers, network upgrades, and cybersecurity tools.</w:t>
      </w:r>
    </w:p>
    <w:p w14:paraId="4C1CC810"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Physical Resources:</w:t>
      </w:r>
    </w:p>
    <w:p w14:paraId="0733DF0A" w14:textId="77777777" w:rsidR="00D563A5" w:rsidRPr="00C93BC9" w:rsidRDefault="00D563A5" w:rsidP="005C0745">
      <w:pPr>
        <w:numPr>
          <w:ilvl w:val="0"/>
          <w:numId w:val="19"/>
        </w:numPr>
        <w:spacing w:line="360" w:lineRule="auto"/>
        <w:rPr>
          <w:rFonts w:ascii="Arial" w:hAnsi="Arial" w:cs="Arial"/>
          <w:sz w:val="24"/>
          <w:szCs w:val="24"/>
        </w:rPr>
      </w:pPr>
      <w:r w:rsidRPr="00C93BC9">
        <w:rPr>
          <w:rFonts w:ascii="Arial" w:hAnsi="Arial" w:cs="Arial"/>
          <w:sz w:val="24"/>
          <w:szCs w:val="24"/>
        </w:rPr>
        <w:t>Space for training sessions, installation of new hardware in stores, and logistics support for supply chain automation.</w:t>
      </w:r>
    </w:p>
    <w:p w14:paraId="6C003236" w14:textId="77777777" w:rsidR="00D563A5" w:rsidRPr="00C93BC9" w:rsidRDefault="00D563A5" w:rsidP="005C0745">
      <w:pPr>
        <w:spacing w:line="360" w:lineRule="auto"/>
        <w:rPr>
          <w:rFonts w:ascii="Arial" w:hAnsi="Arial" w:cs="Arial"/>
          <w:sz w:val="24"/>
          <w:szCs w:val="24"/>
        </w:rPr>
      </w:pPr>
      <w:r w:rsidRPr="00C93BC9">
        <w:rPr>
          <w:rFonts w:ascii="Arial" w:hAnsi="Arial" w:cs="Arial"/>
          <w:sz w:val="24"/>
          <w:szCs w:val="24"/>
        </w:rPr>
        <w:t>Resource allocation is continuously monitored through project management tools to ensure optimal utilisation, prevent bottlenecks, and adjust assignments in response to unforeseen challenges, thereby maintaining project efficiency and effectiveness.</w:t>
      </w:r>
    </w:p>
    <w:p w14:paraId="3FFA63BC" w14:textId="77777777" w:rsidR="00CC3511" w:rsidRPr="00C93BC9" w:rsidRDefault="00CC3511" w:rsidP="005C0745">
      <w:pPr>
        <w:pStyle w:val="ListParagraph"/>
        <w:numPr>
          <w:ilvl w:val="0"/>
          <w:numId w:val="24"/>
        </w:numPr>
        <w:spacing w:after="0" w:line="360" w:lineRule="auto"/>
        <w:jc w:val="both"/>
        <w:rPr>
          <w:rFonts w:ascii="Arial" w:hAnsi="Arial" w:cs="Arial"/>
          <w:bCs/>
          <w:sz w:val="24"/>
          <w:szCs w:val="24"/>
          <w:lang w:val="en-US"/>
        </w:rPr>
      </w:pPr>
      <w:r w:rsidRPr="00C93BC9">
        <w:rPr>
          <w:rFonts w:ascii="Arial" w:hAnsi="Arial" w:cs="Arial"/>
          <w:bCs/>
          <w:sz w:val="24"/>
          <w:szCs w:val="24"/>
          <w:lang w:val="en-US"/>
        </w:rPr>
        <w:lastRenderedPageBreak/>
        <w:t xml:space="preserve">Risk Analysis </w:t>
      </w:r>
    </w:p>
    <w:p w14:paraId="5FE0DDEF" w14:textId="1A023440" w:rsidR="00CC3511" w:rsidRPr="00C93BC9" w:rsidRDefault="00D563A5" w:rsidP="005C0745">
      <w:pPr>
        <w:spacing w:after="0" w:line="360" w:lineRule="auto"/>
        <w:ind w:firstLine="720"/>
        <w:jc w:val="both"/>
        <w:rPr>
          <w:rFonts w:ascii="Arial" w:hAnsi="Arial" w:cs="Arial"/>
          <w:sz w:val="24"/>
          <w:szCs w:val="24"/>
        </w:rPr>
      </w:pPr>
      <w:r w:rsidRPr="00C93BC9">
        <w:rPr>
          <w:rFonts w:ascii="Arial" w:hAnsi="Arial" w:cs="Arial"/>
          <w:sz w:val="24"/>
          <w:szCs w:val="24"/>
        </w:rPr>
        <w:t>Risk analysis is a fundamental component of project management, enabling proactive identification, assessment, and mitigation of potential issues that may affect project success (Hillson, 2017). For Sainsbury’s Smart Retail Transformation Project, risks have been categorised as technical, operational, financial, and regulatory.</w:t>
      </w:r>
    </w:p>
    <w:p w14:paraId="612DB174"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Technical Risks:</w:t>
      </w:r>
    </w:p>
    <w:p w14:paraId="30FDA05C" w14:textId="77777777" w:rsidR="00D563A5" w:rsidRPr="00C93BC9" w:rsidRDefault="00D563A5" w:rsidP="005C0745">
      <w:pPr>
        <w:numPr>
          <w:ilvl w:val="0"/>
          <w:numId w:val="20"/>
        </w:numPr>
        <w:spacing w:line="360" w:lineRule="auto"/>
        <w:rPr>
          <w:rFonts w:ascii="Arial" w:hAnsi="Arial" w:cs="Arial"/>
          <w:sz w:val="24"/>
          <w:szCs w:val="24"/>
        </w:rPr>
      </w:pPr>
      <w:r w:rsidRPr="00C93BC9">
        <w:rPr>
          <w:rFonts w:ascii="Arial" w:hAnsi="Arial" w:cs="Arial"/>
          <w:b/>
          <w:bCs/>
          <w:sz w:val="24"/>
          <w:szCs w:val="24"/>
        </w:rPr>
        <w:t>System integration failures</w:t>
      </w:r>
      <w:r w:rsidRPr="00C93BC9">
        <w:rPr>
          <w:rFonts w:ascii="Arial" w:hAnsi="Arial" w:cs="Arial"/>
          <w:sz w:val="24"/>
          <w:szCs w:val="24"/>
        </w:rPr>
        <w:t>: AI analytics or self-service checkouts may not integrate seamlessly with existing infrastructure. Mitigation: Conduct rigorous testing and engage experienced IT vendors.</w:t>
      </w:r>
    </w:p>
    <w:p w14:paraId="0CFDAE82" w14:textId="77777777" w:rsidR="00D563A5" w:rsidRPr="00C93BC9" w:rsidRDefault="00D563A5" w:rsidP="005C0745">
      <w:pPr>
        <w:numPr>
          <w:ilvl w:val="0"/>
          <w:numId w:val="20"/>
        </w:numPr>
        <w:spacing w:line="360" w:lineRule="auto"/>
        <w:rPr>
          <w:rFonts w:ascii="Arial" w:hAnsi="Arial" w:cs="Arial"/>
          <w:sz w:val="24"/>
          <w:szCs w:val="24"/>
        </w:rPr>
      </w:pPr>
      <w:r w:rsidRPr="00C93BC9">
        <w:rPr>
          <w:rFonts w:ascii="Arial" w:hAnsi="Arial" w:cs="Arial"/>
          <w:b/>
          <w:bCs/>
          <w:sz w:val="24"/>
          <w:szCs w:val="24"/>
        </w:rPr>
        <w:t>Cybersecurity breaches</w:t>
      </w:r>
      <w:r w:rsidRPr="00C93BC9">
        <w:rPr>
          <w:rFonts w:ascii="Arial" w:hAnsi="Arial" w:cs="Arial"/>
          <w:sz w:val="24"/>
          <w:szCs w:val="24"/>
        </w:rPr>
        <w:t>: Customer data could be compromised. Mitigation: Implement robust security protocols and regular audits.</w:t>
      </w:r>
    </w:p>
    <w:p w14:paraId="7B1C76D5"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Operational Risks:</w:t>
      </w:r>
    </w:p>
    <w:p w14:paraId="0E07BFC5" w14:textId="77777777" w:rsidR="00D563A5" w:rsidRPr="00C93BC9" w:rsidRDefault="00D563A5" w:rsidP="005C0745">
      <w:pPr>
        <w:numPr>
          <w:ilvl w:val="0"/>
          <w:numId w:val="21"/>
        </w:numPr>
        <w:spacing w:line="360" w:lineRule="auto"/>
        <w:rPr>
          <w:rFonts w:ascii="Arial" w:hAnsi="Arial" w:cs="Arial"/>
          <w:sz w:val="24"/>
          <w:szCs w:val="24"/>
        </w:rPr>
      </w:pPr>
      <w:r w:rsidRPr="00C93BC9">
        <w:rPr>
          <w:rFonts w:ascii="Arial" w:hAnsi="Arial" w:cs="Arial"/>
          <w:b/>
          <w:bCs/>
          <w:sz w:val="24"/>
          <w:szCs w:val="24"/>
        </w:rPr>
        <w:t>Employee resistance</w:t>
      </w:r>
      <w:r w:rsidRPr="00C93BC9">
        <w:rPr>
          <w:rFonts w:ascii="Arial" w:hAnsi="Arial" w:cs="Arial"/>
          <w:sz w:val="24"/>
          <w:szCs w:val="24"/>
        </w:rPr>
        <w:t>: Staff may struggle to adapt to new technologies. Mitigation: Deliver comprehensive training, workshops, and change management programmes.</w:t>
      </w:r>
    </w:p>
    <w:p w14:paraId="5A549BBE" w14:textId="77777777" w:rsidR="00D563A5" w:rsidRPr="00C93BC9" w:rsidRDefault="00D563A5" w:rsidP="005C0745">
      <w:pPr>
        <w:numPr>
          <w:ilvl w:val="0"/>
          <w:numId w:val="21"/>
        </w:numPr>
        <w:spacing w:line="360" w:lineRule="auto"/>
        <w:rPr>
          <w:rFonts w:ascii="Arial" w:hAnsi="Arial" w:cs="Arial"/>
          <w:sz w:val="24"/>
          <w:szCs w:val="24"/>
        </w:rPr>
      </w:pPr>
      <w:r w:rsidRPr="00C93BC9">
        <w:rPr>
          <w:rFonts w:ascii="Arial" w:hAnsi="Arial" w:cs="Arial"/>
          <w:b/>
          <w:bCs/>
          <w:sz w:val="24"/>
          <w:szCs w:val="24"/>
        </w:rPr>
        <w:t>Disruption to store operations</w:t>
      </w:r>
      <w:r w:rsidRPr="00C93BC9">
        <w:rPr>
          <w:rFonts w:ascii="Arial" w:hAnsi="Arial" w:cs="Arial"/>
          <w:sz w:val="24"/>
          <w:szCs w:val="24"/>
        </w:rPr>
        <w:t>: Installation may affect normal store functioning. Mitigation: Schedule installations during off-peak hours and pilot in select stores first.</w:t>
      </w:r>
    </w:p>
    <w:p w14:paraId="7AE7A42F"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Financial Risks:</w:t>
      </w:r>
    </w:p>
    <w:p w14:paraId="239288F3" w14:textId="77777777" w:rsidR="00D563A5" w:rsidRPr="00C93BC9" w:rsidRDefault="00D563A5" w:rsidP="005C0745">
      <w:pPr>
        <w:numPr>
          <w:ilvl w:val="0"/>
          <w:numId w:val="22"/>
        </w:numPr>
        <w:spacing w:line="360" w:lineRule="auto"/>
        <w:rPr>
          <w:rFonts w:ascii="Arial" w:hAnsi="Arial" w:cs="Arial"/>
          <w:sz w:val="24"/>
          <w:szCs w:val="24"/>
        </w:rPr>
      </w:pPr>
      <w:r w:rsidRPr="00C93BC9">
        <w:rPr>
          <w:rFonts w:ascii="Arial" w:hAnsi="Arial" w:cs="Arial"/>
          <w:b/>
          <w:bCs/>
          <w:sz w:val="24"/>
          <w:szCs w:val="24"/>
        </w:rPr>
        <w:t>Budget overruns</w:t>
      </w:r>
      <w:r w:rsidRPr="00C93BC9">
        <w:rPr>
          <w:rFonts w:ascii="Arial" w:hAnsi="Arial" w:cs="Arial"/>
          <w:sz w:val="24"/>
          <w:szCs w:val="24"/>
        </w:rPr>
        <w:t>: Unexpected costs in hardware or vendor services. Mitigation: Maintain a contingency fund and conduct regular financial monitoring.</w:t>
      </w:r>
    </w:p>
    <w:p w14:paraId="479C9F14" w14:textId="77777777" w:rsidR="00D563A5" w:rsidRPr="00C93BC9" w:rsidRDefault="00D563A5" w:rsidP="005C0745">
      <w:pPr>
        <w:spacing w:line="360" w:lineRule="auto"/>
        <w:rPr>
          <w:rFonts w:ascii="Arial" w:hAnsi="Arial" w:cs="Arial"/>
          <w:sz w:val="24"/>
          <w:szCs w:val="24"/>
        </w:rPr>
      </w:pPr>
      <w:r w:rsidRPr="00C93BC9">
        <w:rPr>
          <w:rFonts w:ascii="Arial" w:hAnsi="Arial" w:cs="Arial"/>
          <w:b/>
          <w:bCs/>
          <w:sz w:val="24"/>
          <w:szCs w:val="24"/>
        </w:rPr>
        <w:t>Regulatory Risks:</w:t>
      </w:r>
    </w:p>
    <w:p w14:paraId="5E8FA312" w14:textId="77777777" w:rsidR="00D563A5" w:rsidRPr="00C93BC9" w:rsidRDefault="00D563A5" w:rsidP="005C0745">
      <w:pPr>
        <w:numPr>
          <w:ilvl w:val="0"/>
          <w:numId w:val="23"/>
        </w:numPr>
        <w:spacing w:line="360" w:lineRule="auto"/>
        <w:rPr>
          <w:rFonts w:ascii="Arial" w:hAnsi="Arial" w:cs="Arial"/>
          <w:sz w:val="24"/>
          <w:szCs w:val="24"/>
        </w:rPr>
      </w:pPr>
      <w:r w:rsidRPr="00C93BC9">
        <w:rPr>
          <w:rFonts w:ascii="Arial" w:hAnsi="Arial" w:cs="Arial"/>
          <w:b/>
          <w:bCs/>
          <w:sz w:val="24"/>
          <w:szCs w:val="24"/>
        </w:rPr>
        <w:t>Data privacy compliance</w:t>
      </w:r>
      <w:r w:rsidRPr="00C93BC9">
        <w:rPr>
          <w:rFonts w:ascii="Arial" w:hAnsi="Arial" w:cs="Arial"/>
          <w:sz w:val="24"/>
          <w:szCs w:val="24"/>
        </w:rPr>
        <w:t>: AI analytics must comply with GDPR. Mitigation: Engage legal advisors to ensure compliance and obtain necessary approvals.</w:t>
      </w:r>
    </w:p>
    <w:p w14:paraId="58BD45C4" w14:textId="77777777" w:rsidR="00E1476E" w:rsidRPr="00C93BC9" w:rsidRDefault="00D563A5" w:rsidP="005C0745">
      <w:pPr>
        <w:spacing w:line="360" w:lineRule="auto"/>
        <w:ind w:firstLine="360"/>
        <w:rPr>
          <w:rFonts w:ascii="Arial" w:hAnsi="Arial" w:cs="Arial"/>
          <w:sz w:val="24"/>
          <w:szCs w:val="24"/>
        </w:rPr>
      </w:pPr>
      <w:r w:rsidRPr="00C93BC9">
        <w:rPr>
          <w:rFonts w:ascii="Arial" w:hAnsi="Arial" w:cs="Arial"/>
          <w:sz w:val="24"/>
          <w:szCs w:val="24"/>
        </w:rPr>
        <w:t>A risk register will be maintained and regularly updated to prioritise risks by probability and impact, ensuring timely responses. This structured approach minimizes uncertainty, safeguards resources, and enhances the likelihood of delivering the project successfully.</w:t>
      </w:r>
    </w:p>
    <w:p w14:paraId="3CC009DF" w14:textId="77777777" w:rsidR="00E1476E" w:rsidRPr="00C93BC9" w:rsidRDefault="00E1476E" w:rsidP="005C0745">
      <w:pPr>
        <w:pStyle w:val="ListParagraph"/>
        <w:numPr>
          <w:ilvl w:val="0"/>
          <w:numId w:val="24"/>
        </w:numPr>
        <w:spacing w:line="360" w:lineRule="auto"/>
        <w:rPr>
          <w:rFonts w:ascii="Arial" w:hAnsi="Arial" w:cs="Arial"/>
          <w:sz w:val="24"/>
          <w:szCs w:val="24"/>
        </w:rPr>
      </w:pPr>
      <w:r w:rsidRPr="00C93BC9">
        <w:rPr>
          <w:rFonts w:ascii="Arial" w:hAnsi="Arial" w:cs="Arial"/>
          <w:sz w:val="24"/>
          <w:szCs w:val="24"/>
        </w:rPr>
        <w:lastRenderedPageBreak/>
        <w:t>Conclusion</w:t>
      </w:r>
    </w:p>
    <w:p w14:paraId="191ADB87" w14:textId="569567E8"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The Sainsbury’s Smart Retail Transformation Project represents a strategic initiative to enhance operational efficiency, improve customer experience, and strengthen competitive advantage through the adoption of advanced technologies. By implementing upgraded self-service checkouts, AI-driven customer analytics, and automated supply chain tools, the project addresses critical business challenges, including rising labour costs, inventory inefficiencies, and evolving consumer expectations (Meredith &amp; Shafer, 2020).</w:t>
      </w:r>
    </w:p>
    <w:p w14:paraId="36647BB9" w14:textId="3174A271"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Through structured project management methodologies, including the Work Breakdown Structure, Gantt chart scheduling, quad chart overview, and rigorous risk analysis, the project demonstrates a comprehensive approach to planning, execution, and control. Effective stakeholder engagement and clear resource allocation further ensure alignment with organisational objectives and promote smooth adoption across stores. Additionally, the integration of monitoring and feedback mechanisms supports continuous improvement, helping Sainsbury’s adapt dynamically to operational and technological challenges.</w:t>
      </w:r>
    </w:p>
    <w:p w14:paraId="47EB2C18" w14:textId="0D452A4E"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The anticipated outcomes—shorter checkout times, more accurate inventory management, and actionable customer insights—will not only enhance profitability but also improve customer satisfaction and loyalty. Furthermore, lessons learned and documented best practices will inform future digital transformation initiatives, contributing to a culture of innovation within the organisation.</w:t>
      </w:r>
    </w:p>
    <w:p w14:paraId="00B1AC26" w14:textId="12652B02" w:rsidR="00D563A5" w:rsidRPr="00C93BC9" w:rsidRDefault="00D563A5" w:rsidP="005C0745">
      <w:pPr>
        <w:spacing w:line="360" w:lineRule="auto"/>
        <w:ind w:firstLine="720"/>
        <w:rPr>
          <w:rFonts w:ascii="Arial" w:hAnsi="Arial" w:cs="Arial"/>
          <w:sz w:val="24"/>
          <w:szCs w:val="24"/>
        </w:rPr>
      </w:pPr>
      <w:r w:rsidRPr="00C93BC9">
        <w:rPr>
          <w:rFonts w:ascii="Arial" w:hAnsi="Arial" w:cs="Arial"/>
          <w:sz w:val="24"/>
          <w:szCs w:val="24"/>
        </w:rPr>
        <w:t>In conclusion, this project underscores the importance of meticulous planning, robust stakeholder involvement, and proactive risk management in achieving successful outcomes, providing Sainsbury’s with a sustainable platform for growth in a highly competitive retail environment.</w:t>
      </w:r>
    </w:p>
    <w:p w14:paraId="64EC266D" w14:textId="0783B078" w:rsidR="00016D6C" w:rsidRPr="00C93BC9" w:rsidRDefault="00784624" w:rsidP="005C0745">
      <w:pPr>
        <w:pStyle w:val="ListParagraph"/>
        <w:numPr>
          <w:ilvl w:val="0"/>
          <w:numId w:val="24"/>
        </w:numPr>
        <w:spacing w:line="360" w:lineRule="auto"/>
        <w:rPr>
          <w:rFonts w:ascii="Arial" w:hAnsi="Arial" w:cs="Arial"/>
          <w:sz w:val="24"/>
          <w:szCs w:val="24"/>
        </w:rPr>
      </w:pPr>
      <w:r w:rsidRPr="00C93BC9">
        <w:rPr>
          <w:rFonts w:ascii="Arial" w:hAnsi="Arial" w:cs="Arial"/>
          <w:sz w:val="24"/>
          <w:szCs w:val="24"/>
        </w:rPr>
        <w:t>Reference</w:t>
      </w:r>
    </w:p>
    <w:p w14:paraId="6DE0603F" w14:textId="77777777" w:rsidR="00D563A5" w:rsidRPr="00C93BC9" w:rsidRDefault="00D563A5"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Freeman, R.E. (2010) Strategic Management: A Stakeholder Approach. Cambridge: Cambridge University Press.</w:t>
      </w:r>
    </w:p>
    <w:p w14:paraId="53D94FE4" w14:textId="77777777" w:rsidR="00D563A5" w:rsidRPr="00C93BC9" w:rsidRDefault="00D563A5"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 xml:space="preserve">Hillson, D. (2017) Practical Project Risk Management: The ATOM Methodology. 3rd </w:t>
      </w:r>
      <w:proofErr w:type="spellStart"/>
      <w:r w:rsidRPr="00C93BC9">
        <w:rPr>
          <w:rFonts w:ascii="Arial" w:hAnsi="Arial" w:cs="Arial"/>
          <w:sz w:val="24"/>
          <w:szCs w:val="24"/>
        </w:rPr>
        <w:t>edn</w:t>
      </w:r>
      <w:proofErr w:type="spellEnd"/>
      <w:r w:rsidRPr="00C93BC9">
        <w:rPr>
          <w:rFonts w:ascii="Arial" w:hAnsi="Arial" w:cs="Arial"/>
          <w:sz w:val="24"/>
          <w:szCs w:val="24"/>
        </w:rPr>
        <w:t>. London: Management Concepts.</w:t>
      </w:r>
    </w:p>
    <w:p w14:paraId="52DAB32C" w14:textId="77777777" w:rsidR="00D563A5" w:rsidRPr="00C93BC9" w:rsidRDefault="00D563A5"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 xml:space="preserve">Kerzner, H. (2017) Project Management: A Systems Approach to Planning, Scheduling, and Controlling. 12th </w:t>
      </w:r>
      <w:proofErr w:type="spellStart"/>
      <w:r w:rsidRPr="00C93BC9">
        <w:rPr>
          <w:rFonts w:ascii="Arial" w:hAnsi="Arial" w:cs="Arial"/>
          <w:sz w:val="24"/>
          <w:szCs w:val="24"/>
        </w:rPr>
        <w:t>edn</w:t>
      </w:r>
      <w:proofErr w:type="spellEnd"/>
      <w:r w:rsidRPr="00C93BC9">
        <w:rPr>
          <w:rFonts w:ascii="Arial" w:hAnsi="Arial" w:cs="Arial"/>
          <w:sz w:val="24"/>
          <w:szCs w:val="24"/>
        </w:rPr>
        <w:t>. Hoboken, NJ: John Wiley &amp; Sons.</w:t>
      </w:r>
    </w:p>
    <w:p w14:paraId="2B18748E" w14:textId="77777777" w:rsidR="00D563A5" w:rsidRPr="00C93BC9" w:rsidRDefault="00D563A5"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lastRenderedPageBreak/>
        <w:t xml:space="preserve">Lock, D. (2020) Project Management. 10th </w:t>
      </w:r>
      <w:proofErr w:type="spellStart"/>
      <w:r w:rsidRPr="00C93BC9">
        <w:rPr>
          <w:rFonts w:ascii="Arial" w:hAnsi="Arial" w:cs="Arial"/>
          <w:sz w:val="24"/>
          <w:szCs w:val="24"/>
        </w:rPr>
        <w:t>edn</w:t>
      </w:r>
      <w:proofErr w:type="spellEnd"/>
      <w:r w:rsidRPr="00C93BC9">
        <w:rPr>
          <w:rFonts w:ascii="Arial" w:hAnsi="Arial" w:cs="Arial"/>
          <w:sz w:val="24"/>
          <w:szCs w:val="24"/>
        </w:rPr>
        <w:t>. Farnham: Routledge.</w:t>
      </w:r>
    </w:p>
    <w:p w14:paraId="643C2FB2" w14:textId="77777777" w:rsidR="00D563A5" w:rsidRPr="00C93BC9" w:rsidRDefault="00D563A5"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 xml:space="preserve">Meredith, J.R. and Mantel, S.J. (2017) Project Management: A Managerial Approach. 9th </w:t>
      </w:r>
      <w:proofErr w:type="spellStart"/>
      <w:r w:rsidRPr="00C93BC9">
        <w:rPr>
          <w:rFonts w:ascii="Arial" w:hAnsi="Arial" w:cs="Arial"/>
          <w:sz w:val="24"/>
          <w:szCs w:val="24"/>
        </w:rPr>
        <w:t>edn</w:t>
      </w:r>
      <w:proofErr w:type="spellEnd"/>
      <w:r w:rsidRPr="00C93BC9">
        <w:rPr>
          <w:rFonts w:ascii="Arial" w:hAnsi="Arial" w:cs="Arial"/>
          <w:sz w:val="24"/>
          <w:szCs w:val="24"/>
        </w:rPr>
        <w:t>. Hoboken, NJ: John Wiley &amp; Sons.</w:t>
      </w:r>
    </w:p>
    <w:p w14:paraId="73FE9DC5" w14:textId="77777777" w:rsidR="00D563A5" w:rsidRPr="00C93BC9" w:rsidRDefault="00D563A5"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 xml:space="preserve">Meredith, J.R. and Shafer, S.M. (2020) Operations and Project Management for Competitive Advantage. 2nd </w:t>
      </w:r>
      <w:proofErr w:type="spellStart"/>
      <w:r w:rsidRPr="00C93BC9">
        <w:rPr>
          <w:rFonts w:ascii="Arial" w:hAnsi="Arial" w:cs="Arial"/>
          <w:sz w:val="24"/>
          <w:szCs w:val="24"/>
        </w:rPr>
        <w:t>edn</w:t>
      </w:r>
      <w:proofErr w:type="spellEnd"/>
      <w:r w:rsidRPr="00C93BC9">
        <w:rPr>
          <w:rFonts w:ascii="Arial" w:hAnsi="Arial" w:cs="Arial"/>
          <w:sz w:val="24"/>
          <w:szCs w:val="24"/>
        </w:rPr>
        <w:t>. Hoboken, NJ: John Wiley &amp; Sons.</w:t>
      </w:r>
    </w:p>
    <w:p w14:paraId="09F7942B" w14:textId="77777777" w:rsidR="00D563A5" w:rsidRPr="00C93BC9" w:rsidRDefault="00D563A5"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 xml:space="preserve">PMI (Project Management Institute) (2021) A Guide to the Project Management Body of Knowledge (PMBOK® Guide). 7th </w:t>
      </w:r>
      <w:proofErr w:type="spellStart"/>
      <w:r w:rsidRPr="00C93BC9">
        <w:rPr>
          <w:rFonts w:ascii="Arial" w:hAnsi="Arial" w:cs="Arial"/>
          <w:sz w:val="24"/>
          <w:szCs w:val="24"/>
        </w:rPr>
        <w:t>edn</w:t>
      </w:r>
      <w:proofErr w:type="spellEnd"/>
      <w:r w:rsidRPr="00C93BC9">
        <w:rPr>
          <w:rFonts w:ascii="Arial" w:hAnsi="Arial" w:cs="Arial"/>
          <w:sz w:val="24"/>
          <w:szCs w:val="24"/>
        </w:rPr>
        <w:t>. Newtown Square, PA: Project Management Institute.</w:t>
      </w:r>
    </w:p>
    <w:p w14:paraId="3FE0060A" w14:textId="0D9BB9B1" w:rsidR="00742CC8" w:rsidRPr="00C93BC9" w:rsidRDefault="00742CC8"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 xml:space="preserve">Sainsbury’s. (2024) </w:t>
      </w:r>
      <w:hyperlink r:id="rId9" w:history="1">
        <w:r w:rsidRPr="00C93BC9">
          <w:rPr>
            <w:rStyle w:val="Hyperlink"/>
            <w:rFonts w:ascii="Arial" w:hAnsi="Arial" w:cs="Arial"/>
            <w:color w:val="auto"/>
            <w:sz w:val="24"/>
            <w:szCs w:val="24"/>
            <w:u w:val="none"/>
          </w:rPr>
          <w:t>https://corporate.sainsburys.co.uk/news/press-releases/sainsbury-s-partners-with-ncr-voyix-for-exceptional-customer-experience/</w:t>
        </w:r>
      </w:hyperlink>
      <w:r w:rsidRPr="00C93BC9">
        <w:rPr>
          <w:rFonts w:ascii="Arial" w:hAnsi="Arial" w:cs="Arial"/>
          <w:sz w:val="24"/>
          <w:szCs w:val="24"/>
        </w:rPr>
        <w:t xml:space="preserve"> </w:t>
      </w:r>
    </w:p>
    <w:p w14:paraId="10549470" w14:textId="5C1E41AF" w:rsidR="00742CC8" w:rsidRPr="00C93BC9" w:rsidRDefault="00742CC8" w:rsidP="005C0745">
      <w:pPr>
        <w:pStyle w:val="ListParagraph"/>
        <w:numPr>
          <w:ilvl w:val="0"/>
          <w:numId w:val="27"/>
        </w:numPr>
        <w:spacing w:line="360" w:lineRule="auto"/>
        <w:rPr>
          <w:rFonts w:ascii="Arial" w:hAnsi="Arial" w:cs="Arial"/>
          <w:sz w:val="24"/>
          <w:szCs w:val="24"/>
        </w:rPr>
      </w:pPr>
      <w:r w:rsidRPr="00C93BC9">
        <w:rPr>
          <w:rFonts w:ascii="Arial" w:hAnsi="Arial" w:cs="Arial"/>
          <w:sz w:val="24"/>
          <w:szCs w:val="24"/>
        </w:rPr>
        <w:t>Sainsbury’s. (2024) Sainsbury’s</w:t>
      </w:r>
      <w:r w:rsidR="00BE38D5" w:rsidRPr="00C93BC9">
        <w:rPr>
          <w:rFonts w:ascii="Arial" w:hAnsi="Arial" w:cs="Arial"/>
          <w:sz w:val="24"/>
          <w:szCs w:val="24"/>
        </w:rPr>
        <w:t xml:space="preserve"> </w:t>
      </w:r>
      <w:hyperlink r:id="rId10" w:history="1">
        <w:r w:rsidR="00BE38D5" w:rsidRPr="00C93BC9">
          <w:rPr>
            <w:rStyle w:val="Hyperlink"/>
            <w:rFonts w:ascii="Arial" w:hAnsi="Arial" w:cs="Arial"/>
            <w:sz w:val="24"/>
            <w:szCs w:val="24"/>
          </w:rPr>
          <w:t>https://www.grocerygazette.co.uk/2025/06/17/sainburys-genai-retail-media/</w:t>
        </w:r>
      </w:hyperlink>
      <w:r w:rsidRPr="00C93BC9">
        <w:rPr>
          <w:rFonts w:ascii="Arial" w:hAnsi="Arial" w:cs="Arial"/>
          <w:sz w:val="24"/>
          <w:szCs w:val="24"/>
        </w:rPr>
        <w:t xml:space="preserve"> </w:t>
      </w:r>
    </w:p>
    <w:p w14:paraId="17CF4842" w14:textId="5871F23E" w:rsidR="00742CC8" w:rsidRPr="00C93BC9" w:rsidRDefault="005B4369" w:rsidP="005C0745">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 </w:t>
      </w:r>
      <w:r w:rsidR="00742CC8" w:rsidRPr="00C93BC9">
        <w:rPr>
          <w:rFonts w:ascii="Arial" w:hAnsi="Arial" w:cs="Arial"/>
          <w:sz w:val="24"/>
          <w:szCs w:val="24"/>
        </w:rPr>
        <w:t xml:space="preserve">Sainsbury’s. (2024) </w:t>
      </w:r>
      <w:hyperlink r:id="rId11" w:tgtFrame="_new" w:history="1">
        <w:r w:rsidR="00742CC8" w:rsidRPr="00C93BC9">
          <w:rPr>
            <w:rStyle w:val="Hyperlink"/>
            <w:rFonts w:ascii="Arial" w:hAnsi="Arial" w:cs="Arial"/>
            <w:color w:val="auto"/>
            <w:sz w:val="24"/>
            <w:szCs w:val="24"/>
            <w:u w:val="none"/>
          </w:rPr>
          <w:t>https://blueyo</w:t>
        </w:r>
        <w:r w:rsidR="00742CC8" w:rsidRPr="00C93BC9">
          <w:rPr>
            <w:rStyle w:val="Hyperlink"/>
            <w:rFonts w:ascii="Arial" w:hAnsi="Arial" w:cs="Arial"/>
            <w:color w:val="auto"/>
            <w:sz w:val="24"/>
            <w:szCs w:val="24"/>
            <w:u w:val="none"/>
          </w:rPr>
          <w:t>nder.com/customers/sainsburys</w:t>
        </w:r>
      </w:hyperlink>
      <w:r w:rsidR="00742CC8" w:rsidRPr="00C93BC9">
        <w:rPr>
          <w:rFonts w:ascii="Arial" w:hAnsi="Arial" w:cs="Arial"/>
          <w:sz w:val="24"/>
          <w:szCs w:val="24"/>
        </w:rPr>
        <w:t xml:space="preserve"> </w:t>
      </w:r>
    </w:p>
    <w:p w14:paraId="7481FB2D" w14:textId="77777777" w:rsidR="00D563A5" w:rsidRPr="00C93BC9" w:rsidRDefault="00D563A5" w:rsidP="005C0745">
      <w:pPr>
        <w:spacing w:line="360" w:lineRule="auto"/>
        <w:rPr>
          <w:rFonts w:ascii="Arial" w:hAnsi="Arial" w:cs="Arial"/>
          <w:sz w:val="24"/>
          <w:szCs w:val="24"/>
        </w:rPr>
      </w:pPr>
    </w:p>
    <w:p w14:paraId="126C682A" w14:textId="77777777" w:rsidR="00D563A5" w:rsidRPr="00C93BC9" w:rsidRDefault="00D563A5" w:rsidP="005C0745">
      <w:pPr>
        <w:spacing w:line="360" w:lineRule="auto"/>
        <w:rPr>
          <w:rFonts w:ascii="Arial" w:hAnsi="Arial" w:cs="Arial"/>
          <w:sz w:val="24"/>
          <w:szCs w:val="24"/>
        </w:rPr>
      </w:pPr>
    </w:p>
    <w:sectPr w:rsidR="00D563A5" w:rsidRPr="00C93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772E"/>
    <w:multiLevelType w:val="multilevel"/>
    <w:tmpl w:val="DD9AE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B6579"/>
    <w:multiLevelType w:val="multilevel"/>
    <w:tmpl w:val="64B2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91C85"/>
    <w:multiLevelType w:val="multilevel"/>
    <w:tmpl w:val="9090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B41FD"/>
    <w:multiLevelType w:val="multilevel"/>
    <w:tmpl w:val="6EA8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942D37"/>
    <w:multiLevelType w:val="multilevel"/>
    <w:tmpl w:val="A402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618A2"/>
    <w:multiLevelType w:val="multilevel"/>
    <w:tmpl w:val="87E2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16EB3"/>
    <w:multiLevelType w:val="hybridMultilevel"/>
    <w:tmpl w:val="9B40761A"/>
    <w:lvl w:ilvl="0" w:tplc="64581F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30724B"/>
    <w:multiLevelType w:val="hybridMultilevel"/>
    <w:tmpl w:val="F528C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4D53A7"/>
    <w:multiLevelType w:val="multilevel"/>
    <w:tmpl w:val="F41A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C06D32"/>
    <w:multiLevelType w:val="multilevel"/>
    <w:tmpl w:val="AFC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8B3BF2"/>
    <w:multiLevelType w:val="multilevel"/>
    <w:tmpl w:val="D492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2" w15:restartNumberingAfterBreak="0">
    <w:nsid w:val="39EA78D8"/>
    <w:multiLevelType w:val="multilevel"/>
    <w:tmpl w:val="7E02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237F5F"/>
    <w:multiLevelType w:val="multilevel"/>
    <w:tmpl w:val="7772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2635C4"/>
    <w:multiLevelType w:val="multilevel"/>
    <w:tmpl w:val="B8B0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C06C9"/>
    <w:multiLevelType w:val="multilevel"/>
    <w:tmpl w:val="EFCC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860BAF"/>
    <w:multiLevelType w:val="multilevel"/>
    <w:tmpl w:val="BD76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C6FEF"/>
    <w:multiLevelType w:val="multilevel"/>
    <w:tmpl w:val="C63E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2E5C88"/>
    <w:multiLevelType w:val="multilevel"/>
    <w:tmpl w:val="2BBC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68155D"/>
    <w:multiLevelType w:val="multilevel"/>
    <w:tmpl w:val="7CA2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1737A1"/>
    <w:multiLevelType w:val="multilevel"/>
    <w:tmpl w:val="A90A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1F688A"/>
    <w:multiLevelType w:val="multilevel"/>
    <w:tmpl w:val="7EE0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1C04E4"/>
    <w:multiLevelType w:val="multilevel"/>
    <w:tmpl w:val="87C0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9252CA"/>
    <w:multiLevelType w:val="multilevel"/>
    <w:tmpl w:val="C356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673B72"/>
    <w:multiLevelType w:val="multilevel"/>
    <w:tmpl w:val="6BB0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1157C6"/>
    <w:multiLevelType w:val="multilevel"/>
    <w:tmpl w:val="05F0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9F3AB5"/>
    <w:multiLevelType w:val="multilevel"/>
    <w:tmpl w:val="F0D6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027281">
    <w:abstractNumId w:val="22"/>
  </w:num>
  <w:num w:numId="2" w16cid:durableId="788163216">
    <w:abstractNumId w:val="1"/>
  </w:num>
  <w:num w:numId="3" w16cid:durableId="624041349">
    <w:abstractNumId w:val="12"/>
  </w:num>
  <w:num w:numId="4" w16cid:durableId="538124716">
    <w:abstractNumId w:val="8"/>
  </w:num>
  <w:num w:numId="5" w16cid:durableId="1661495277">
    <w:abstractNumId w:val="23"/>
  </w:num>
  <w:num w:numId="6" w16cid:durableId="996616781">
    <w:abstractNumId w:val="13"/>
  </w:num>
  <w:num w:numId="7" w16cid:durableId="685597343">
    <w:abstractNumId w:val="18"/>
  </w:num>
  <w:num w:numId="8" w16cid:durableId="1019820866">
    <w:abstractNumId w:val="15"/>
  </w:num>
  <w:num w:numId="9" w16cid:durableId="1623807615">
    <w:abstractNumId w:val="5"/>
  </w:num>
  <w:num w:numId="10" w16cid:durableId="1512379075">
    <w:abstractNumId w:val="3"/>
  </w:num>
  <w:num w:numId="11" w16cid:durableId="1777631196">
    <w:abstractNumId w:val="16"/>
  </w:num>
  <w:num w:numId="12" w16cid:durableId="452871634">
    <w:abstractNumId w:val="26"/>
  </w:num>
  <w:num w:numId="13" w16cid:durableId="1837452217">
    <w:abstractNumId w:val="17"/>
  </w:num>
  <w:num w:numId="14" w16cid:durableId="61224328">
    <w:abstractNumId w:val="20"/>
  </w:num>
  <w:num w:numId="15" w16cid:durableId="1746222698">
    <w:abstractNumId w:val="24"/>
  </w:num>
  <w:num w:numId="16" w16cid:durableId="736512141">
    <w:abstractNumId w:val="25"/>
  </w:num>
  <w:num w:numId="17" w16cid:durableId="1911768230">
    <w:abstractNumId w:val="0"/>
  </w:num>
  <w:num w:numId="18" w16cid:durableId="1109394606">
    <w:abstractNumId w:val="21"/>
  </w:num>
  <w:num w:numId="19" w16cid:durableId="2107337709">
    <w:abstractNumId w:val="9"/>
  </w:num>
  <w:num w:numId="20" w16cid:durableId="1026440349">
    <w:abstractNumId w:val="19"/>
  </w:num>
  <w:num w:numId="21" w16cid:durableId="206257387">
    <w:abstractNumId w:val="4"/>
  </w:num>
  <w:num w:numId="22" w16cid:durableId="1522670683">
    <w:abstractNumId w:val="14"/>
  </w:num>
  <w:num w:numId="23" w16cid:durableId="1973752848">
    <w:abstractNumId w:val="2"/>
  </w:num>
  <w:num w:numId="24" w16cid:durableId="1182624736">
    <w:abstractNumId w:val="6"/>
  </w:num>
  <w:num w:numId="25" w16cid:durableId="847719474">
    <w:abstractNumId w:val="11"/>
  </w:num>
  <w:num w:numId="26" w16cid:durableId="1157454575">
    <w:abstractNumId w:val="10"/>
  </w:num>
  <w:num w:numId="27" w16cid:durableId="20818264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BDF"/>
    <w:rsid w:val="00016D6C"/>
    <w:rsid w:val="00076720"/>
    <w:rsid w:val="000A0273"/>
    <w:rsid w:val="000E3ED8"/>
    <w:rsid w:val="001E7DF0"/>
    <w:rsid w:val="00261D57"/>
    <w:rsid w:val="003E656E"/>
    <w:rsid w:val="004A1E66"/>
    <w:rsid w:val="004B04C9"/>
    <w:rsid w:val="0052685B"/>
    <w:rsid w:val="005B4369"/>
    <w:rsid w:val="005C0745"/>
    <w:rsid w:val="00742CC8"/>
    <w:rsid w:val="00784624"/>
    <w:rsid w:val="007F3862"/>
    <w:rsid w:val="008144A5"/>
    <w:rsid w:val="00854A7E"/>
    <w:rsid w:val="009654D8"/>
    <w:rsid w:val="009E1871"/>
    <w:rsid w:val="009F2305"/>
    <w:rsid w:val="00A63EAA"/>
    <w:rsid w:val="00B72793"/>
    <w:rsid w:val="00BA6EB6"/>
    <w:rsid w:val="00BB4655"/>
    <w:rsid w:val="00BD63C3"/>
    <w:rsid w:val="00BE38D5"/>
    <w:rsid w:val="00C43C32"/>
    <w:rsid w:val="00C6203A"/>
    <w:rsid w:val="00C93BC9"/>
    <w:rsid w:val="00CC3511"/>
    <w:rsid w:val="00CC4BDF"/>
    <w:rsid w:val="00D06531"/>
    <w:rsid w:val="00D129CE"/>
    <w:rsid w:val="00D17B1D"/>
    <w:rsid w:val="00D549E7"/>
    <w:rsid w:val="00D563A5"/>
    <w:rsid w:val="00DA3EC2"/>
    <w:rsid w:val="00E0063E"/>
    <w:rsid w:val="00E1476E"/>
    <w:rsid w:val="00E920FB"/>
    <w:rsid w:val="00E93D9B"/>
    <w:rsid w:val="00EC7BBE"/>
    <w:rsid w:val="00F1660B"/>
    <w:rsid w:val="00FC7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3999E"/>
  <w15:chartTrackingRefBased/>
  <w15:docId w15:val="{E5941193-7334-4188-B4DE-7019548F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B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B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4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B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B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B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B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B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4B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4B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4B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B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B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B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B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BDF"/>
    <w:rPr>
      <w:rFonts w:eastAsiaTheme="majorEastAsia" w:cstheme="majorBidi"/>
      <w:color w:val="272727" w:themeColor="text1" w:themeTint="D8"/>
    </w:rPr>
  </w:style>
  <w:style w:type="paragraph" w:styleId="Title">
    <w:name w:val="Title"/>
    <w:basedOn w:val="Normal"/>
    <w:next w:val="Normal"/>
    <w:link w:val="TitleChar"/>
    <w:uiPriority w:val="10"/>
    <w:qFormat/>
    <w:rsid w:val="00CC4B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B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B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BDF"/>
    <w:pPr>
      <w:spacing w:before="160"/>
      <w:jc w:val="center"/>
    </w:pPr>
    <w:rPr>
      <w:i/>
      <w:iCs/>
      <w:color w:val="404040" w:themeColor="text1" w:themeTint="BF"/>
    </w:rPr>
  </w:style>
  <w:style w:type="character" w:customStyle="1" w:styleId="QuoteChar">
    <w:name w:val="Quote Char"/>
    <w:basedOn w:val="DefaultParagraphFont"/>
    <w:link w:val="Quote"/>
    <w:uiPriority w:val="29"/>
    <w:rsid w:val="00CC4BDF"/>
    <w:rPr>
      <w:i/>
      <w:iCs/>
      <w:color w:val="404040" w:themeColor="text1" w:themeTint="BF"/>
    </w:rPr>
  </w:style>
  <w:style w:type="paragraph" w:styleId="ListParagraph">
    <w:name w:val="List Paragraph"/>
    <w:basedOn w:val="Normal"/>
    <w:uiPriority w:val="34"/>
    <w:qFormat/>
    <w:rsid w:val="00CC4BDF"/>
    <w:pPr>
      <w:ind w:left="720"/>
      <w:contextualSpacing/>
    </w:pPr>
  </w:style>
  <w:style w:type="character" w:styleId="IntenseEmphasis">
    <w:name w:val="Intense Emphasis"/>
    <w:basedOn w:val="DefaultParagraphFont"/>
    <w:uiPriority w:val="21"/>
    <w:qFormat/>
    <w:rsid w:val="00CC4BDF"/>
    <w:rPr>
      <w:i/>
      <w:iCs/>
      <w:color w:val="0F4761" w:themeColor="accent1" w:themeShade="BF"/>
    </w:rPr>
  </w:style>
  <w:style w:type="paragraph" w:styleId="IntenseQuote">
    <w:name w:val="Intense Quote"/>
    <w:basedOn w:val="Normal"/>
    <w:next w:val="Normal"/>
    <w:link w:val="IntenseQuoteChar"/>
    <w:uiPriority w:val="30"/>
    <w:qFormat/>
    <w:rsid w:val="00CC4B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BDF"/>
    <w:rPr>
      <w:i/>
      <w:iCs/>
      <w:color w:val="0F4761" w:themeColor="accent1" w:themeShade="BF"/>
    </w:rPr>
  </w:style>
  <w:style w:type="character" w:styleId="IntenseReference">
    <w:name w:val="Intense Reference"/>
    <w:basedOn w:val="DefaultParagraphFont"/>
    <w:uiPriority w:val="32"/>
    <w:qFormat/>
    <w:rsid w:val="00CC4BDF"/>
    <w:rPr>
      <w:b/>
      <w:bCs/>
      <w:smallCaps/>
      <w:color w:val="0F4761" w:themeColor="accent1" w:themeShade="BF"/>
      <w:spacing w:val="5"/>
    </w:rPr>
  </w:style>
  <w:style w:type="character" w:styleId="Hyperlink">
    <w:name w:val="Hyperlink"/>
    <w:basedOn w:val="DefaultParagraphFont"/>
    <w:uiPriority w:val="99"/>
    <w:unhideWhenUsed/>
    <w:rsid w:val="00D563A5"/>
    <w:rPr>
      <w:color w:val="467886" w:themeColor="hyperlink"/>
      <w:u w:val="single"/>
    </w:rPr>
  </w:style>
  <w:style w:type="character" w:styleId="UnresolvedMention">
    <w:name w:val="Unresolved Mention"/>
    <w:basedOn w:val="DefaultParagraphFont"/>
    <w:uiPriority w:val="99"/>
    <w:semiHidden/>
    <w:unhideWhenUsed/>
    <w:rsid w:val="00D563A5"/>
    <w:rPr>
      <w:color w:val="605E5C"/>
      <w:shd w:val="clear" w:color="auto" w:fill="E1DFDD"/>
    </w:rPr>
  </w:style>
  <w:style w:type="character" w:styleId="FollowedHyperlink">
    <w:name w:val="FollowedHyperlink"/>
    <w:basedOn w:val="DefaultParagraphFont"/>
    <w:uiPriority w:val="99"/>
    <w:semiHidden/>
    <w:unhideWhenUsed/>
    <w:rsid w:val="00854A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lueyonder.com/customers/sainsburys?utm_source=chatgpt.com" TargetMode="External"/><Relationship Id="rId5" Type="http://schemas.openxmlformats.org/officeDocument/2006/relationships/styles" Target="styles.xml"/><Relationship Id="rId10" Type="http://schemas.openxmlformats.org/officeDocument/2006/relationships/hyperlink" Target="https://www.grocerygazette.co.uk/2025/06/17/sainburys-genai-retail-media/" TargetMode="External"/><Relationship Id="rId4" Type="http://schemas.openxmlformats.org/officeDocument/2006/relationships/numbering" Target="numbering.xml"/><Relationship Id="rId9" Type="http://schemas.openxmlformats.org/officeDocument/2006/relationships/hyperlink" Target="https://corporate.sainsburys.co.uk/news/press-releases/sainsbury-s-partners-with-ncr-voyix-for-exceptional-custom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80e5d33679b4b5a585c6ca58530670ff">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ac98189b41cc1de6098a4565ff7211f9"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CDEAB7-07C0-411F-A553-8F5C3AC4620C}">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7D63DE62-8F2B-4372-B53E-B41C15B9A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8F1444-828A-4FB6-B419-13794ED3C7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Maria Fechete (2239078)</dc:creator>
  <cp:keywords/>
  <dc:description/>
  <cp:lastModifiedBy>Lisa Maria Fechete (2239078)</cp:lastModifiedBy>
  <cp:revision>18</cp:revision>
  <dcterms:created xsi:type="dcterms:W3CDTF">2025-10-05T14:50:00Z</dcterms:created>
  <dcterms:modified xsi:type="dcterms:W3CDTF">2025-11-20T08:40:00Z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