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The visual and expressive arts in Wales. </w:t>
      </w:r>
    </w:p>
    <w:p>
      <w:pPr>
        <w:pStyle w:val="Body A"/>
        <w:rPr>
          <w:rFonts w:ascii="Times New Roman" w:cs="Times New Roman" w:hAnsi="Times New Roman" w:eastAsia="Times New Roman"/>
          <w:b w:val="1"/>
          <w:bCs w:val="1"/>
          <w:sz w:val="24"/>
          <w:szCs w:val="24"/>
        </w:rPr>
      </w:pPr>
    </w:p>
    <w:p>
      <w:pPr>
        <w:pStyle w:val="Body A"/>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During this session you will see the importance of children learning about our right industrial heritage within wales especially south wales. This will be aided by showing, how a chosen artefact can help teach us children in a cross curricular learning manner. What is cross curricular learning you ask.</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 xml:space="preserve">Age group: The age groups I am aiming for is a Ks2 class within the higher year groups. year groups 5 and 6 or a split between the two year groups.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 xml:space="preserve">Cross curricular teaching what is it. The phrase teaching across or throughout the curriculum is a term now being thrown around more and more. But what is it to engage in cross curricular teaching. Author Jonathan Barns said in his third edition of cross curricular learning 3-14, 2015 said he wishes to </w:t>
      </w:r>
      <w:r>
        <w:rPr>
          <w:rFonts w:ascii="Times New Roman" w:hAnsi="Times New Roman" w:hint="default"/>
          <w:sz w:val="24"/>
          <w:szCs w:val="24"/>
          <w:rtl w:val="0"/>
          <w:lang w:val="en-US"/>
        </w:rPr>
        <w:t>“</w:t>
      </w:r>
      <w:r>
        <w:rPr>
          <w:rFonts w:ascii="Times New Roman" w:hAnsi="Times New Roman"/>
          <w:sz w:val="24"/>
          <w:szCs w:val="24"/>
          <w:rtl w:val="0"/>
          <w:lang w:val="en-US"/>
        </w:rPr>
        <w:t xml:space="preserve">make a twenty first century case for cross-curricular learning experience at the heart of the school curriculum. It attempts to steer a path between the easy emphasis on separate </w:t>
      </w:r>
      <w:r>
        <w:rPr>
          <w:rFonts w:ascii="Times New Roman" w:hAnsi="Times New Roman" w:hint="default"/>
          <w:sz w:val="24"/>
          <w:szCs w:val="24"/>
          <w:rtl w:val="0"/>
          <w:lang w:val="en-US"/>
        </w:rPr>
        <w:t>‘</w:t>
      </w:r>
      <w:r>
        <w:rPr>
          <w:rFonts w:ascii="Times New Roman" w:hAnsi="Times New Roman"/>
          <w:sz w:val="24"/>
          <w:szCs w:val="24"/>
          <w:rtl w:val="0"/>
          <w:lang w:val="en-US"/>
        </w:rPr>
        <w:t>core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w:t>
      </w:r>
      <w:r>
        <w:rPr>
          <w:rFonts w:ascii="Times New Roman" w:hAnsi="Times New Roman" w:hint="default"/>
          <w:sz w:val="24"/>
          <w:szCs w:val="24"/>
          <w:rtl w:val="0"/>
          <w:lang w:val="en-US"/>
        </w:rPr>
        <w:t>‘</w:t>
      </w:r>
      <w:r>
        <w:rPr>
          <w:rFonts w:ascii="Times New Roman" w:hAnsi="Times New Roman"/>
          <w:sz w:val="24"/>
          <w:szCs w:val="24"/>
          <w:rtl w:val="0"/>
          <w:lang w:val="en-US"/>
        </w:rPr>
        <w:t>foundation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subject disciplines</w:t>
      </w:r>
      <w:r>
        <w:rPr>
          <w:rFonts w:ascii="Times New Roman" w:hAnsi="Times New Roman" w:hint="default"/>
          <w:sz w:val="24"/>
          <w:szCs w:val="24"/>
          <w:rtl w:val="0"/>
          <w:lang w:val="en-US"/>
        </w:rPr>
        <w:t>”</w:t>
      </w:r>
      <w:r>
        <w:rPr>
          <w:rFonts w:ascii="Times New Roman" w:hAnsi="Times New Roman"/>
          <w:sz w:val="24"/>
          <w:szCs w:val="24"/>
          <w:rtl w:val="0"/>
          <w:lang w:val="en-US"/>
        </w:rPr>
        <w:t>. This shows that cross curricular learning is a pathway that links education together. It links subject areas through core subjects of math</w:t>
      </w:r>
      <w:r>
        <w:rPr>
          <w:rFonts w:ascii="Times New Roman" w:hAnsi="Times New Roman" w:hint="default"/>
          <w:sz w:val="24"/>
          <w:szCs w:val="24"/>
          <w:rtl w:val="0"/>
          <w:lang w:val="en-US"/>
        </w:rPr>
        <w:t>’</w:t>
      </w:r>
      <w:r>
        <w:rPr>
          <w:rFonts w:ascii="Times New Roman" w:hAnsi="Times New Roman"/>
          <w:sz w:val="24"/>
          <w:szCs w:val="24"/>
          <w:rtl w:val="0"/>
          <w:lang w:val="en-US"/>
        </w:rPr>
        <w:t xml:space="preserve">s, language and science together with foundation subjects such as Art and Geography. Subject knowledge allows us to make links to prior learning arguably one of the most essential parts of learning. Prior knowledge then allows us to make connections and make links regarding the world we live in and new found knowledge. Therefore, it must be essential to the learning of children and made a part of our national curriculum.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 xml:space="preserve">Links and ideas are being made with the cross curriculum approach. The idea emerging of there being a new form of curriculum. The idea is called the creative curriculum. There is no accepted definition of the creative curriculum, however is believed to link in with cross curriculum learning. The idea of a curriculum based around creativity has sparked the interest of many schools who are now adopting and experimenting with the idea. Craft 2000 was believed to be associated with promoting creativity in children learning. He believed it helped children to learn as they made fun and interesting links in their learning. It also allowed them to steer their learning in a way they wanted within reason. Many people are saying that creativity in schools is lacking. Dr Graham Donaldson would agree with the premise that we are neglecting creative teaching and has made remarks that it must be improved. To paraphrase Dr Graham Donaldson during the Aiming For Excellence conference 2017 that </w:t>
      </w:r>
      <w:r>
        <w:rPr>
          <w:rFonts w:ascii="Times New Roman" w:hAnsi="Times New Roman" w:hint="default"/>
          <w:sz w:val="24"/>
          <w:szCs w:val="24"/>
          <w:rtl w:val="0"/>
          <w:lang w:val="en-US"/>
        </w:rPr>
        <w:t>“</w:t>
      </w:r>
      <w:r>
        <w:rPr>
          <w:rFonts w:ascii="Times New Roman" w:hAnsi="Times New Roman"/>
          <w:sz w:val="24"/>
          <w:szCs w:val="24"/>
          <w:rtl w:val="0"/>
          <w:lang w:val="en-US"/>
        </w:rPr>
        <w:t>A large part to a child</w:t>
      </w:r>
      <w:r>
        <w:rPr>
          <w:rFonts w:ascii="Times New Roman" w:hAnsi="Times New Roman" w:hint="default"/>
          <w:sz w:val="24"/>
          <w:szCs w:val="24"/>
          <w:rtl w:val="0"/>
          <w:lang w:val="en-US"/>
        </w:rPr>
        <w:t>’</w:t>
      </w:r>
      <w:r>
        <w:rPr>
          <w:rFonts w:ascii="Times New Roman" w:hAnsi="Times New Roman"/>
          <w:sz w:val="24"/>
          <w:szCs w:val="24"/>
          <w:rtl w:val="0"/>
          <w:lang w:val="en-US"/>
        </w:rPr>
        <w:t>s understanding of the world is due to creativity and explorations of new environments</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 xml:space="preserve">The welsh assembly government is making changes already to promote the experiences of creative learning in a cross curricular approach. A sector leading school in creativity and cross curricular approach is Clase school of Swansea their approach to creativity is parallel to none from my person experiences so far. The school has a section/class dedicated to creativity. The project funded by the Arts council of the welsh assembly government has funded this school to run their project on creativity and cross curricular learning.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 xml:space="preserve">The project is aimed at children from a number of different circumstances. These may include High attendance, young careers and children less fortunate. The children also range from a number of different year groups across KS2 usually year 4-6 The class usually takes place over a six-week project time before a rotation of children is made. The children are asked what theme would they like and the Teacher responsible goes with it. The children do all the necessary curriculum subjects core and foundation often with high links to Art, design and technology, the visual and expressive arts and personal and social education. The effect of this project is an increase of personal wellbeing and self-worth swell as allowing children to come out their shell and express themselves. If the idea of creative and cross curriculum is recognized, then this school. Proves the concept and the bonus of quality of living it can bring to children.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 xml:space="preserve">The artefact for this example of cross curricular learning is the north chimney at port Talbot steelworks connected to blast furnaces five. The reason this artefact has been has chosen is because it has played a large part in the industrial heritage of wales. Many children can associate port Talbot with something, being Margam park, the sea side, or the steelworks which have been known to fill the air with Sulphur creating an eggy smell which can be noticed from time to time while traveling along the M4 corridor. The chimney has seen years of work and hard ship. Working in the steelworks can be a very dangerous job. In fact, the north chimney stack was seen of a terrible accident in 2001 where two worker lost their lives and thirteen injured seven of which were in critical condition during an explosion. There as a considerable amount of controversy after the explosion to why it happened but it served as a reminder that it can be a very dangerous and volatile place of work. however recent that may be. Port Talbot has always been a industrial area. The Talbot area spilling into the Margam area was Built primarily by The prestigious Talbot family who had large political ties with parliament at times but had decided to focus on how they made their money. The name says it all Port Talbot, Port in referral to the type of industry involved their and Talbot the family who owned and ran the Business. The steelworks named after </w:t>
      </w:r>
      <w:r>
        <w:rPr>
          <w:rFonts w:ascii="Times New Roman" w:hAnsi="Times New Roman"/>
          <w:sz w:val="24"/>
          <w:szCs w:val="24"/>
          <w:rtl w:val="0"/>
          <w:lang w:val="da-DK"/>
        </w:rPr>
        <w:t>Christopher Rice Mansel Talbot</w:t>
      </w:r>
      <w:r>
        <w:rPr>
          <w:rFonts w:ascii="Times New Roman" w:hAnsi="Times New Roman"/>
          <w:sz w:val="24"/>
          <w:szCs w:val="24"/>
          <w:rtl w:val="0"/>
          <w:lang w:val="en-US"/>
        </w:rPr>
        <w:t xml:space="preserve"> as the man who developed the port.</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The steelworks today can produce and average of 3 million tons of steel per year. It was originally called Abby works but is more well known as Talbot steelworks The works has had many owners over the years these Owners include Corus works and the current owners Tata group. Tata group is a billion-dollar company with a capitalization market estimation around 130 billion dollars US. The company is very diverse in its company</w:t>
      </w:r>
      <w:r>
        <w:rPr>
          <w:rFonts w:ascii="Times New Roman" w:hAnsi="Times New Roman" w:hint="default"/>
          <w:sz w:val="24"/>
          <w:szCs w:val="24"/>
          <w:rtl w:val="0"/>
          <w:lang w:val="en-US"/>
        </w:rPr>
        <w:t>’</w:t>
      </w:r>
      <w:r>
        <w:rPr>
          <w:rFonts w:ascii="Times New Roman" w:hAnsi="Times New Roman"/>
          <w:sz w:val="24"/>
          <w:szCs w:val="24"/>
          <w:rtl w:val="0"/>
          <w:lang w:val="en-US"/>
        </w:rPr>
        <w:t xml:space="preserve">s many industries some of these include Tata steel (Port Talbot Steel Works), Tata motors who created the worlds cheapest production car the Tata Nano, Tata power, Tata telecommunications and Tata chemicals to name a few.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 xml:space="preserve">Prior learning: Before the three lessons the teacher would introduce the artefact and we as a class will talk about the artefact we have chosen. For example, with the artefact of a chimney in the port Talbot Steelworks. There are many topics to discussion and questions to be asked. These questions and topics may include. What is the artefact? where is the artefact situated? Does it do anything? How old is it?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b w:val="1"/>
          <w:bCs w:val="1"/>
          <w:sz w:val="28"/>
          <w:szCs w:val="28"/>
          <w:u w:val="single"/>
        </w:rPr>
      </w:pPr>
      <w:r>
        <w:rPr>
          <w:rFonts w:ascii="Times New Roman" w:hAnsi="Times New Roman"/>
          <w:b w:val="1"/>
          <w:bCs w:val="1"/>
          <w:sz w:val="28"/>
          <w:szCs w:val="28"/>
          <w:u w:val="single"/>
          <w:rtl w:val="0"/>
          <w:lang w:val="en-US"/>
        </w:rPr>
        <w:t xml:space="preserve">Lesson 1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The first lesson proposed is a creative writing/music lesson focusing on word. The children will be shown a poem called, The afternoon shift are leaving port Talbot steel works. The poem is written by Tracey Herd a prestigious poet who has won several awards including In 1993 she won an Eric Gregory Award, 1995 was awarded a Scottish Arts Council Bursary, 1997 took part in Blood axe</w:t>
      </w:r>
      <w:r>
        <w:rPr>
          <w:rFonts w:ascii="Times New Roman" w:hAnsi="Times New Roman" w:hint="default"/>
          <w:sz w:val="24"/>
          <w:szCs w:val="24"/>
          <w:rtl w:val="0"/>
          <w:lang w:val="en-US"/>
        </w:rPr>
        <w:t>’</w:t>
      </w:r>
      <w:r>
        <w:rPr>
          <w:rFonts w:ascii="Times New Roman" w:hAnsi="Times New Roman"/>
          <w:sz w:val="24"/>
          <w:szCs w:val="24"/>
          <w:rtl w:val="0"/>
          <w:lang w:val="en-US"/>
        </w:rPr>
        <w:t xml:space="preserve">s New Blood tour of Britain, 2004 received a Creative Scotland Bursary. she is now working as a Royal Literary Fund Lector and participating in their Bridge Project. Her poem speaks of work men leaving the steelworks after a day working in the steelworks. For image of the poem see appendix 1.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Fonts w:ascii="Times New Roman" w:hAnsi="Times New Roman"/>
          <w:sz w:val="24"/>
          <w:szCs w:val="24"/>
          <w:rtl w:val="0"/>
          <w:lang w:val="en-US"/>
        </w:rPr>
        <w:t>The lesson itself is a creative writing and music lesson. The children will read the poem written by Tracey. The children will then be given the opportunity to discuss what they think about the poem in groups or pairs. AFL strategies such as think pair and share will work really well for this section of the lesson as the should be able to pick different aspect form the poem all at once. The children can them compile what they thought about the poem onto a form of work/idea wall. This wall will become a center piece across the whole three lessons and should become a nice display by the end. Children are working in pairs also to allow children to work better in their zone of proximal development. This idea is working in conjunction with Prof Lev Vygotsky</w:t>
      </w:r>
      <w:r>
        <w:rPr>
          <w:rFonts w:ascii="Times New Roman" w:hAnsi="Times New Roman" w:hint="default"/>
          <w:sz w:val="24"/>
          <w:szCs w:val="24"/>
          <w:rtl w:val="0"/>
          <w:lang w:val="en-US"/>
        </w:rPr>
        <w:t>’</w:t>
      </w:r>
      <w:r>
        <w:rPr>
          <w:rFonts w:ascii="Times New Roman" w:hAnsi="Times New Roman"/>
          <w:sz w:val="24"/>
          <w:szCs w:val="24"/>
          <w:rtl w:val="0"/>
          <w:lang w:val="en-US"/>
        </w:rPr>
        <w:t xml:space="preserve">s Theory about children working best when they have an individual working at the same level or just above moving and progressing their learning further. </w:t>
      </w:r>
      <w:r>
        <w:rPr>
          <w:rStyle w:val="Hyperlink.0"/>
          <w:rFonts w:ascii="Times New Roman" w:cs="Times New Roman" w:hAnsi="Times New Roman" w:eastAsia="Times New Roman"/>
          <w:color w:val="333333"/>
          <w:sz w:val="24"/>
          <w:szCs w:val="24"/>
          <w:u w:color="333333"/>
          <w:shd w:val="clear" w:color="auto" w:fill="ffffff"/>
          <w:lang w:val="pt-PT"/>
        </w:rPr>
        <w:fldChar w:fldCharType="begin" w:fldLock="0"/>
      </w:r>
      <w:r>
        <w:rPr>
          <w:rStyle w:val="Hyperlink.0"/>
          <w:rFonts w:ascii="Times New Roman" w:cs="Times New Roman" w:hAnsi="Times New Roman" w:eastAsia="Times New Roman"/>
          <w:color w:val="333333"/>
          <w:sz w:val="24"/>
          <w:szCs w:val="24"/>
          <w:u w:color="333333"/>
          <w:shd w:val="clear" w:color="auto" w:fill="ffffff"/>
          <w:lang w:val="pt-PT"/>
        </w:rPr>
        <w:instrText xml:space="preserve"> HYPERLINK "https://www.youtube.com/channel/UCRII1nqJAaJ-Vns9TCHb93A"</w:instrText>
      </w:r>
      <w:r>
        <w:rPr>
          <w:rStyle w:val="Hyperlink.0"/>
          <w:rFonts w:ascii="Times New Roman" w:cs="Times New Roman" w:hAnsi="Times New Roman" w:eastAsia="Times New Roman"/>
          <w:color w:val="333333"/>
          <w:sz w:val="24"/>
          <w:szCs w:val="24"/>
          <w:u w:color="333333"/>
          <w:shd w:val="clear" w:color="auto" w:fill="ffffff"/>
          <w:lang w:val="pt-PT"/>
        </w:rPr>
        <w:fldChar w:fldCharType="separate" w:fldLock="0"/>
      </w:r>
      <w:r>
        <w:rPr>
          <w:rStyle w:val="Hyperlink.0"/>
          <w:rFonts w:ascii="Times New Roman" w:hAnsi="Times New Roman"/>
          <w:color w:val="333333"/>
          <w:sz w:val="24"/>
          <w:szCs w:val="24"/>
          <w:u w:color="333333"/>
          <w:shd w:val="clear" w:color="auto" w:fill="ffffff"/>
          <w:rtl w:val="0"/>
          <w:lang w:val="pt-PT"/>
        </w:rPr>
        <w:t>Mary Rodriguez</w:t>
      </w:r>
      <w:r>
        <w:rPr/>
        <w:fldChar w:fldCharType="end" w:fldLock="0"/>
      </w:r>
      <w:r>
        <w:rPr>
          <w:rStyle w:val="None"/>
          <w:rFonts w:ascii="Times New Roman" w:hAnsi="Times New Roman"/>
          <w:color w:val="333333"/>
          <w:sz w:val="24"/>
          <w:szCs w:val="24"/>
          <w:u w:color="333333"/>
          <w:shd w:val="clear" w:color="auto" w:fill="ffffff"/>
          <w:rtl w:val="0"/>
          <w:lang w:val="en-US"/>
        </w:rPr>
        <w:t xml:space="preserve"> ( Mar 2014)</w:t>
      </w:r>
      <w:r>
        <w:rPr>
          <w:rStyle w:val="None"/>
          <w:rFonts w:ascii="Times New Roman" w:hAnsi="Times New Roman"/>
          <w:sz w:val="24"/>
          <w:szCs w:val="24"/>
          <w:rtl w:val="0"/>
          <w:lang w:val="en-US"/>
        </w:rPr>
        <w:t xml:space="preserve">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This is then when the class will have the lesson explained to them. The children will decide a theme that can follow the same basic theme of leaving somewhere. The children will be leaving a place of their choosing handwriting a poem of what it is like. Ideas can be shared such as leaving school or a sports match to spark the imagination of the children.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They will then have time to write their poem with the same structure as the poem. they will create this effect by replacing words from the original poem so they link to their new theme.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Once the children have complied their ideas the children will then have time in small groups to decide on a theme for their own poem. The children will be given the choice to decide on their theme as it will best suit both the poem and musically element if they all want the same theme. This should take to the end of the lesson. The second session of this lesson is where we introduce the musical element to the lesson.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children in the groups will write and compose a piece of music to work as a backing track to their poems. The music piece should complement the mood of the piece. If the poem is read a fast pace the Timbre will be at a fast pace and vice versa. The finished product should be suitable for a performance. This is possible infant of an assembly of peers or parents.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Bruner</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Theory of discovery learning has applications here within this lesson due to the fact that children will have a prior knowledge in the both poems and will be able to access this information through a recap if needed with the teacher. The child then can use his prior knowledge to complete the task. Bruner and discovery of learning theory, Collette Grey and Sean Macblain Learning theories in childhood SAGE publishing march (2012) page 129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r>
        <w:rPr>
          <w:rStyle w:val="None"/>
          <w:rFonts w:ascii="Times New Roman" w:hAnsi="Times New Roman"/>
          <w:b w:val="1"/>
          <w:bCs w:val="1"/>
          <w:sz w:val="28"/>
          <w:szCs w:val="28"/>
          <w:u w:val="single"/>
          <w:rtl w:val="0"/>
          <w:lang w:val="en-US"/>
        </w:rPr>
        <w:t xml:space="preserve">Lesson 2 </w:t>
      </w: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second lesson in the series would be an art lesson following the work of an artist named Martin De Zwaan he is a British artist who creates Saatchi art. The piece of work that  would be choosen is </w:t>
      </w:r>
      <w:r>
        <w:rPr>
          <w:rStyle w:val="None"/>
          <w:rFonts w:ascii="Times New Roman" w:cs="Times New Roman" w:hAnsi="Times New Roman" w:eastAsia="Times New Roman"/>
          <w:sz w:val="24"/>
          <w:szCs w:val="24"/>
        </w:rPr>
        <w:drawing>
          <wp:anchor distT="152400" distB="152400" distL="152400" distR="152400" simplePos="0" relativeHeight="251659264" behindDoc="0" locked="0" layoutInCell="1" allowOverlap="1">
            <wp:simplePos x="0" y="0"/>
            <wp:positionH relativeFrom="page">
              <wp:posOffset>720724</wp:posOffset>
            </wp:positionH>
            <wp:positionV relativeFrom="line">
              <wp:posOffset>457200</wp:posOffset>
            </wp:positionV>
            <wp:extent cx="6119496" cy="3075305"/>
            <wp:effectExtent l="0" t="0" r="0" b="0"/>
            <wp:wrapTopAndBottom distT="152400" distB="152400"/>
            <wp:docPr id="1073741825" name="officeArt object" descr="IMG_1489.jpeg"/>
            <wp:cNvGraphicFramePr/>
            <a:graphic xmlns:a="http://schemas.openxmlformats.org/drawingml/2006/main">
              <a:graphicData uri="http://schemas.openxmlformats.org/drawingml/2006/picture">
                <pic:pic xmlns:pic="http://schemas.openxmlformats.org/drawingml/2006/picture">
                  <pic:nvPicPr>
                    <pic:cNvPr id="1073741825" name="IMG_1489.jpeg" descr="IMG_1489.jpeg"/>
                    <pic:cNvPicPr>
                      <a:picLocks noChangeAspect="1"/>
                    </pic:cNvPicPr>
                  </pic:nvPicPr>
                  <pic:blipFill>
                    <a:blip r:embed="rId4">
                      <a:extLst/>
                    </a:blip>
                    <a:stretch>
                      <a:fillRect/>
                    </a:stretch>
                  </pic:blipFill>
                  <pic:spPr>
                    <a:xfrm>
                      <a:off x="0" y="0"/>
                      <a:ext cx="6119496" cy="3075305"/>
                    </a:xfrm>
                    <a:prstGeom prst="rect">
                      <a:avLst/>
                    </a:prstGeom>
                    <a:ln w="12700" cap="flat">
                      <a:noFill/>
                      <a:miter lim="400000"/>
                    </a:ln>
                    <a:effectLst/>
                  </pic:spPr>
                </pic:pic>
              </a:graphicData>
            </a:graphic>
          </wp:anchor>
        </w:drawing>
      </w:r>
      <w:r>
        <w:rPr>
          <w:rStyle w:val="None"/>
          <w:rFonts w:ascii="Times New Roman" w:hAnsi="Times New Roman"/>
          <w:sz w:val="24"/>
          <w:szCs w:val="24"/>
          <w:rtl w:val="0"/>
          <w:lang w:val="en-US"/>
        </w:rPr>
        <w:t>his work on Port Talbot steelworks.</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painting is done with Ink and tempera. Ink is used to illustrate the steelworks in its dark and light shades. Ink is used her with different levels to almost create a 3d pattern of the steelworks using shade. The tempera is a form or liquid paint made with egg. Tempera is now magically disused due to oil paintings becoming more sort after by western culture. The teacher will discuss their two techniques and the children will learn about different types of materials to paint and draw with.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children will be shown this image. It is to be shown in a variety of ways both screen and printout. The children will work individually and write words the paining remind them of. The children will then break into smaller groups again and discuss the words they have chosen. They will then be asked to decide on a few words to add to our wall display (which included words from our poem writing before)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children now will now be given two instructions. Firstly, they must decide a building they will paint/draw, this could be linked to the poems written previously or the children can choose a new theme. Then secondly they will choose two materials to paint/draw with. The idea of this section is to get children creatively thinking and choosing two materials which will contrast each other but will also both print onto paper. Two water based materials will infuse together and lines will become misshaped.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paints will need time to dry on a flat surface. Time to dry will be reduced if subjected to a dry heat near the paintings, blowing dryers such as hair blow dryers will not work as thy will push the residual water of the paper leaving streaks. However, if the desired effect is for you to have streaks across the page then experimentation with this is an option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b w:val="1"/>
          <w:bCs w:val="1"/>
          <w:sz w:val="28"/>
          <w:szCs w:val="28"/>
          <w:u w:val="single"/>
        </w:rPr>
      </w:pPr>
      <w:r>
        <w:rPr>
          <w:rStyle w:val="None"/>
          <w:rFonts w:ascii="Times New Roman" w:hAnsi="Times New Roman"/>
          <w:b w:val="1"/>
          <w:bCs w:val="1"/>
          <w:sz w:val="28"/>
          <w:szCs w:val="28"/>
          <w:u w:val="single"/>
          <w:rtl w:val="0"/>
          <w:lang w:val="en-US"/>
        </w:rPr>
        <w:t>Lesson 3</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third lesson proposed during this schema with these stimuli is for a design and technology lesson. The idea is to follow on with the idea of using multiple materials to create a finished product. The idea for the lesson closely relates to my theme of port Talbot steelworks. The basic idea is to create a chimney, the chimney could look like the North Chimney situated at the port </w:t>
      </w:r>
      <w:r>
        <w:rPr>
          <w:rStyle w:val="None"/>
          <w:rFonts w:ascii="Times New Roman" w:cs="Times New Roman" w:hAnsi="Times New Roman" w:eastAsia="Times New Roman"/>
          <w:sz w:val="24"/>
          <w:szCs w:val="24"/>
        </w:rPr>
        <w:drawing>
          <wp:anchor distT="152400" distB="152400" distL="152400" distR="152400" simplePos="0" relativeHeight="251660288" behindDoc="0" locked="0" layoutInCell="1" allowOverlap="1">
            <wp:simplePos x="0" y="0"/>
            <wp:positionH relativeFrom="page">
              <wp:posOffset>1881504</wp:posOffset>
            </wp:positionH>
            <wp:positionV relativeFrom="line">
              <wp:posOffset>459740</wp:posOffset>
            </wp:positionV>
            <wp:extent cx="3797300" cy="2133600"/>
            <wp:effectExtent l="0" t="0" r="0" b="0"/>
            <wp:wrapTopAndBottom distT="152400" distB="152400"/>
            <wp:docPr id="1073741826"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6" name="pasted-image.tiff" descr="pasted-image.tiff"/>
                    <pic:cNvPicPr>
                      <a:picLocks noChangeAspect="1"/>
                    </pic:cNvPicPr>
                  </pic:nvPicPr>
                  <pic:blipFill>
                    <a:blip r:embed="rId5">
                      <a:extLst/>
                    </a:blip>
                    <a:stretch>
                      <a:fillRect/>
                    </a:stretch>
                  </pic:blipFill>
                  <pic:spPr>
                    <a:xfrm>
                      <a:off x="0" y="0"/>
                      <a:ext cx="3797300" cy="2133600"/>
                    </a:xfrm>
                    <a:prstGeom prst="rect">
                      <a:avLst/>
                    </a:prstGeom>
                    <a:ln w="12700" cap="flat">
                      <a:noFill/>
                      <a:miter lim="400000"/>
                    </a:ln>
                    <a:effectLst/>
                  </pic:spPr>
                </pic:pic>
              </a:graphicData>
            </a:graphic>
          </wp:anchor>
        </w:drawing>
      </w:r>
      <w:r>
        <w:rPr>
          <w:rStyle w:val="None"/>
          <w:rFonts w:ascii="Times New Roman" w:hAnsi="Times New Roman"/>
          <w:sz w:val="24"/>
          <w:szCs w:val="24"/>
          <w:rtl w:val="0"/>
          <w:lang w:val="en-US"/>
        </w:rPr>
        <w:t xml:space="preserve">Talbot steelworks, or another chimney with different dimensions.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chimney at port talbot itself is very narrow and tall, and would pose difficult task for children to create and for that reason may be a suitable challenge for them. Children who will struggle to create a structure of this kind can experiment with different types of chimney designs and the like. These may include cooling towers and large stack chimney</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A small tip for creating the Port talbot chimney is to use a pencil to help make the shape then later remove it during drying process.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The children will need to see different types of chimneys in order to create their chimneys. This can be done with a variety of options. However, this section of the lesson lends itself well to use different types of electric devices such as iPads, Laptops, Computers and smart/interactive white boards.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Once the chimneys have dried the second part of the lesson may commence. Due to drying process this will need to be done on a separate day to the clay molding. The desired effect of this section is to get a smoke effect erupting from the chimney. The ingredients needed are dish soap, white vinegar, charcoal and bicarbonate of soda. Firstly, you must mix the vinegar and soap. For measurement Half a cup on vinegar and a firm squeeze of dish soap. Lack of dish soap will reduce ability for foam. Next the charcoal must be added. The reason for this is to give a black Smokey effect. Stir the concoction well. Pour some of the mixture into the chimney. All part of the experiment up until now can and should be conducted by the children. This next section is tone completed by an adult with children standing back. The reason for this is not because the experiment is dangerous. However, it is very messy and, to allow all the children to see the experiment they will need to allow space. One teaspoon of Bicarbonate of soda and stand back. The end result should be Black foamy substance erupting throughout the top.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Repeat experiment with different types of chimney. Record the experiment as its use is not yet over. If you have filmed a number of different types of chimney, then the children should be able to see some difference in what happens between each design. The desired effect as the end of for the children to be able to see how different chimneys work and to know that the wider the opening the less ferocious the foam.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This lesson swell is partly designed in the idea of Piagets theory of cognitive development. The children by this age are within the concrete operational stage whereby the children begin to reason logically. The idea behind the experiment is children begin to logically predict and determine why, what happened. Piagets theory of cognitive development, Collette Grey and Sean Macblain Learning theories in childhood SAGE publishing march (2012) page 65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Below are the skills relating to the curriculum documentation that works in line with these lessons. The purpose of this is to prove that these lesson can be used to promote cross curricular learning due to the may skills they can help children achieve through the three lessons.   </w:t>
      </w:r>
    </w:p>
    <w:p>
      <w:pPr>
        <w:pStyle w:val="Body A"/>
        <w:rPr>
          <w:rStyle w:val="None"/>
          <w:rFonts w:ascii="Times New Roman" w:cs="Times New Roman" w:hAnsi="Times New Roman" w:eastAsia="Times New Roman"/>
          <w:b w:val="1"/>
          <w:bCs w:val="1"/>
          <w:sz w:val="28"/>
          <w:szCs w:val="28"/>
          <w:u w:val="single"/>
        </w:rPr>
      </w:pPr>
    </w:p>
    <w:p>
      <w:pPr>
        <w:pStyle w:val="Body A"/>
        <w:rPr>
          <w:rStyle w:val="None"/>
          <w:rFonts w:ascii="Times New Roman" w:cs="Times New Roman" w:hAnsi="Times New Roman" w:eastAsia="Times New Roman"/>
          <w:b w:val="1"/>
          <w:bCs w:val="1"/>
          <w:sz w:val="28"/>
          <w:szCs w:val="28"/>
          <w:u w:val="single"/>
        </w:rPr>
      </w:pPr>
      <w:r>
        <w:rPr>
          <w:rStyle w:val="None"/>
          <w:rFonts w:ascii="Times New Roman" w:hAnsi="Times New Roman"/>
          <w:b w:val="1"/>
          <w:bCs w:val="1"/>
          <w:sz w:val="28"/>
          <w:szCs w:val="28"/>
          <w:u w:val="single"/>
          <w:rtl w:val="0"/>
          <w:lang w:val="en-US"/>
        </w:rPr>
        <w:t xml:space="preserve">Lesson 1 Tracey Herd Poem writing and composition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Numeracy and literacy skills to speak clearly, using formal language and projecting voice effectively to a large audience, e.g. event for parents/careers, presentation to visitors, to contribute to group discussion, taking some responsibility for completing the task well, e.g. introducing relevant ideas, summing up, to build on and develop the ideas of others in group discussions, e.g. by asking questions to explore further, offering more ideas. To be able to identify what the writer thinks about the topic, e.g. admires a historical figure, only interested in facts and to use appropriate vocabulary, including subject-specific words and phrases. National Literacy and Numeracy Framework (2014) Welsh Assembly Government. Art and design skills such as experiment with and examine the methods used by other artists, craft workers and designers from different periods, places and </w:t>
      </w:r>
      <w:r>
        <w:rPr>
          <w:rStyle w:val="None"/>
          <w:rFonts w:ascii="Times New Roman" w:hAnsi="Times New Roman"/>
          <w:sz w:val="24"/>
          <w:szCs w:val="24"/>
          <w:rtl w:val="0"/>
          <w:lang w:val="fr-FR"/>
        </w:rPr>
        <w:t>cultures</w:t>
      </w:r>
      <w:r>
        <w:rPr>
          <w:rStyle w:val="None"/>
          <w:rFonts w:ascii="Times New Roman" w:hAnsi="Times New Roman"/>
          <w:sz w:val="24"/>
          <w:szCs w:val="24"/>
          <w:rtl w:val="0"/>
          <w:lang w:val="en-US"/>
        </w:rPr>
        <w:t xml:space="preserve">. Also the children will evaluate the methods and results of their own work and that of their fellow pupils through discussion. Art and Design (2008) Welsh Assembly Government. Music skills include being able to play instruments, using appropriate playing techniques and with increasing dexterity and control of sound and maintain a part as a member of a group in a </w:t>
      </w:r>
      <w:r>
        <w:rPr>
          <w:rStyle w:val="None"/>
          <w:rFonts w:ascii="Times New Roman" w:hAnsi="Times New Roman"/>
          <w:sz w:val="24"/>
          <w:szCs w:val="24"/>
          <w:rtl w:val="0"/>
          <w:lang w:val="fr-FR"/>
        </w:rPr>
        <w:t>part Song</w:t>
      </w:r>
      <w:r>
        <w:rPr>
          <w:rStyle w:val="None"/>
          <w:rFonts w:ascii="Times New Roman" w:hAnsi="Times New Roman"/>
          <w:sz w:val="24"/>
          <w:szCs w:val="24"/>
          <w:rtl w:val="0"/>
          <w:lang w:val="en-US"/>
        </w:rPr>
        <w:t xml:space="preserve"> including maintaining an individual instrumental part in a group piece. Music (2008) Welsh Assembly Government. National skills framework skills include learning linked to other lessons, subjects, life outside school and Consider others</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 xml:space="preserve">views to inform opinions and decisions. National skills framework (2008) Welsh Assembly Government.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b w:val="1"/>
          <w:bCs w:val="1"/>
          <w:sz w:val="28"/>
          <w:szCs w:val="28"/>
          <w:u w:val="single"/>
        </w:rPr>
      </w:pPr>
      <w:r>
        <w:rPr>
          <w:rStyle w:val="None"/>
          <w:rFonts w:ascii="Times New Roman" w:hAnsi="Times New Roman"/>
          <w:b w:val="1"/>
          <w:bCs w:val="1"/>
          <w:sz w:val="28"/>
          <w:szCs w:val="28"/>
          <w:u w:val="single"/>
          <w:rtl w:val="0"/>
          <w:lang w:val="en-US"/>
        </w:rPr>
        <w:t xml:space="preserve">Lesson 2 Martin De Zwaan Oils and Inks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Art and design skills such as experiment with and examine the methods used by other artists, craft workers and designers from different periods, places and </w:t>
      </w:r>
      <w:r>
        <w:rPr>
          <w:rStyle w:val="None"/>
          <w:rFonts w:ascii="Times New Roman" w:hAnsi="Times New Roman"/>
          <w:sz w:val="24"/>
          <w:szCs w:val="24"/>
          <w:rtl w:val="0"/>
          <w:lang w:val="fr-FR"/>
        </w:rPr>
        <w:t>cultures</w:t>
      </w:r>
      <w:r>
        <w:rPr>
          <w:rStyle w:val="None"/>
          <w:rFonts w:ascii="Times New Roman" w:hAnsi="Times New Roman"/>
          <w:sz w:val="24"/>
          <w:szCs w:val="24"/>
          <w:rtl w:val="0"/>
          <w:lang w:val="en-US"/>
        </w:rPr>
        <w:t>. Children will have used their skills regarding world of imagination using a variety of materials. They will organize resource. local and Welsh art, craft and design, images and artefacts from a variety</w:t>
      </w: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of historical and contemporary cultures and contexts. Children would also be experimenting with different paints and materials such as paint and inks. Art and Design (2008). National skills framework skills include learning linked to other lessons, subjects, life outside school, to Explain why the process/method and strategy have been selected and identify possible problems. Children will also Explain patterns and relationships and identify uncertainties in agreement to National skills framework. National skills framework (2008).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b w:val="1"/>
          <w:bCs w:val="1"/>
          <w:sz w:val="28"/>
          <w:szCs w:val="28"/>
          <w:u w:val="single"/>
          <w:rtl w:val="0"/>
          <w:lang w:val="en-US"/>
        </w:rPr>
        <w:t xml:space="preserve">Lesson 3 Chimney stack molding and Smoke experimentation </w:t>
      </w:r>
      <w:r>
        <w:rPr>
          <w:rStyle w:val="None"/>
          <w:rFonts w:ascii="Times New Roman" w:hAnsi="Times New Roman"/>
          <w:sz w:val="24"/>
          <w:szCs w:val="24"/>
          <w:rtl w:val="0"/>
          <w:lang w:val="en-US"/>
        </w:rPr>
        <w:t xml:space="preserve">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Art and design skills such as experiment with and examine the methods used by other artists, craft workers and designers. To select and record from: observation, investigate the made environment and to organize resource. Art and design (2008). Science skills used in the lesson include </w:t>
      </w:r>
      <w:r>
        <w:rPr>
          <w:rStyle w:val="None"/>
          <w:rFonts w:ascii="Times New Roman" w:hAnsi="Times New Roman"/>
          <w:sz w:val="24"/>
          <w:szCs w:val="24"/>
          <w:rtl w:val="0"/>
          <w:lang w:val="fr-FR"/>
        </w:rPr>
        <w:t>commun</w:t>
      </w:r>
      <w:r>
        <w:rPr>
          <w:rStyle w:val="None"/>
          <w:rFonts w:ascii="Times New Roman" w:hAnsi="Times New Roman"/>
          <w:sz w:val="24"/>
          <w:szCs w:val="24"/>
          <w:rtl w:val="0"/>
          <w:lang w:val="en-US"/>
        </w:rPr>
        <w:t>inciting clearly by speech, Investigate how humans affect the local environment, e.g. litter, water pollution, noise pollution. Check observations and measurements by repeating them in order to collect reliable data and, describing how they have learned and identifying the ways that worked the best. Science curriculum (2008) Welsh Assembly Government. Information and communication Technology skills during this lesson include use a range of ICT resources and equipment independently and collaboratively, e.g. cameras, scanners, CD/DVD players, MP3 players, mobile phones, PDAs and, to reflect on their work, evaluating outcomes and learning. Information and communication technology (2008) Welsh Assembly Government. National skills framework skills include learning linked to other lessons, subjects, life outside school, to Explain why the process/method and strategy have been selected and identify possible problems. Children will also Explain patterns and relationships and identify uncertainties in agreement to National skills framework. National skills framework (2008)</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All three lesson directly link to The YCC curriculum due to the fact that the all relate to the port Talbot Steelworks and directly link to these skills to the document. learning about the cultures of Wales, beginning with their own traditions and becoming increasingly aware of the rich diversity of cultures within modern Wales and beyond. Moving from the concrete, such as knowledge of their own locality or the study of particular artefacts, to more abstract concepts about</w:t>
      </w: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 place and influence of Wales in Europe and the wider world. Plus, Finally showing an increasing sense of belonging and understanding of their</w:t>
      </w: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own Welshness. Developing The Curriculum Cymreig (2013) Welsh Assembly Government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b w:val="1"/>
          <w:bCs w:val="1"/>
          <w:sz w:val="28"/>
          <w:szCs w:val="28"/>
          <w:u w:val="single"/>
          <w:rtl w:val="0"/>
          <w:lang w:val="en-US"/>
        </w:rPr>
        <w:t>Conclusion</w:t>
      </w:r>
      <w:r>
        <w:rPr>
          <w:rStyle w:val="None"/>
          <w:rFonts w:ascii="Times New Roman" w:hAnsi="Times New Roman"/>
          <w:sz w:val="24"/>
          <w:szCs w:val="24"/>
          <w:rtl w:val="0"/>
          <w:lang w:val="en-US"/>
        </w:rPr>
        <w:t xml:space="preserve">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To conclude my stimulus was of welsh origin as the lessons were planned for a welsh primary school between the years of 5-6. The sessions linked directly to the YCC as it should as this resource is planned for welsh use. The sessions included Art, Design and Technology, Music and Literacy. The lesson was carefully chosen for two main purposes to promote cross curricular learning. This we discovered is believed to be very important and will play a key role in the revised curriculum thanks to Dr Graham Donaldson. Included in this is the importance of Creativity. Therefore, all the lesson was designed so the children could be creative across the lessons. The lessons closely link to various theorist work such as Lev Vygotsky and Piaget.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Secondly the lessons skills crossover to ensure skill acquisition and understanding of skills across the curriculum (Lists of the skills and their document can be found above). Which is the definition of cross curricular learning. The set of lesson also include both core and foundation subjects as Jonathan Barnes said it should. This essay also included detailed explanations of the lesson so they can be conducted by any able and willing teacher. All resources needed are widely available accessible via the internet. There is a mind map attached to this resource to help you follow the program.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APPENDIX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Photo Of Tracey Herd</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poem, The afternoon shift are leav</w:t>
      </w:r>
      <w:r>
        <w:drawing>
          <wp:anchor distT="152400" distB="152400" distL="152400" distR="152400" simplePos="0" relativeHeight="251661312" behindDoc="0" locked="0" layoutInCell="1" allowOverlap="1">
            <wp:simplePos x="0" y="0"/>
            <wp:positionH relativeFrom="page">
              <wp:posOffset>2072639</wp:posOffset>
            </wp:positionH>
            <wp:positionV relativeFrom="page">
              <wp:posOffset>2062479</wp:posOffset>
            </wp:positionV>
            <wp:extent cx="3207145" cy="6120058"/>
            <wp:effectExtent l="0" t="0" r="0" b="0"/>
            <wp:wrapThrough wrapText="bothSides" distL="152400" distR="152400">
              <wp:wrapPolygon edited="1">
                <wp:start x="0" y="0"/>
                <wp:lineTo x="21600" y="0"/>
                <wp:lineTo x="21600" y="21600"/>
                <wp:lineTo x="0" y="21600"/>
                <wp:lineTo x="0" y="0"/>
              </wp:wrapPolygon>
            </wp:wrapThrough>
            <wp:docPr id="1073741827" name="officeArt object" descr="Screen Shot 2017-11-02 at 22.58.20.png"/>
            <wp:cNvGraphicFramePr/>
            <a:graphic xmlns:a="http://schemas.openxmlformats.org/drawingml/2006/main">
              <a:graphicData uri="http://schemas.openxmlformats.org/drawingml/2006/picture">
                <pic:pic xmlns:pic="http://schemas.openxmlformats.org/drawingml/2006/picture">
                  <pic:nvPicPr>
                    <pic:cNvPr id="1073741827" name="Screen Shot 2017-11-02 at 22.58.20.png" descr="Screen Shot 2017-11-02 at 22.58.20.png"/>
                    <pic:cNvPicPr>
                      <a:picLocks noChangeAspect="1"/>
                    </pic:cNvPicPr>
                  </pic:nvPicPr>
                  <pic:blipFill>
                    <a:blip r:embed="rId6">
                      <a:extLst/>
                    </a:blip>
                    <a:stretch>
                      <a:fillRect/>
                    </a:stretch>
                  </pic:blipFill>
                  <pic:spPr>
                    <a:xfrm>
                      <a:off x="0" y="0"/>
                      <a:ext cx="3207145" cy="6120058"/>
                    </a:xfrm>
                    <a:prstGeom prst="rect">
                      <a:avLst/>
                    </a:prstGeom>
                    <a:ln w="12700" cap="flat">
                      <a:noFill/>
                      <a:miter lim="400000"/>
                    </a:ln>
                    <a:effectLst/>
                  </pic:spPr>
                </pic:pic>
              </a:graphicData>
            </a:graphic>
          </wp:anchor>
        </w:drawing>
      </w:r>
      <w:r>
        <w:rPr>
          <w:rStyle w:val="None"/>
          <w:rFonts w:ascii="Times New Roman" w:hAnsi="Times New Roman"/>
          <w:sz w:val="24"/>
          <w:szCs w:val="24"/>
          <w:rtl w:val="0"/>
          <w:lang w:val="en-US"/>
        </w:rPr>
        <w:t xml:space="preserve">ing Port Talbot Steelworks.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Photo of Martin De Zwaan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Port Talbot Steelworks Painting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rPr>
          <w:rStyle w:val="None"/>
          <w:rFonts w:ascii="Times New Roman" w:cs="Times New Roman" w:hAnsi="Times New Roman" w:eastAsia="Times New Roman"/>
          <w:sz w:val="24"/>
          <w:szCs w:val="24"/>
        </w:rPr>
      </w:pPr>
      <w:r>
        <w:rPr>
          <w:rStyle w:val="Hyperlink.1"/>
          <w:rFonts w:ascii="Times New Roman" w:cs="Times New Roman" w:hAnsi="Times New Roman" w:eastAsia="Times New Roman"/>
          <w:sz w:val="24"/>
          <w:szCs w:val="24"/>
          <w:u w:val="single"/>
          <w:lang w:val="en-US"/>
        </w:rPr>
        <w:fldChar w:fldCharType="begin" w:fldLock="0"/>
      </w:r>
      <w:r>
        <w:rPr>
          <w:rStyle w:val="Hyperlink.1"/>
          <w:rFonts w:ascii="Times New Roman" w:cs="Times New Roman" w:hAnsi="Times New Roman" w:eastAsia="Times New Roman"/>
          <w:sz w:val="24"/>
          <w:szCs w:val="24"/>
          <w:u w:val="single"/>
          <w:lang w:val="en-US"/>
        </w:rPr>
        <w:instrText xml:space="preserve"> HYPERLINK "https://www.saatchiart.com/art/Painting-Port-Talbot-Steel-Works/416188/2655195/view"</w:instrText>
      </w:r>
      <w:r>
        <w:rPr>
          <w:rStyle w:val="Hyperlink.1"/>
          <w:rFonts w:ascii="Times New Roman" w:cs="Times New Roman" w:hAnsi="Times New Roman" w:eastAsia="Times New Roman"/>
          <w:sz w:val="24"/>
          <w:szCs w:val="24"/>
          <w:u w:val="single"/>
          <w:lang w:val="en-US"/>
        </w:rPr>
        <w:fldChar w:fldCharType="separate" w:fldLock="0"/>
      </w:r>
      <w:r>
        <w:rPr>
          <w:rStyle w:val="Hyperlink.1"/>
          <w:rFonts w:ascii="Times New Roman" w:hAnsi="Times New Roman"/>
          <w:sz w:val="24"/>
          <w:szCs w:val="24"/>
          <w:u w:val="single"/>
          <w:rtl w:val="0"/>
          <w:lang w:val="en-US"/>
        </w:rPr>
        <w:t>https://www.saatchiart.com/art/Painting-Port-Talbot-Steel-Works/416188/2655195/view</w:t>
      </w:r>
      <w:r>
        <w:rPr/>
        <w:fldChar w:fldCharType="end" w:fldLock="0"/>
      </w:r>
      <w:r>
        <w:rPr>
          <w:rStyle w:val="None"/>
          <w:rFonts w:ascii="Times New Roman" w:cs="Times New Roman" w:hAnsi="Times New Roman" w:eastAsia="Times New Roman"/>
          <w:sz w:val="24"/>
          <w:szCs w:val="24"/>
          <w:lang w:val="en-US"/>
        </w:rPr>
        <w:drawing>
          <wp:anchor distT="152400" distB="152400" distL="152400" distR="152400" simplePos="0" relativeHeight="251662336" behindDoc="0" locked="0" layoutInCell="1" allowOverlap="1">
            <wp:simplePos x="0" y="0"/>
            <wp:positionH relativeFrom="page">
              <wp:posOffset>514440</wp:posOffset>
            </wp:positionH>
            <wp:positionV relativeFrom="line">
              <wp:posOffset>313778</wp:posOffset>
            </wp:positionV>
            <wp:extent cx="6120058" cy="3075926"/>
            <wp:effectExtent l="0" t="0" r="0" b="0"/>
            <wp:wrapTopAndBottom distT="152400" distB="152400"/>
            <wp:docPr id="1073741828" name="officeArt object" descr="IMG_1489.JPG"/>
            <wp:cNvGraphicFramePr/>
            <a:graphic xmlns:a="http://schemas.openxmlformats.org/drawingml/2006/main">
              <a:graphicData uri="http://schemas.openxmlformats.org/drawingml/2006/picture">
                <pic:pic xmlns:pic="http://schemas.openxmlformats.org/drawingml/2006/picture">
                  <pic:nvPicPr>
                    <pic:cNvPr id="1073741828" name="IMG_1489.JPG" descr="IMG_1489.JPG"/>
                    <pic:cNvPicPr>
                      <a:picLocks noChangeAspect="1"/>
                    </pic:cNvPicPr>
                  </pic:nvPicPr>
                  <pic:blipFill>
                    <a:blip r:embed="rId4">
                      <a:extLst/>
                    </a:blip>
                    <a:stretch>
                      <a:fillRect/>
                    </a:stretch>
                  </pic:blipFill>
                  <pic:spPr>
                    <a:xfrm>
                      <a:off x="0" y="0"/>
                      <a:ext cx="6120058" cy="3075926"/>
                    </a:xfrm>
                    <a:prstGeom prst="rect">
                      <a:avLst/>
                    </a:prstGeom>
                    <a:ln w="12700" cap="flat">
                      <a:noFill/>
                      <a:miter lim="400000"/>
                    </a:ln>
                    <a:effectLst/>
                  </pic:spPr>
                </pic:pic>
              </a:graphicData>
            </a:graphic>
          </wp:anchor>
        </w:drawing>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Photo of north chimney situated at port talbot. </w:t>
      </w:r>
    </w:p>
    <w:p>
      <w:pPr>
        <w:pStyle w:val="Body A"/>
        <w:rPr>
          <w:rStyle w:val="None"/>
          <w:rFonts w:ascii="Times New Roman" w:cs="Times New Roman" w:hAnsi="Times New Roman" w:eastAsia="Times New Roman"/>
          <w:sz w:val="24"/>
          <w:szCs w:val="24"/>
        </w:rPr>
      </w:pPr>
      <w:r>
        <w:rPr>
          <w:rStyle w:val="Hyperlink.2"/>
        </w:rPr>
        <w:fldChar w:fldCharType="begin" w:fldLock="0"/>
      </w:r>
      <w:r>
        <w:rPr>
          <w:rStyle w:val="Hyperlink.2"/>
        </w:rPr>
        <w:instrText xml:space="preserve"> HYPERLINK "http://www.itv.com/news/wales/topic/tata-steel/?page=2"</w:instrText>
      </w:r>
      <w:r>
        <w:rPr>
          <w:rStyle w:val="Hyperlink.2"/>
        </w:rPr>
        <w:fldChar w:fldCharType="separate" w:fldLock="0"/>
      </w:r>
      <w:r>
        <w:rPr>
          <w:rStyle w:val="Hyperlink.2"/>
          <w:rtl w:val="0"/>
        </w:rPr>
        <w:t>http://www.itv.com/news/wales/topic/tata-steel/?page=2</w:t>
      </w:r>
      <w:r>
        <w:rPr/>
        <w:fldChar w:fldCharType="end" w:fldLock="0"/>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cs="Times New Roman" w:hAnsi="Times New Roman" w:eastAsia="Times New Roman"/>
          <w:sz w:val="24"/>
          <w:szCs w:val="24"/>
        </w:rPr>
        <w:drawing>
          <wp:anchor distT="152400" distB="152400" distL="152400" distR="152400" simplePos="0" relativeHeight="251663360" behindDoc="0" locked="0" layoutInCell="1" allowOverlap="1">
            <wp:simplePos x="0" y="0"/>
            <wp:positionH relativeFrom="page">
              <wp:posOffset>1675818</wp:posOffset>
            </wp:positionH>
            <wp:positionV relativeFrom="line">
              <wp:posOffset>185253</wp:posOffset>
            </wp:positionV>
            <wp:extent cx="3797300" cy="2133600"/>
            <wp:effectExtent l="0" t="0" r="0" b="0"/>
            <wp:wrapTopAndBottom distT="152400" distB="152400"/>
            <wp:docPr id="1073741829"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9" name="pasted-image.tiff" descr="pasted-image.tiff"/>
                    <pic:cNvPicPr>
                      <a:picLocks noChangeAspect="1"/>
                    </pic:cNvPicPr>
                  </pic:nvPicPr>
                  <pic:blipFill>
                    <a:blip r:embed="rId5">
                      <a:extLst/>
                    </a:blip>
                    <a:stretch>
                      <a:fillRect/>
                    </a:stretch>
                  </pic:blipFill>
                  <pic:spPr>
                    <a:xfrm>
                      <a:off x="0" y="0"/>
                      <a:ext cx="3797300" cy="2133600"/>
                    </a:xfrm>
                    <a:prstGeom prst="rect">
                      <a:avLst/>
                    </a:prstGeom>
                    <a:ln w="12700" cap="flat">
                      <a:noFill/>
                      <a:miter lim="400000"/>
                    </a:ln>
                    <a:effectLst/>
                  </pic:spPr>
                </pic:pic>
              </a:graphicData>
            </a:graphic>
          </wp:anchor>
        </w:drawing>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Reverence list</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Jonathan Barnes, Cross-curricular learning 3-14 2015, SAGE publications ltd, 1 Oliver</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Yard, 55 City Road London EC1Y 1SP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Dr Graham Donaldson (15th May 2017) Aiming For Excellence. University Of Wales Trinity Saint David.</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Piagets theory of cognitive development, Collette Grey and Sean Macblain Learning theories in childhood SAGE publishing march (2012)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National Literacy And Numeracy Framework (2014) Welsh Assembly Government.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Art and design curriculum (2008) Welsh Assembly Government</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Music curriculum (2008) Welsh Assembly Government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National Skills Framework (2008) Welsh Assembly Government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Science Curriculum (2008) Welsh Assembly Government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Information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and communication technology (2008) Welsh Assembly Government.  </w:t>
      </w:r>
    </w:p>
    <w:p>
      <w:pPr>
        <w:pStyle w:val="Body A"/>
        <w:rPr>
          <w:rStyle w:val="None"/>
          <w:rFonts w:ascii="Times New Roman" w:cs="Times New Roman" w:hAnsi="Times New Roman" w:eastAsia="Times New Roman"/>
          <w:sz w:val="24"/>
          <w:szCs w:val="24"/>
        </w:rPr>
      </w:pPr>
    </w:p>
    <w:p>
      <w:pPr>
        <w:pStyle w:val="Default"/>
        <w:rPr>
          <w:rStyle w:val="None"/>
          <w:rFonts w:ascii="Times New Roman" w:cs="Times New Roman" w:hAnsi="Times New Roman" w:eastAsia="Times New Roman"/>
          <w:color w:val="333333"/>
          <w:sz w:val="24"/>
          <w:szCs w:val="24"/>
          <w:u w:color="333333"/>
          <w:shd w:val="clear" w:color="auto" w:fill="ffffff"/>
        </w:rPr>
      </w:pPr>
      <w:r>
        <w:rPr>
          <w:rStyle w:val="Hyperlink.0"/>
          <w:rFonts w:ascii="Times New Roman" w:cs="Times New Roman" w:hAnsi="Times New Roman" w:eastAsia="Times New Roman"/>
          <w:color w:val="333333"/>
          <w:sz w:val="24"/>
          <w:szCs w:val="24"/>
          <w:u w:color="333333"/>
          <w:shd w:val="clear" w:color="auto" w:fill="ffffff"/>
          <w:lang w:val="pt-PT"/>
        </w:rPr>
        <w:fldChar w:fldCharType="begin" w:fldLock="0"/>
      </w:r>
      <w:r>
        <w:rPr>
          <w:rStyle w:val="Hyperlink.0"/>
          <w:rFonts w:ascii="Times New Roman" w:cs="Times New Roman" w:hAnsi="Times New Roman" w:eastAsia="Times New Roman"/>
          <w:color w:val="333333"/>
          <w:sz w:val="24"/>
          <w:szCs w:val="24"/>
          <w:u w:color="333333"/>
          <w:shd w:val="clear" w:color="auto" w:fill="ffffff"/>
          <w:lang w:val="pt-PT"/>
        </w:rPr>
        <w:instrText xml:space="preserve"> HYPERLINK "https://www.youtube.com/channel/UCRII1nqJAaJ-Vns9TCHb93A"</w:instrText>
      </w:r>
      <w:r>
        <w:rPr>
          <w:rStyle w:val="Hyperlink.0"/>
          <w:rFonts w:ascii="Times New Roman" w:cs="Times New Roman" w:hAnsi="Times New Roman" w:eastAsia="Times New Roman"/>
          <w:color w:val="333333"/>
          <w:sz w:val="24"/>
          <w:szCs w:val="24"/>
          <w:u w:color="333333"/>
          <w:shd w:val="clear" w:color="auto" w:fill="ffffff"/>
          <w:lang w:val="pt-PT"/>
        </w:rPr>
        <w:fldChar w:fldCharType="separate" w:fldLock="0"/>
      </w:r>
      <w:r>
        <w:rPr>
          <w:rStyle w:val="Hyperlink.0"/>
          <w:rFonts w:ascii="Times New Roman" w:hAnsi="Times New Roman"/>
          <w:color w:val="333333"/>
          <w:sz w:val="24"/>
          <w:szCs w:val="24"/>
          <w:u w:color="333333"/>
          <w:shd w:val="clear" w:color="auto" w:fill="ffffff"/>
          <w:rtl w:val="0"/>
          <w:lang w:val="pt-PT"/>
        </w:rPr>
        <w:t>Mary Rodriguez</w:t>
      </w:r>
      <w:r>
        <w:rPr/>
        <w:fldChar w:fldCharType="end" w:fldLock="0"/>
      </w:r>
      <w:r>
        <w:rPr>
          <w:rStyle w:val="None"/>
          <w:rFonts w:ascii="Times New Roman" w:hAnsi="Times New Roman"/>
          <w:color w:val="333333"/>
          <w:sz w:val="24"/>
          <w:szCs w:val="24"/>
          <w:u w:color="333333"/>
          <w:shd w:val="clear" w:color="auto" w:fill="ffffff"/>
          <w:rtl w:val="0"/>
          <w:lang w:val="en-US"/>
        </w:rPr>
        <w:t xml:space="preserve">  </w:t>
      </w:r>
      <w:r>
        <w:rPr>
          <w:rStyle w:val="Hyperlink.3"/>
          <w:rFonts w:ascii="Times New Roman" w:cs="Times New Roman" w:hAnsi="Times New Roman" w:eastAsia="Times New Roman"/>
          <w:color w:val="333333"/>
          <w:sz w:val="24"/>
          <w:szCs w:val="24"/>
          <w:u w:color="333333"/>
          <w:shd w:val="clear" w:color="auto" w:fill="ffffff"/>
          <w:lang w:val="en-US"/>
        </w:rPr>
        <w:fldChar w:fldCharType="begin" w:fldLock="0"/>
      </w:r>
      <w:r>
        <w:rPr>
          <w:rStyle w:val="Hyperlink.3"/>
          <w:rFonts w:ascii="Times New Roman" w:cs="Times New Roman" w:hAnsi="Times New Roman" w:eastAsia="Times New Roman"/>
          <w:color w:val="333333"/>
          <w:sz w:val="24"/>
          <w:szCs w:val="24"/>
          <w:u w:color="333333"/>
          <w:shd w:val="clear" w:color="auto" w:fill="ffffff"/>
          <w:lang w:val="en-US"/>
        </w:rPr>
        <w:instrText xml:space="preserve"> HYPERLINK "https://www.youtube.com/watch?v=Du6vqSOj7UU"</w:instrText>
      </w:r>
      <w:r>
        <w:rPr>
          <w:rStyle w:val="Hyperlink.3"/>
          <w:rFonts w:ascii="Times New Roman" w:cs="Times New Roman" w:hAnsi="Times New Roman" w:eastAsia="Times New Roman"/>
          <w:color w:val="333333"/>
          <w:sz w:val="24"/>
          <w:szCs w:val="24"/>
          <w:u w:color="333333"/>
          <w:shd w:val="clear" w:color="auto" w:fill="ffffff"/>
          <w:lang w:val="en-US"/>
        </w:rPr>
        <w:fldChar w:fldCharType="separate" w:fldLock="0"/>
      </w:r>
      <w:r>
        <w:rPr>
          <w:rStyle w:val="Hyperlink.3"/>
          <w:rFonts w:ascii="Times New Roman" w:hAnsi="Times New Roman"/>
          <w:color w:val="333333"/>
          <w:sz w:val="24"/>
          <w:szCs w:val="24"/>
          <w:u w:color="333333"/>
          <w:shd w:val="clear" w:color="auto" w:fill="ffffff"/>
          <w:rtl w:val="0"/>
          <w:lang w:val="en-US"/>
        </w:rPr>
        <w:t>https://www.youtube.com/watch?v=Du6vqSOj7UU</w:t>
      </w:r>
      <w:r>
        <w:rPr/>
        <w:fldChar w:fldCharType="end" w:fldLock="0"/>
      </w:r>
      <w:r>
        <w:rPr>
          <w:rStyle w:val="Hyperlink.3"/>
          <w:rFonts w:ascii="Times New Roman" w:hAnsi="Times New Roman"/>
          <w:color w:val="333333"/>
          <w:sz w:val="24"/>
          <w:szCs w:val="24"/>
          <w:u w:color="333333"/>
          <w:shd w:val="clear" w:color="auto" w:fill="ffffff"/>
          <w:rtl w:val="0"/>
          <w:lang w:val="en-US"/>
        </w:rPr>
        <w:t xml:space="preserve">  (Zone of Proximal Development) Published on (5 Mar 2014)</w:t>
      </w:r>
    </w:p>
    <w:p>
      <w:pPr>
        <w:pStyle w:val="Default"/>
        <w:rPr>
          <w:rStyle w:val="Hyperlink.3"/>
          <w:rFonts w:ascii="Times New Roman" w:cs="Times New Roman" w:hAnsi="Times New Roman" w:eastAsia="Times New Roman"/>
          <w:color w:val="333333"/>
          <w:sz w:val="24"/>
          <w:szCs w:val="24"/>
          <w:u w:color="333333"/>
          <w:shd w:val="clear" w:color="auto" w:fill="ffffff"/>
          <w:lang w:val="en-US"/>
        </w:rPr>
      </w:pPr>
    </w:p>
    <w:p>
      <w:pPr>
        <w:pStyle w:val="Body A"/>
        <w:rPr>
          <w:rStyle w:val="None"/>
          <w:rFonts w:ascii="Times New Roman" w:cs="Times New Roman" w:hAnsi="Times New Roman" w:eastAsia="Times New Roman"/>
          <w:sz w:val="24"/>
          <w:szCs w:val="24"/>
        </w:rPr>
      </w:pPr>
      <w:r>
        <w:rPr>
          <w:rStyle w:val="Hyperlink.3"/>
          <w:rtl w:val="0"/>
        </w:rPr>
        <w:t>Bruner and discovery of learning theory, Collette Grey and Sean Macblain Learning theories in childhood SAGE publishing march (2012) page 129</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Bibliography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Information regarding accident at blast furnace five. </w:t>
      </w: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http://news.bbc.co.uk/1/hi/wales/1647817.stm</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Case study recorded at Class School on (Wednesday the 25th of October 2017) </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Information regarding Port Talbot Steelworks</w:t>
      </w:r>
    </w:p>
    <w:p>
      <w:pPr>
        <w:pStyle w:val="Default"/>
        <w:rPr>
          <w:rStyle w:val="None"/>
          <w:rFonts w:ascii="Times New Roman" w:cs="Times New Roman" w:hAnsi="Times New Roman" w:eastAsia="Times New Roman"/>
          <w:color w:val="212121"/>
          <w:sz w:val="24"/>
          <w:szCs w:val="24"/>
          <w:u w:color="212121"/>
          <w:shd w:val="clear" w:color="auto" w:fill="ffffff"/>
        </w:rPr>
      </w:pPr>
      <w:r>
        <w:rPr>
          <w:rStyle w:val="None"/>
          <w:rFonts w:ascii="Times New Roman" w:hAnsi="Times New Roman"/>
          <w:color w:val="212121"/>
          <w:sz w:val="24"/>
          <w:szCs w:val="24"/>
          <w:u w:color="212121"/>
          <w:shd w:val="clear" w:color="auto" w:fill="ffffff"/>
          <w:rtl w:val="0"/>
          <w:lang w:val="en-US"/>
        </w:rPr>
        <w:t>The Welsh Academy Encyclopedia of Wales. Cardiff: University of Wales Press. (</w:t>
      </w:r>
      <w:r>
        <w:rPr>
          <w:rStyle w:val="None"/>
          <w:rFonts w:ascii="Times New Roman" w:hAnsi="Times New Roman"/>
          <w:color w:val="212121"/>
          <w:sz w:val="24"/>
          <w:szCs w:val="24"/>
          <w:u w:color="212121"/>
          <w:shd w:val="clear" w:color="auto" w:fill="ffffff"/>
          <w:rtl w:val="0"/>
          <w:lang w:val="en-US"/>
        </w:rPr>
        <w:t>2008</w:t>
      </w:r>
      <w:r>
        <w:rPr>
          <w:rStyle w:val="None"/>
          <w:rFonts w:ascii="Times New Roman" w:hAnsi="Times New Roman"/>
          <w:color w:val="212121"/>
          <w:sz w:val="24"/>
          <w:szCs w:val="24"/>
          <w:u w:color="212121"/>
          <w:shd w:val="clear" w:color="auto" w:fill="ffffff"/>
          <w:rtl w:val="0"/>
          <w:lang w:val="en-US"/>
        </w:rPr>
        <w:t>)</w:t>
      </w:r>
      <w:r>
        <w:rPr>
          <w:rStyle w:val="None"/>
          <w:rFonts w:ascii="Times New Roman" w:hAnsi="Times New Roman"/>
          <w:color w:val="212121"/>
          <w:sz w:val="24"/>
          <w:szCs w:val="24"/>
          <w:u w:color="212121"/>
          <w:shd w:val="clear" w:color="auto" w:fill="ffffff"/>
          <w:rtl w:val="0"/>
          <w:lang w:val="en-US"/>
        </w:rPr>
        <w:t>.</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Information Regarding Tata Steel and CO </w:t>
      </w:r>
    </w:p>
    <w:p>
      <w:pPr>
        <w:pStyle w:val="Body A"/>
        <w:rPr>
          <w:rStyle w:val="None"/>
          <w:rFonts w:ascii="Times New Roman" w:cs="Times New Roman" w:hAnsi="Times New Roman" w:eastAsia="Times New Roman"/>
          <w:sz w:val="24"/>
          <w:szCs w:val="24"/>
        </w:rPr>
      </w:pPr>
      <w:r>
        <w:rPr>
          <w:rStyle w:val="Hyperlink.2"/>
        </w:rPr>
        <w:fldChar w:fldCharType="begin" w:fldLock="0"/>
      </w:r>
      <w:r>
        <w:rPr>
          <w:rStyle w:val="Hyperlink.2"/>
        </w:rPr>
        <w:instrText xml:space="preserve"> HYPERLINK "https://www.theguardian.com/business/2016/mar/29/tata-set-to-announce-sale-of-uk-steel-business-port-talbot"</w:instrText>
      </w:r>
      <w:r>
        <w:rPr>
          <w:rStyle w:val="Hyperlink.2"/>
        </w:rPr>
        <w:fldChar w:fldCharType="separate" w:fldLock="0"/>
      </w:r>
      <w:r>
        <w:rPr>
          <w:rStyle w:val="Hyperlink.2"/>
          <w:rtl w:val="0"/>
        </w:rPr>
        <w:t>https://www.theguardian.com/business/2016/mar/29/tata-set-to-announce-sale-of-uk-steel-business-port-talbot</w:t>
      </w:r>
      <w:r>
        <w:rPr/>
        <w:fldChar w:fldCharType="end" w:fldLock="0"/>
      </w:r>
    </w:p>
    <w:p>
      <w:pPr>
        <w:pStyle w:val="Body A"/>
        <w:rPr>
          <w:rStyle w:val="None"/>
          <w:rFonts w:ascii="Times New Roman" w:cs="Times New Roman" w:hAnsi="Times New Roman" w:eastAsia="Times New Roman"/>
          <w:sz w:val="24"/>
          <w:szCs w:val="24"/>
        </w:rPr>
      </w:pPr>
    </w:p>
    <w:p>
      <w:pPr>
        <w:pStyle w:val="Default"/>
        <w:rPr>
          <w:rStyle w:val="None"/>
          <w:rFonts w:ascii="Helvetica" w:cs="Helvetica" w:hAnsi="Helvetica" w:eastAsia="Helvetica"/>
          <w:u w:color="000000"/>
          <w:lang w:val="en-US"/>
        </w:rPr>
      </w:pPr>
      <w:r>
        <w:rPr>
          <w:rStyle w:val="None"/>
          <w:rFonts w:ascii="Helvetica" w:hAnsi="Helvetica"/>
          <w:u w:color="000000"/>
          <w:rtl w:val="0"/>
          <w:lang w:val="en-US"/>
        </w:rPr>
        <w:t>Lev Vygotsky</w:t>
      </w:r>
      <w:r>
        <w:rPr>
          <w:rStyle w:val="None"/>
          <w:rFonts w:ascii="Helvetica" w:hAnsi="Helvetica" w:hint="default"/>
          <w:u w:color="000000"/>
          <w:rtl w:val="0"/>
          <w:lang w:val="en-US"/>
        </w:rPr>
        <w:t>’</w:t>
      </w:r>
      <w:r>
        <w:rPr>
          <w:rStyle w:val="None"/>
          <w:rFonts w:ascii="Helvetica" w:hAnsi="Helvetica"/>
          <w:u w:color="000000"/>
          <w:rtl w:val="0"/>
          <w:lang w:val="en-US"/>
        </w:rPr>
        <w:t>s theory of the ZPD: Collette Grey and Sean Macblain Learning theories in childhood SAGE publishing march (2012)</w:t>
      </w:r>
    </w:p>
    <w:p>
      <w:pPr>
        <w:pStyle w:val="Default"/>
        <w:rPr>
          <w:rStyle w:val="None"/>
          <w:rFonts w:ascii="Helvetica" w:cs="Helvetica" w:hAnsi="Helvetica" w:eastAsia="Helvetica"/>
          <w:u w:color="000000"/>
          <w:lang w:val="en-US"/>
        </w:rPr>
      </w:pPr>
    </w:p>
    <w:p>
      <w:pPr>
        <w:pStyle w:val="Default"/>
        <w:rPr>
          <w:rStyle w:val="None"/>
          <w:rFonts w:ascii="Times New Roman" w:cs="Times New Roman" w:hAnsi="Times New Roman" w:eastAsia="Times New Roman"/>
          <w:sz w:val="24"/>
          <w:szCs w:val="24"/>
          <w:u w:color="000000"/>
          <w:lang w:val="en-US"/>
        </w:rPr>
      </w:pPr>
      <w:r>
        <w:rPr>
          <w:rStyle w:val="None"/>
          <w:rFonts w:ascii="Times New Roman" w:hAnsi="Times New Roman"/>
          <w:sz w:val="24"/>
          <w:szCs w:val="24"/>
          <w:u w:color="000000"/>
          <w:rtl w:val="0"/>
          <w:lang w:val="en-US"/>
        </w:rPr>
        <w:t>Linda Pound How children learn practical pre-school books publishing (8/7/2014)</w:t>
      </w:r>
    </w:p>
    <w:p>
      <w:pPr>
        <w:pStyle w:val="Default"/>
        <w:rPr>
          <w:rStyle w:val="None"/>
          <w:rFonts w:ascii="Times New Roman" w:cs="Times New Roman" w:hAnsi="Times New Roman" w:eastAsia="Times New Roman"/>
          <w:sz w:val="24"/>
          <w:szCs w:val="24"/>
          <w:u w:color="000000"/>
          <w:lang w:val="en-US"/>
        </w:rPr>
      </w:pPr>
      <w:r>
        <w:rPr>
          <w:rStyle w:val="None"/>
          <w:rFonts w:ascii="Times New Roman" w:hAnsi="Times New Roman"/>
          <w:sz w:val="24"/>
          <w:szCs w:val="24"/>
          <w:u w:color="000000"/>
          <w:rtl w:val="0"/>
          <w:lang w:val="en-US"/>
        </w:rPr>
        <w:t>Study into Cross Curricular Learning</w:t>
      </w: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r>
        <w:rPr>
          <w:rStyle w:val="None"/>
          <w:rFonts w:ascii="Times New Roman" w:hAnsi="Times New Roman"/>
          <w:sz w:val="24"/>
          <w:szCs w:val="24"/>
          <w:u w:color="000000"/>
          <w:rtl w:val="0"/>
          <w:lang w:val="en-US"/>
        </w:rPr>
        <w:t xml:space="preserve">Russell Grigg Becoming and outstanding primary school teacher, second edition, Rutledge publishing house, (2015) </w:t>
      </w: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tbl>
      <w:tblPr>
        <w:tblW w:w="1059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598"/>
      </w:tblGrid>
      <w:tr>
        <w:tblPrEx>
          <w:shd w:val="clear" w:color="auto" w:fill="ced7e7"/>
        </w:tblPrEx>
        <w:trPr>
          <w:trHeight w:val="480" w:hRule="atLeast"/>
        </w:trPr>
        <w:tc>
          <w:tcPr>
            <w:tcW w:type="dxa" w:w="1059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40"/>
                <w:szCs w:val="40"/>
                <w:u w:val="none" w:color="000000"/>
                <w:vertAlign w:val="baseline"/>
                <w:rtl w:val="0"/>
                <w:lang w:val="en-US"/>
              </w:rPr>
              <w:t>Student Self Evaluation Form</w:t>
            </w:r>
          </w:p>
        </w:tc>
      </w:tr>
    </w:tbl>
    <w:p>
      <w:pPr>
        <w:pStyle w:val="Body"/>
        <w:widowControl w:val="0"/>
        <w:jc w:val="both"/>
        <w:rPr>
          <w:sz w:val="20"/>
          <w:szCs w:val="20"/>
        </w:rPr>
      </w:pPr>
    </w:p>
    <w:p>
      <w:pPr>
        <w:pStyle w:val="Default"/>
        <w:jc w:val="both"/>
        <w:rPr>
          <w:rStyle w:val="None"/>
          <w:rFonts w:ascii="Calibri" w:cs="Calibri" w:hAnsi="Calibri" w:eastAsia="Calibri"/>
          <w:sz w:val="20"/>
          <w:szCs w:val="20"/>
        </w:rPr>
      </w:pPr>
    </w:p>
    <w:p>
      <w:pPr>
        <w:pStyle w:val="Default"/>
        <w:jc w:val="both"/>
        <w:rPr>
          <w:rStyle w:val="None"/>
          <w:rFonts w:ascii="Calibri" w:cs="Calibri" w:hAnsi="Calibri" w:eastAsia="Calibri"/>
          <w:sz w:val="22"/>
          <w:szCs w:val="22"/>
        </w:rPr>
      </w:pPr>
      <w:r>
        <w:rPr>
          <w:rStyle w:val="None"/>
          <w:rFonts w:ascii="Calibri" w:cs="Calibri" w:hAnsi="Calibri" w:eastAsia="Calibri"/>
          <w:sz w:val="22"/>
          <w:szCs w:val="22"/>
          <w:rtl w:val="0"/>
          <w:lang w:val="en-US"/>
        </w:rPr>
        <w:t xml:space="preserve">This section repeats in brief the common assessment criteria detailed on previous pages. The </w:t>
      </w:r>
      <w:r>
        <w:rPr>
          <w:rStyle w:val="None"/>
          <w:rFonts w:ascii="Calibri" w:cs="Calibri" w:hAnsi="Calibri" w:eastAsia="Calibri"/>
          <w:i w:val="1"/>
          <w:iCs w:val="1"/>
          <w:sz w:val="22"/>
          <w:szCs w:val="22"/>
          <w:rtl w:val="0"/>
          <w:lang w:val="en-US"/>
        </w:rPr>
        <w:t>extent</w:t>
      </w:r>
      <w:r>
        <w:rPr>
          <w:rStyle w:val="None"/>
          <w:rFonts w:ascii="Calibri" w:cs="Calibri" w:hAnsi="Calibri" w:eastAsia="Calibri"/>
          <w:sz w:val="22"/>
          <w:szCs w:val="22"/>
          <w:rtl w:val="0"/>
          <w:lang w:val="en-US"/>
        </w:rPr>
        <w:t xml:space="preserve"> to which these are demonstrated by you determines your mark. Using these criteria, tick the box that best indicates the level of achievement you feel you have achieved with regard to each of them. </w:t>
      </w:r>
    </w:p>
    <w:p>
      <w:pPr>
        <w:pStyle w:val="Body"/>
        <w:rPr>
          <w:rStyle w:val="None"/>
          <w:rFonts w:ascii="Calibri" w:cs="Calibri" w:hAnsi="Calibri" w:eastAsia="Calibri"/>
          <w:b w:val="1"/>
          <w:bCs w:val="1"/>
          <w:sz w:val="22"/>
          <w:szCs w:val="22"/>
        </w:rPr>
      </w:pPr>
    </w:p>
    <w:p>
      <w:pPr>
        <w:pStyle w:val="Body"/>
        <w:sectPr>
          <w:headerReference w:type="default" r:id="rId7"/>
          <w:footerReference w:type="default" r:id="rId8"/>
          <w:pgSz w:w="11900" w:h="16840" w:orient="portrait"/>
          <w:pgMar w:top="1134" w:right="1134" w:bottom="1134" w:left="1134" w:header="709" w:footer="850"/>
          <w:bidi w:val="0"/>
        </w:sectPr>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33"/>
        <w:gridCol w:w="1084"/>
        <w:gridCol w:w="1091"/>
        <w:gridCol w:w="1053"/>
        <w:gridCol w:w="1052"/>
        <w:gridCol w:w="1152"/>
        <w:gridCol w:w="1086"/>
        <w:gridCol w:w="1081"/>
      </w:tblGrid>
      <w:tr>
        <w:tblPrEx>
          <w:shd w:val="clear" w:color="auto" w:fill="ced7e7"/>
        </w:tblPrEx>
        <w:trPr>
          <w:trHeight w:val="250" w:hRule="atLeast"/>
        </w:trPr>
        <w:tc>
          <w:tcPr>
            <w:tcW w:type="dxa" w:w="203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Style w:val="None"/>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Common Assessment Criteria Applied</w:t>
            </w:r>
          </w:p>
        </w:tc>
        <w:tc>
          <w:tcPr>
            <w:tcW w:type="dxa" w:w="7598"/>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Style w:val="None"/>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Level of Achievement</w:t>
            </w:r>
          </w:p>
        </w:tc>
      </w:tr>
      <w:tr>
        <w:tblPrEx>
          <w:shd w:val="clear" w:color="auto" w:fill="ced7e7"/>
        </w:tblPrEx>
        <w:trPr>
          <w:trHeight w:val="410" w:hRule="atLeast"/>
        </w:trPr>
        <w:tc>
          <w:tcPr>
            <w:tcW w:type="dxa" w:w="203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21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p>
          <w:p>
            <w:pPr>
              <w:pStyle w:val="Body"/>
              <w:bidi w:val="0"/>
              <w:ind w:left="0" w:right="0" w:firstLine="0"/>
              <w:jc w:val="center"/>
              <w:rPr>
                <w:rtl w:val="0"/>
              </w:rP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REFER</w:t>
            </w:r>
          </w:p>
        </w:tc>
        <w:tc>
          <w:tcPr>
            <w:tcW w:type="dxa" w:w="1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p>
          <w:p>
            <w:pPr>
              <w:pStyle w:val="Body"/>
              <w:bidi w:val="0"/>
              <w:ind w:left="0" w:right="0" w:firstLine="0"/>
              <w:jc w:val="center"/>
              <w:rPr>
                <w:rtl w:val="0"/>
              </w:rP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3</w:t>
            </w: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superscript"/>
                <w:rtl w:val="0"/>
                <w:lang w:val="en-US"/>
              </w:rPr>
              <w:t>rd</w:t>
            </w:r>
          </w:p>
        </w:tc>
        <w:tc>
          <w:tcPr>
            <w:tcW w:type="dxa" w:w="1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p>
          <w:p>
            <w:pPr>
              <w:pStyle w:val="Body"/>
              <w:bidi w:val="0"/>
              <w:ind w:left="0" w:right="0" w:firstLine="0"/>
              <w:jc w:val="center"/>
              <w:rPr>
                <w:rtl w:val="0"/>
              </w:rP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2:2</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p>
          <w:p>
            <w:pPr>
              <w:pStyle w:val="Body"/>
              <w:bidi w:val="0"/>
              <w:ind w:left="0" w:right="0" w:firstLine="0"/>
              <w:jc w:val="center"/>
              <w:rPr>
                <w:rtl w:val="0"/>
              </w:rP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2:1</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p>
          <w:p>
            <w:pPr>
              <w:pStyle w:val="Body"/>
              <w:bidi w:val="0"/>
              <w:ind w:left="0" w:right="0" w:firstLine="0"/>
              <w:jc w:val="center"/>
              <w:rPr>
                <w:rtl w:val="0"/>
              </w:rP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1</w:t>
            </w: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superscript"/>
                <w:rtl w:val="0"/>
                <w:lang w:val="en-US"/>
              </w:rPr>
              <w:t>st</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pPr>
          </w:p>
          <w:p>
            <w:pPr>
              <w:pStyle w:val="Body"/>
              <w:bidi w:val="0"/>
              <w:ind w:left="0" w:right="0" w:firstLine="0"/>
              <w:jc w:val="center"/>
              <w:rPr>
                <w:rtl w:val="0"/>
              </w:rP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1</w:t>
            </w: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superscript"/>
                <w:rtl w:val="0"/>
                <w:lang w:val="en-US"/>
              </w:rPr>
              <w:t>st</w:t>
            </w:r>
          </w:p>
        </w:tc>
      </w:tr>
      <w:tr>
        <w:tblPrEx>
          <w:shd w:val="clear" w:color="auto" w:fill="ced7e7"/>
        </w:tblPrEx>
        <w:trPr>
          <w:trHeight w:val="300" w:hRule="atLeast"/>
        </w:trPr>
        <w:tc>
          <w:tcPr>
            <w:tcW w:type="dxa" w:w="20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tc>
        <w:tc>
          <w:tcPr>
            <w:tcW w:type="dxa" w:w="10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Style w:val="None"/>
                <w:rFonts w:ascii="Calibri" w:cs="Calibri" w:hAnsi="Calibri" w:eastAsia="Calibri"/>
                <w:b w:val="1"/>
                <w:bCs w:val="1"/>
                <w:caps w:val="0"/>
                <w:smallCaps w:val="0"/>
                <w:strike w:val="0"/>
                <w:dstrike w:val="0"/>
                <w:outline w:val="0"/>
                <w:color w:val="000000"/>
                <w:spacing w:val="0"/>
                <w:kern w:val="0"/>
                <w:position w:val="0"/>
                <w:sz w:val="12"/>
                <w:szCs w:val="12"/>
                <w:u w:val="none" w:color="000000"/>
                <w:vertAlign w:val="baseline"/>
                <w:rtl w:val="0"/>
                <w:lang w:val="en-US"/>
              </w:rPr>
              <w:t>OUTRIGHT FAIL</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Style w:val="None"/>
                <w:rFonts w:ascii="Calibri" w:cs="Calibri" w:hAnsi="Calibri" w:eastAsia="Calibri"/>
                <w:b w:val="1"/>
                <w:bCs w:val="1"/>
                <w:caps w:val="0"/>
                <w:smallCaps w:val="0"/>
                <w:strike w:val="0"/>
                <w:dstrike w:val="0"/>
                <w:outline w:val="0"/>
                <w:color w:val="000000"/>
                <w:spacing w:val="0"/>
                <w:kern w:val="0"/>
                <w:position w:val="0"/>
                <w:sz w:val="12"/>
                <w:szCs w:val="12"/>
                <w:u w:val="none" w:color="000000"/>
                <w:vertAlign w:val="baseline"/>
                <w:rtl w:val="0"/>
                <w:lang w:val="en-US"/>
              </w:rPr>
              <w:t>UNSATISFACTORY</w:t>
            </w:r>
          </w:p>
        </w:tc>
        <w:tc>
          <w:tcPr>
            <w:tcW w:type="dxa" w:w="1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Style w:val="None"/>
                <w:rFonts w:ascii="Calibri" w:cs="Calibri" w:hAnsi="Calibri" w:eastAsia="Calibri"/>
                <w:b w:val="1"/>
                <w:bCs w:val="1"/>
                <w:caps w:val="0"/>
                <w:smallCaps w:val="0"/>
                <w:strike w:val="0"/>
                <w:dstrike w:val="0"/>
                <w:outline w:val="0"/>
                <w:color w:val="000000"/>
                <w:spacing w:val="0"/>
                <w:kern w:val="0"/>
                <w:position w:val="0"/>
                <w:sz w:val="12"/>
                <w:szCs w:val="12"/>
                <w:u w:val="none" w:color="000000"/>
                <w:vertAlign w:val="baseline"/>
                <w:rtl w:val="0"/>
                <w:lang w:val="en-US"/>
              </w:rPr>
              <w:t>SATISFACTORY</w:t>
            </w:r>
          </w:p>
        </w:tc>
        <w:tc>
          <w:tcPr>
            <w:tcW w:type="dxa" w:w="1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Style w:val="None"/>
                <w:rFonts w:ascii="Calibri" w:cs="Calibri" w:hAnsi="Calibri" w:eastAsia="Calibri"/>
                <w:b w:val="1"/>
                <w:bCs w:val="1"/>
                <w:caps w:val="0"/>
                <w:smallCaps w:val="0"/>
                <w:strike w:val="0"/>
                <w:dstrike w:val="0"/>
                <w:outline w:val="0"/>
                <w:color w:val="000000"/>
                <w:spacing w:val="0"/>
                <w:kern w:val="0"/>
                <w:position w:val="0"/>
                <w:sz w:val="12"/>
                <w:szCs w:val="12"/>
                <w:u w:val="none" w:color="000000"/>
                <w:vertAlign w:val="baseline"/>
                <w:rtl w:val="0"/>
                <w:lang w:val="en-US"/>
              </w:rPr>
              <w:t>GOOD</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Style w:val="None"/>
                <w:rFonts w:ascii="Calibri" w:cs="Calibri" w:hAnsi="Calibri" w:eastAsia="Calibri"/>
                <w:b w:val="1"/>
                <w:bCs w:val="1"/>
                <w:caps w:val="0"/>
                <w:smallCaps w:val="0"/>
                <w:strike w:val="0"/>
                <w:dstrike w:val="0"/>
                <w:outline w:val="0"/>
                <w:color w:val="000000"/>
                <w:spacing w:val="0"/>
                <w:kern w:val="0"/>
                <w:position w:val="0"/>
                <w:sz w:val="12"/>
                <w:szCs w:val="12"/>
                <w:u w:val="none" w:color="000000"/>
                <w:vertAlign w:val="baseline"/>
                <w:rtl w:val="0"/>
                <w:lang w:val="en-US"/>
              </w:rPr>
              <w:t>VERY GOOD</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Style w:val="None"/>
                <w:rFonts w:ascii="Calibri" w:cs="Calibri" w:hAnsi="Calibri" w:eastAsia="Calibri"/>
                <w:b w:val="1"/>
                <w:bCs w:val="1"/>
                <w:caps w:val="0"/>
                <w:smallCaps w:val="0"/>
                <w:strike w:val="0"/>
                <w:dstrike w:val="0"/>
                <w:outline w:val="0"/>
                <w:color w:val="000000"/>
                <w:spacing w:val="0"/>
                <w:kern w:val="0"/>
                <w:position w:val="0"/>
                <w:sz w:val="12"/>
                <w:szCs w:val="12"/>
                <w:u w:val="none" w:color="000000"/>
                <w:vertAlign w:val="baseline"/>
                <w:rtl w:val="0"/>
                <w:lang w:val="en-US"/>
              </w:rPr>
              <w:t>EXCELLENT</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spacing w:after="120"/>
              <w:jc w:val="center"/>
            </w:pPr>
            <w:r>
              <w:rPr>
                <w:rStyle w:val="None"/>
                <w:rFonts w:ascii="Calibri" w:cs="Calibri" w:hAnsi="Calibri" w:eastAsia="Calibri"/>
                <w:b w:val="1"/>
                <w:bCs w:val="1"/>
                <w:caps w:val="0"/>
                <w:smallCaps w:val="0"/>
                <w:strike w:val="0"/>
                <w:dstrike w:val="0"/>
                <w:outline w:val="0"/>
                <w:color w:val="000000"/>
                <w:spacing w:val="0"/>
                <w:kern w:val="0"/>
                <w:position w:val="0"/>
                <w:sz w:val="12"/>
                <w:szCs w:val="12"/>
                <w:u w:val="none" w:color="000000"/>
                <w:vertAlign w:val="baseline"/>
                <w:rtl w:val="0"/>
                <w:lang w:val="en-US"/>
              </w:rPr>
              <w:t>EXCEPTIONAL</w:t>
            </w:r>
          </w:p>
        </w:tc>
      </w:tr>
      <w:tr>
        <w:tblPrEx>
          <w:shd w:val="clear" w:color="auto" w:fill="ced7e7"/>
        </w:tblPrEx>
        <w:trPr>
          <w:trHeight w:val="300" w:hRule="atLeast"/>
        </w:trPr>
        <w:tc>
          <w:tcPr>
            <w:tcW w:type="dxa" w:w="203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 xml:space="preserve">1. Subject Knowledge and Understanding </w:t>
            </w:r>
            <w:r>
              <w:rPr>
                <w:rStyle w:val="None"/>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(which includes using research-informed literature and knowledge and understanding of the subject)</w:t>
            </w:r>
          </w:p>
        </w:tc>
        <w:tc>
          <w:tcPr>
            <w:tcW w:type="dxa" w:w="10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0-29%</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30-39%</w:t>
            </w:r>
          </w:p>
        </w:tc>
        <w:tc>
          <w:tcPr>
            <w:tcW w:type="dxa" w:w="1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40-49%</w:t>
            </w:r>
          </w:p>
        </w:tc>
        <w:tc>
          <w:tcPr>
            <w:tcW w:type="dxa" w:w="1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50-59%</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60-69%</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70-79%</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80-100%</w:t>
            </w:r>
          </w:p>
        </w:tc>
      </w:tr>
      <w:tr>
        <w:tblPrEx>
          <w:shd w:val="clear" w:color="auto" w:fill="ced7e7"/>
        </w:tblPrEx>
        <w:trPr>
          <w:trHeight w:val="1410" w:hRule="atLeast"/>
        </w:trPr>
        <w:tc>
          <w:tcPr>
            <w:tcW w:type="dxa" w:w="203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b w:val="0"/>
                <w:bCs w:val="0"/>
                <w:i w:val="0"/>
                <w:iCs w:val="0"/>
                <w:caps w:val="0"/>
                <w:smallCaps w:val="0"/>
                <w:strike w:val="0"/>
                <w:dstrike w:val="0"/>
                <w:outline w:val="0"/>
                <w:color w:val="000000"/>
                <w:spacing w:val="0"/>
                <w:kern w:val="0"/>
                <w:position w:val="0"/>
                <w:u w:val="none" w:color="000000"/>
                <w:vertAlign w:val="baseline"/>
                <w:rtl w:val="0"/>
                <w:lang w:val="en-US"/>
              </w:rPr>
              <w:t>x</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w:t>
            </w:r>
          </w:p>
        </w:tc>
      </w:tr>
      <w:tr>
        <w:tblPrEx>
          <w:shd w:val="clear" w:color="auto" w:fill="ced7e7"/>
        </w:tblPrEx>
        <w:trPr>
          <w:trHeight w:val="300" w:hRule="atLeast"/>
        </w:trPr>
        <w:tc>
          <w:tcPr>
            <w:tcW w:type="dxa" w:w="203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 xml:space="preserve">2. Intellectual Skills </w:t>
            </w:r>
            <w:r>
              <w:rPr>
                <w:rStyle w:val="None"/>
                <w:rFonts w:ascii="Calibri" w:cs="Calibri" w:hAnsi="Calibri" w:eastAsia="Calibri"/>
                <w:b w:val="0"/>
                <w:bCs w:val="0"/>
                <w:caps w:val="0"/>
                <w:smallCaps w:val="0"/>
                <w:strike w:val="0"/>
                <w:dstrike w:val="0"/>
                <w:outline w:val="0"/>
                <w:color w:val="000000"/>
                <w:spacing w:val="0"/>
                <w:kern w:val="0"/>
                <w:position w:val="0"/>
                <w:sz w:val="18"/>
                <w:szCs w:val="18"/>
                <w:u w:val="none" w:color="000000"/>
                <w:vertAlign w:val="baseline"/>
                <w:rtl w:val="0"/>
                <w:lang w:val="en-US"/>
              </w:rPr>
              <w:t>(Analysis)</w:t>
            </w:r>
          </w:p>
        </w:tc>
        <w:tc>
          <w:tcPr>
            <w:tcW w:type="dxa" w:w="10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0-29%</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30-39%</w:t>
            </w:r>
          </w:p>
        </w:tc>
        <w:tc>
          <w:tcPr>
            <w:tcW w:type="dxa" w:w="1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40-49%</w:t>
            </w:r>
          </w:p>
        </w:tc>
        <w:tc>
          <w:tcPr>
            <w:tcW w:type="dxa" w:w="1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50-59%</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60-69%</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70-79%</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80-100%</w:t>
            </w:r>
          </w:p>
        </w:tc>
      </w:tr>
      <w:tr>
        <w:tblPrEx>
          <w:shd w:val="clear" w:color="auto" w:fill="ced7e7"/>
        </w:tblPrEx>
        <w:trPr>
          <w:trHeight w:val="797" w:hRule="atLeast"/>
        </w:trPr>
        <w:tc>
          <w:tcPr>
            <w:tcW w:type="dxa" w:w="203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r>
              <w:rPr>
                <w:rStyle w:val="None"/>
                <w:rFonts w:ascii="Arial Unicode MS" w:cs="Arial Unicode MS" w:hAnsi="Arial Unicode MS" w:eastAsia="Arial Unicode MS"/>
                <w:b w:val="0"/>
                <w:bCs w:val="0"/>
                <w:i w:val="0"/>
                <w:iCs w:val="0"/>
                <w:caps w:val="0"/>
                <w:smallCaps w:val="0"/>
                <w:strike w:val="0"/>
                <w:dstrike w:val="0"/>
                <w:outline w:val="0"/>
                <w:color w:val="000000"/>
                <w:spacing w:val="0"/>
                <w:kern w:val="0"/>
                <w:position w:val="0"/>
                <w:u w:val="none" w:color="000000"/>
                <w:vertAlign w:val="baseline"/>
                <w:rtl w:val="0"/>
                <w:lang w:val="en-US"/>
              </w:rPr>
              <w:t>x</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w:t>
            </w:r>
          </w:p>
        </w:tc>
      </w:tr>
      <w:tr>
        <w:tblPrEx>
          <w:shd w:val="clear" w:color="auto" w:fill="ced7e7"/>
        </w:tblPrEx>
        <w:trPr>
          <w:trHeight w:val="300" w:hRule="atLeast"/>
        </w:trPr>
        <w:tc>
          <w:tcPr>
            <w:tcW w:type="dxa" w:w="203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Pr>
            </w:pP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3. Pedagogic and Professional Applications</w:t>
            </w:r>
          </w:p>
          <w:p>
            <w:pPr>
              <w:pStyle w:val="Body"/>
              <w:bidi w:val="0"/>
              <w:ind w:left="0" w:right="0" w:firstLine="0"/>
              <w:jc w:val="left"/>
              <w:rPr>
                <w:rtl w:val="0"/>
              </w:rPr>
            </w:pPr>
            <w:r>
              <w:rPr>
                <w:rStyle w:val="None"/>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(Practical Application and Deployment)</w:t>
            </w:r>
          </w:p>
        </w:tc>
        <w:tc>
          <w:tcPr>
            <w:tcW w:type="dxa" w:w="10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0-29%</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30-39%</w:t>
            </w:r>
          </w:p>
        </w:tc>
        <w:tc>
          <w:tcPr>
            <w:tcW w:type="dxa" w:w="1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40-49%</w:t>
            </w:r>
          </w:p>
        </w:tc>
        <w:tc>
          <w:tcPr>
            <w:tcW w:type="dxa" w:w="1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50-59%</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60-69%</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70-79%</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80-100%</w:t>
            </w:r>
          </w:p>
        </w:tc>
      </w:tr>
      <w:tr>
        <w:tblPrEx>
          <w:shd w:val="clear" w:color="auto" w:fill="ced7e7"/>
        </w:tblPrEx>
        <w:trPr>
          <w:trHeight w:val="945" w:hRule="atLeast"/>
        </w:trPr>
        <w:tc>
          <w:tcPr>
            <w:tcW w:type="dxa" w:w="203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b w:val="0"/>
                <w:bCs w:val="0"/>
                <w:i w:val="0"/>
                <w:iCs w:val="0"/>
                <w:caps w:val="0"/>
                <w:smallCaps w:val="0"/>
                <w:strike w:val="0"/>
                <w:dstrike w:val="0"/>
                <w:outline w:val="0"/>
                <w:color w:val="000000"/>
                <w:spacing w:val="0"/>
                <w:kern w:val="0"/>
                <w:position w:val="0"/>
                <w:u w:val="none" w:color="000000"/>
                <w:vertAlign w:val="baseline"/>
                <w:rtl w:val="0"/>
                <w:lang w:val="en-US"/>
              </w:rPr>
              <w:t>x</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w:t>
            </w:r>
          </w:p>
        </w:tc>
      </w:tr>
      <w:tr>
        <w:tblPrEx>
          <w:shd w:val="clear" w:color="auto" w:fill="ced7e7"/>
        </w:tblPrEx>
        <w:trPr>
          <w:trHeight w:val="301" w:hRule="atLeast"/>
        </w:trPr>
        <w:tc>
          <w:tcPr>
            <w:tcW w:type="dxa" w:w="203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4. Key Transferable Skills</w:t>
            </w:r>
          </w:p>
        </w:tc>
        <w:tc>
          <w:tcPr>
            <w:tcW w:type="dxa" w:w="10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0-29%</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caps w:val="0"/>
                <w:smallCaps w:val="0"/>
                <w:strike w:val="0"/>
                <w:dstrike w:val="0"/>
                <w:outline w:val="0"/>
                <w:color w:val="000000"/>
                <w:spacing w:val="0"/>
                <w:kern w:val="0"/>
                <w:position w:val="0"/>
                <w:sz w:val="18"/>
                <w:szCs w:val="18"/>
                <w:u w:val="none" w:color="000000"/>
                <w:vertAlign w:val="baseline"/>
                <w:rtl w:val="0"/>
                <w:lang w:val="en-US"/>
              </w:rPr>
              <w:t>30-39%</w:t>
            </w:r>
          </w:p>
        </w:tc>
        <w:tc>
          <w:tcPr>
            <w:tcW w:type="dxa" w:w="1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40-49%</w:t>
            </w:r>
          </w:p>
        </w:tc>
        <w:tc>
          <w:tcPr>
            <w:tcW w:type="dxa" w:w="1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50-59%</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60-69%</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70-79%</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Calibri" w:cs="Calibri" w:hAnsi="Calibri" w:eastAsia="Calibri"/>
                <w:b w:val="1"/>
                <w:bCs w:val="1"/>
                <w:caps w:val="0"/>
                <w:smallCaps w:val="0"/>
                <w:strike w:val="0"/>
                <w:dstrike w:val="0"/>
                <w:outline w:val="0"/>
                <w:color w:val="000000"/>
                <w:spacing w:val="0"/>
                <w:kern w:val="0"/>
                <w:position w:val="0"/>
                <w:sz w:val="18"/>
                <w:szCs w:val="18"/>
                <w:u w:val="none" w:color="000000"/>
                <w:vertAlign w:val="baseline"/>
                <w:rtl w:val="0"/>
                <w:lang w:val="en-US"/>
              </w:rPr>
              <w:t>80-100%</w:t>
            </w:r>
          </w:p>
        </w:tc>
      </w:tr>
      <w:tr>
        <w:tblPrEx>
          <w:shd w:val="clear" w:color="auto" w:fill="ced7e7"/>
        </w:tblPrEx>
        <w:trPr>
          <w:trHeight w:val="797" w:hRule="atLeast"/>
        </w:trPr>
        <w:tc>
          <w:tcPr>
            <w:tcW w:type="dxa" w:w="203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b w:val="0"/>
                <w:bCs w:val="0"/>
                <w:i w:val="0"/>
                <w:iCs w:val="0"/>
                <w:caps w:val="0"/>
                <w:smallCaps w:val="0"/>
                <w:strike w:val="0"/>
                <w:dstrike w:val="0"/>
                <w:outline w:val="0"/>
                <w:color w:val="000000"/>
                <w:spacing w:val="0"/>
                <w:kern w:val="0"/>
                <w:position w:val="0"/>
                <w:u w:val="none" w:color="000000"/>
                <w:vertAlign w:val="baseline"/>
                <w:rtl w:val="0"/>
                <w:lang w:val="en-US"/>
              </w:rPr>
              <w:t>x</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u w:val="none" w:color="000000"/>
                <w:vertAlign w:val="baseline"/>
                <w:rtl w:val="0"/>
                <w:lang w:val="en-US"/>
              </w:rPr>
              <w:t>□</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Style w:val="None"/>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w:t>
            </w:r>
          </w:p>
        </w:tc>
      </w:tr>
    </w:tbl>
    <w:p>
      <w:pPr>
        <w:pStyle w:val="Body"/>
        <w:widowControl w:val="0"/>
        <w:rPr>
          <w:rStyle w:val="None"/>
          <w:rFonts w:ascii="Calibri" w:cs="Calibri" w:hAnsi="Calibri" w:eastAsia="Calibri"/>
          <w:b w:val="1"/>
          <w:bCs w:val="1"/>
          <w:sz w:val="22"/>
          <w:szCs w:val="22"/>
        </w:rPr>
      </w:pPr>
    </w:p>
    <w:p>
      <w:pPr>
        <w:pStyle w:val="Body"/>
        <w:rPr>
          <w:sz w:val="20"/>
          <w:szCs w:val="20"/>
        </w:rPr>
      </w:pPr>
    </w:p>
    <w:tbl>
      <w:tblPr>
        <w:tblW w:w="1059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299"/>
        <w:gridCol w:w="5299"/>
      </w:tblGrid>
      <w:tr>
        <w:tblPrEx>
          <w:shd w:val="clear" w:color="auto" w:fill="ced7e7"/>
        </w:tblPrEx>
        <w:trPr>
          <w:trHeight w:val="460" w:hRule="atLeast"/>
        </w:trPr>
        <w:tc>
          <w:tcPr>
            <w:tcW w:type="dxa" w:w="52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spacing w:before="120" w:after="120"/>
              <w:jc w:val="both"/>
            </w:pP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 xml:space="preserve">PLEASE COMMENT ON AREAS IN WHICH YOU FEEL THAT YOU HAVE PERFORMED WELL </w:t>
            </w:r>
          </w:p>
        </w:tc>
        <w:tc>
          <w:tcPr>
            <w:tcW w:type="dxa" w:w="52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spacing w:before="120" w:after="120"/>
              <w:jc w:val="both"/>
            </w:pP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 xml:space="preserve">PLEASE COMMENT ON </w:t>
            </w:r>
            <w:r>
              <w:rPr>
                <w:rStyle w:val="None"/>
                <w:rFonts w:ascii="Calibri" w:cs="Calibri" w:hAnsi="Calibri" w:eastAsia="Calibri"/>
                <w:b w:val="1"/>
                <w:bCs w:val="1"/>
                <w:caps w:val="1"/>
                <w:strike w:val="0"/>
                <w:dstrike w:val="0"/>
                <w:outline w:val="0"/>
                <w:color w:val="000000"/>
                <w:spacing w:val="0"/>
                <w:kern w:val="0"/>
                <w:position w:val="0"/>
                <w:sz w:val="20"/>
                <w:szCs w:val="20"/>
                <w:u w:val="none" w:color="000000"/>
                <w:vertAlign w:val="baseline"/>
                <w:rtl w:val="0"/>
                <w:lang w:val="en-US"/>
              </w:rPr>
              <w:t>AREAS you feel that you need TO DEVELOP</w:t>
            </w:r>
          </w:p>
        </w:tc>
      </w:tr>
      <w:tr>
        <w:tblPrEx>
          <w:shd w:val="clear" w:color="auto" w:fill="ced7e7"/>
        </w:tblPrEx>
        <w:trPr>
          <w:trHeight w:val="1360" w:hRule="atLeast"/>
        </w:trPr>
        <w:tc>
          <w:tcPr>
            <w:tcW w:type="dxa" w:w="52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512"/>
              <w:bottom w:type="dxa" w:w="80"/>
              <w:right w:type="dxa" w:w="80"/>
            </w:tcMar>
            <w:vAlign w:val="top"/>
          </w:tcPr>
          <w:p>
            <w:pPr>
              <w:pStyle w:val="Default"/>
              <w:tabs>
                <w:tab w:val="left" w:pos="288"/>
              </w:tabs>
              <w:spacing w:before="120" w:after="240"/>
              <w:ind w:left="432" w:firstLine="0"/>
            </w:pPr>
            <w:r>
              <w:rPr>
                <w:rFonts w:ascii="Calibri" w:cs="Calibri" w:hAnsi="Calibri" w:eastAsia="Calibri"/>
                <w:sz w:val="20"/>
                <w:szCs w:val="20"/>
                <w:rtl w:val="0"/>
              </w:rPr>
              <w:t xml:space="preserve">I feel my lessons were planned out well, that an child can be excited for their next lesson and it all follows one theme. Also they directly link to Cross curricular learning and share the same skill set. </w:t>
            </w:r>
          </w:p>
        </w:tc>
        <w:tc>
          <w:tcPr>
            <w:tcW w:type="dxa" w:w="52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Default"/>
              <w:tabs>
                <w:tab w:val="left" w:pos="288"/>
              </w:tabs>
              <w:spacing w:before="120" w:after="240"/>
            </w:pPr>
            <w:r>
              <w:rPr>
                <w:rFonts w:ascii="Calibri" w:cs="Calibri" w:hAnsi="Calibri" w:eastAsia="Calibri"/>
                <w:sz w:val="20"/>
                <w:szCs w:val="20"/>
                <w:rtl w:val="0"/>
                <w:lang w:val="en-US"/>
              </w:rPr>
              <w:t xml:space="preserve">My artefact is very large and was unsure if it can count as a artefact. However I decided yes it can be an artefact as it is only a small part of the area and is a key feature that stands out. </w:t>
            </w:r>
            <w:r>
              <w:rPr>
                <w:rStyle w:val="None"/>
                <w:rFonts w:ascii="Calibri" w:cs="Calibri" w:hAnsi="Calibri" w:eastAsia="Calibri"/>
                <w:caps w:val="0"/>
                <w:smallCaps w:val="0"/>
                <w:strike w:val="0"/>
                <w:dstrike w:val="0"/>
                <w:outline w:val="0"/>
                <w:color w:val="000000"/>
                <w:spacing w:val="0"/>
                <w:kern w:val="0"/>
                <w:position w:val="0"/>
                <w:sz w:val="20"/>
                <w:szCs w:val="20"/>
                <w:u w:val="none" w:color="000000"/>
                <w:vertAlign w:val="baseline"/>
                <w:rtl w:val="0"/>
                <w:lang w:val="en-US"/>
              </w:rPr>
            </w:r>
          </w:p>
        </w:tc>
      </w:tr>
    </w:tbl>
    <w:p>
      <w:pPr>
        <w:pStyle w:val="Body"/>
        <w:widowControl w:val="0"/>
        <w:rPr>
          <w:sz w:val="20"/>
          <w:szCs w:val="20"/>
        </w:rPr>
      </w:pPr>
    </w:p>
    <w:p>
      <w:pPr>
        <w:pStyle w:val="Body"/>
        <w:rPr>
          <w:sz w:val="20"/>
          <w:szCs w:val="20"/>
        </w:rPr>
      </w:pPr>
    </w:p>
    <w:tbl>
      <w:tblPr>
        <w:tblW w:w="1059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04"/>
        <w:gridCol w:w="3857"/>
        <w:gridCol w:w="1047"/>
        <w:gridCol w:w="3489"/>
      </w:tblGrid>
      <w:tr>
        <w:tblPrEx>
          <w:shd w:val="clear" w:color="auto" w:fill="ced7e7"/>
        </w:tblPrEx>
        <w:trPr>
          <w:trHeight w:val="426" w:hRule="atLeast"/>
        </w:trPr>
        <w:tc>
          <w:tcPr>
            <w:tcW w:type="dxa" w:w="220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spacing w:before="120" w:after="120"/>
              <w:jc w:val="both"/>
            </w:pP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Student</w:t>
            </w:r>
            <w:r>
              <w:rPr>
                <w:rStyle w:val="None"/>
                <w:rFonts w:ascii="Calibri" w:cs="Calibri" w:hAnsi="Calibri" w:eastAsia="Calibri" w:hint="default"/>
                <w:b w:val="1"/>
                <w:bCs w:val="1"/>
                <w:caps w:val="0"/>
                <w:smallCaps w:val="0"/>
                <w:strike w:val="0"/>
                <w:dstrike w:val="0"/>
                <w:outline w:val="0"/>
                <w:color w:val="000000"/>
                <w:spacing w:val="0"/>
                <w:kern w:val="0"/>
                <w:position w:val="0"/>
                <w:sz w:val="20"/>
                <w:szCs w:val="20"/>
                <w:u w:val="none" w:color="000000"/>
                <w:vertAlign w:val="baseline"/>
                <w:rtl w:val="0"/>
                <w:lang w:val="en-US"/>
              </w:rPr>
              <w:t>’</w:t>
            </w: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s Name</w:t>
            </w:r>
          </w:p>
        </w:tc>
        <w:tc>
          <w:tcPr>
            <w:tcW w:type="dxa" w:w="385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Default"/>
              <w:spacing w:before="120" w:after="120"/>
              <w:jc w:val="both"/>
            </w:pPr>
            <w:r>
              <w:rPr>
                <w:rFonts w:ascii="Calibri" w:cs="Calibri" w:hAnsi="Calibri" w:eastAsia="Calibri"/>
                <w:b w:val="1"/>
                <w:bCs w:val="1"/>
                <w:sz w:val="20"/>
                <w:szCs w:val="20"/>
                <w:rtl w:val="0"/>
              </w:rPr>
              <w:t xml:space="preserve">Timothy Davies </w:t>
            </w:r>
          </w:p>
        </w:tc>
        <w:tc>
          <w:tcPr>
            <w:tcW w:type="dxa" w:w="104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spacing w:before="120" w:after="120"/>
              <w:jc w:val="both"/>
            </w:pP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Date</w:t>
            </w:r>
          </w:p>
        </w:tc>
        <w:tc>
          <w:tcPr>
            <w:tcW w:type="dxa" w:w="348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Default"/>
              <w:spacing w:before="120" w:after="120"/>
              <w:jc w:val="both"/>
            </w:pPr>
            <w:r>
              <w:rPr>
                <w:rFonts w:ascii="Calibri" w:cs="Calibri" w:hAnsi="Calibri" w:eastAsia="Calibri"/>
                <w:b w:val="1"/>
                <w:bCs w:val="1"/>
                <w:sz w:val="20"/>
                <w:szCs w:val="20"/>
                <w:rtl w:val="0"/>
              </w:rPr>
              <w:t>3/11/17</w:t>
            </w:r>
          </w:p>
        </w:tc>
      </w:tr>
      <w:tr>
        <w:tblPrEx>
          <w:shd w:val="clear" w:color="auto" w:fill="ced7e7"/>
        </w:tblPrEx>
        <w:trPr>
          <w:trHeight w:val="414" w:hRule="atLeast"/>
        </w:trPr>
        <w:tc>
          <w:tcPr>
            <w:tcW w:type="dxa" w:w="220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w:spacing w:before="120" w:after="120"/>
              <w:jc w:val="both"/>
            </w:pP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Student</w:t>
            </w:r>
            <w:r>
              <w:rPr>
                <w:rStyle w:val="None"/>
                <w:rFonts w:ascii="Calibri" w:cs="Calibri" w:hAnsi="Calibri" w:eastAsia="Calibri" w:hint="default"/>
                <w:b w:val="1"/>
                <w:bCs w:val="1"/>
                <w:caps w:val="0"/>
                <w:smallCaps w:val="0"/>
                <w:strike w:val="0"/>
                <w:dstrike w:val="0"/>
                <w:outline w:val="0"/>
                <w:color w:val="000000"/>
                <w:spacing w:val="0"/>
                <w:kern w:val="0"/>
                <w:position w:val="0"/>
                <w:sz w:val="20"/>
                <w:szCs w:val="20"/>
                <w:u w:val="none" w:color="000000"/>
                <w:vertAlign w:val="baseline"/>
                <w:rtl w:val="0"/>
                <w:lang w:val="en-US"/>
              </w:rPr>
              <w:t>’</w:t>
            </w:r>
            <w:r>
              <w:rPr>
                <w:rStyle w:val="None"/>
                <w:rFonts w:ascii="Calibri" w:cs="Calibri" w:hAnsi="Calibri" w:eastAsia="Calibri"/>
                <w:b w:val="1"/>
                <w:bCs w:val="1"/>
                <w:caps w:val="0"/>
                <w:smallCaps w:val="0"/>
                <w:strike w:val="0"/>
                <w:dstrike w:val="0"/>
                <w:outline w:val="0"/>
                <w:color w:val="000000"/>
                <w:spacing w:val="0"/>
                <w:kern w:val="0"/>
                <w:position w:val="0"/>
                <w:sz w:val="20"/>
                <w:szCs w:val="20"/>
                <w:u w:val="none" w:color="000000"/>
                <w:vertAlign w:val="baseline"/>
                <w:rtl w:val="0"/>
                <w:lang w:val="en-US"/>
              </w:rPr>
              <w:t>s Signature</w:t>
            </w:r>
          </w:p>
        </w:tc>
        <w:tc>
          <w:tcPr>
            <w:tcW w:type="dxa" w:w="8393"/>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Default"/>
              <w:spacing w:before="120" w:after="120"/>
              <w:jc w:val="both"/>
            </w:pPr>
            <w:r>
              <w:rPr>
                <w:rFonts w:ascii="Calibri" w:cs="Calibri" w:hAnsi="Calibri" w:eastAsia="Calibri"/>
                <w:b w:val="1"/>
                <w:bCs w:val="1"/>
                <w:sz w:val="20"/>
                <w:szCs w:val="20"/>
                <w:rtl w:val="0"/>
              </w:rPr>
              <w:t xml:space="preserve">T W H Davies </w:t>
            </w:r>
          </w:p>
        </w:tc>
      </w:tr>
    </w:tbl>
    <w:p>
      <w:pPr>
        <w:pStyle w:val="Body"/>
        <w:widowControl w:val="0"/>
        <w:rPr>
          <w:sz w:val="20"/>
          <w:szCs w:val="20"/>
        </w:rPr>
      </w:pPr>
    </w:p>
    <w:p>
      <w:pPr>
        <w:pStyle w:val="Body"/>
        <w:jc w:val="both"/>
        <w:rPr>
          <w:rStyle w:val="None"/>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p>
    <w:p>
      <w:pPr>
        <w:pStyle w:val="Default"/>
        <w:rPr>
          <w:rStyle w:val="None"/>
          <w:rFonts w:ascii="Times New Roman" w:cs="Times New Roman" w:hAnsi="Times New Roman" w:eastAsia="Times New Roman"/>
          <w:sz w:val="24"/>
          <w:szCs w:val="24"/>
          <w:u w:color="000000"/>
          <w:lang w:val="en-US"/>
        </w:rPr>
      </w:pPr>
      <w:r>
        <w:rPr>
          <w:rStyle w:val="None"/>
          <w:rFonts w:ascii="Times New Roman" w:hAnsi="Times New Roman"/>
          <w:sz w:val="24"/>
          <w:szCs w:val="24"/>
          <w:u w:color="000000"/>
          <w:rtl w:val="0"/>
          <w:lang w:val="en-US"/>
        </w:rPr>
        <w:t xml:space="preserve"> </w:t>
      </w:r>
    </w:p>
    <w:p>
      <w:pPr>
        <w:pStyle w:val="Default"/>
        <w:rPr>
          <w:rStyle w:val="None"/>
          <w:rFonts w:ascii="Helvetica" w:cs="Helvetica" w:hAnsi="Helvetica" w:eastAsia="Helvetica"/>
          <w:u w:color="000000"/>
          <w:lang w:val="en-US"/>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 </w:t>
      </w:r>
    </w:p>
    <w:p>
      <w:pPr>
        <w:pStyle w:val="Body A"/>
      </w:pPr>
      <w:r>
        <w:rPr>
          <w:rStyle w:val="None"/>
          <w:rFonts w:ascii="Times New Roman" w:cs="Times New Roman" w:hAnsi="Times New Roman" w:eastAsia="Times New Roman"/>
          <w:sz w:val="24"/>
          <w:szCs w:val="24"/>
        </w:rPr>
      </w:r>
    </w:p>
    <w:sectPr>
      <w:type w:val="continuous"/>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Calibri">
    <w:charset w:val="00"/>
    <w:family w:val="roman"/>
    <w:pitch w:val="default"/>
  </w:font>
  <w:font w:name="Cambria">
    <w:charset w:val="00"/>
    <w:family w:val="roman"/>
    <w:pitch w:val="default"/>
  </w:font>
  <w:font w:name="CG Times (WN)">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A"/>
      <w:tabs>
        <w:tab w:val="center" w:pos="4819"/>
        <w:tab w:val="right" w:pos="9612"/>
        <w:tab w:val="clear" w:pos="9020"/>
      </w:tabs>
    </w:pPr>
    <w:r>
      <w:tab/>
      <w:tab/>
    </w:r>
    <w:r>
      <w:rPr/>
      <w:fldChar w:fldCharType="begin" w:fldLock="0"/>
    </w:r>
    <w:r>
      <w:instrText xml:space="preserve"> PAGE </w:instrText>
    </w:r>
    <w:r>
      <w:rPr/>
      <w:fldChar w:fldCharType="separate" w:fldLock="0"/>
    </w:r>
    <w:r>
      <w:t>14</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A"/>
      <w:tabs>
        <w:tab w:val="center" w:pos="4819"/>
        <w:tab w:val="right" w:pos="9612"/>
        <w:tab w:val="clear" w:pos="9020"/>
      </w:tabs>
    </w:pPr>
    <w:r>
      <w:rPr>
        <w:rFonts w:ascii="Times New Roman" w:hAnsi="Times New Roman"/>
        <w:rtl w:val="0"/>
        <w:lang w:val="en-US"/>
      </w:rPr>
      <w:t>Timothy Davies 1600974</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A">
    <w:name w:val="Header &amp; Footer A"/>
    <w:next w:val="Header &amp; Footer 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rFonts w:ascii="Times New Roman" w:cs="Times New Roman" w:hAnsi="Times New Roman" w:eastAsia="Times New Roman"/>
      <w:color w:val="333333"/>
      <w:sz w:val="24"/>
      <w:szCs w:val="24"/>
      <w:u w:color="333333"/>
      <w:shd w:val="clear" w:color="auto" w:fill="ffffff"/>
      <w:lang w:val="pt-PT"/>
    </w:rPr>
  </w:style>
  <w:style w:type="character" w:styleId="Hyperlink.1">
    <w:name w:val="Hyperlink.1"/>
    <w:basedOn w:val="None"/>
    <w:next w:val="Hyperlink.1"/>
    <w:rPr>
      <w:rFonts w:ascii="Times New Roman" w:cs="Times New Roman" w:hAnsi="Times New Roman" w:eastAsia="Times New Roman"/>
      <w:sz w:val="24"/>
      <w:szCs w:val="24"/>
      <w:u w:val="singl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Hyperlink.2">
    <w:name w:val="Hyperlink.2"/>
    <w:basedOn w:val="None"/>
    <w:next w:val="Hyperlink.2"/>
    <w:rPr>
      <w:rFonts w:ascii="Times New Roman" w:cs="Times New Roman" w:hAnsi="Times New Roman" w:eastAsia="Times New Roman"/>
      <w:sz w:val="24"/>
      <w:szCs w:val="24"/>
      <w:u w:val="single"/>
    </w:rPr>
  </w:style>
  <w:style w:type="character" w:styleId="Hyperlink.3">
    <w:name w:val="Hyperlink.3"/>
    <w:basedOn w:val="None"/>
    <w:next w:val="Hyperlink.3"/>
    <w:rPr>
      <w:rFonts w:ascii="Times New Roman" w:cs="Times New Roman" w:hAnsi="Times New Roman" w:eastAsia="Times New Roman"/>
      <w:color w:val="333333"/>
      <w:sz w:val="24"/>
      <w:szCs w:val="24"/>
      <w:u w:color="333333"/>
      <w:shd w:val="clear" w:color="auto" w:fill="ffffff"/>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tif"/><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