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77361B" w14:textId="77777777" w:rsidR="0050747C" w:rsidRDefault="0050747C" w:rsidP="0050747C">
      <w:pPr>
        <w:pStyle w:val="Title"/>
        <w:jc w:val="center"/>
      </w:pPr>
    </w:p>
    <w:p w14:paraId="6663903C" w14:textId="77777777" w:rsidR="0050747C" w:rsidRDefault="0050747C" w:rsidP="0050747C">
      <w:pPr>
        <w:pStyle w:val="Title"/>
        <w:jc w:val="center"/>
      </w:pPr>
    </w:p>
    <w:p w14:paraId="14A13341" w14:textId="77777777" w:rsidR="0050747C" w:rsidRDefault="0050747C" w:rsidP="0050747C">
      <w:pPr>
        <w:pStyle w:val="Title"/>
        <w:jc w:val="center"/>
      </w:pPr>
    </w:p>
    <w:p w14:paraId="0737F5D8" w14:textId="20931C86" w:rsidR="00FC3DD0" w:rsidRPr="0050747C" w:rsidRDefault="00DA164D" w:rsidP="0050747C">
      <w:pPr>
        <w:pStyle w:val="Title"/>
        <w:jc w:val="center"/>
        <w:rPr>
          <w:b/>
          <w:bCs/>
        </w:rPr>
      </w:pPr>
      <w:r w:rsidRPr="0050747C">
        <w:rPr>
          <w:b/>
          <w:bCs/>
        </w:rPr>
        <w:t>Not A Drag: The Performance of Kinship and Gender</w:t>
      </w:r>
      <w:r w:rsidR="0050747C" w:rsidRPr="0050747C">
        <w:rPr>
          <w:b/>
          <w:bCs/>
        </w:rPr>
        <w:t xml:space="preserve"> of the Drag Queens </w:t>
      </w:r>
      <w:r w:rsidR="001F78EE">
        <w:rPr>
          <w:b/>
          <w:bCs/>
        </w:rPr>
        <w:t>in</w:t>
      </w:r>
      <w:r w:rsidR="0050747C" w:rsidRPr="0050747C">
        <w:rPr>
          <w:b/>
          <w:bCs/>
        </w:rPr>
        <w:t xml:space="preserve"> Cardiff</w:t>
      </w:r>
    </w:p>
    <w:p w14:paraId="08DF1FE9" w14:textId="77777777" w:rsidR="00DA164D" w:rsidRPr="0050747C" w:rsidRDefault="00DA164D" w:rsidP="00DA164D">
      <w:pPr>
        <w:rPr>
          <w:b/>
          <w:bCs/>
        </w:rPr>
      </w:pPr>
    </w:p>
    <w:p w14:paraId="72D7E936" w14:textId="77777777" w:rsidR="00DA164D" w:rsidRPr="0050747C" w:rsidRDefault="00DA164D" w:rsidP="00DA164D">
      <w:pPr>
        <w:rPr>
          <w:b/>
          <w:bCs/>
        </w:rPr>
      </w:pPr>
    </w:p>
    <w:p w14:paraId="601AA5F7" w14:textId="77777777" w:rsidR="00DA164D" w:rsidRPr="0050747C" w:rsidRDefault="0050747C" w:rsidP="0050747C">
      <w:pPr>
        <w:jc w:val="center"/>
        <w:rPr>
          <w:b/>
          <w:bCs/>
        </w:rPr>
      </w:pPr>
      <w:r w:rsidRPr="0050747C">
        <w:rPr>
          <w:b/>
          <w:bCs/>
        </w:rPr>
        <w:t>By</w:t>
      </w:r>
    </w:p>
    <w:p w14:paraId="795DDD8D" w14:textId="77777777" w:rsidR="0050747C" w:rsidRPr="0050747C" w:rsidRDefault="0050747C" w:rsidP="0050747C">
      <w:pPr>
        <w:jc w:val="center"/>
        <w:rPr>
          <w:b/>
          <w:bCs/>
        </w:rPr>
      </w:pPr>
    </w:p>
    <w:p w14:paraId="21096ED9" w14:textId="77777777" w:rsidR="0050747C" w:rsidRPr="0050747C" w:rsidRDefault="0050747C" w:rsidP="0050747C">
      <w:pPr>
        <w:jc w:val="center"/>
        <w:rPr>
          <w:b/>
          <w:bCs/>
        </w:rPr>
      </w:pPr>
      <w:r w:rsidRPr="0050747C">
        <w:rPr>
          <w:b/>
          <w:bCs/>
        </w:rPr>
        <w:t>Sam Morgan</w:t>
      </w:r>
    </w:p>
    <w:p w14:paraId="01EE41CB" w14:textId="77777777" w:rsidR="0050747C" w:rsidRPr="0050747C" w:rsidRDefault="0050747C" w:rsidP="0050747C">
      <w:pPr>
        <w:jc w:val="center"/>
        <w:rPr>
          <w:b/>
          <w:bCs/>
        </w:rPr>
      </w:pPr>
    </w:p>
    <w:p w14:paraId="2C5EBCBF" w14:textId="77777777" w:rsidR="0050747C" w:rsidRPr="0050747C" w:rsidRDefault="0050747C" w:rsidP="0050747C">
      <w:pPr>
        <w:jc w:val="center"/>
        <w:rPr>
          <w:b/>
          <w:bCs/>
        </w:rPr>
      </w:pPr>
    </w:p>
    <w:p w14:paraId="497BC77A" w14:textId="77777777" w:rsidR="0050747C" w:rsidRPr="0050747C" w:rsidRDefault="0050747C" w:rsidP="0050747C">
      <w:pPr>
        <w:jc w:val="center"/>
        <w:rPr>
          <w:b/>
          <w:bCs/>
        </w:rPr>
      </w:pPr>
      <w:r w:rsidRPr="0050747C">
        <w:rPr>
          <w:b/>
          <w:bCs/>
        </w:rPr>
        <w:t>Dissertation Submitted in Partial Fulfilment of a B.A. (Hons.) in Anthropology</w:t>
      </w:r>
    </w:p>
    <w:p w14:paraId="2CA066DE" w14:textId="77777777" w:rsidR="0050747C" w:rsidRPr="0050747C" w:rsidRDefault="0050747C" w:rsidP="0050747C">
      <w:pPr>
        <w:jc w:val="center"/>
        <w:rPr>
          <w:b/>
          <w:bCs/>
        </w:rPr>
      </w:pPr>
      <w:r w:rsidRPr="0050747C">
        <w:rPr>
          <w:b/>
          <w:bCs/>
        </w:rPr>
        <w:t>University of Wales Trinity Saint David</w:t>
      </w:r>
    </w:p>
    <w:p w14:paraId="20971A6F" w14:textId="77777777" w:rsidR="0050747C" w:rsidRPr="0050747C" w:rsidRDefault="0050747C" w:rsidP="0050747C">
      <w:pPr>
        <w:jc w:val="center"/>
        <w:rPr>
          <w:b/>
          <w:bCs/>
        </w:rPr>
      </w:pPr>
      <w:r w:rsidRPr="0050747C">
        <w:rPr>
          <w:b/>
          <w:bCs/>
        </w:rPr>
        <w:t>August 2020</w:t>
      </w:r>
    </w:p>
    <w:p w14:paraId="5FDDC83F" w14:textId="77777777" w:rsidR="00DA164D" w:rsidRDefault="00DA164D" w:rsidP="00DA164D"/>
    <w:p w14:paraId="5A58145E" w14:textId="77777777" w:rsidR="00DA164D" w:rsidRDefault="00DA164D" w:rsidP="00DA164D"/>
    <w:p w14:paraId="0012412E" w14:textId="77777777" w:rsidR="00DA164D" w:rsidRDefault="00DA164D" w:rsidP="00DA164D"/>
    <w:p w14:paraId="575B2BD2" w14:textId="77777777" w:rsidR="00DA164D" w:rsidRDefault="00DA164D" w:rsidP="00DA164D"/>
    <w:p w14:paraId="5FACF446" w14:textId="77777777" w:rsidR="00DA164D" w:rsidRDefault="00DA164D" w:rsidP="00DA164D"/>
    <w:p w14:paraId="092418DE" w14:textId="70CDD559" w:rsidR="00DA164D" w:rsidRDefault="00DA164D" w:rsidP="00DA164D"/>
    <w:p w14:paraId="237EAAF3" w14:textId="4D70EA3E" w:rsidR="00BD0796" w:rsidRDefault="00BD0796" w:rsidP="00DA164D"/>
    <w:p w14:paraId="7FD72EAD" w14:textId="7D26A119" w:rsidR="00BD0796" w:rsidRDefault="00BD0796" w:rsidP="00DA164D"/>
    <w:p w14:paraId="4DFF3ED5" w14:textId="541A49DE" w:rsidR="00BD0796" w:rsidRDefault="00BD0796" w:rsidP="00DA164D"/>
    <w:p w14:paraId="0F90B759" w14:textId="3DD681D0" w:rsidR="00BD0796" w:rsidRDefault="00BD0796" w:rsidP="00DA164D"/>
    <w:p w14:paraId="693ED00B" w14:textId="29C01AC7" w:rsidR="00BD0796" w:rsidRDefault="00BD0796" w:rsidP="00DA164D"/>
    <w:p w14:paraId="49D00388" w14:textId="77777777" w:rsidR="00BD0796" w:rsidRDefault="00BD0796" w:rsidP="00DA164D"/>
    <w:p w14:paraId="48DAC4A8" w14:textId="6ABA8B0D" w:rsidR="00DA164D" w:rsidRDefault="00BD0796" w:rsidP="007852E5">
      <w:pPr>
        <w:pStyle w:val="Heading1"/>
        <w:spacing w:line="360" w:lineRule="auto"/>
      </w:pPr>
      <w:r>
        <w:lastRenderedPageBreak/>
        <w:t>Acknowledgements</w:t>
      </w:r>
    </w:p>
    <w:p w14:paraId="56FEC3B2" w14:textId="77777777" w:rsidR="00BD0796" w:rsidRDefault="00BD0796" w:rsidP="007852E5">
      <w:pPr>
        <w:spacing w:line="360" w:lineRule="auto"/>
      </w:pPr>
      <w:r>
        <w:t>This research would never have prevailed past being a simple idea if it were not for the guidance, brilliance and academic support of my supervisor Ann Bevan, Lecturer in Anthropology, Psychology and International Development. I am beyond grateful for her expertise and continued guidance and counselling throughout my time at university.</w:t>
      </w:r>
    </w:p>
    <w:p w14:paraId="06A67170" w14:textId="77777777" w:rsidR="00BD0796" w:rsidRDefault="00BD0796" w:rsidP="007852E5">
      <w:pPr>
        <w:spacing w:line="360" w:lineRule="auto"/>
      </w:pPr>
      <w:r>
        <w:t>I would also like to thank Luci Attala, Lecturer of Anthropology and Head of department for her continued support over the past three years, and her consistent guidance with my dissertation.</w:t>
      </w:r>
    </w:p>
    <w:p w14:paraId="3A5A8D23" w14:textId="77777777" w:rsidR="00BD0796" w:rsidRDefault="00BD0796" w:rsidP="007852E5">
      <w:pPr>
        <w:spacing w:line="360" w:lineRule="auto"/>
      </w:pPr>
      <w:r>
        <w:t>I would also to show my consideration for my support at university, Julie Y. Davis for all of the academic support she has provided and Rachel Jones for keeping me grounded when I need it most during my dissertation.</w:t>
      </w:r>
    </w:p>
    <w:p w14:paraId="3EE53B13" w14:textId="77777777" w:rsidR="00BD0796" w:rsidRDefault="00BD0796" w:rsidP="007852E5">
      <w:pPr>
        <w:spacing w:line="360" w:lineRule="auto"/>
      </w:pPr>
      <w:r>
        <w:t>I cannot be more grateful to the friends I have made at my time at University of Wales Trinity St Davids. Thank you for the inspiration and the drive to continue forward with my studies.</w:t>
      </w:r>
    </w:p>
    <w:p w14:paraId="7B182D0D" w14:textId="77777777" w:rsidR="00BD0796" w:rsidRDefault="00BD0796" w:rsidP="007852E5">
      <w:pPr>
        <w:spacing w:line="360" w:lineRule="auto"/>
      </w:pPr>
      <w:r>
        <w:t>And to the drag queens of Cardiff, thank you for teaching me everything you know and showing me such a wonderful time and for inspiring the people of Cardiff every day.</w:t>
      </w:r>
    </w:p>
    <w:p w14:paraId="6985542A" w14:textId="77777777" w:rsidR="00BD0796" w:rsidRDefault="00BD0796" w:rsidP="007852E5">
      <w:pPr>
        <w:spacing w:line="360" w:lineRule="auto"/>
      </w:pPr>
      <w:r>
        <w:t>I would also like to thank my family for constantly believing me and supporting me in everything I do.</w:t>
      </w:r>
    </w:p>
    <w:p w14:paraId="0BB729DD" w14:textId="3AFAC69F" w:rsidR="00DA164D" w:rsidRDefault="00BD0796" w:rsidP="007852E5">
      <w:pPr>
        <w:spacing w:line="360" w:lineRule="auto"/>
      </w:pPr>
      <w:r>
        <w:t>And finally my Nan, Joan May Smart. Though you never got to see me finish my dissertation and graduate I know you would be proud of me. Thank you for all of the love and support you gave me.</w:t>
      </w:r>
    </w:p>
    <w:p w14:paraId="0CCDCC0B" w14:textId="77777777" w:rsidR="00DA164D" w:rsidRDefault="00DA164D" w:rsidP="007852E5">
      <w:pPr>
        <w:spacing w:line="360" w:lineRule="auto"/>
      </w:pPr>
    </w:p>
    <w:p w14:paraId="4E1983C8" w14:textId="77777777" w:rsidR="00DA164D" w:rsidRDefault="00DA164D" w:rsidP="007852E5">
      <w:pPr>
        <w:spacing w:line="360" w:lineRule="auto"/>
      </w:pPr>
    </w:p>
    <w:p w14:paraId="43E17BED" w14:textId="77777777" w:rsidR="0050747C" w:rsidRDefault="0050747C" w:rsidP="007852E5">
      <w:pPr>
        <w:spacing w:line="360" w:lineRule="auto"/>
      </w:pPr>
    </w:p>
    <w:p w14:paraId="3C5C1EFF" w14:textId="4BBA8E9B" w:rsidR="0050747C" w:rsidRDefault="0050747C" w:rsidP="007852E5">
      <w:pPr>
        <w:spacing w:line="360" w:lineRule="auto"/>
      </w:pPr>
    </w:p>
    <w:p w14:paraId="4EFD9AC9" w14:textId="40760AB2" w:rsidR="006E509C" w:rsidRDefault="006E509C" w:rsidP="007852E5">
      <w:pPr>
        <w:spacing w:line="360" w:lineRule="auto"/>
      </w:pPr>
    </w:p>
    <w:p w14:paraId="0B8522D0" w14:textId="0D95385E" w:rsidR="00FA7391" w:rsidRDefault="00FA7391" w:rsidP="007852E5">
      <w:pPr>
        <w:spacing w:line="360" w:lineRule="auto"/>
      </w:pPr>
    </w:p>
    <w:p w14:paraId="60F3763F" w14:textId="7FAC00FD" w:rsidR="00FA7391" w:rsidRDefault="00FA7391" w:rsidP="007852E5">
      <w:pPr>
        <w:spacing w:line="360" w:lineRule="auto"/>
      </w:pPr>
    </w:p>
    <w:p w14:paraId="04AEF488" w14:textId="77777777" w:rsidR="00416277" w:rsidRDefault="00416277" w:rsidP="007852E5">
      <w:pPr>
        <w:spacing w:line="360" w:lineRule="auto"/>
      </w:pPr>
    </w:p>
    <w:p w14:paraId="03946721" w14:textId="33AF8F49" w:rsidR="006E509C" w:rsidRDefault="006E509C" w:rsidP="007852E5">
      <w:pPr>
        <w:pStyle w:val="Heading1"/>
        <w:spacing w:line="360" w:lineRule="auto"/>
      </w:pPr>
      <w:r>
        <w:lastRenderedPageBreak/>
        <w:t>Abstract</w:t>
      </w:r>
    </w:p>
    <w:p w14:paraId="7118A501" w14:textId="770C3204" w:rsidR="006E509C" w:rsidRDefault="008D674B" w:rsidP="007852E5">
      <w:pPr>
        <w:spacing w:line="360" w:lineRule="auto"/>
      </w:pPr>
      <w:r>
        <w:t>In this dissertation I pose the question that the performance of drag queens</w:t>
      </w:r>
      <w:r w:rsidR="00870DB3">
        <w:t xml:space="preserve"> through their fictive kin and gender performance</w:t>
      </w:r>
      <w:r>
        <w:t xml:space="preserve"> within drag communities and to the wider au</w:t>
      </w:r>
      <w:r w:rsidR="00C403B6">
        <w:t>dience is an important means as to understand th</w:t>
      </w:r>
      <w:r w:rsidR="00870DB3">
        <w:t>e reasons as to why drag queens perform.</w:t>
      </w:r>
      <w:r w:rsidR="0030290E">
        <w:t xml:space="preserve"> I will try to prove this</w:t>
      </w:r>
      <w:r w:rsidR="00870DB3">
        <w:t xml:space="preserve"> </w:t>
      </w:r>
      <w:r w:rsidR="0030290E">
        <w:t>b</w:t>
      </w:r>
      <w:r w:rsidR="00870DB3">
        <w:t>y exploring the themes I found through interviewing several drag queens and members of the audience of performances, an</w:t>
      </w:r>
      <w:r w:rsidR="00FA74AA">
        <w:t>d participant observation in which I became both a member of the audience and a drag queen through which I kept a reflexive journal logging my experiences.</w:t>
      </w:r>
      <w:r w:rsidR="0030290E">
        <w:t xml:space="preserve"> Over the course of the research it was found that drag queens perform</w:t>
      </w:r>
      <w:r w:rsidR="00185230">
        <w:t xml:space="preserve"> in relation to one another creating their own family unites, passing down their family name as a means to create legacies of their own, displaying fictive kinship that held importance on the level of consanguineal kin. Not only this but</w:t>
      </w:r>
      <w:r w:rsidR="00161F8A">
        <w:t xml:space="preserve"> the way in which gender was performed and overemphasised created a model for the audience to see the drastic expectations placed upon women to look and act a certain way. This research and study suggests that drag provides an ample role in </w:t>
      </w:r>
      <w:r w:rsidR="00BE2831">
        <w:t xml:space="preserve">creating a community that views fictive kinship as an important means to create bonds and </w:t>
      </w:r>
      <w:r w:rsidR="003B40F9">
        <w:t>relationships</w:t>
      </w:r>
      <w:r w:rsidR="00BE2831">
        <w:t xml:space="preserve">. And that gender roles are no longer as simple and clean cut and should be contested within </w:t>
      </w:r>
      <w:r w:rsidR="003B40F9">
        <w:t>societal expectations.</w:t>
      </w:r>
    </w:p>
    <w:p w14:paraId="29E7A935" w14:textId="37532381" w:rsidR="00FA7391" w:rsidRDefault="00FA7391" w:rsidP="00DA164D"/>
    <w:p w14:paraId="0B85F01F" w14:textId="2C598A16" w:rsidR="00FA7391" w:rsidRDefault="00FA7391" w:rsidP="00DA164D"/>
    <w:p w14:paraId="02134A02" w14:textId="390AE44D" w:rsidR="00FA7391" w:rsidRDefault="00FA7391" w:rsidP="00DA164D"/>
    <w:p w14:paraId="71E532F1" w14:textId="00E037A6" w:rsidR="00FA7391" w:rsidRDefault="00FA7391" w:rsidP="00DA164D"/>
    <w:p w14:paraId="34C38497" w14:textId="4BC271EB" w:rsidR="00FA7391" w:rsidRDefault="00FA7391" w:rsidP="00DA164D"/>
    <w:p w14:paraId="7D991A46" w14:textId="7591E61D" w:rsidR="00FA7391" w:rsidRDefault="00FA7391" w:rsidP="00DA164D"/>
    <w:p w14:paraId="7935DBF2" w14:textId="2243C508" w:rsidR="00FA7391" w:rsidRDefault="00FA7391" w:rsidP="00DA164D"/>
    <w:p w14:paraId="1CEA8FF6" w14:textId="6DA191DA" w:rsidR="00FA7391" w:rsidRDefault="00FA7391" w:rsidP="00DA164D"/>
    <w:p w14:paraId="6A654EF4" w14:textId="4B92E319" w:rsidR="00FA7391" w:rsidRDefault="00FA7391" w:rsidP="00DA164D"/>
    <w:p w14:paraId="5D1F049B" w14:textId="0A0095F0" w:rsidR="00FA7391" w:rsidRDefault="00FA7391" w:rsidP="00DA164D"/>
    <w:p w14:paraId="5384D3AE" w14:textId="29B99C98" w:rsidR="00FA7391" w:rsidRDefault="00FA7391" w:rsidP="00DA164D"/>
    <w:p w14:paraId="50B939A7" w14:textId="6CE58B9D" w:rsidR="00FA7391" w:rsidRDefault="00FA7391" w:rsidP="00DA164D"/>
    <w:p w14:paraId="45080D2A" w14:textId="5536CAB1" w:rsidR="00FA7391" w:rsidRDefault="00FA7391" w:rsidP="00DA164D"/>
    <w:p w14:paraId="320AD386" w14:textId="77777777" w:rsidR="00617D5F" w:rsidRDefault="00617D5F" w:rsidP="00DA164D"/>
    <w:p w14:paraId="1E6E8DC7" w14:textId="1241C2F8" w:rsidR="00FA7391" w:rsidRDefault="00FA7391" w:rsidP="00DA164D"/>
    <w:p w14:paraId="7FE155FE" w14:textId="77777777" w:rsidR="00FA7391" w:rsidRPr="00DA164D" w:rsidRDefault="00FA7391" w:rsidP="00DA164D"/>
    <w:sdt>
      <w:sdtPr>
        <w:rPr>
          <w:rFonts w:asciiTheme="minorHAnsi" w:eastAsiaTheme="minorHAnsi" w:hAnsiTheme="minorHAnsi" w:cstheme="minorBidi"/>
          <w:color w:val="auto"/>
          <w:sz w:val="22"/>
          <w:szCs w:val="22"/>
          <w:lang w:val="en-GB"/>
        </w:rPr>
        <w:id w:val="-1976432788"/>
        <w:docPartObj>
          <w:docPartGallery w:val="Table of Contents"/>
          <w:docPartUnique/>
        </w:docPartObj>
      </w:sdtPr>
      <w:sdtEndPr>
        <w:rPr>
          <w:b/>
          <w:bCs/>
          <w:noProof/>
        </w:rPr>
      </w:sdtEndPr>
      <w:sdtContent>
        <w:p w14:paraId="351DE5B1" w14:textId="77777777" w:rsidR="00FC3DD0" w:rsidRDefault="00FC3DD0">
          <w:pPr>
            <w:pStyle w:val="TOCHeading"/>
          </w:pPr>
          <w:r>
            <w:t>Table of Contents</w:t>
          </w:r>
        </w:p>
        <w:p w14:paraId="64349F92" w14:textId="1A9A900B" w:rsidR="00CF71E5" w:rsidRDefault="00FC3D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7380331" w:history="1">
            <w:r w:rsidR="00CF71E5" w:rsidRPr="00681484">
              <w:rPr>
                <w:rStyle w:val="Hyperlink"/>
                <w:noProof/>
              </w:rPr>
              <w:t>Acknowledgments</w:t>
            </w:r>
            <w:r w:rsidR="00CF71E5">
              <w:rPr>
                <w:noProof/>
                <w:webHidden/>
              </w:rPr>
              <w:tab/>
            </w:r>
            <w:r w:rsidR="00CF71E5">
              <w:rPr>
                <w:noProof/>
                <w:webHidden/>
              </w:rPr>
              <w:fldChar w:fldCharType="begin"/>
            </w:r>
            <w:r w:rsidR="00CF71E5">
              <w:rPr>
                <w:noProof/>
                <w:webHidden/>
              </w:rPr>
              <w:instrText xml:space="preserve"> PAGEREF _Toc47380331 \h </w:instrText>
            </w:r>
            <w:r w:rsidR="00CF71E5">
              <w:rPr>
                <w:noProof/>
                <w:webHidden/>
              </w:rPr>
            </w:r>
            <w:r w:rsidR="00CF71E5">
              <w:rPr>
                <w:noProof/>
                <w:webHidden/>
              </w:rPr>
              <w:fldChar w:fldCharType="separate"/>
            </w:r>
            <w:r w:rsidR="00EF51EE">
              <w:rPr>
                <w:noProof/>
                <w:webHidden/>
              </w:rPr>
              <w:t>3</w:t>
            </w:r>
            <w:r w:rsidR="00CF71E5">
              <w:rPr>
                <w:noProof/>
                <w:webHidden/>
              </w:rPr>
              <w:fldChar w:fldCharType="end"/>
            </w:r>
          </w:hyperlink>
        </w:p>
        <w:p w14:paraId="51DA8B24" w14:textId="074BB52C" w:rsidR="00CF71E5" w:rsidRDefault="0099039B">
          <w:pPr>
            <w:pStyle w:val="TOC1"/>
            <w:tabs>
              <w:tab w:val="right" w:leader="dot" w:pos="9016"/>
            </w:tabs>
            <w:rPr>
              <w:rFonts w:eastAsiaTheme="minorEastAsia"/>
              <w:noProof/>
              <w:lang w:eastAsia="en-GB"/>
            </w:rPr>
          </w:pPr>
          <w:hyperlink w:anchor="_Toc47380332" w:history="1">
            <w:r w:rsidR="00CF71E5" w:rsidRPr="00681484">
              <w:rPr>
                <w:rStyle w:val="Hyperlink"/>
                <w:noProof/>
              </w:rPr>
              <w:t>Introduction</w:t>
            </w:r>
            <w:r w:rsidR="00CF71E5">
              <w:rPr>
                <w:noProof/>
                <w:webHidden/>
              </w:rPr>
              <w:tab/>
            </w:r>
            <w:r w:rsidR="00CF71E5">
              <w:rPr>
                <w:noProof/>
                <w:webHidden/>
              </w:rPr>
              <w:fldChar w:fldCharType="begin"/>
            </w:r>
            <w:r w:rsidR="00CF71E5">
              <w:rPr>
                <w:noProof/>
                <w:webHidden/>
              </w:rPr>
              <w:instrText xml:space="preserve"> PAGEREF _Toc47380332 \h </w:instrText>
            </w:r>
            <w:r w:rsidR="00CF71E5">
              <w:rPr>
                <w:noProof/>
                <w:webHidden/>
              </w:rPr>
            </w:r>
            <w:r w:rsidR="00CF71E5">
              <w:rPr>
                <w:noProof/>
                <w:webHidden/>
              </w:rPr>
              <w:fldChar w:fldCharType="separate"/>
            </w:r>
            <w:r w:rsidR="00EF51EE">
              <w:rPr>
                <w:noProof/>
                <w:webHidden/>
              </w:rPr>
              <w:t>4</w:t>
            </w:r>
            <w:r w:rsidR="00CF71E5">
              <w:rPr>
                <w:noProof/>
                <w:webHidden/>
              </w:rPr>
              <w:fldChar w:fldCharType="end"/>
            </w:r>
          </w:hyperlink>
        </w:p>
        <w:p w14:paraId="4818BB85" w14:textId="75C29A27" w:rsidR="00CF71E5" w:rsidRDefault="0099039B">
          <w:pPr>
            <w:pStyle w:val="TOC1"/>
            <w:tabs>
              <w:tab w:val="right" w:leader="dot" w:pos="9016"/>
            </w:tabs>
            <w:rPr>
              <w:rFonts w:eastAsiaTheme="minorEastAsia"/>
              <w:noProof/>
              <w:lang w:eastAsia="en-GB"/>
            </w:rPr>
          </w:pPr>
          <w:hyperlink w:anchor="_Toc47380333" w:history="1">
            <w:r w:rsidR="00CF71E5" w:rsidRPr="00681484">
              <w:rPr>
                <w:rStyle w:val="Hyperlink"/>
                <w:noProof/>
              </w:rPr>
              <w:t>Chapter One – Methodology</w:t>
            </w:r>
            <w:r w:rsidR="00CF71E5">
              <w:rPr>
                <w:noProof/>
                <w:webHidden/>
              </w:rPr>
              <w:tab/>
            </w:r>
            <w:r w:rsidR="00CF71E5">
              <w:rPr>
                <w:noProof/>
                <w:webHidden/>
              </w:rPr>
              <w:fldChar w:fldCharType="begin"/>
            </w:r>
            <w:r w:rsidR="00CF71E5">
              <w:rPr>
                <w:noProof/>
                <w:webHidden/>
              </w:rPr>
              <w:instrText xml:space="preserve"> PAGEREF _Toc47380333 \h </w:instrText>
            </w:r>
            <w:r w:rsidR="00CF71E5">
              <w:rPr>
                <w:noProof/>
                <w:webHidden/>
              </w:rPr>
            </w:r>
            <w:r w:rsidR="00CF71E5">
              <w:rPr>
                <w:noProof/>
                <w:webHidden/>
              </w:rPr>
              <w:fldChar w:fldCharType="separate"/>
            </w:r>
            <w:r w:rsidR="00EF51EE">
              <w:rPr>
                <w:noProof/>
                <w:webHidden/>
              </w:rPr>
              <w:t>5</w:t>
            </w:r>
            <w:r w:rsidR="00CF71E5">
              <w:rPr>
                <w:noProof/>
                <w:webHidden/>
              </w:rPr>
              <w:fldChar w:fldCharType="end"/>
            </w:r>
          </w:hyperlink>
        </w:p>
        <w:p w14:paraId="77DEB62E" w14:textId="4224CB6B" w:rsidR="00CF71E5" w:rsidRDefault="0099039B">
          <w:pPr>
            <w:pStyle w:val="TOC1"/>
            <w:tabs>
              <w:tab w:val="right" w:leader="dot" w:pos="9016"/>
            </w:tabs>
            <w:rPr>
              <w:rFonts w:eastAsiaTheme="minorEastAsia"/>
              <w:noProof/>
              <w:lang w:eastAsia="en-GB"/>
            </w:rPr>
          </w:pPr>
          <w:hyperlink w:anchor="_Toc47380334" w:history="1">
            <w:r w:rsidR="00CF71E5" w:rsidRPr="00681484">
              <w:rPr>
                <w:rStyle w:val="Hyperlink"/>
                <w:noProof/>
              </w:rPr>
              <w:t>Chapter Two – Reflecting on Research</w:t>
            </w:r>
            <w:r w:rsidR="00CF71E5">
              <w:rPr>
                <w:noProof/>
                <w:webHidden/>
              </w:rPr>
              <w:tab/>
            </w:r>
            <w:r w:rsidR="00CF71E5">
              <w:rPr>
                <w:noProof/>
                <w:webHidden/>
              </w:rPr>
              <w:fldChar w:fldCharType="begin"/>
            </w:r>
            <w:r w:rsidR="00CF71E5">
              <w:rPr>
                <w:noProof/>
                <w:webHidden/>
              </w:rPr>
              <w:instrText xml:space="preserve"> PAGEREF _Toc47380334 \h </w:instrText>
            </w:r>
            <w:r w:rsidR="00CF71E5">
              <w:rPr>
                <w:noProof/>
                <w:webHidden/>
              </w:rPr>
            </w:r>
            <w:r w:rsidR="00CF71E5">
              <w:rPr>
                <w:noProof/>
                <w:webHidden/>
              </w:rPr>
              <w:fldChar w:fldCharType="separate"/>
            </w:r>
            <w:r w:rsidR="00EF51EE">
              <w:rPr>
                <w:noProof/>
                <w:webHidden/>
              </w:rPr>
              <w:t>10</w:t>
            </w:r>
            <w:r w:rsidR="00CF71E5">
              <w:rPr>
                <w:noProof/>
                <w:webHidden/>
              </w:rPr>
              <w:fldChar w:fldCharType="end"/>
            </w:r>
          </w:hyperlink>
        </w:p>
        <w:p w14:paraId="35FFECE3" w14:textId="4A6506C4" w:rsidR="00CF71E5" w:rsidRDefault="0099039B">
          <w:pPr>
            <w:pStyle w:val="TOC1"/>
            <w:tabs>
              <w:tab w:val="right" w:leader="dot" w:pos="9016"/>
            </w:tabs>
            <w:rPr>
              <w:rFonts w:eastAsiaTheme="minorEastAsia"/>
              <w:noProof/>
              <w:lang w:eastAsia="en-GB"/>
            </w:rPr>
          </w:pPr>
          <w:hyperlink w:anchor="_Toc47380335" w:history="1">
            <w:r w:rsidR="00CF71E5" w:rsidRPr="00681484">
              <w:rPr>
                <w:rStyle w:val="Hyperlink"/>
                <w:noProof/>
              </w:rPr>
              <w:t>Chapter Three – Performance of Drag</w:t>
            </w:r>
            <w:r w:rsidR="00CF71E5">
              <w:rPr>
                <w:noProof/>
                <w:webHidden/>
              </w:rPr>
              <w:tab/>
            </w:r>
            <w:r w:rsidR="00CF71E5">
              <w:rPr>
                <w:noProof/>
                <w:webHidden/>
              </w:rPr>
              <w:fldChar w:fldCharType="begin"/>
            </w:r>
            <w:r w:rsidR="00CF71E5">
              <w:rPr>
                <w:noProof/>
                <w:webHidden/>
              </w:rPr>
              <w:instrText xml:space="preserve"> PAGEREF _Toc47380335 \h </w:instrText>
            </w:r>
            <w:r w:rsidR="00CF71E5">
              <w:rPr>
                <w:noProof/>
                <w:webHidden/>
              </w:rPr>
            </w:r>
            <w:r w:rsidR="00CF71E5">
              <w:rPr>
                <w:noProof/>
                <w:webHidden/>
              </w:rPr>
              <w:fldChar w:fldCharType="separate"/>
            </w:r>
            <w:r w:rsidR="00EF51EE">
              <w:rPr>
                <w:noProof/>
                <w:webHidden/>
              </w:rPr>
              <w:t>11</w:t>
            </w:r>
            <w:r w:rsidR="00CF71E5">
              <w:rPr>
                <w:noProof/>
                <w:webHidden/>
              </w:rPr>
              <w:fldChar w:fldCharType="end"/>
            </w:r>
          </w:hyperlink>
        </w:p>
        <w:p w14:paraId="362F82C7" w14:textId="362507F9" w:rsidR="00CF71E5" w:rsidRDefault="0099039B">
          <w:pPr>
            <w:pStyle w:val="TOC1"/>
            <w:tabs>
              <w:tab w:val="right" w:leader="dot" w:pos="9016"/>
            </w:tabs>
            <w:rPr>
              <w:rFonts w:eastAsiaTheme="minorEastAsia"/>
              <w:noProof/>
              <w:lang w:eastAsia="en-GB"/>
            </w:rPr>
          </w:pPr>
          <w:hyperlink w:anchor="_Toc47380336" w:history="1">
            <w:r w:rsidR="00CF71E5" w:rsidRPr="00681484">
              <w:rPr>
                <w:rStyle w:val="Hyperlink"/>
                <w:noProof/>
              </w:rPr>
              <w:t>Chapter Four – Performance of Kinship in Drag</w:t>
            </w:r>
            <w:r w:rsidR="00CF71E5">
              <w:rPr>
                <w:noProof/>
                <w:webHidden/>
              </w:rPr>
              <w:tab/>
            </w:r>
            <w:r w:rsidR="00CF71E5">
              <w:rPr>
                <w:noProof/>
                <w:webHidden/>
              </w:rPr>
              <w:fldChar w:fldCharType="begin"/>
            </w:r>
            <w:r w:rsidR="00CF71E5">
              <w:rPr>
                <w:noProof/>
                <w:webHidden/>
              </w:rPr>
              <w:instrText xml:space="preserve"> PAGEREF _Toc47380336 \h </w:instrText>
            </w:r>
            <w:r w:rsidR="00CF71E5">
              <w:rPr>
                <w:noProof/>
                <w:webHidden/>
              </w:rPr>
            </w:r>
            <w:r w:rsidR="00CF71E5">
              <w:rPr>
                <w:noProof/>
                <w:webHidden/>
              </w:rPr>
              <w:fldChar w:fldCharType="separate"/>
            </w:r>
            <w:r w:rsidR="00EF51EE">
              <w:rPr>
                <w:noProof/>
                <w:webHidden/>
              </w:rPr>
              <w:t>16</w:t>
            </w:r>
            <w:r w:rsidR="00CF71E5">
              <w:rPr>
                <w:noProof/>
                <w:webHidden/>
              </w:rPr>
              <w:fldChar w:fldCharType="end"/>
            </w:r>
          </w:hyperlink>
        </w:p>
        <w:p w14:paraId="57B8DC9D" w14:textId="7D4CFE80" w:rsidR="00CF71E5" w:rsidRDefault="0099039B">
          <w:pPr>
            <w:pStyle w:val="TOC1"/>
            <w:tabs>
              <w:tab w:val="right" w:leader="dot" w:pos="9016"/>
            </w:tabs>
            <w:rPr>
              <w:rFonts w:eastAsiaTheme="minorEastAsia"/>
              <w:noProof/>
              <w:lang w:eastAsia="en-GB"/>
            </w:rPr>
          </w:pPr>
          <w:hyperlink w:anchor="_Toc47380337" w:history="1">
            <w:r w:rsidR="00CF71E5" w:rsidRPr="00681484">
              <w:rPr>
                <w:rStyle w:val="Hyperlink"/>
                <w:noProof/>
              </w:rPr>
              <w:t>Chapter Five – Performance of Gender in Drag</w:t>
            </w:r>
            <w:r w:rsidR="00CF71E5">
              <w:rPr>
                <w:noProof/>
                <w:webHidden/>
              </w:rPr>
              <w:tab/>
            </w:r>
            <w:r w:rsidR="00CF71E5">
              <w:rPr>
                <w:noProof/>
                <w:webHidden/>
              </w:rPr>
              <w:fldChar w:fldCharType="begin"/>
            </w:r>
            <w:r w:rsidR="00CF71E5">
              <w:rPr>
                <w:noProof/>
                <w:webHidden/>
              </w:rPr>
              <w:instrText xml:space="preserve"> PAGEREF _Toc47380337 \h </w:instrText>
            </w:r>
            <w:r w:rsidR="00CF71E5">
              <w:rPr>
                <w:noProof/>
                <w:webHidden/>
              </w:rPr>
            </w:r>
            <w:r w:rsidR="00CF71E5">
              <w:rPr>
                <w:noProof/>
                <w:webHidden/>
              </w:rPr>
              <w:fldChar w:fldCharType="separate"/>
            </w:r>
            <w:r w:rsidR="00EF51EE">
              <w:rPr>
                <w:noProof/>
                <w:webHidden/>
              </w:rPr>
              <w:t>20</w:t>
            </w:r>
            <w:r w:rsidR="00CF71E5">
              <w:rPr>
                <w:noProof/>
                <w:webHidden/>
              </w:rPr>
              <w:fldChar w:fldCharType="end"/>
            </w:r>
          </w:hyperlink>
        </w:p>
        <w:p w14:paraId="69F46872" w14:textId="742DB72C" w:rsidR="00CF71E5" w:rsidRDefault="0099039B">
          <w:pPr>
            <w:pStyle w:val="TOC1"/>
            <w:tabs>
              <w:tab w:val="right" w:leader="dot" w:pos="9016"/>
            </w:tabs>
            <w:rPr>
              <w:rFonts w:eastAsiaTheme="minorEastAsia"/>
              <w:noProof/>
              <w:lang w:eastAsia="en-GB"/>
            </w:rPr>
          </w:pPr>
          <w:hyperlink w:anchor="_Toc47380338" w:history="1">
            <w:r w:rsidR="00CF71E5" w:rsidRPr="00681484">
              <w:rPr>
                <w:rStyle w:val="Hyperlink"/>
                <w:noProof/>
              </w:rPr>
              <w:t>Conclusion</w:t>
            </w:r>
            <w:r w:rsidR="00CF71E5">
              <w:rPr>
                <w:noProof/>
                <w:webHidden/>
              </w:rPr>
              <w:tab/>
            </w:r>
            <w:r w:rsidR="00CF71E5">
              <w:rPr>
                <w:noProof/>
                <w:webHidden/>
              </w:rPr>
              <w:fldChar w:fldCharType="begin"/>
            </w:r>
            <w:r w:rsidR="00CF71E5">
              <w:rPr>
                <w:noProof/>
                <w:webHidden/>
              </w:rPr>
              <w:instrText xml:space="preserve"> PAGEREF _Toc47380338 \h </w:instrText>
            </w:r>
            <w:r w:rsidR="00CF71E5">
              <w:rPr>
                <w:noProof/>
                <w:webHidden/>
              </w:rPr>
            </w:r>
            <w:r w:rsidR="00CF71E5">
              <w:rPr>
                <w:noProof/>
                <w:webHidden/>
              </w:rPr>
              <w:fldChar w:fldCharType="separate"/>
            </w:r>
            <w:r w:rsidR="00EF51EE">
              <w:rPr>
                <w:noProof/>
                <w:webHidden/>
              </w:rPr>
              <w:t>24</w:t>
            </w:r>
            <w:r w:rsidR="00CF71E5">
              <w:rPr>
                <w:noProof/>
                <w:webHidden/>
              </w:rPr>
              <w:fldChar w:fldCharType="end"/>
            </w:r>
          </w:hyperlink>
        </w:p>
        <w:p w14:paraId="6057CF74" w14:textId="58242864" w:rsidR="00CF71E5" w:rsidRDefault="0099039B">
          <w:pPr>
            <w:pStyle w:val="TOC1"/>
            <w:tabs>
              <w:tab w:val="right" w:leader="dot" w:pos="9016"/>
            </w:tabs>
            <w:rPr>
              <w:rFonts w:eastAsiaTheme="minorEastAsia"/>
              <w:noProof/>
              <w:lang w:eastAsia="en-GB"/>
            </w:rPr>
          </w:pPr>
          <w:hyperlink w:anchor="_Toc47380339" w:history="1">
            <w:r w:rsidR="00CF71E5" w:rsidRPr="00681484">
              <w:rPr>
                <w:rStyle w:val="Hyperlink"/>
                <w:noProof/>
              </w:rPr>
              <w:t>References</w:t>
            </w:r>
            <w:r w:rsidR="00CF71E5">
              <w:rPr>
                <w:noProof/>
                <w:webHidden/>
              </w:rPr>
              <w:tab/>
            </w:r>
            <w:r w:rsidR="00CF71E5">
              <w:rPr>
                <w:noProof/>
                <w:webHidden/>
              </w:rPr>
              <w:fldChar w:fldCharType="begin"/>
            </w:r>
            <w:r w:rsidR="00CF71E5">
              <w:rPr>
                <w:noProof/>
                <w:webHidden/>
              </w:rPr>
              <w:instrText xml:space="preserve"> PAGEREF _Toc47380339 \h </w:instrText>
            </w:r>
            <w:r w:rsidR="00CF71E5">
              <w:rPr>
                <w:noProof/>
                <w:webHidden/>
              </w:rPr>
            </w:r>
            <w:r w:rsidR="00CF71E5">
              <w:rPr>
                <w:noProof/>
                <w:webHidden/>
              </w:rPr>
              <w:fldChar w:fldCharType="separate"/>
            </w:r>
            <w:r w:rsidR="00EF51EE">
              <w:rPr>
                <w:noProof/>
                <w:webHidden/>
              </w:rPr>
              <w:t>24</w:t>
            </w:r>
            <w:r w:rsidR="00CF71E5">
              <w:rPr>
                <w:noProof/>
                <w:webHidden/>
              </w:rPr>
              <w:fldChar w:fldCharType="end"/>
            </w:r>
          </w:hyperlink>
        </w:p>
        <w:p w14:paraId="248333C2" w14:textId="23BE8084" w:rsidR="00FC3DD0" w:rsidRDefault="00FC3DD0">
          <w:r>
            <w:rPr>
              <w:b/>
              <w:bCs/>
              <w:noProof/>
            </w:rPr>
            <w:fldChar w:fldCharType="end"/>
          </w:r>
        </w:p>
      </w:sdtContent>
    </w:sdt>
    <w:p w14:paraId="58654F80" w14:textId="77777777" w:rsidR="00DA164D" w:rsidRDefault="00DA164D" w:rsidP="001372D0">
      <w:pPr>
        <w:pStyle w:val="Heading1"/>
        <w:spacing w:line="360" w:lineRule="auto"/>
      </w:pPr>
    </w:p>
    <w:p w14:paraId="41A7B9EA" w14:textId="77777777" w:rsidR="00DA164D" w:rsidRDefault="00DA164D" w:rsidP="001372D0">
      <w:pPr>
        <w:pStyle w:val="Heading1"/>
        <w:spacing w:line="360" w:lineRule="auto"/>
      </w:pPr>
    </w:p>
    <w:p w14:paraId="5A942CBC" w14:textId="77777777" w:rsidR="00DA164D" w:rsidRDefault="00DA164D" w:rsidP="001372D0">
      <w:pPr>
        <w:pStyle w:val="Heading1"/>
        <w:spacing w:line="360" w:lineRule="auto"/>
      </w:pPr>
    </w:p>
    <w:p w14:paraId="01850344" w14:textId="77777777" w:rsidR="00DA164D" w:rsidRDefault="00DA164D" w:rsidP="001372D0">
      <w:pPr>
        <w:pStyle w:val="Heading1"/>
        <w:spacing w:line="360" w:lineRule="auto"/>
      </w:pPr>
    </w:p>
    <w:p w14:paraId="66DAE872" w14:textId="77777777" w:rsidR="00DA164D" w:rsidRDefault="00DA164D" w:rsidP="001372D0">
      <w:pPr>
        <w:pStyle w:val="Heading1"/>
        <w:spacing w:line="360" w:lineRule="auto"/>
      </w:pPr>
    </w:p>
    <w:p w14:paraId="771445B6" w14:textId="77777777" w:rsidR="00DA164D" w:rsidRDefault="00DA164D" w:rsidP="001372D0">
      <w:pPr>
        <w:pStyle w:val="Heading1"/>
        <w:spacing w:line="360" w:lineRule="auto"/>
      </w:pPr>
    </w:p>
    <w:p w14:paraId="5FC35CCA" w14:textId="77777777" w:rsidR="00DA164D" w:rsidRDefault="00DA164D" w:rsidP="001372D0">
      <w:pPr>
        <w:pStyle w:val="Heading1"/>
        <w:spacing w:line="360" w:lineRule="auto"/>
      </w:pPr>
    </w:p>
    <w:p w14:paraId="64CB8D05" w14:textId="77777777" w:rsidR="00DA164D" w:rsidRDefault="00DA164D" w:rsidP="00DA164D"/>
    <w:p w14:paraId="6FEDD846" w14:textId="77777777" w:rsidR="00DA164D" w:rsidRDefault="00DA164D" w:rsidP="00DA164D"/>
    <w:p w14:paraId="128EDF02" w14:textId="77777777" w:rsidR="00DA164D" w:rsidRDefault="00DA164D" w:rsidP="00DA164D"/>
    <w:p w14:paraId="0E0E00A8" w14:textId="77777777" w:rsidR="00DA164D" w:rsidRDefault="00DA164D" w:rsidP="00DA164D"/>
    <w:p w14:paraId="1AC00A83" w14:textId="68E3D558" w:rsidR="00FA7391" w:rsidRDefault="00FA7391" w:rsidP="001372D0">
      <w:pPr>
        <w:spacing w:line="360" w:lineRule="auto"/>
      </w:pPr>
    </w:p>
    <w:p w14:paraId="077C77B3" w14:textId="77777777" w:rsidR="00617D5F" w:rsidRPr="00FC3DD0" w:rsidRDefault="00617D5F" w:rsidP="001372D0">
      <w:pPr>
        <w:spacing w:line="360" w:lineRule="auto"/>
      </w:pPr>
    </w:p>
    <w:p w14:paraId="6D2B97F7" w14:textId="77777777" w:rsidR="00FC3DD0" w:rsidRDefault="00FC3DD0" w:rsidP="001372D0">
      <w:pPr>
        <w:pStyle w:val="Heading1"/>
        <w:spacing w:line="360" w:lineRule="auto"/>
      </w:pPr>
      <w:bookmarkStart w:id="0" w:name="_Toc47380332"/>
      <w:r>
        <w:lastRenderedPageBreak/>
        <w:t>Introduction</w:t>
      </w:r>
      <w:bookmarkEnd w:id="0"/>
    </w:p>
    <w:p w14:paraId="21D8CF99" w14:textId="69517E29" w:rsidR="00FA7391" w:rsidRDefault="00FC3DD0" w:rsidP="001372D0">
      <w:pPr>
        <w:spacing w:line="360" w:lineRule="auto"/>
      </w:pPr>
      <w:r w:rsidRPr="00FC3DD0">
        <w:t>Over the course of this dissertation I will be exploring drag queen performances using my own field research data as a means to understand and interpret the meaning behind their performances, why they perform and what impact this can have on a wider audience and society. It is important to highlight that I will not be exploring all aspects of queer theory through my research, but rather I will be limiting myself to explore three key concepts in unison utilising queer theory, feminist theory and performance theory. The first chapter will explore the methodology in which I chose to conduct my research and the impact this had on my research. By doing so I aim to highlight the challenges presented with conducting field research in the environment I was in and how this was overcome. In my second chapter I aim to highlight performance and understanding what performance has and does for society and why drag queens perform the way they do and how. By Manning’s (2014) understanding and definition of performance I aim to explore what it is that makes a performance and how this can be interpreted through the eyes of both a performer and a member of the audience. The second chapter will focus on understanding the performance of kinship roles within drag performances. Where these kinship roles begin and end in performances and what affect displaying kinship roles have on a wider audience through the interpretation of fictive kinship and how this can be further conceptualized as a means to understand drag queen kinship relations. My final chapter will focus on the performance of gender within the drag community and drag queens of Cardiff that I worked with. By exploring the performativity of gender through the use of butler (2006) I aim to address how the view of gender can be shifted by drag queen performances. Gender is the main concept of drag, performing as either a women, when you are a drag queen, or as a man when you become a drag king. By highlighting the role of gender within drag and the impact it has on a wider audience I aim to show what drag queens bring when they challenge the role of gender. I will then proceed to address academics should further address this in studies in the future in order to come to stronger well thought out conclusions in understanding drag performances effects on gender. And finally I will further bring this to a conclusion, bringing forth the culmination of my work what it has brought to light and how this research can be further improved upon to bring a deeper understanding to drag performance by the drag queens of Cardiff, and how this can may possibly be applicable to other drag performances to understand drag queens and their productions across the globe.</w:t>
      </w:r>
    </w:p>
    <w:p w14:paraId="7661CE8C" w14:textId="77777777" w:rsidR="00617D5F" w:rsidRPr="00FC3DD0" w:rsidRDefault="00617D5F" w:rsidP="001372D0">
      <w:pPr>
        <w:spacing w:line="360" w:lineRule="auto"/>
      </w:pPr>
    </w:p>
    <w:p w14:paraId="2900283E" w14:textId="77777777" w:rsidR="00FC3DD0" w:rsidRDefault="00FC3DD0" w:rsidP="001372D0">
      <w:pPr>
        <w:pStyle w:val="Heading1"/>
        <w:spacing w:line="360" w:lineRule="auto"/>
      </w:pPr>
      <w:bookmarkStart w:id="1" w:name="_Toc47380333"/>
      <w:r>
        <w:lastRenderedPageBreak/>
        <w:t>Chapter One – Methodology</w:t>
      </w:r>
      <w:bookmarkEnd w:id="1"/>
    </w:p>
    <w:p w14:paraId="061492E4" w14:textId="77777777" w:rsidR="00FC3DD0" w:rsidRDefault="00FC3DD0" w:rsidP="001372D0">
      <w:pPr>
        <w:spacing w:line="360" w:lineRule="auto"/>
      </w:pPr>
      <w:r>
        <w:t>In this chapter my aim is to explore and explain the methodologies that I conducted during my ethnographic fieldwork. Then I aim to create an understanding as to why I chose to conduct my ethnographic research in the manner I did and the reasoning behind my decision to conduct this within the field of drag culture in Cardiff, specifically Mary’s Bar. Not only this, but I will also provide an explanation as to why the research methods I chose were the most effective in conducting my fieldwork, and how this would allow more room for understanding the information I collected during my time in the field. Finally, I will then conclude each method by recounting how each of the qualitative methods of data gathering that I used gradually influenced my dissertation as a whole. This is because academics such as Reeves has highlighted that there is importance in interpreting the affect your research methods have on your field work. For a “meta-ethnography in which qualitative research texts are analysed and synthesised to empirically create new insights and knowledge” (Reeves, 2008:512).</w:t>
      </w:r>
    </w:p>
    <w:p w14:paraId="5E53E96D" w14:textId="77777777" w:rsidR="00FC3DD0" w:rsidRDefault="00FC3DD0" w:rsidP="001372D0">
      <w:pPr>
        <w:spacing w:line="360" w:lineRule="auto"/>
      </w:pPr>
      <w:r>
        <w:t>Firstly, I wish to highlight that as Reeves suggested “The central aim of ethnography is to provide rich, holistic insights into people’s views and actions” (Reeves, 2008:512). The ethnography that anthropological researchers conduct are a means to gather data to glimpse an insight into the lives people lives. In this scenario the research I conducted was to take a look at the way drag queens perform.</w:t>
      </w:r>
    </w:p>
    <w:p w14:paraId="542EE811" w14:textId="77777777" w:rsidR="00FC3DD0" w:rsidRDefault="00FC3DD0" w:rsidP="001372D0">
      <w:pPr>
        <w:spacing w:line="360" w:lineRule="auto"/>
      </w:pPr>
      <w:r>
        <w:t xml:space="preserve">To begin my research I had to establish my approach and the most effective way for me to collect data. For anthropology I felt the most effective means of data to collect would be qualitative data over quantitative data, the former being defined as “qualitative research tends to be concerned with words rather than numbers” (Bryman, 2004:266). Qualitative research methods has long been understood by academics such as Babbie (2014); to be a scientific research method that emphasises on observing and interacting with people and locations in order to gather data that is not numerically based. Rather, this data is focused on the literature of things. However, it is apparent to me and other academics such as Lincoln who wrote, “it is precisely because the matter is so involved that it is not possible to provide a simple definition” (Lincoln, 1958:8). Qualitative research is something difficult to define, as it is so intrinsically linked with the subjective. It is up to individuals to interpret and transcribe written data in a format that researcher can apply and widely understand as “There are no blueprints in fieldwork.” (Okely, 2012:89). But it is important for this all to be highlight, as the validity of research can easily be influenced by the researchers, in this instance myself, subjective opinions. As Kennedy put, “One glaring threat to natural validity is the </w:t>
      </w:r>
      <w:r>
        <w:lastRenderedPageBreak/>
        <w:t>obtrusiveness of the inquiry itself.” (Kennedy, 1984:367). In this chapter I will further explain the actions I took to secure higher validity during my field research.</w:t>
      </w:r>
    </w:p>
    <w:p w14:paraId="2689BC7A" w14:textId="77777777" w:rsidR="00FC3DD0" w:rsidRDefault="00FC3DD0" w:rsidP="001372D0">
      <w:pPr>
        <w:spacing w:line="360" w:lineRule="auto"/>
      </w:pPr>
      <w:r>
        <w:t>My research began the moment I made contact with the drag queens I would be working with. Research initially begins through a process of interactions and contacts, through which “Gaining permission is the first step in carrying out research. Gaining access to specific institutions, places, and events may take more time”. (DeWalts, 2002:37). DeWalts written work about gaining permission greatly aligns with the contact I had to make in order to establish my own fieldwork. My contact began through a mutual friend who first introduced me to a well-known drag queen in Cardiff. At first the drag queen, Alisa Worst, simply agreed to allow me to interview her and her fellow drag queens at first, this was the step towards gaining permission. But as time went on and we exchanged emails and messages, we established an understanding of one another, and they began to understand what it is I was attempting to research through my dissertation. At that point, Alisa Worst offered to give me the chance to watch several performances of drag queens over the course of a week in order to engage and immerse myself within the drag community at Mary’s bar in Cardiff. But, by the time of my arrival Alisa Worst had already planned for me to not only witness drag performances and be a member of the audience but to take part in drag, by becoming my own drag self and perform in front of several drag queens as ‘Loosey Goosey’. This became the process of me not only gaining permission, in DeWalts terms, but gaining access to the institution of Mary’s bar and to the event of drag performances and finally being given the chance to perform myself.</w:t>
      </w:r>
    </w:p>
    <w:p w14:paraId="0D10682B" w14:textId="2FC112C3" w:rsidR="00FC3DD0" w:rsidRDefault="00FC3DD0" w:rsidP="001372D0">
      <w:pPr>
        <w:spacing w:line="360" w:lineRule="auto"/>
      </w:pPr>
      <w:r>
        <w:t xml:space="preserve">During the period of time before my research and when I was making contact with the drag queens, I had to establish a </w:t>
      </w:r>
      <w:r w:rsidR="00A0022A">
        <w:t>code</w:t>
      </w:r>
      <w:r>
        <w:t xml:space="preserve"> of ethics to work with, in order to make sure any ethical issues regarding my research was taken care of. This was done in a number of ways, the first being that I made sure to clarify to each participant how my research would be conducted, what I would be using the research for and what rights they had. This was done under the University of Wales Trinity Saint David’s ethical approval form, and by explaining to each drag queen that they had the right to control any information used or stored and had permission to withdraw at any time at their own discretion. Jorgensen has written that “anthropologist should obtain from his </w:t>
      </w:r>
      <w:r w:rsidR="00A0022A">
        <w:t>subject</w:t>
      </w:r>
      <w:r w:rsidR="00D702F3">
        <w:t>s</w:t>
      </w:r>
      <w:r>
        <w:t xml:space="preserve"> consent to invade their privacy” (Jorgensen, 1971:328). This is important for researchers as by doing so it makes certain that all work was ethical and obtaining written approval from each queen allowed there to be an equal understanding. Another aspect of ethical concern is the confidentiality of participants. Toit points out that “The anthropologist must thus use discretion regarding what information is used and how it is used” (Toit, 1980:276). It is important to keep anonymity within research as Beattie (1965) has pointed out that due to the ever-increasing ways of obtaining information the participants social circle, family and friends have a greater chance of finding and reading anthropological research </w:t>
      </w:r>
      <w:r>
        <w:lastRenderedPageBreak/>
        <w:t>papers. Not only this, but individual participants may not feel comfortable being outed in research and thus wish to remain anonymous. In the case of my research I remained to keep the drag queen’s identity anonymous, allowing them to change their names in order to better accommodate their confidentiality agreement. Finally, my last cause for concern in my field research was the danger to myself. Sluka points out that “One area which has been neglected is the methodological and subjective issue of the dangers anthropologists face while in the field” (Sluka, 1990:114). It was important for myself, to understand the dangers of my research. The fact that whilst out in the field I could very well face hate crimes, both verbally and physically and to ensure ways of protecting myself. I took into consideration that for my mental health, if anything were to happen, I would immediately contact my supervisor in order to ensure my safety and whether I should proceed with my research. Physically, myself and the drag queens stuck together in large groups in order to ensure our safety. By doing so we only faced a few verbal confrontations from individuals. But thankfully, due to the precautions made nobody was harmed and I left my research feeling safe and certain within myself.</w:t>
      </w:r>
    </w:p>
    <w:p w14:paraId="4978F6EA" w14:textId="77777777" w:rsidR="00FC3DD0" w:rsidRDefault="00FC3DD0" w:rsidP="001372D0">
      <w:pPr>
        <w:spacing w:line="360" w:lineRule="auto"/>
      </w:pPr>
      <w:r>
        <w:t xml:space="preserve">The first method I chose to conduct as an anthropological researcher in the field was participant observation, “a method in which a researcher takes part in the daily activities, rituals, interactions, and events of people” (DeWalt, 2002:1). Because I was given the opportunity to watch live performances by drag queens, I felt it was imperative of my research to observe closely in the environment I was in at Mary’s bar. However, rather than simply observing, because they gave me the opportunity to perform at the end of the week in drag, I became a participating observer, not only watching drag community but becoming a part of it in the process. By engaging and observing, I became able to obtain information both as a performing drag queen and as a member of the audience. But it is important to understand that similarly to Spradley’s work in Participant Observation (1980), it is not the focus of research just to obtain data, rather it is looking for the meanings behind the information that is obtained through research. Thereby, being both a member of the audience and a drag performer I was able to obtain and analyse information from both sides of performance of drag culture in Cardiff. By being completely immersed in the field both as an observer; audience member and a participant, drag queen, I was able to reflexively shift the core focus of my research whilst in the field, thus proving that Bogdan’s point that “The design outset of research is very flexible.” (Bogdan, 1973:306). By being immersed in my own research it then grants myself the ability to flexibly change the approach I take, making it an effective way to conduct anthropological research. This is especially helpful if “the ideas he had do not fit the situation and a new design and questions emerge, later to be modified.” (Bogdan, 1973:306). If the research methods I originally chose, and the ways I chose to approach my research originally did not align, by </w:t>
      </w:r>
      <w:r>
        <w:lastRenderedPageBreak/>
        <w:t>being immersed in the field I can actively change my approach to the fit the narrative and the context that I aim immersed in.</w:t>
      </w:r>
    </w:p>
    <w:p w14:paraId="40A538D0" w14:textId="77777777" w:rsidR="00FC3DD0" w:rsidRDefault="00FC3DD0" w:rsidP="001372D0">
      <w:pPr>
        <w:spacing w:line="360" w:lineRule="auto"/>
      </w:pPr>
      <w:r>
        <w:t>The second method I utilised whilst out in the field to gather information was unstructured informal interviews. Interviews are an important means to gain information. Burgess makes a point of writing that “Conversations are a crucial element of field research.” (Burgess, 1991:107). It is in these environments a social scientist may gather crucial information and by specifically conducting unstructured informal interviews it grants the participants the full ability to control the shift of the narrative conversation. This increases information’s validity by decreasing the amount of researcher bias (LeCompte, 1987) and maximising the participants input. However, in order to make sure the conversation between myself, the researcher and the participants, the drag queens, does not shift too drastically I made it an important point to create key questions in order to maximise the efficiency of my research. I elected then to use both conversations in more natural environments such as Mary’s bar in Cardiff and interviews conducted within the safety of drag queens’ homes as a means to create two channels of communication. As Skinner points out that “both kinds of verbal exchange founded upon a dialectic or incremental zig-zag” (Skinner, 2012:55). Gathering information from discussions at dinner, to conversations at the bar and finally from interviews allowed me access to many forms of data and communication. And by conducting the interviews in a more approachable and natural manner, in Mitchell’s (1993) words I was no longer in control of an authoritative monologue. I no longer held control over the conversation, I simply held the reigns to shift and steer the theme as and when necessary for my research.</w:t>
      </w:r>
    </w:p>
    <w:p w14:paraId="1D815A2F" w14:textId="77777777" w:rsidR="00FC3DD0" w:rsidRDefault="00FC3DD0" w:rsidP="001372D0">
      <w:pPr>
        <w:spacing w:line="360" w:lineRule="auto"/>
      </w:pPr>
      <w:r>
        <w:t>My third research method used in the field was in the form of a reflexive journal. Stoeltje points out that</w:t>
      </w:r>
    </w:p>
    <w:p w14:paraId="066D6FA8" w14:textId="77777777" w:rsidR="00FC3DD0" w:rsidRDefault="00FC3DD0" w:rsidP="001372D0">
      <w:pPr>
        <w:spacing w:line="360" w:lineRule="auto"/>
      </w:pPr>
      <w:r>
        <w:t>“Reflecting on one’s own identity and the relation of the self to the other heightens the awareness of the ethnographer and helps to bring into focus the relationship between the researcher and the researched” (Stoeltje, 1999:160).</w:t>
      </w:r>
    </w:p>
    <w:p w14:paraId="2F612473" w14:textId="77777777" w:rsidR="00FC3DD0" w:rsidRDefault="00FC3DD0" w:rsidP="001372D0">
      <w:pPr>
        <w:spacing w:line="360" w:lineRule="auto"/>
      </w:pPr>
      <w:r>
        <w:t>By reflecting on my own identity, thoughts and ideas I can relate to the transition I may have when immersed in a new way of thinking, and a new way of living. By doing so I can further understand, from a brand-new perspective, the community I am immersing myself in. In this instance, the drag community. By doing so I distance the gap between myself and the other, in this case drag queens, as “intersubjectivity and reflexivity provide an opening of the self that avoids turning people into objects and, thus, avoids annihilating them.” (Salzman, 2002:807). By doing so I create a closer connection and understanding between myself the researcher and my experiences; thoughts and feelings and the other, the drag queens’ experiences, thoughts and feelings.</w:t>
      </w:r>
    </w:p>
    <w:p w14:paraId="3CC00DE5" w14:textId="77777777" w:rsidR="00FC3DD0" w:rsidRDefault="00FC3DD0" w:rsidP="001372D0">
      <w:pPr>
        <w:spacing w:line="360" w:lineRule="auto"/>
      </w:pPr>
      <w:r>
        <w:lastRenderedPageBreak/>
        <w:t>The final research method I used once I had gathered all of my data was thematic analysis. Thematic analysis “attempts in general to reveal core consistencies and meanings in a text by identifying and analysing themes” (Buetow, 2010:123). By identifying key themes that consistently appear within the collected qualitative data it becomes apparent to the researcher what is a commonality within the community they are researching. In my case the key theme I discovered in drag was performance. Everything within the drag community was based around performance from Kinship to gender, it was centred around the performativity of the drag queens. From there I am able to fine tune and focus on which direction to take my research. I began this by categorizing my research. Identifying common themes which involved “naming, or giving labels to, instances of the phenomenon found in the data” (Spiggle, 1994:493). Finally, I was able to come to the focus of performance as the main theme through the use of abstraction. This method within thematic analysis centres on categorization in that “it collapses more empirically grounded categories into high-order conceptual constructs.” (Spiggle, 1994:493). By doing so I could pinpoint what sections of performance where the main focus of my qualitative research data.</w:t>
      </w:r>
    </w:p>
    <w:p w14:paraId="2EE1D3EC" w14:textId="77777777" w:rsidR="00FC3DD0" w:rsidRDefault="00FC3DD0" w:rsidP="001372D0">
      <w:pPr>
        <w:spacing w:line="360" w:lineRule="auto"/>
      </w:pPr>
      <w:r>
        <w:t>Overall, as Palmer suggest that “to the proficient interviewer it is always a controlled conversation which he guides and bends to the service of his research interest.” (Palmer, 1928:171). It is important to remain on task within the field, as an anthropologist, whilst wanting to completely immerse themselves in the field and remain unbiased in their ethnography they still need to complete their set out research tasks and investigation.</w:t>
      </w:r>
    </w:p>
    <w:p w14:paraId="288BD463" w14:textId="77777777" w:rsidR="00DA164D" w:rsidRDefault="00DA164D" w:rsidP="001372D0">
      <w:pPr>
        <w:spacing w:line="360" w:lineRule="auto"/>
      </w:pPr>
    </w:p>
    <w:p w14:paraId="175F90AA" w14:textId="77777777" w:rsidR="00DA164D" w:rsidRDefault="00DA164D" w:rsidP="001372D0">
      <w:pPr>
        <w:spacing w:line="360" w:lineRule="auto"/>
      </w:pPr>
    </w:p>
    <w:p w14:paraId="483D9429" w14:textId="77777777" w:rsidR="00DA164D" w:rsidRDefault="00DA164D" w:rsidP="001372D0">
      <w:pPr>
        <w:spacing w:line="360" w:lineRule="auto"/>
      </w:pPr>
    </w:p>
    <w:p w14:paraId="7D69D0E4" w14:textId="77777777" w:rsidR="00DA164D" w:rsidRDefault="00DA164D" w:rsidP="001372D0">
      <w:pPr>
        <w:spacing w:line="360" w:lineRule="auto"/>
      </w:pPr>
    </w:p>
    <w:p w14:paraId="5F7FBF86" w14:textId="77777777" w:rsidR="00DA164D" w:rsidRDefault="00DA164D" w:rsidP="001372D0">
      <w:pPr>
        <w:spacing w:line="360" w:lineRule="auto"/>
      </w:pPr>
    </w:p>
    <w:p w14:paraId="42E36BE5" w14:textId="77777777" w:rsidR="00DA164D" w:rsidRDefault="00DA164D" w:rsidP="001372D0">
      <w:pPr>
        <w:spacing w:line="360" w:lineRule="auto"/>
      </w:pPr>
    </w:p>
    <w:p w14:paraId="29AEFF78" w14:textId="77777777" w:rsidR="00DA164D" w:rsidRDefault="00DA164D" w:rsidP="001372D0">
      <w:pPr>
        <w:spacing w:line="360" w:lineRule="auto"/>
      </w:pPr>
    </w:p>
    <w:p w14:paraId="398B58D0" w14:textId="77777777" w:rsidR="00DA164D" w:rsidRDefault="00DA164D" w:rsidP="001372D0">
      <w:pPr>
        <w:spacing w:line="360" w:lineRule="auto"/>
      </w:pPr>
    </w:p>
    <w:p w14:paraId="31DB0293" w14:textId="77777777" w:rsidR="00DA164D" w:rsidRPr="00FC3DD0" w:rsidRDefault="00DA164D" w:rsidP="001372D0">
      <w:pPr>
        <w:spacing w:line="360" w:lineRule="auto"/>
      </w:pPr>
    </w:p>
    <w:p w14:paraId="39FE812B" w14:textId="77777777" w:rsidR="00FC3DD0" w:rsidRDefault="00FC3DD0" w:rsidP="001372D0">
      <w:pPr>
        <w:pStyle w:val="Heading1"/>
        <w:spacing w:line="360" w:lineRule="auto"/>
      </w:pPr>
      <w:bookmarkStart w:id="2" w:name="_Toc47380334"/>
      <w:r>
        <w:lastRenderedPageBreak/>
        <w:t>Chapter Two – Reflecting on Research</w:t>
      </w:r>
      <w:bookmarkEnd w:id="2"/>
    </w:p>
    <w:p w14:paraId="73AE1833" w14:textId="77777777" w:rsidR="00BF3379" w:rsidRDefault="00BF3379" w:rsidP="001372D0">
      <w:pPr>
        <w:spacing w:line="360" w:lineRule="auto"/>
      </w:pPr>
      <w:r>
        <w:t>As previously mentioned in the last chapter over the course of my research I chose to record a reflexive journal of my thoughts, feelings and experiences during my time in the field. In this chapter, I aim to highlight some of those recordings, to give an understanding of what I went through in the field before attempting to transcribe and analyse the data I found and give an understanding of my research. By recording my experiences I aimed “to contextualize the new information” (Cisero, 2006:231). And thus provide greater understanding of the drag community, as a means to understand what it is to interact with the other.</w:t>
      </w:r>
    </w:p>
    <w:p w14:paraId="78E34499" w14:textId="77777777" w:rsidR="00BF3379" w:rsidRDefault="00BF3379" w:rsidP="001372D0">
      <w:pPr>
        <w:spacing w:line="360" w:lineRule="auto"/>
      </w:pPr>
      <w:r>
        <w:t>Before I began my research, I came into drag with limited knowledge, apart from what is widely known through the media of drag on tv shows and movies. I was broadly unaware of its true political stance, and the close ties it had to aiding the LGBT+ community, a community if I am honest am myself a part of. This put into perspective of me the ability and power that drag had through its performance. The fact that it could encourage a struggle to fight against politics, to empower people worldwide and to change the way people view sexuality and gender as a construct shocked me. It made me realise the importance of doing my research justice and doing the people I worked with justice too.</w:t>
      </w:r>
    </w:p>
    <w:p w14:paraId="41CBAD53" w14:textId="77777777" w:rsidR="00BF3379" w:rsidRDefault="00BF3379" w:rsidP="001372D0">
      <w:pPr>
        <w:spacing w:line="360" w:lineRule="auto"/>
      </w:pPr>
      <w:r>
        <w:t>Previously I had never even set foot into a bar before I entered Mary’s bar in Cardiff. Before I began this experience, I was riddled with anxiety, anxiety that almost made me cancel on my own research or at least try to take the angle. However, I knew from time as a student that facing my own fears, overcoming these adversaries I have made myself would pave the way to a true understanding of not only myself, but of my research. I felt that after getting to know the drag queens, after exploring these ideas with lecturers at my university I had to see it through regardless of the anxiety within me. And, whilst I did occasionally face a few homophobic commits, because of the support from the drag queens and my lecturers I was able to see it through without any negative impact on myself or the participants.</w:t>
      </w:r>
    </w:p>
    <w:p w14:paraId="5E829391" w14:textId="7103312F" w:rsidR="00416277" w:rsidRPr="00FC3DD0" w:rsidRDefault="00BF3379" w:rsidP="001372D0">
      <w:pPr>
        <w:spacing w:line="360" w:lineRule="auto"/>
      </w:pPr>
      <w:r>
        <w:t>Overall, this chapter aims to express the inherent reflexive journey I had to go through during my time in the field. To acknowledge that both in the beginning and in the end of my research there is inherent bias within my work. But regardless, I continued on with my research; trying to, as previously discussed, limit as much researcher bias as possible in order to create stronger validity within my work ethic.</w:t>
      </w:r>
    </w:p>
    <w:p w14:paraId="4D7D8BB9" w14:textId="77777777" w:rsidR="00FC3DD0" w:rsidRDefault="00FC3DD0" w:rsidP="001372D0">
      <w:pPr>
        <w:pStyle w:val="Heading1"/>
        <w:spacing w:line="360" w:lineRule="auto"/>
      </w:pPr>
      <w:bookmarkStart w:id="3" w:name="_Toc47380335"/>
      <w:r>
        <w:lastRenderedPageBreak/>
        <w:t>Chapter Three – Performance of Drag</w:t>
      </w:r>
      <w:bookmarkEnd w:id="3"/>
    </w:p>
    <w:p w14:paraId="646615A4" w14:textId="78624848" w:rsidR="00BF3379" w:rsidRDefault="00BF3379" w:rsidP="001372D0">
      <w:pPr>
        <w:spacing w:line="360" w:lineRule="auto"/>
      </w:pPr>
      <w:r>
        <w:t>In this chapter I will be ex</w:t>
      </w:r>
      <w:r w:rsidR="005A5074">
        <w:t>amining</w:t>
      </w:r>
      <w:r>
        <w:t xml:space="preserve"> the theme of performance, exploring the narratives and themes I found during my working alongside the drag queens of Cardiff, providing an explanation into what performance </w:t>
      </w:r>
      <w:r w:rsidR="006A3B25">
        <w:t>means</w:t>
      </w:r>
      <w:r>
        <w:t xml:space="preserve"> to drag queens and why this is important for them and for their society and what benefits this has being brought forward and recognised more openly. For as Turner has stated, “if daily living is a king of theatre, social drama is a kind of metatheatre, that is, a dramaturgical language about the language of ordinary role-playing and status-maintenance which constitutes communication in the quotidian social process.” (Turner, 1988:76).</w:t>
      </w:r>
    </w:p>
    <w:p w14:paraId="3B5921D3" w14:textId="74980687" w:rsidR="00BF3379" w:rsidRDefault="00BF3379" w:rsidP="001372D0">
      <w:pPr>
        <w:spacing w:line="360" w:lineRule="auto"/>
      </w:pPr>
      <w:r>
        <w:t xml:space="preserve">I first wish to specify what society drag queens are a part of, specifically the drag queens I worked with are members within the Cardiff drag scene but of course that is not the only society they are members of. Depending on how </w:t>
      </w:r>
      <w:r w:rsidR="00DF7A91">
        <w:t>the topic is approached</w:t>
      </w:r>
      <w:r>
        <w:t xml:space="preserve"> it could be argued that they are members of Cardiff’s nightlife society, however the drag I explored in my time with them delved into more than just night-time drag which is why </w:t>
      </w:r>
      <w:r w:rsidR="00FC66BF">
        <w:t>I will</w:t>
      </w:r>
      <w:r>
        <w:t xml:space="preserve"> be exploring it more openly than just through nightlife. Drag queens are also heavily associated with the LGBT+ society, people who have been and arguably still are oppressed for their sexuality and gender identity. Drag queens have long been advocates for such communit</w:t>
      </w:r>
      <w:r w:rsidR="00FC66BF">
        <w:t>ies</w:t>
      </w:r>
      <w:r>
        <w:t xml:space="preserve"> as all of the drag queens I worked with would identify with the LGBT+ society, therefore this is the society I will be comparing them to throughout my work.</w:t>
      </w:r>
    </w:p>
    <w:p w14:paraId="65736F0C" w14:textId="18B9BFCE" w:rsidR="00BF3379" w:rsidRDefault="00BF3379" w:rsidP="001372D0">
      <w:pPr>
        <w:spacing w:line="360" w:lineRule="auto"/>
      </w:pPr>
      <w:r>
        <w:t>Although the art of performance may be associated and defined as a set of artistic choices an individual makes with their art, their dances and/or their music, in this dissertation I will be using performance as a means to describe the “mode of cultural production composed of events bound in time and framed in a space.” (Manning, 2014).</w:t>
      </w:r>
      <w:r w:rsidR="00123332">
        <w:t xml:space="preserve"> P</w:t>
      </w:r>
      <w:r>
        <w:t>erformance does not necessarily have to be on stage. It can be an individual’s way of life; the way they interact with others and the way they react to others.</w:t>
      </w:r>
    </w:p>
    <w:p w14:paraId="1877FF92" w14:textId="3A05226A" w:rsidR="00BF3379" w:rsidRDefault="00BF3379" w:rsidP="001372D0">
      <w:pPr>
        <w:spacing w:line="360" w:lineRule="auto"/>
      </w:pPr>
      <w:r>
        <w:t>During my time in the field I interacted a lot with drag queens through the art of performance, both watching them perform their shows live on stage as well as taking time to perform myself during my last day with them in front of the few drag queens I was working alongside. I learnt from these moments how important performance is in the art of drag and just exactly how open, how broad performance is to drag queens. Often, performance in western concerts and festivals push</w:t>
      </w:r>
      <w:r w:rsidR="008526C5">
        <w:t>es</w:t>
      </w:r>
      <w:r>
        <w:t xml:space="preserve"> the audience to take “a relatively passive role for listeners, leaving them able to respond to decision made by performers and promoters only to the extent of their applause and their future attendance.” (Pitts, 2005:257). A </w:t>
      </w:r>
      <w:r w:rsidR="00DD188D">
        <w:t>k</w:t>
      </w:r>
      <w:r>
        <w:t xml:space="preserve">ey moment I saw in the drag performances of the drag queens I worked with in Cardiff was their interaction with the audience. Typically they would lead the performance by putting on stage </w:t>
      </w:r>
      <w:r w:rsidR="00FC69EB">
        <w:t>shows</w:t>
      </w:r>
      <w:r>
        <w:t xml:space="preserve">, lip-syncing to popular songs both old and new and </w:t>
      </w:r>
      <w:r>
        <w:lastRenderedPageBreak/>
        <w:t xml:space="preserve">providing comedic entertainment. This all fits into the understanding that the </w:t>
      </w:r>
      <w:r w:rsidR="00EC7221">
        <w:t>audience</w:t>
      </w:r>
      <w:r>
        <w:t xml:space="preserve"> follow the </w:t>
      </w:r>
      <w:r w:rsidR="00EC7221">
        <w:t>cues</w:t>
      </w:r>
      <w:r>
        <w:t xml:space="preserve"> of the drag queen performers. They would cheer and boo when appropriate, clap when entertained and laugh when a joke would make, and it lands. They fit the very understanding of western concert performances. However, a unique take can be made from witnessing a drag performance and participating as a member of the audience as I did too. We are granted the chance to change up the </w:t>
      </w:r>
      <w:r w:rsidR="00411551">
        <w:t>show</w:t>
      </w:r>
      <w:r>
        <w:t>, at times being allowed to retort to witty comments and sarcasm with our own words creating an impromptu performance, one not originally bound by typical concert hall etiquette. Alisa Worst and Sapphire Sandals would often throw insults at each other as well as the audience creating a light-hearted atmosphere, one where people could easily get insulted and yet still enjoy the show. For example</w:t>
      </w:r>
      <w:r w:rsidR="00411551">
        <w:t xml:space="preserve"> </w:t>
      </w:r>
      <w:r>
        <w:t>in her first performance</w:t>
      </w:r>
      <w:r w:rsidR="00411551">
        <w:t xml:space="preserve"> Alisa Worst</w:t>
      </w:r>
      <w:r>
        <w:t xml:space="preserve"> in front of me called out to one individual in the audience and screamed he was a “pale saltine cracker, the ghost of every white twinks past”. Typically, throwing insults at people usually creates a hostile environment and can make people uncomfortable, however in this case there was an uproar of laughter from the drag queens, audience members, bar staff, even from the man who was at the end of the joke himself. I found this theme to be </w:t>
      </w:r>
      <w:r w:rsidR="007D7C78">
        <w:t>interesting: -</w:t>
      </w:r>
      <w:r>
        <w:t xml:space="preserve"> the idea that insults could be entertainment drew me into the performance further and further, questioning what lies be</w:t>
      </w:r>
      <w:r w:rsidR="00F97485">
        <w:t>hind</w:t>
      </w:r>
      <w:r>
        <w:t>. The queens themselves understand that for there is importance in understanding the audience and what they desire</w:t>
      </w:r>
      <w:r w:rsidR="00F12218">
        <w:t>,</w:t>
      </w:r>
      <w:r>
        <w:t xml:space="preserve"> </w:t>
      </w:r>
      <w:r w:rsidR="00F12218">
        <w:t>j</w:t>
      </w:r>
      <w:r>
        <w:t>ust as Mencarelli stated that, “supply and demand in the culture sector, it is advisable to know the audience better and especially to understand what really lies at the core of its consumption experience.” (Mencarelli, 2006:4). They understand that by engaging with the audience to high degree, they can better understand what it is the audience wishes to obtain from these performances. I myself feel as though understanding the link between drag queen performers and their audience, and the desire to create a close relationship and intimate atmosphere will help in understanding what drag performances do for their audience and the LGBT+ society.</w:t>
      </w:r>
    </w:p>
    <w:p w14:paraId="4E944035" w14:textId="2547BA02" w:rsidR="00BF3379" w:rsidRDefault="00BF3379" w:rsidP="001372D0">
      <w:pPr>
        <w:spacing w:line="360" w:lineRule="auto"/>
      </w:pPr>
      <w:r>
        <w:t>As I continued my fieldwork, I found myself more and more drawn to this behaviour, this ability to create such a friendly atmosphere through insults and what could be perceived as rude behaviour,</w:t>
      </w:r>
      <w:r w:rsidR="007D5489">
        <w:t xml:space="preserve"> and</w:t>
      </w:r>
      <w:r>
        <w:t xml:space="preserve"> I found myself question it as though the performances were an oxymoron itself. After the end of the performance and during the walk home Heidi explained to me exactly what the intention of this performance was about. She explained that although insults can create a more hostile environment the LGBT+ bar they perform in, Mary’</w:t>
      </w:r>
      <w:r w:rsidR="009420BE">
        <w:t>s</w:t>
      </w:r>
      <w:r>
        <w:t xml:space="preserve"> bar</w:t>
      </w:r>
      <w:r w:rsidR="009420BE">
        <w:t xml:space="preserve"> in Cardiff -</w:t>
      </w:r>
      <w:r>
        <w:t xml:space="preserve"> is a safe place for everyone to be in. By providing a safe space, everyone can bring out who they truly are, their most vulnerable being</w:t>
      </w:r>
      <w:r w:rsidR="009420BE">
        <w:t>,</w:t>
      </w:r>
      <w:r>
        <w:t xml:space="preserve"> and express themselves freely. And by an unspoken agreement to this, nobody feels as hurt when they are insulted, as everyone is vulnerable in that moment, everyone is open about their flaws and everyone exposes themselves both for their own emotional freedom and for the enjoyment of </w:t>
      </w:r>
      <w:r>
        <w:lastRenderedPageBreak/>
        <w:t>entertainment.</w:t>
      </w:r>
      <w:r w:rsidR="003D0289">
        <w:t xml:space="preserve"> This Aligns with</w:t>
      </w:r>
      <w:r>
        <w:t xml:space="preserve"> Pitts</w:t>
      </w:r>
      <w:r w:rsidR="003D0289">
        <w:t>’</w:t>
      </w:r>
      <w:r>
        <w:t xml:space="preserve"> theory of musical performances, as performances are similar in interaction she found that “audience members reflected on their engagement with the festival and its role in their lives” (Pitts, 2005:259) and that audience members were found to have “a high level of loyalty, awareness, and involvement that allowed them to feel fully participant in the musical event.” (Pitts, 2005:259). Drag queens would often provide, as </w:t>
      </w:r>
      <w:r w:rsidR="00F63B4F">
        <w:t>described</w:t>
      </w:r>
      <w:r>
        <w:t xml:space="preserve"> previously in this chapter, both musical and comedic entertainment. As a first-hand member of the audience I felt widely involved with the audience, as though I was a part of the entertainment. This itself aligns with Pitts’ findings, that the audience feels an abundance of loyalty to the performers, and that the</w:t>
      </w:r>
      <w:r w:rsidR="00A41243">
        <w:t xml:space="preserve"> audience</w:t>
      </w:r>
      <w:r>
        <w:t xml:space="preserve"> feel</w:t>
      </w:r>
      <w:r w:rsidR="00A41243">
        <w:t>s</w:t>
      </w:r>
      <w:r>
        <w:t xml:space="preserve"> that the</w:t>
      </w:r>
      <w:r w:rsidR="00A41243">
        <w:t>y are</w:t>
      </w:r>
      <w:r>
        <w:t xml:space="preserve"> inclu</w:t>
      </w:r>
      <w:r w:rsidR="00A41243">
        <w:t>ded</w:t>
      </w:r>
      <w:r>
        <w:t xml:space="preserve"> within the performance </w:t>
      </w:r>
      <w:r w:rsidR="00A41243">
        <w:t>and that the show itself is</w:t>
      </w:r>
      <w:r>
        <w:t xml:space="preserve"> incredibly engaging. This shows how versatile and involving the performance of drag queens are. I will further conclude these thoughts in the end of this chapter.</w:t>
      </w:r>
    </w:p>
    <w:p w14:paraId="287005A0" w14:textId="0C23732E" w:rsidR="00BF3379" w:rsidRDefault="00BF3379" w:rsidP="001372D0">
      <w:pPr>
        <w:spacing w:line="360" w:lineRule="auto"/>
      </w:pPr>
      <w:r>
        <w:t xml:space="preserve">As previously stated performances from drag queens would often mix in insults for humour and entertainment, such as the exchanges made between Alisa Worst calling Sapphire Sandals things such as a “cheap hoe” and Sapphire responding with likewise mannered insults as “Yeah maybe, but I’ve seen you on the corner too going for cheaper”. These insults are used as a means to break any tension in the room and to create a more relaxed environment where everyone involved has the chance to be completely open and vulnerable with their fears and anxieties about themselves. As ironic as it might seem at first, this technique has actually allowed drag queens to be successful in creating a more welcoming atmosphere, where “love is sharp” and the things you worry about, really are nothing at the end of the day. By leading from example this then allows the drag queens to further the involvement of the audience, for example Sapphire Sandals called out to a man in the audience and said “you the bottom over there, what? Oh how do I know? That’s because you’re a walking wormhole in those booty shorts, get some fashion sense sweetie”. These insults, as stated before, </w:t>
      </w:r>
      <w:r w:rsidR="009877D8">
        <w:t>ironically create the feel of a</w:t>
      </w:r>
      <w:r>
        <w:t xml:space="preserve"> friendly atmosphere as an anonymous audience member stated;</w:t>
      </w:r>
    </w:p>
    <w:p w14:paraId="6C9492D4" w14:textId="77777777" w:rsidR="00BF3379" w:rsidRDefault="00BF3379" w:rsidP="00F04532">
      <w:pPr>
        <w:spacing w:line="360" w:lineRule="auto"/>
        <w:ind w:left="720" w:right="737"/>
      </w:pPr>
      <w:r>
        <w:t>“honestly, by having ourselves exposed I feel even more welcomed because we’re all exposed and vulnerable in these moments. The atmosphere couldn’t be friendlier, and I always meet some wonderful people on these events and nights out because of the community drag queens have made and continue to make for us.”</w:t>
      </w:r>
    </w:p>
    <w:p w14:paraId="1AD1C8B4" w14:textId="5271CDCE" w:rsidR="00BF3379" w:rsidRDefault="00BF3379" w:rsidP="001372D0">
      <w:pPr>
        <w:spacing w:line="360" w:lineRule="auto"/>
      </w:pPr>
      <w:r>
        <w:t>This again aligns with Pitt</w:t>
      </w:r>
      <w:r w:rsidR="00B851C3">
        <w:t>s’</w:t>
      </w:r>
      <w:r>
        <w:t xml:space="preserve"> study suggesting that “Most seemed to enjoy the sense of easy companionship that such an atmosphere afforded” (Pitts, 2005:262). Although these are two contextually separate scenarios, they are both united through entertainment and through live performance. Pitts’ example of music concerts and my own research into drag performances both </w:t>
      </w:r>
      <w:r w:rsidR="00447C4B">
        <w:lastRenderedPageBreak/>
        <w:t>describe</w:t>
      </w:r>
      <w:r>
        <w:t xml:space="preserve"> a sense of companionship</w:t>
      </w:r>
      <w:r w:rsidR="00447C4B">
        <w:t xml:space="preserve"> between</w:t>
      </w:r>
      <w:r>
        <w:t xml:space="preserve"> audience members and performers in their own unique way. This allows audience members to truly engage with the topics encompassing drag performance, such as politics, gender and kinship which will be covered later in my dissertation.</w:t>
      </w:r>
    </w:p>
    <w:p w14:paraId="7D0D5443" w14:textId="78A3B96F" w:rsidR="00BF3379" w:rsidRDefault="00BF3379" w:rsidP="001372D0">
      <w:pPr>
        <w:spacing w:line="360" w:lineRule="auto"/>
      </w:pPr>
      <w:r>
        <w:t xml:space="preserve">My final understanding of the performance of drag queens is the importance of the venue, the location of these performances that grant a safe and welcoming environment to those wishing to watch and interact with them. It is commonly known that </w:t>
      </w:r>
      <w:r w:rsidR="00447C4B">
        <w:t>d</w:t>
      </w:r>
      <w:r>
        <w:t xml:space="preserve">rag queens start their careers performing at clubs and at night-time shows such as Mary’s bar in Cardiff, </w:t>
      </w:r>
      <w:r w:rsidR="00787C95">
        <w:t>and traditionally has been a means for a drag queens drag career to begin and eventually progress.</w:t>
      </w:r>
      <w:r>
        <w:t xml:space="preserve"> </w:t>
      </w:r>
      <w:r w:rsidR="00787C95">
        <w:t>By create a space where drag can begin it creates</w:t>
      </w:r>
      <w:r>
        <w:t xml:space="preserve"> “a positive thing to develop a space with your own traditions” (Schechner, 1990:101). These spaces, which are often LGBT+ based bars, like Mary’s bar in Cardiff, are often chosen as safe spaces for the performance of drag to take place. By choosing these places, drag artists who break the norm of men wearing; what is often understood as women’s clothing even though arguably clothing has no gender, rather just has an associated gender within some societies</w:t>
      </w:r>
      <w:r w:rsidR="00187388">
        <w:t>. For example Paoletti suggest</w:t>
      </w:r>
      <w:r w:rsidR="008E1F28">
        <w:t>s in response to recent trend of gendered clothing</w:t>
      </w:r>
      <w:r w:rsidR="00187388">
        <w:t xml:space="preserve"> that “</w:t>
      </w:r>
      <w:r w:rsidR="008E1F28">
        <w:t>some of our seemingly unshakeable tradi</w:t>
      </w:r>
      <w:r w:rsidR="005A1140">
        <w:t xml:space="preserve">tions were adopted in the course of a single generation” (Paoletti, 1987:143). </w:t>
      </w:r>
      <w:r w:rsidR="009C368D">
        <w:t xml:space="preserve">That is because previously in history children were not forced to wear </w:t>
      </w:r>
      <w:r w:rsidR="00626501">
        <w:t>specified</w:t>
      </w:r>
      <w:r w:rsidR="009C368D">
        <w:t xml:space="preserve"> gendered clothing, </w:t>
      </w:r>
      <w:r w:rsidR="00F05FFE">
        <w:t>“infant boys in blue and girls in pink had just begun to be popular” (Paoletti, 1987:143). Suggesting that gendered clothing has only recently become a trend.</w:t>
      </w:r>
      <w:r w:rsidR="00AF6855">
        <w:t xml:space="preserve"> And within these safe spaces it</w:t>
      </w:r>
      <w:r>
        <w:t xml:space="preserve"> allows the drag queens to perform </w:t>
      </w:r>
      <w:r w:rsidR="00AF6855">
        <w:t>and shape the ideas and constructs of gender</w:t>
      </w:r>
      <w:r w:rsidR="00626501">
        <w:t xml:space="preserve"> in a way to challenge the recent trend of gendered clothing</w:t>
      </w:r>
      <w:r>
        <w:t>. As</w:t>
      </w:r>
      <w:r w:rsidR="0095382B">
        <w:t xml:space="preserve"> outside of the bar and other safe spaces for drag</w:t>
      </w:r>
      <w:r>
        <w:t xml:space="preserve"> some individuals may often take offence to their performances, how they look and what they wear and may become verbally aggressive or often physically violent. Such was the case during the period in which we, m</w:t>
      </w:r>
      <w:r w:rsidR="00606ED8">
        <w:t>yself</w:t>
      </w:r>
      <w:r>
        <w:t xml:space="preserve"> and the drag queens</w:t>
      </w:r>
      <w:r w:rsidR="00606ED8">
        <w:t xml:space="preserve"> -</w:t>
      </w:r>
      <w:r>
        <w:t xml:space="preserve"> entered the city in daylight in drag. Of course it is true that Schechner’s point of having a designated space to perform allows for traditions to continue and has been shown through drag performances and their drag lineage of </w:t>
      </w:r>
      <w:r w:rsidR="0048385E">
        <w:t>‘</w:t>
      </w:r>
      <w:r>
        <w:t>drag daughters</w:t>
      </w:r>
      <w:r w:rsidR="0048385E">
        <w:t>’</w:t>
      </w:r>
      <w:r>
        <w:t xml:space="preserve"> and </w:t>
      </w:r>
      <w:r w:rsidR="0048385E">
        <w:t>‘</w:t>
      </w:r>
      <w:r>
        <w:t>drag mothers</w:t>
      </w:r>
      <w:r w:rsidR="0048385E">
        <w:t>’ -</w:t>
      </w:r>
      <w:r>
        <w:t xml:space="preserve"> </w:t>
      </w:r>
      <w:r w:rsidR="0048385E">
        <w:t>t</w:t>
      </w:r>
      <w:r>
        <w:t xml:space="preserve">hus allowing them to continue working with similar themes through their performances as I have found in my research which I will </w:t>
      </w:r>
      <w:r w:rsidR="00AA52E8">
        <w:t>explore later</w:t>
      </w:r>
      <w:r>
        <w:t xml:space="preserve"> in my chapter of Kinship. However, often we attribute performance spaces to having material and immaterial associations</w:t>
      </w:r>
      <w:r w:rsidR="00AA52E8">
        <w:t>.</w:t>
      </w:r>
      <w:r>
        <w:t xml:space="preserve"> </w:t>
      </w:r>
      <w:r w:rsidR="00AA52E8">
        <w:t>A</w:t>
      </w:r>
      <w:r>
        <w:t>s Thiong’o says</w:t>
      </w:r>
      <w:r w:rsidR="00AA52E8">
        <w:t>:</w:t>
      </w:r>
      <w:r>
        <w:t xml:space="preserve"> “The material could be stone or wood or natural hedge, The immaterial is the outline formed by the audience in what is otherwise an open space.” (Thiong’o, 1997:12). I have found in my research that a space for performance is not just a stage, it is an open area where a drag queen can walk in their clothing, with their dra</w:t>
      </w:r>
      <w:r w:rsidR="00042D82">
        <w:t>matically over</w:t>
      </w:r>
      <w:r>
        <w:t xml:space="preserve"> painted make-up</w:t>
      </w:r>
      <w:r w:rsidR="00435568">
        <w:t>.</w:t>
      </w:r>
      <w:r>
        <w:t xml:space="preserve"> </w:t>
      </w:r>
      <w:r w:rsidR="00CF4D28">
        <w:t>T</w:t>
      </w:r>
      <w:r>
        <w:t>he audience, the members of the public around them</w:t>
      </w:r>
      <w:r w:rsidR="00435568">
        <w:t>,</w:t>
      </w:r>
      <w:r>
        <w:t xml:space="preserve"> can</w:t>
      </w:r>
      <w:r w:rsidR="00CF4D28">
        <w:t xml:space="preserve"> then</w:t>
      </w:r>
      <w:r>
        <w:t xml:space="preserve"> watch in awe at the things they do. As we acted out in daylight drag, we did nothing out of the ordinary, simply going for coffee and taking a walk, yet because of what we wore, how</w:t>
      </w:r>
      <w:r w:rsidR="006A5495">
        <w:t xml:space="preserve"> we</w:t>
      </w:r>
      <w:r>
        <w:t xml:space="preserve"> </w:t>
      </w:r>
      <w:r>
        <w:lastRenderedPageBreak/>
        <w:t>looked and the way we acted the members of the public became enraptured by us, watching, commenting both negative and positive things.</w:t>
      </w:r>
      <w:r w:rsidR="006A5495">
        <w:t xml:space="preserve"> Thus</w:t>
      </w:r>
      <w:r>
        <w:t xml:space="preserve"> I found that drag is not limited to a stage or to any single place but that it can be performed at any time in any place so long as there was an audience. I found through this that the performance of a drag queen only ends when their make-up and their clothing is removed. However, the messages they aim to spread, the politics and the beliefs they have remain the same and so I argue that the performance of a drag queen never truly ends, it only lessens and settles down when they are not overtly performing for an audience.</w:t>
      </w:r>
    </w:p>
    <w:p w14:paraId="12EE874D" w14:textId="174E7D89" w:rsidR="00416277" w:rsidRDefault="00BF3379" w:rsidP="001372D0">
      <w:pPr>
        <w:spacing w:line="360" w:lineRule="auto"/>
      </w:pPr>
      <w:r>
        <w:t xml:space="preserve">Overall I believe that I have found sufficient evidence to suggest that the performance of drag queens is an important aspect of their lives and the way that they live. And over the course of this dissertation I will be closely looking at the performances of drag queens, through their performance of politics, gender and finally of </w:t>
      </w:r>
      <w:r w:rsidR="006F0CC9">
        <w:t>k</w:t>
      </w:r>
      <w:r>
        <w:t>inship for as Faye Vrit said</w:t>
      </w:r>
      <w:r w:rsidR="006F0CC9">
        <w:t xml:space="preserve"> in our interview</w:t>
      </w:r>
      <w:r>
        <w:t xml:space="preserve"> “drag comes in many forms and many variations, the beauty of drag is its ability to adapt and remain untethered to any and all expectations”.</w:t>
      </w:r>
      <w:r w:rsidR="00D87D5C">
        <w:t xml:space="preserve"> </w:t>
      </w:r>
      <w:r w:rsidR="000F599D">
        <w:t xml:space="preserve">And the aesthetic of drag itself has been shown to vary. Harris suggests that whilst it can be seen as a means to ‘pass’ as a woman it </w:t>
      </w:r>
      <w:r w:rsidR="008553B7">
        <w:t xml:space="preserve">can also be understood as a </w:t>
      </w:r>
      <w:r w:rsidR="00AF13A6">
        <w:t>“farcical prank” (Harris, 1995:62). Therefore showing how drag can take on many forms.</w:t>
      </w:r>
      <w:r>
        <w:t xml:space="preserve"> This will help to better understand the importance of drag performances and the merit it has to bring to not only the LGBT+ society but the many societies it may encompass and influence. As arguably the LGBT+ society has no one </w:t>
      </w:r>
      <w:r w:rsidR="00EA188E">
        <w:t>distinct</w:t>
      </w:r>
      <w:r>
        <w:t xml:space="preserve"> location, it is not geographically tied to anywhere in particular, therefore it can be attributed globally. The entertainment drag queens provide creates a calming yet inviting atmosphere, allowing people of all backgrounds to come together, be at their most vulnerable and enjoy each other’s company. The</w:t>
      </w:r>
      <w:r w:rsidR="005F6435">
        <w:t xml:space="preserve"> influence and</w:t>
      </w:r>
      <w:r>
        <w:t xml:space="preserve"> ability</w:t>
      </w:r>
      <w:r w:rsidR="005F6435">
        <w:t xml:space="preserve"> that</w:t>
      </w:r>
      <w:r>
        <w:t xml:space="preserve"> drag queens have to create connections within community is </w:t>
      </w:r>
      <w:r w:rsidR="005F6435">
        <w:t>massive</w:t>
      </w:r>
      <w:r>
        <w:t xml:space="preserve"> and</w:t>
      </w:r>
      <w:r w:rsidR="005F6435">
        <w:t xml:space="preserve"> could be</w:t>
      </w:r>
      <w:r>
        <w:t xml:space="preserve"> comparable to leaders within societies that take a role in guiding their people portraying how pivotal their roles</w:t>
      </w:r>
      <w:r w:rsidR="00CD3295">
        <w:t xml:space="preserve"> are </w:t>
      </w:r>
      <w:r w:rsidR="008504EF">
        <w:t>to guide and lead members of the LGBT+ community</w:t>
      </w:r>
      <w:r>
        <w:t xml:space="preserve">. Drag queens are able to create a safe environment, with offensive language and behaviour, yet turn it into comedy to entertain people and provide messages </w:t>
      </w:r>
      <w:r w:rsidR="00544127">
        <w:t>to model and</w:t>
      </w:r>
      <w:r>
        <w:t xml:space="preserve"> a new way of thinking. And finally a</w:t>
      </w:r>
      <w:r w:rsidR="0093274D">
        <w:t xml:space="preserve"> vital</w:t>
      </w:r>
      <w:r>
        <w:t xml:space="preserve"> factor involved is the performance space, by being in open spaces not attributed to performance drag queens create a shock factor within societies show casing something separate from the norm. In contrast to this by performing in LGBT+ exclusive spaces such as Mary’s bar in Cardiff they create safe spaces for individuals who are not</w:t>
      </w:r>
      <w:r w:rsidR="00E340E9">
        <w:t xml:space="preserve"> contributing</w:t>
      </w:r>
      <w:r>
        <w:t xml:space="preserve"> to their societal norms, a place where they can be vulnerable and themselves all at the same time.</w:t>
      </w:r>
    </w:p>
    <w:p w14:paraId="3932BB8C" w14:textId="77777777" w:rsidR="003D09BA" w:rsidRPr="00FC3DD0" w:rsidRDefault="003D09BA" w:rsidP="001372D0">
      <w:pPr>
        <w:spacing w:line="360" w:lineRule="auto"/>
      </w:pPr>
    </w:p>
    <w:p w14:paraId="5CCE2DEF" w14:textId="77777777" w:rsidR="00FC3DD0" w:rsidRDefault="00FC3DD0" w:rsidP="001372D0">
      <w:pPr>
        <w:pStyle w:val="Heading1"/>
        <w:spacing w:line="360" w:lineRule="auto"/>
      </w:pPr>
      <w:bookmarkStart w:id="4" w:name="_Toc47380336"/>
      <w:r>
        <w:lastRenderedPageBreak/>
        <w:t>Chapter Four – Performance of Kinship in Drag</w:t>
      </w:r>
      <w:bookmarkEnd w:id="4"/>
    </w:p>
    <w:p w14:paraId="6CC5163E" w14:textId="791E240F" w:rsidR="00BF3379" w:rsidRDefault="00BF3379" w:rsidP="001372D0">
      <w:pPr>
        <w:spacing w:line="360" w:lineRule="auto"/>
      </w:pPr>
      <w:r>
        <w:t xml:space="preserve">In this chapter I will be exploring the theme of kinship in drag performances and </w:t>
      </w:r>
      <w:r w:rsidR="003B436D">
        <w:t>how</w:t>
      </w:r>
      <w:r>
        <w:t xml:space="preserve"> </w:t>
      </w:r>
      <w:r w:rsidR="003B436D">
        <w:t>kinship is</w:t>
      </w:r>
      <w:r>
        <w:t xml:space="preserve"> intertwined not just in the performances themselves but between drag queens both on and off the stage. I will be addressing the kinship bonds that drag queens form with each other, as well as providing examples of my own kinship bonds that I formed during my time in the field.</w:t>
      </w:r>
    </w:p>
    <w:p w14:paraId="5FF3425B" w14:textId="6E66716C" w:rsidR="00BF3379" w:rsidRDefault="00BF3379" w:rsidP="001372D0">
      <w:pPr>
        <w:spacing w:line="360" w:lineRule="auto"/>
      </w:pPr>
      <w:r>
        <w:t xml:space="preserve">During my field research I was living with two of the drag queens I was working with in order to remain immersed in the field. And though the two drag queens who lived together were close and considered one another </w:t>
      </w:r>
      <w:r w:rsidR="005945C3">
        <w:t>‘</w:t>
      </w:r>
      <w:r>
        <w:t>drag sisters</w:t>
      </w:r>
      <w:r w:rsidR="005945C3">
        <w:t>’</w:t>
      </w:r>
      <w:r>
        <w:t xml:space="preserve">, their relationships with their other drag sisters was just as important to them, something I found unique and worthy of exploring during my time in the field. I found that their interactions with their </w:t>
      </w:r>
      <w:r w:rsidR="005945C3">
        <w:t>‘</w:t>
      </w:r>
      <w:r>
        <w:t>drag family</w:t>
      </w:r>
      <w:r w:rsidR="005945C3">
        <w:t>’</w:t>
      </w:r>
      <w:r>
        <w:t>,</w:t>
      </w:r>
      <w:r w:rsidR="0047051E">
        <w:t xml:space="preserve"> with</w:t>
      </w:r>
      <w:r>
        <w:t xml:space="preserve"> whom they do not live, were not lacking in anyway and that just because Alisa Worst and Envy Yas were living together it did not mean their relationship was any more important than with their other drag sisters. I found this worthy of highlighting as it represents what Gonzalez has stated about kinship in that “rather than either residence, or function, might be viewed as the most central and binding element of the family, even though the members might be residentially dispersed” (Gonzales, 1984:1).</w:t>
      </w:r>
    </w:p>
    <w:p w14:paraId="12458463" w14:textId="04833A48" w:rsidR="00BF3379" w:rsidRDefault="00BF3379" w:rsidP="001372D0">
      <w:pPr>
        <w:spacing w:line="360" w:lineRule="auto"/>
      </w:pPr>
      <w:r>
        <w:t>Firstly, I must highlight the definition of kinship I will be using in the scope of my research and in my dissertation. I will be extracting knowledge from Weston</w:t>
      </w:r>
      <w:r w:rsidR="004621AD">
        <w:t xml:space="preserve"> (1993)</w:t>
      </w:r>
      <w:r>
        <w:t xml:space="preserve"> and acknowledging that whilst kinship can be understood as familial ties it is not completely focused on blood relations. Rather it can also include people who are chosen family members, “For Weston, like other anthropologists, kinship is located not only in the nuclear family but also in friendship, relationships with former lovers, business partnership, coparenting, and couple relations.” (Schneider, 1993:541). Kinship is understood in Anthropology in three main forms, consanguineal, affinal and fictive, in this dissertation I will be focusing on fictive kinship. Fictive kinship itself can be understood as a concept that “allude to an artificially created family relationship distinct from “real” family relationships within society.” (Ibsen, 1972:616) </w:t>
      </w:r>
      <w:r w:rsidR="00190D34">
        <w:t>a</w:t>
      </w:r>
      <w:r>
        <w:t>s Fictive kin take</w:t>
      </w:r>
      <w:r w:rsidR="000B34C7">
        <w:t>s</w:t>
      </w:r>
      <w:r>
        <w:t xml:space="preserve"> into consideration adoptive family members and those not directly tied by blood. Drag daughters and sisters are often adopted by their drag mothers and sisters to aid in their growth as drag queens, or because their families have rejected them due to their lifestyle, sexuality and form of gender expression. I will develop on these topics in my next paragraph.</w:t>
      </w:r>
    </w:p>
    <w:p w14:paraId="7D61DEE4" w14:textId="77777777" w:rsidR="00612EB3" w:rsidRDefault="00BF3379" w:rsidP="001372D0">
      <w:pPr>
        <w:spacing w:line="360" w:lineRule="auto"/>
      </w:pPr>
      <w:r>
        <w:t>In this paragraph I will be explaining why kinship is an important topic to discuss within the Cardiff drag queen society and why it should continue to be an important topic of discussion when discussing drag queens. During my time being immersed in the field I grew close to the drag queens I was living with and exploring Cardiff on a daily basis</w:t>
      </w:r>
      <w:r w:rsidR="00D05490">
        <w:t>-;</w:t>
      </w:r>
      <w:r>
        <w:t xml:space="preserve"> this allowed me to form close ties with them. </w:t>
      </w:r>
      <w:r>
        <w:lastRenderedPageBreak/>
        <w:t>Over the course of this and through exploring drag as my own persona I formed a drag daughter-mother relationship</w:t>
      </w:r>
      <w:r w:rsidR="00612EB3">
        <w:t>,</w:t>
      </w:r>
      <w:r>
        <w:t xml:space="preserve"> with Alisa Worst being my drag mother in this situation. This was through the consistent lessons on drag and mentoring she provided me during my time in Cardiff, and her being the first one to </w:t>
      </w:r>
      <w:r w:rsidR="00612EB3">
        <w:t>‘</w:t>
      </w:r>
      <w:r>
        <w:t>break me in</w:t>
      </w:r>
      <w:r w:rsidR="00612EB3">
        <w:t>’</w:t>
      </w:r>
      <w:r>
        <w:t xml:space="preserve"> with heels and tightly fitting clothing. Alisa Worst stated that the </w:t>
      </w:r>
    </w:p>
    <w:p w14:paraId="71270904" w14:textId="77777777" w:rsidR="00612EB3" w:rsidRDefault="00BF3379" w:rsidP="00F04532">
      <w:pPr>
        <w:spacing w:line="360" w:lineRule="auto"/>
        <w:ind w:left="720" w:right="737"/>
      </w:pPr>
      <w:r>
        <w:t>“bonds between drag-daughter and drag-mother are just as close as the bonds between a real mother and daughter. You start off only knowing baby drag but we nurture you and help you blossom in the drag queen you’re meant to become, sometimes you’ll pick up our habits and skills but you’ll also develop your own unique way of performing for others too”.</w:t>
      </w:r>
    </w:p>
    <w:p w14:paraId="0FF48FF3" w14:textId="4E280A7C" w:rsidR="00BF3379" w:rsidRDefault="00BF3379" w:rsidP="001372D0">
      <w:pPr>
        <w:spacing w:line="360" w:lineRule="auto"/>
      </w:pPr>
      <w:r>
        <w:t>Drag itself is closely tied with kinship systems in the way queens will not only learn from older more wiser drag queens, but will also take their last names as their own in the process, just as a child would receive the last name from their parents when they’re born to carry on the family name. It could be interpreted that “kinship statuses are not set by the begetters of persons but by their namers.” (Sahlins, 2011:3). Therefore, it could be argued that kinship is applicable to drag, as kinship bonds are tied through the names of people passed down in generations, such as is tradition with drag queens who teach and learn from other drag queens. Leading me to believe that fictive kinship has an intrinsic link to the drag community and the way drag queens interact with one another. Therefore by further exploring this theme it may become possible to uncover a deeper understanding of the performance behind drag queens and their drag culture.</w:t>
      </w:r>
    </w:p>
    <w:p w14:paraId="23B0845D" w14:textId="45D2990F" w:rsidR="00B4104A" w:rsidRDefault="006D5CE1" w:rsidP="001372D0">
      <w:pPr>
        <w:spacing w:line="360" w:lineRule="auto"/>
      </w:pPr>
      <w:r>
        <w:t>Furthermore</w:t>
      </w:r>
      <w:r w:rsidR="00BF3379">
        <w:t xml:space="preserve">, it is important that I highlight how applicable the theory of kinship is towards drag queens and their society. I previously </w:t>
      </w:r>
      <w:r w:rsidR="00524E55">
        <w:t>mentioned</w:t>
      </w:r>
      <w:r w:rsidR="00BF3379">
        <w:t xml:space="preserve"> the names of drag queens and how this could be used to interpret drag as being intertwined with kinship, however there is more to kinship in Anthropology than just names. Kinship continues to be a highly debated topic within Anthropology and to some remains rigid, set in stone between familial members tied by blood or an intricate system. However, </w:t>
      </w:r>
      <w:r w:rsidR="004D6092">
        <w:t>in my work I am utilising</w:t>
      </w:r>
      <w:r w:rsidR="00BF3379">
        <w:t xml:space="preserve"> Kronenfeld’s understanding of </w:t>
      </w:r>
      <w:r w:rsidR="00AD2EFA">
        <w:t>k</w:t>
      </w:r>
      <w:r w:rsidR="00BF3379">
        <w:t>inship</w:t>
      </w:r>
      <w:r w:rsidR="00AD2EFA">
        <w:t>:-</w:t>
      </w:r>
      <w:r w:rsidR="00BF3379">
        <w:t xml:space="preserve"> “my claim is that there exists no ‘one size fits all’ interpretation of kinship that fully encompasses the rich range of understandings that have been described in the literature as basic to one or another kinship system” (Kronenfeld, 2012:679). Not every form of kinship will fit into what we know</w:t>
      </w:r>
      <w:r w:rsidR="00AD2EFA">
        <w:t xml:space="preserve"> of</w:t>
      </w:r>
      <w:r w:rsidR="00BF3379">
        <w:t xml:space="preserve"> kinship within academia today, it can be explored through a myriad of ways</w:t>
      </w:r>
      <w:r w:rsidR="00C86B21">
        <w:t>;-</w:t>
      </w:r>
      <w:r w:rsidR="00BF3379">
        <w:t xml:space="preserve"> one such way to be suggested in this chapter is exploring it through the bonds people have formed through their time as a drag queen and as a part of the Cardiff drag society. Therefore, I will be addressing kinship as a mutuality of being, as Sahlins put, “Persons who are members of one another, who participate intrinsically in each other’s existence. ‘Mutuality of being’ applies as well to the constitution of kinship by social </w:t>
      </w:r>
      <w:r w:rsidR="00BF3379">
        <w:lastRenderedPageBreak/>
        <w:t>constructions as by procreation” (Sahlins, 2011:2). This mutuality of being allows one to further interpret and understand the interactions between drag queens that I recorded. Drag queens live their lives side by side, working together, performing together, practicing, socialising and engaging with one another on a day to day basis. Their drag persona’s and roles become intrinsically linked to one another and become closely tied together, not only creating kinship between people</w:t>
      </w:r>
      <w:r w:rsidR="006770D9">
        <w:t xml:space="preserve"> and</w:t>
      </w:r>
      <w:r w:rsidR="00BF3379">
        <w:t xml:space="preserve"> sparking drag-daughter and drag-mother relationships but also blurring the line between on</w:t>
      </w:r>
      <w:r w:rsidR="00825CF4">
        <w:t>eself</w:t>
      </w:r>
      <w:r w:rsidR="00BF3379">
        <w:t xml:space="preserve"> and on</w:t>
      </w:r>
      <w:r w:rsidR="00825CF4">
        <w:t>e’s</w:t>
      </w:r>
      <w:r w:rsidR="00BF3379">
        <w:t xml:space="preserve"> drag self, if there is a difference. The performance of this drag just exemplifies the kinship bonds between drag queens, providing more entertainment for their performances, amplifying their relationships with one another. This in turn also affects the relationship they have with the audience and whilst not as close as drag queens between themselves, creates a mutual effect of familial safety within the audience. The actor audience relationships which I have previously discussed play an interesting role in this for I myself, felt this during my first time watching a performance and </w:t>
      </w:r>
      <w:r w:rsidR="006C716B">
        <w:t>Sapphire Sandals</w:t>
      </w:r>
      <w:r w:rsidR="00BF3379">
        <w:t xml:space="preserve"> spoke up before me stating that</w:t>
      </w:r>
      <w:r w:rsidR="00B4104A">
        <w:t>:</w:t>
      </w:r>
    </w:p>
    <w:p w14:paraId="58D70CC6" w14:textId="77777777" w:rsidR="00B4104A" w:rsidRDefault="00BF3379" w:rsidP="00B4104A">
      <w:pPr>
        <w:spacing w:line="360" w:lineRule="auto"/>
        <w:ind w:left="720" w:right="737"/>
      </w:pPr>
      <w:r>
        <w:t>“I felt from watching my first performance and being captivated I became a part of some wider outstretched family, something akin to a cobweb tree branching out to everyone in the room. I felt at home”.</w:t>
      </w:r>
    </w:p>
    <w:p w14:paraId="344329C8" w14:textId="2270B4DB" w:rsidR="00BF3379" w:rsidRDefault="00BF3379" w:rsidP="001372D0">
      <w:pPr>
        <w:spacing w:line="360" w:lineRule="auto"/>
      </w:pPr>
      <w:r>
        <w:t>Drag queens themselves have the power and the ability to create these bonds of kinship between themselves and the audience members, displaying how profound their culture of performance is.</w:t>
      </w:r>
    </w:p>
    <w:p w14:paraId="0FA6A298" w14:textId="0B72B60B" w:rsidR="00BF3379" w:rsidRDefault="00BF3379" w:rsidP="001372D0">
      <w:pPr>
        <w:spacing w:line="360" w:lineRule="auto"/>
      </w:pPr>
      <w:r>
        <w:t>Previously in Ibsen and Klobus’ work they stated that “little is known about the behavioural implications of fictive kin term usage.” (Ibsen, 1972:619). There has been a struggle to understand the implications of fictive kinship, whether they affect the way people interact with one another or are simply a means to show how close people are to one another. However, my research suggests that fictive kinship does have a bearing on the behavioural impact of individuals involved, at least when focusing on drag queens in Cardiff. My study suggests that drag queens who are tied by last name, referring to each other as drag sisters, drag daughters and drag mothers treat each as such and appropriately so. Drag mothers are looked up to and sought after for guidance when a new drag queen is struggling to start out their drag. Drag mothers seek out new drag queens, taking them on as their drag daughters, giving them their last name and aiding them in their growth and development as they become their own drag queen and develop their own style</w:t>
      </w:r>
      <w:r w:rsidR="000B76DB">
        <w:t>,-</w:t>
      </w:r>
      <w:r>
        <w:t xml:space="preserve"> </w:t>
      </w:r>
      <w:r w:rsidR="00484585">
        <w:t>j</w:t>
      </w:r>
      <w:r>
        <w:t xml:space="preserve">ust as my drag mother, Alisa Worst, did for me as I started out in my field work. Whenever I felt lost, or I began to struggle with my understanding of drag and what to do for my own performances I sought her out to receive her guidance. And finally, drag sisters within drag families remain close and show compassion for one another, yet still display a sense of rivalry in an attempt to one up each other </w:t>
      </w:r>
      <w:r>
        <w:lastRenderedPageBreak/>
        <w:t>during shows and in front of their drag mother. Although the reasoning, which I will develop on, may be different between studies, this aligns with Norbeck and Befu’s (1958) study into fictive kinship in Japan and that depending on the terms used in fictive kinship one’s personal relationship with another may change. These verbal recognitions are used to reinforce the roles which an individual takes within fictive kinship and to restructure their status’ in each other’s’ lives.</w:t>
      </w:r>
    </w:p>
    <w:p w14:paraId="06B858E5" w14:textId="78BF39E8" w:rsidR="00BF3379" w:rsidRDefault="00BF3379" w:rsidP="001372D0">
      <w:pPr>
        <w:spacing w:line="360" w:lineRule="auto"/>
      </w:pPr>
      <w:r>
        <w:t>Whilst, all of these things are performance for the audience, to provide entertainment and enjoyment there is also a truth to it. Drag queens display these chosen familial ties, these fictive kinships in order to normalise LGBT+ people choosing their families. As some might be turned away from their families due to their sexuality or their gender identity, many have to form their own fictive kinships and create their own bonds.</w:t>
      </w:r>
      <w:r w:rsidR="005F1B64">
        <w:t xml:space="preserve"> McDermott’s research has found that</w:t>
      </w:r>
      <w:r w:rsidR="005D306C">
        <w:t xml:space="preserve"> young LGBT individuals encounter various problems as they grow up</w:t>
      </w:r>
      <w:r w:rsidR="002D41C7">
        <w:t xml:space="preserve">, “These include: homelessness; homophobic bullying at school disrupting education; family rejection; and </w:t>
      </w:r>
      <w:r w:rsidR="00FD71A2">
        <w:t>difficulties</w:t>
      </w:r>
      <w:r w:rsidR="002D41C7">
        <w:t xml:space="preserve"> finding safe spaces to form supportive relationships</w:t>
      </w:r>
      <w:r w:rsidR="00FD71A2">
        <w:t xml:space="preserve">” (McDermott, 2008:817). Facing all of these difficulties LGBT youths struggle to form </w:t>
      </w:r>
      <w:r w:rsidR="0000431A">
        <w:t>familial relationships after being rejected by family, and struggle to find safe spaces, therefore showing the need to create their own fictive kin. And</w:t>
      </w:r>
      <w:r>
        <w:t xml:space="preserve"> </w:t>
      </w:r>
      <w:r w:rsidR="0000431A">
        <w:t>b</w:t>
      </w:r>
      <w:r>
        <w:t>y normalising and providing widespread fictive kinships within the drag community drag queens take on a central role in providing not only entertainment but also an understanding of what a chosen family is, and how to choose one’s family when turned away by one’s consanguineal kin.</w:t>
      </w:r>
    </w:p>
    <w:p w14:paraId="2F761C77" w14:textId="17E98F3C" w:rsidR="007911B7" w:rsidRDefault="00BF3379" w:rsidP="001372D0">
      <w:pPr>
        <w:spacing w:line="360" w:lineRule="auto"/>
      </w:pPr>
      <w:r>
        <w:t>Overall, the impact drag performances have on the Cardiff drag society and the LGBT+ society it aims to perform creates a uniting kinship bond between drag queens and performers, creating ties that are as strong as those between blood family members. Not only this but it also, as stated in my previous chapter, creates bonds between the drag queens and the audience members, bringing together communities in one space</w:t>
      </w:r>
      <w:r w:rsidR="00B50C69">
        <w:t>; by</w:t>
      </w:r>
      <w:r w:rsidR="00A35ADC">
        <w:t>-</w:t>
      </w:r>
      <w:r>
        <w:t xml:space="preserve"> uniting them through live performances and shared experiences they all become a part of one intrinsic system of kinship. Therefore, it could be argued that drag performances and drag queens hold great power when it comes to uniting communities across different societies, providing a safe space for many people of different backgrounds to come together, as so it happened during my time in the field.</w:t>
      </w:r>
    </w:p>
    <w:p w14:paraId="7628B26E" w14:textId="025B372A" w:rsidR="001D4F86" w:rsidRDefault="001D4F86" w:rsidP="001372D0">
      <w:pPr>
        <w:spacing w:line="360" w:lineRule="auto"/>
      </w:pPr>
    </w:p>
    <w:p w14:paraId="006000A2" w14:textId="2BFB10AD" w:rsidR="001D4F86" w:rsidRDefault="001D4F86" w:rsidP="001372D0">
      <w:pPr>
        <w:spacing w:line="360" w:lineRule="auto"/>
      </w:pPr>
    </w:p>
    <w:p w14:paraId="59BB95B6" w14:textId="77777777" w:rsidR="001D4F86" w:rsidRPr="00FC3DD0" w:rsidRDefault="001D4F86" w:rsidP="001372D0">
      <w:pPr>
        <w:spacing w:line="360" w:lineRule="auto"/>
      </w:pPr>
    </w:p>
    <w:p w14:paraId="318E7631" w14:textId="77777777" w:rsidR="00FC3DD0" w:rsidRDefault="00FC3DD0" w:rsidP="001372D0">
      <w:pPr>
        <w:pStyle w:val="Heading1"/>
        <w:spacing w:line="360" w:lineRule="auto"/>
      </w:pPr>
      <w:bookmarkStart w:id="5" w:name="_Toc47380337"/>
      <w:r>
        <w:lastRenderedPageBreak/>
        <w:t>Chapter Five – Performance of Gender in Drag</w:t>
      </w:r>
      <w:bookmarkEnd w:id="5"/>
    </w:p>
    <w:p w14:paraId="4158F0D8" w14:textId="0D739894" w:rsidR="001372D0" w:rsidRDefault="001372D0" w:rsidP="001372D0">
      <w:pPr>
        <w:spacing w:line="360" w:lineRule="auto"/>
      </w:pPr>
      <w:r>
        <w:t>My final chapter will be exploring gender and politics through the interpretation of drag queen performances, and the affect this may have on audience members, drag queens and societies</w:t>
      </w:r>
      <w:r w:rsidR="00C42ABA">
        <w:t xml:space="preserve"> who</w:t>
      </w:r>
      <w:r>
        <w:t xml:space="preserve"> witness and are involved with these performances. Drag itself ha</w:t>
      </w:r>
      <w:r w:rsidR="00C42ABA">
        <w:t>s</w:t>
      </w:r>
      <w:r>
        <w:t xml:space="preserve"> previously been discussed </w:t>
      </w:r>
      <w:r w:rsidR="009A3B52">
        <w:t>as</w:t>
      </w:r>
      <w:r>
        <w:t xml:space="preserve"> hav</w:t>
      </w:r>
      <w:r w:rsidR="009A3B52">
        <w:t>ing</w:t>
      </w:r>
      <w:r>
        <w:t xml:space="preserve"> the power to create powerful political statements against societal norms (Nicoll, 2001). And drag queens themselves have been found by Rupp and Taylor (2003) to attempt to politicize and challenge the beliefs of gender and sexuality in their performances.</w:t>
      </w:r>
    </w:p>
    <w:p w14:paraId="0C1C6D68" w14:textId="2D92CB93" w:rsidR="001372D0" w:rsidRDefault="001372D0" w:rsidP="001372D0">
      <w:pPr>
        <w:spacing w:line="360" w:lineRule="auto"/>
      </w:pPr>
      <w:r>
        <w:t>This is an important topic to look at when examining performance because as Hornby has said “Playing the opposite sex is as old as theatre” (Hornby, 1996:641). Cross-gender acting has been a practice that has been around for centuries from Shakespeare all the way to drag queens. And through the exploration of gendered performances I will be addressing the way gender is explored and interpreted through drag, the importance of gender within the drag queen society, the politics that encompass performances and drag queen behaviour and finally how this relates to feminist theory</w:t>
      </w:r>
      <w:r w:rsidR="009A3B52">
        <w:t>-</w:t>
      </w:r>
      <w:r>
        <w:t xml:space="preserve"> </w:t>
      </w:r>
      <w:r w:rsidR="009A3B52">
        <w:t>a</w:t>
      </w:r>
      <w:r>
        <w:t xml:space="preserve">s “Conventional accounts of gender have insisted that differences between men and women are inevitable and that masculinity and femininity are natural.” (Harvard Law Review, 1995:1973) By doing so I aim to show how drag has managed to change the way gender is interpreted, and how </w:t>
      </w:r>
      <w:r w:rsidR="00FA74CA">
        <w:t>drag queens</w:t>
      </w:r>
      <w:r>
        <w:t xml:space="preserve"> continue to push the boundaries of gender roles to change the way gender itself is looked at to date.</w:t>
      </w:r>
    </w:p>
    <w:p w14:paraId="399DE794" w14:textId="77777777" w:rsidR="001372D0" w:rsidRDefault="001372D0" w:rsidP="001372D0">
      <w:pPr>
        <w:spacing w:line="360" w:lineRule="auto"/>
      </w:pPr>
      <w:r>
        <w:t>Parsons himself says that:</w:t>
      </w:r>
    </w:p>
    <w:p w14:paraId="79C9E677" w14:textId="77777777" w:rsidR="001372D0" w:rsidRDefault="001372D0" w:rsidP="00A64409">
      <w:pPr>
        <w:spacing w:line="360" w:lineRule="auto"/>
        <w:ind w:left="720" w:right="737"/>
      </w:pPr>
      <w:r>
        <w:t>“In many ways, the question of gender has become a troubled dimension of contemporary life. It is here that there is an ongoing wonder of our humanity, and in particular of what it is to be woman and what it is to be man” (Parsons, 2002:1).</w:t>
      </w:r>
    </w:p>
    <w:p w14:paraId="519B4AEE" w14:textId="64FC6898" w:rsidR="001372D0" w:rsidRDefault="001372D0" w:rsidP="001372D0">
      <w:pPr>
        <w:spacing w:line="360" w:lineRule="auto"/>
      </w:pPr>
      <w:r>
        <w:t>Before I began my research, I previously understood that drag played a role in exploring the gender narrative and norms. Similar</w:t>
      </w:r>
      <w:r w:rsidR="00B56524">
        <w:t>ly,</w:t>
      </w:r>
      <w:r>
        <w:t xml:space="preserve"> Parsons has addressed gender in that “Most of us live, work, study, and play within contexts that have been affected by some form of critique of gender” (Parsons, 2002:1). Drag has long wrestled with gender, critiquing the limitations that it has placed upon itself and questioning why fashion, politics and other topics need to be limited by gender itself. I believed that people of all genders choose to wear make-up, typically accepted as feminine </w:t>
      </w:r>
      <w:r w:rsidR="007C7643">
        <w:t>phenomenon</w:t>
      </w:r>
      <w:r>
        <w:t xml:space="preserve"> within societies, and to wear what is interpreted as female clothing in order to present themselves as a ‘woman’. However, as my fieldwork began and developed overtime, I found that what exactly makes someone a ‘woman’ is a lot more complicated than simply material objects and simple gestures. Drag queens and performers work tirelessly to perfect what they believe to be their ideal </w:t>
      </w:r>
      <w:r>
        <w:lastRenderedPageBreak/>
        <w:t xml:space="preserve">woman, or as Sapphire Sandals said their “inner woman”, something that drag queens believe that all people can have. Yet they also </w:t>
      </w:r>
      <w:r w:rsidR="002E2F1F">
        <w:t>confront</w:t>
      </w:r>
      <w:r>
        <w:t xml:space="preserve"> th</w:t>
      </w:r>
      <w:r w:rsidR="002E2F1F">
        <w:t>e</w:t>
      </w:r>
      <w:r>
        <w:t xml:space="preserve"> idea of an “inner woman” and challenge the idea that any interpretation could be considered one’s inner woman, whether they perform drag with body hair, a shirt wig, little make-up</w:t>
      </w:r>
      <w:r w:rsidR="005816F0">
        <w:t>, or</w:t>
      </w:r>
      <w:r>
        <w:t xml:space="preserve"> extreme amounts of make-up. My research gave me the chance to learn that drag does not simply wish to recreate a woman, it aims to challenge what makes a woman by societal standards, and to create a narrative for the discussion of gender.</w:t>
      </w:r>
    </w:p>
    <w:p w14:paraId="4D967549" w14:textId="6B6E6A34" w:rsidR="001372D0" w:rsidRDefault="001372D0" w:rsidP="001372D0">
      <w:pPr>
        <w:spacing w:line="360" w:lineRule="auto"/>
      </w:pPr>
      <w:r>
        <w:t>Gender is a complex topic and understanding the many forms that gender can take and interpreting each cultures own reflections of gender has been a key interest within Anthropology</w:t>
      </w:r>
      <w:r w:rsidR="006F1B07">
        <w:t xml:space="preserve"> with theories</w:t>
      </w:r>
      <w:r>
        <w:t xml:space="preserve"> such as</w:t>
      </w:r>
      <w:r w:rsidR="006F1B07">
        <w:t xml:space="preserve"> those of</w:t>
      </w:r>
      <w:r>
        <w:t xml:space="preserve"> Butler (2006) who views gender as what we do rather than who we are as people. Butler’s feminist theory of gender interprets it that “sex/gender distinction suggests a radical discontinuity between sexed bodies and culturally constructed genders.” (Butler, 2006:6). Sex is based around the body of an individual, their reproductive organs and the </w:t>
      </w:r>
      <w:r w:rsidR="003B1FAC">
        <w:t>makeup</w:t>
      </w:r>
      <w:r>
        <w:t xml:space="preserve"> of their genes, whereas gender is culturally constructed, crafted through one’s actions and choices. Butler (2006) has stated that </w:t>
      </w:r>
      <w:r w:rsidR="003B1FAC">
        <w:t xml:space="preserve">an </w:t>
      </w:r>
      <w:r w:rsidR="002D560F">
        <w:t>individuals</w:t>
      </w:r>
      <w:r w:rsidR="00A36472">
        <w:t>’</w:t>
      </w:r>
      <w:r>
        <w:t xml:space="preserve"> performativity of gender is not simply determined by whether an individual is born male or female. Instead they act in a particular way due to their upbringing, the social norms enforced upon them and societal expectations of their attributed gender. If we broke free from gender roles and stereotypes, we might view gender as a construct entirely different.</w:t>
      </w:r>
    </w:p>
    <w:p w14:paraId="201E4FC8" w14:textId="5543424E" w:rsidR="001372D0" w:rsidRDefault="001372D0" w:rsidP="001372D0">
      <w:pPr>
        <w:spacing w:line="360" w:lineRule="auto"/>
      </w:pPr>
      <w:r>
        <w:t>This in itself aligns with what drag queens</w:t>
      </w:r>
      <w:r w:rsidR="003D0232">
        <w:t xml:space="preserve"> seek</w:t>
      </w:r>
      <w:r>
        <w:t xml:space="preserve"> to portray through their performances and behaviour. They aim to shift the known gender roles in society and challenge what we know in order to change the way people view it. And as I stated earlier, during my field research I found my own views of what makes a woman change</w:t>
      </w:r>
      <w:r w:rsidR="003D0232">
        <w:t>d</w:t>
      </w:r>
      <w:r>
        <w:t xml:space="preserve"> as well, realising that </w:t>
      </w:r>
      <w:r w:rsidR="003B1FAC">
        <w:t>it is</w:t>
      </w:r>
      <w:r>
        <w:t xml:space="preserve"> a unique and individual understanding of oneself.</w:t>
      </w:r>
    </w:p>
    <w:p w14:paraId="45E77277" w14:textId="065DB3D3" w:rsidR="001372D0" w:rsidRDefault="001372D0" w:rsidP="001372D0">
      <w:pPr>
        <w:spacing w:line="360" w:lineRule="auto"/>
      </w:pPr>
      <w:r>
        <w:t xml:space="preserve">The drag queens I worked with ranged from being male, non-binary to transgender female, and yet each of them used female pronouns when performing as their drag selves. During the period of their performance they became a woman, whether that </w:t>
      </w:r>
      <w:r w:rsidR="00DC2395">
        <w:t>w</w:t>
      </w:r>
      <w:r>
        <w:t>as who they are out of their drag selves or not. This was conducted through their actions, their clothing, their way of speaking, over emphasising female actions. Kiki told me in an interview that:</w:t>
      </w:r>
    </w:p>
    <w:p w14:paraId="5B1F0BA8" w14:textId="77777777" w:rsidR="001372D0" w:rsidRDefault="001372D0" w:rsidP="00DC2395">
      <w:pPr>
        <w:spacing w:line="360" w:lineRule="auto"/>
        <w:ind w:left="720" w:right="737"/>
      </w:pPr>
      <w:r>
        <w:t>“We cinch our waists to drastically look like the ‘feminine body’ and what is expected of women. To be as small a size as possible on the waist and then overly pad our butts and boobs because that is what society pressure women to look like, and what men tend to glorify. By doing so we criticise societies expectations of women by making it joke in an attempt to lessen the burden others my feel of having to look, behave or act a certain way.”</w:t>
      </w:r>
    </w:p>
    <w:p w14:paraId="510F105C" w14:textId="5FAD1422" w:rsidR="001372D0" w:rsidRDefault="001372D0" w:rsidP="001372D0">
      <w:pPr>
        <w:spacing w:line="360" w:lineRule="auto"/>
      </w:pPr>
      <w:r>
        <w:lastRenderedPageBreak/>
        <w:t xml:space="preserve">Drag </w:t>
      </w:r>
      <w:r w:rsidR="00563AAC">
        <w:t>queens</w:t>
      </w:r>
      <w:r>
        <w:t xml:space="preserve"> over emphasis</w:t>
      </w:r>
      <w:r w:rsidR="00DC2395">
        <w:t>e</w:t>
      </w:r>
      <w:r>
        <w:t xml:space="preserve"> what it means to be a women, to make a mockery of the standards pushed on women by a wider society as means to make a movement for feminism. This example works alongside Butler’s theory of gender, that it is a social construct and drag queens themselves are attempting to break free of the construct, deconstruct it and move past the idea of a ‘perfect woman’. Thereby, by performing on a stage towards a wider audience they can further spread this message, a new understanding of the construction of gender</w:t>
      </w:r>
      <w:r w:rsidR="00286D29">
        <w:t>,</w:t>
      </w:r>
      <w:r>
        <w:t xml:space="preserve"> and change the very outlook people have on gender. This has particularly been shown to be effective with the LGBT+ community which already tackles the construct of gender, through transgender and non-binary individuals. And this is understood in Connell’s book that “when gender is seen as, above all, a performance; or when the rending contradictions within gendered lives become ‘an instatement of metaphor’”. (Connell, 2018:51). When gender becomes a performance, just as the drag queens make it so, it shakes the very core of what we know as gender. The roles, clothes and accessories which all become involved with the performance are dramatized making those very symbols of gender seem inadequate and interpreting what gender is and is not. And this has been found</w:t>
      </w:r>
      <w:r w:rsidR="00DF1400">
        <w:t>-</w:t>
      </w:r>
      <w:r>
        <w:t xml:space="preserve"> as “Occasionally legal actors seem capable of grasping that at least some aspects of gender are merely roles that people assume.” (Harvard Law Review, 1995:2008). The </w:t>
      </w:r>
      <w:r w:rsidR="008757AA">
        <w:t>‘</w:t>
      </w:r>
      <w:r>
        <w:t>legal actors</w:t>
      </w:r>
      <w:r w:rsidR="008757AA">
        <w:t>’</w:t>
      </w:r>
      <w:r>
        <w:t xml:space="preserve"> being in context of my research the drag queens </w:t>
      </w:r>
      <w:r w:rsidR="00DF1400">
        <w:t xml:space="preserve">who </w:t>
      </w:r>
      <w:r>
        <w:t>sometimes make breakthroughs in their drag</w:t>
      </w:r>
      <w:r w:rsidR="00DF1400">
        <w:t>,</w:t>
      </w:r>
      <w:r>
        <w:t xml:space="preserve"> changing the unwritten laws of gender and these “moments of insight into the artificiality of gender often lead to the rewriting of gender roles” (Harvard Law Review, 1973:2008). Thus changing the very association gender can have in its societal structure.</w:t>
      </w:r>
    </w:p>
    <w:p w14:paraId="49F37B94" w14:textId="3B4B63BB" w:rsidR="00BF3379" w:rsidRDefault="001372D0" w:rsidP="001372D0">
      <w:pPr>
        <w:spacing w:line="360" w:lineRule="auto"/>
      </w:pPr>
      <w:r>
        <w:t>Overall, Butler’s concept of a performativity of gender creates debate even today that brings about a challenge to the way individuals address and view gender roles and stereotypes. Its ability to utilize the many concepts encompassing queer theory is staggering</w:t>
      </w:r>
      <w:r w:rsidR="00F06A6B">
        <w:t xml:space="preserve"> but</w:t>
      </w:r>
      <w:r>
        <w:t xml:space="preserve"> it is also lacking in the individualistic understanding. Whilst gender is performative to an extent and can be understood through the action, reactions and interactions a person may take, it is something that needs to be addressed individually</w:t>
      </w:r>
      <w:r w:rsidR="00FF1354">
        <w:t xml:space="preserve"> -</w:t>
      </w:r>
      <w:r>
        <w:t xml:space="preserve"> </w:t>
      </w:r>
      <w:r w:rsidR="00FF1354">
        <w:t>a</w:t>
      </w:r>
      <w:r>
        <w:t>s I was told during my fieldwork by drag queens to look for my “inner woman”</w:t>
      </w:r>
      <w:r w:rsidR="00FF1354">
        <w:t>:</w:t>
      </w:r>
      <w:r>
        <w:t xml:space="preserve"> to look deep inside myself for what I think makes me a woman. Through this I can understand that what makes a woman a woman, a man a man or someone of any gender that particularly gender all comes down to individualistic differences. And whilst, as Shapiro has said that “little work has examined how drag performances matter in the lives of individuals.” (Shapiro, 2007:268)</w:t>
      </w:r>
      <w:r w:rsidR="00502AA6">
        <w:t xml:space="preserve"> -</w:t>
      </w:r>
      <w:r>
        <w:t xml:space="preserve"> I believe that the collective theories and mechanisms that are utilised within Anthropology allow the chance to shape and change the identities of the audience members and those that lay witness to drag queens and their performances. By further examining the ways in which drag performances affect individuals lives through reflexivity it will become even more clear </w:t>
      </w:r>
      <w:r>
        <w:lastRenderedPageBreak/>
        <w:t>as to the effects drag performances have on gender norms and roles within society. This will then allow a clearer picture to be granted when understanding what exactly the impact drag queens have on society and current political climates of gender.</w:t>
      </w:r>
    </w:p>
    <w:p w14:paraId="1CD8B4A9" w14:textId="77777777" w:rsidR="00DA164D" w:rsidRDefault="00DA164D" w:rsidP="00BF3379">
      <w:pPr>
        <w:pStyle w:val="Heading1"/>
      </w:pPr>
    </w:p>
    <w:p w14:paraId="40976D58" w14:textId="77777777" w:rsidR="00DA164D" w:rsidRDefault="00DA164D" w:rsidP="00BF3379">
      <w:pPr>
        <w:pStyle w:val="Heading1"/>
      </w:pPr>
    </w:p>
    <w:p w14:paraId="0C4A9A6B" w14:textId="77777777" w:rsidR="00DA164D" w:rsidRDefault="00DA164D" w:rsidP="00BF3379">
      <w:pPr>
        <w:pStyle w:val="Heading1"/>
      </w:pPr>
    </w:p>
    <w:p w14:paraId="2512BF5C" w14:textId="77777777" w:rsidR="00DA164D" w:rsidRDefault="00DA164D" w:rsidP="00BF3379">
      <w:pPr>
        <w:pStyle w:val="Heading1"/>
      </w:pPr>
    </w:p>
    <w:p w14:paraId="5B43E0A5" w14:textId="77777777" w:rsidR="00DA164D" w:rsidRDefault="00DA164D" w:rsidP="00BF3379">
      <w:pPr>
        <w:pStyle w:val="Heading1"/>
      </w:pPr>
    </w:p>
    <w:p w14:paraId="560E0AEF" w14:textId="77777777" w:rsidR="00DA164D" w:rsidRDefault="00DA164D" w:rsidP="00BF3379">
      <w:pPr>
        <w:pStyle w:val="Heading1"/>
      </w:pPr>
    </w:p>
    <w:p w14:paraId="73C6495D" w14:textId="77777777" w:rsidR="00DA164D" w:rsidRDefault="00DA164D" w:rsidP="00BF3379">
      <w:pPr>
        <w:pStyle w:val="Heading1"/>
      </w:pPr>
    </w:p>
    <w:p w14:paraId="18F96D1F" w14:textId="77777777" w:rsidR="00DA164D" w:rsidRDefault="00DA164D" w:rsidP="00BF3379">
      <w:pPr>
        <w:pStyle w:val="Heading1"/>
      </w:pPr>
    </w:p>
    <w:p w14:paraId="33DC0D50" w14:textId="77777777" w:rsidR="00DA164D" w:rsidRDefault="00DA164D" w:rsidP="00BF3379">
      <w:pPr>
        <w:pStyle w:val="Heading1"/>
      </w:pPr>
    </w:p>
    <w:p w14:paraId="465BB634" w14:textId="136DC29F" w:rsidR="00FB6BB9" w:rsidRDefault="00FB6BB9" w:rsidP="00DA164D"/>
    <w:p w14:paraId="74D013F7" w14:textId="77777777" w:rsidR="004C63C4" w:rsidRDefault="004C63C4" w:rsidP="00DA164D"/>
    <w:p w14:paraId="417419AE" w14:textId="34F3EFA9" w:rsidR="00FB6BB9" w:rsidRDefault="00FB6BB9" w:rsidP="00DA164D"/>
    <w:p w14:paraId="0D3DF167" w14:textId="1C62A914" w:rsidR="001E334C" w:rsidRDefault="001E334C" w:rsidP="00DA164D"/>
    <w:p w14:paraId="0FFD21A3" w14:textId="0D9E7D28" w:rsidR="001E334C" w:rsidRDefault="001E334C" w:rsidP="00DA164D"/>
    <w:p w14:paraId="14340F65" w14:textId="4BBCC336" w:rsidR="001E334C" w:rsidRDefault="001E334C" w:rsidP="00DA164D"/>
    <w:p w14:paraId="2399C323" w14:textId="770E4F7C" w:rsidR="001E334C" w:rsidRDefault="001E334C" w:rsidP="00DA164D"/>
    <w:p w14:paraId="7B0C4E04" w14:textId="6093A455" w:rsidR="001E334C" w:rsidRDefault="001E334C" w:rsidP="00DA164D"/>
    <w:p w14:paraId="1B143C41" w14:textId="785B20B7" w:rsidR="001E334C" w:rsidRDefault="001E334C" w:rsidP="00DA164D"/>
    <w:p w14:paraId="5B02F322" w14:textId="1F4831A9" w:rsidR="001E334C" w:rsidRDefault="001E334C" w:rsidP="00DA164D"/>
    <w:p w14:paraId="2FA5D226" w14:textId="1AE2624B" w:rsidR="001E334C" w:rsidRDefault="001E334C" w:rsidP="00DA164D"/>
    <w:p w14:paraId="79E1A744" w14:textId="5706B656" w:rsidR="001E334C" w:rsidRDefault="001E334C" w:rsidP="00DA164D"/>
    <w:p w14:paraId="378DF036" w14:textId="77777777" w:rsidR="001E334C" w:rsidRPr="00DA164D" w:rsidRDefault="001E334C" w:rsidP="00DA164D"/>
    <w:p w14:paraId="21AB7FF4" w14:textId="32BF8249" w:rsidR="00FC3DD0" w:rsidRDefault="00BF3379" w:rsidP="004C63C4">
      <w:pPr>
        <w:pStyle w:val="Heading1"/>
        <w:spacing w:line="360" w:lineRule="auto"/>
      </w:pPr>
      <w:bookmarkStart w:id="6" w:name="_Toc47380338"/>
      <w:r>
        <w:lastRenderedPageBreak/>
        <w:t>Conclusion</w:t>
      </w:r>
      <w:bookmarkEnd w:id="6"/>
    </w:p>
    <w:p w14:paraId="75223BA7" w14:textId="6CC09A66" w:rsidR="00846941" w:rsidRDefault="00FB6BB9" w:rsidP="000125D9">
      <w:pPr>
        <w:spacing w:line="360" w:lineRule="auto"/>
      </w:pPr>
      <w:r w:rsidRPr="00FB6BB9">
        <w:t>Overall my research suggests that performance is an intrinsic part of the drag community. It provides not only a way of life and a means for an occupation, but a way of forming connections and relationships between drag queens to each other, and between performers and audience members. This connection is created using several key aspects over the course of a performance. Firstly, the venue, the space of the performance. Whilst my fieldwork did indeed prove that there is no need for a venue, that the performance of drag can happen anywhere so long as you look and act the part, a venue is key to establishing closer relations between the performing drag queen and the audience. By choosing a specific place to perform it allows for the establishing of a safe space for everyone to be themselves and to be vulnerable in the moment. Providing everyone within the community a chance to let their guard down and be in the moment. Secondly, the performance of kinship provides a new unique means of creating relationships. The performance of fictive kin within drag allows the audience to witness performed relationships between drag queens. And whilst these drag mother, drag daughter and drag sister relations are overemphasised and dramatized for entertainment, they also create real existing bonds between drag queens. By sharing last names, experiencing intense moments as a drag artist, drag queens truly become members of the same family, have shared experiences. This allows drag queens to portray a message of the importance of chosen family, similar to the way Schneider (1993) understands fictive kinship. In that there is importance in the nuclear family, but family can extend beyond that to incorporate friendships and past lovers. By spreading this message drag queens teach members of the drag community, audience members and those of the LGBT+ community that chosen family is just as important as consanguineal kin</w:t>
      </w:r>
      <w:r w:rsidR="00F64F0F">
        <w:t xml:space="preserve"> which as McDermott’s (2008) study suggests is important especially for young LGBT</w:t>
      </w:r>
      <w:r w:rsidR="007911B7">
        <w:t xml:space="preserve"> members</w:t>
      </w:r>
      <w:r w:rsidRPr="00FB6BB9">
        <w:t xml:space="preserve">. Lastly, the way in which the drag community explores gender pushes boundaries previously thought to be set in stone. And although it could be argued that the drag queens’ beginning of their performance was a set of choices in how they performed gender, over time it became more than a choice. It becomes a “ritualized production” (Butler, 1993:95). By repeating the same gender roles in such an overemphasised way, drag queens create their own drag selves, a reflection of the gender roles expected of women to an extreme measure. They aim to do so in order to, as Morna Ring said, “Challenge the expectations society has for women of all races and body types”. Drag performances aim to challenge and contest the way kinship and gender is portrayed and examined. It shakes the very core of what is understood and aims to create a revolution in a new way of thinking. And if more studies are conducted focusing on the performance of drag and </w:t>
      </w:r>
      <w:r w:rsidR="00846941" w:rsidRPr="00FB6BB9">
        <w:t>its</w:t>
      </w:r>
      <w:r w:rsidRPr="00FB6BB9">
        <w:t xml:space="preserve"> </w:t>
      </w:r>
      <w:r w:rsidR="00846941" w:rsidRPr="00FB6BB9">
        <w:t>effect</w:t>
      </w:r>
      <w:r w:rsidRPr="00FB6BB9">
        <w:t xml:space="preserve"> on a wider audience it may become possible to understand and see if there is a </w:t>
      </w:r>
      <w:r w:rsidRPr="00FB6BB9">
        <w:lastRenderedPageBreak/>
        <w:t>new trend in fictive kin and a change in the way gender roles are being enforced within drag communities and the wider audience.</w:t>
      </w:r>
    </w:p>
    <w:p w14:paraId="33F03497" w14:textId="2E94E5A0" w:rsidR="001D4F86" w:rsidRDefault="001D4F86" w:rsidP="000125D9">
      <w:pPr>
        <w:spacing w:line="360" w:lineRule="auto"/>
      </w:pPr>
    </w:p>
    <w:p w14:paraId="2139FE26" w14:textId="4FA4C9F9" w:rsidR="001D4F86" w:rsidRDefault="001D4F86" w:rsidP="000125D9">
      <w:pPr>
        <w:spacing w:line="360" w:lineRule="auto"/>
      </w:pPr>
    </w:p>
    <w:p w14:paraId="7FE52EC5" w14:textId="572B3689" w:rsidR="001D4F86" w:rsidRDefault="001D4F86" w:rsidP="000125D9">
      <w:pPr>
        <w:spacing w:line="360" w:lineRule="auto"/>
      </w:pPr>
    </w:p>
    <w:p w14:paraId="2FD8060E" w14:textId="1E4E0B16" w:rsidR="001D4F86" w:rsidRDefault="001D4F86" w:rsidP="000125D9">
      <w:pPr>
        <w:spacing w:line="360" w:lineRule="auto"/>
      </w:pPr>
    </w:p>
    <w:p w14:paraId="330C1ACB" w14:textId="6FCD60A9" w:rsidR="001D4F86" w:rsidRDefault="001D4F86" w:rsidP="000125D9">
      <w:pPr>
        <w:spacing w:line="360" w:lineRule="auto"/>
      </w:pPr>
    </w:p>
    <w:p w14:paraId="35023805" w14:textId="69C61555" w:rsidR="001D4F86" w:rsidRDefault="001D4F86" w:rsidP="000125D9">
      <w:pPr>
        <w:spacing w:line="360" w:lineRule="auto"/>
      </w:pPr>
    </w:p>
    <w:p w14:paraId="6F2D40DB" w14:textId="749D4AEE" w:rsidR="001D4F86" w:rsidRDefault="001D4F86" w:rsidP="000125D9">
      <w:pPr>
        <w:spacing w:line="360" w:lineRule="auto"/>
      </w:pPr>
    </w:p>
    <w:p w14:paraId="515076EF" w14:textId="74965A02" w:rsidR="001D4F86" w:rsidRDefault="001D4F86" w:rsidP="000125D9">
      <w:pPr>
        <w:spacing w:line="360" w:lineRule="auto"/>
      </w:pPr>
    </w:p>
    <w:p w14:paraId="4707E2C1" w14:textId="54D9C3E6" w:rsidR="001D4F86" w:rsidRDefault="001D4F86" w:rsidP="000125D9">
      <w:pPr>
        <w:spacing w:line="360" w:lineRule="auto"/>
      </w:pPr>
    </w:p>
    <w:p w14:paraId="413D2E77" w14:textId="76524DFE" w:rsidR="001D4F86" w:rsidRDefault="001D4F86" w:rsidP="000125D9">
      <w:pPr>
        <w:spacing w:line="360" w:lineRule="auto"/>
      </w:pPr>
    </w:p>
    <w:p w14:paraId="4E87110B" w14:textId="32E15F77" w:rsidR="001D4F86" w:rsidRDefault="001D4F86" w:rsidP="000125D9">
      <w:pPr>
        <w:spacing w:line="360" w:lineRule="auto"/>
      </w:pPr>
    </w:p>
    <w:p w14:paraId="0B181992" w14:textId="5B1FD3A5" w:rsidR="001D4F86" w:rsidRDefault="001D4F86" w:rsidP="000125D9">
      <w:pPr>
        <w:spacing w:line="360" w:lineRule="auto"/>
      </w:pPr>
    </w:p>
    <w:p w14:paraId="6F0753BB" w14:textId="445CD4E6" w:rsidR="001D4F86" w:rsidRDefault="001D4F86" w:rsidP="000125D9">
      <w:pPr>
        <w:spacing w:line="360" w:lineRule="auto"/>
      </w:pPr>
    </w:p>
    <w:p w14:paraId="386053BF" w14:textId="0875EA1E" w:rsidR="001D4F86" w:rsidRDefault="001D4F86" w:rsidP="000125D9">
      <w:pPr>
        <w:spacing w:line="360" w:lineRule="auto"/>
      </w:pPr>
    </w:p>
    <w:p w14:paraId="2EA32730" w14:textId="26F11DCA" w:rsidR="001D4F86" w:rsidRDefault="001D4F86" w:rsidP="000125D9">
      <w:pPr>
        <w:spacing w:line="360" w:lineRule="auto"/>
      </w:pPr>
    </w:p>
    <w:p w14:paraId="0B10A022" w14:textId="7FB636D0" w:rsidR="001D4F86" w:rsidRDefault="001D4F86" w:rsidP="000125D9">
      <w:pPr>
        <w:spacing w:line="360" w:lineRule="auto"/>
      </w:pPr>
    </w:p>
    <w:p w14:paraId="0C61B863" w14:textId="67610746" w:rsidR="001D4F86" w:rsidRDefault="001D4F86" w:rsidP="000125D9">
      <w:pPr>
        <w:spacing w:line="360" w:lineRule="auto"/>
      </w:pPr>
    </w:p>
    <w:p w14:paraId="10610650" w14:textId="461940A1" w:rsidR="001D4F86" w:rsidRDefault="001D4F86" w:rsidP="000125D9">
      <w:pPr>
        <w:spacing w:line="360" w:lineRule="auto"/>
      </w:pPr>
    </w:p>
    <w:p w14:paraId="51D13442" w14:textId="5CEB9ED1" w:rsidR="001D4F86" w:rsidRDefault="001D4F86" w:rsidP="000125D9">
      <w:pPr>
        <w:spacing w:line="360" w:lineRule="auto"/>
      </w:pPr>
    </w:p>
    <w:p w14:paraId="56389463" w14:textId="7F242B86" w:rsidR="001D4F86" w:rsidRDefault="001D4F86" w:rsidP="000125D9">
      <w:pPr>
        <w:spacing w:line="360" w:lineRule="auto"/>
      </w:pPr>
    </w:p>
    <w:p w14:paraId="29A69DB4" w14:textId="77777777" w:rsidR="001D4F86" w:rsidRPr="00FB6BB9" w:rsidRDefault="001D4F86" w:rsidP="000125D9">
      <w:pPr>
        <w:spacing w:line="360" w:lineRule="auto"/>
      </w:pPr>
    </w:p>
    <w:p w14:paraId="4B587D12" w14:textId="77777777" w:rsidR="00FC3DD0" w:rsidRDefault="00BF3379" w:rsidP="001372D0">
      <w:pPr>
        <w:pStyle w:val="Heading1"/>
        <w:spacing w:line="360" w:lineRule="auto"/>
      </w:pPr>
      <w:bookmarkStart w:id="7" w:name="_Toc47380339"/>
      <w:r>
        <w:lastRenderedPageBreak/>
        <w:t>References</w:t>
      </w:r>
      <w:bookmarkEnd w:id="7"/>
    </w:p>
    <w:p w14:paraId="1CC2F5AE" w14:textId="77777777" w:rsidR="00FC3DD0" w:rsidRDefault="00FC3DD0" w:rsidP="001372D0">
      <w:pPr>
        <w:spacing w:line="360" w:lineRule="auto"/>
      </w:pPr>
      <w:r>
        <w:t xml:space="preserve">Babbie. E, (2014). </w:t>
      </w:r>
      <w:r w:rsidRPr="00FC3DD0">
        <w:rPr>
          <w:i/>
          <w:iCs/>
        </w:rPr>
        <w:t>The Basics of Social Research</w:t>
      </w:r>
      <w:r>
        <w:t xml:space="preserve"> (6th ed.) California: Wadsworth Cengage. Pp. 303-304.</w:t>
      </w:r>
    </w:p>
    <w:p w14:paraId="7E57DB64" w14:textId="77777777" w:rsidR="00FC3DD0" w:rsidRDefault="00FC3DD0" w:rsidP="001372D0">
      <w:pPr>
        <w:spacing w:line="360" w:lineRule="auto"/>
      </w:pPr>
      <w:r>
        <w:t xml:space="preserve">Beattie. J, (1965). </w:t>
      </w:r>
      <w:r w:rsidRPr="00FC3DD0">
        <w:rPr>
          <w:i/>
          <w:iCs/>
        </w:rPr>
        <w:t>Understanding an African Kingdom: Bunyoro</w:t>
      </w:r>
      <w:r>
        <w:t>. New York: Holt, Rinehart and Winston.</w:t>
      </w:r>
    </w:p>
    <w:p w14:paraId="0B887A9A" w14:textId="77777777" w:rsidR="00FC3DD0" w:rsidRDefault="00FC3DD0" w:rsidP="001372D0">
      <w:pPr>
        <w:spacing w:line="360" w:lineRule="auto"/>
      </w:pPr>
      <w:r>
        <w:t xml:space="preserve">Bogdan. R, (1973). ‘Participant Observation’. </w:t>
      </w:r>
      <w:r w:rsidRPr="00FC3DD0">
        <w:rPr>
          <w:i/>
          <w:iCs/>
        </w:rPr>
        <w:t>Peabody Journal of Education</w:t>
      </w:r>
      <w:r>
        <w:t xml:space="preserve">. Vol: 50(4). Pp. 302-308. Accessed: 22/02/2020. Available at: </w:t>
      </w:r>
      <w:hyperlink r:id="rId5" w:history="1">
        <w:r w:rsidRPr="00910313">
          <w:rPr>
            <w:rStyle w:val="Hyperlink"/>
          </w:rPr>
          <w:t>https://www.jstor.org/stable/pdf/1492424.pdf?ab_segments=0%2Fbasic_SYC-4946%2Fcontrol&amp;refreqid=search%3A0caa6465d8bfe88bbe1022dbbec4f3d2</w:t>
        </w:r>
      </w:hyperlink>
    </w:p>
    <w:p w14:paraId="0DD40F62" w14:textId="77777777" w:rsidR="00FC3DD0" w:rsidRDefault="00FC3DD0" w:rsidP="001372D0">
      <w:pPr>
        <w:spacing w:line="360" w:lineRule="auto"/>
      </w:pPr>
      <w:r>
        <w:t xml:space="preserve">Bryman. A, (2004). </w:t>
      </w:r>
      <w:r w:rsidRPr="00FC3DD0">
        <w:rPr>
          <w:i/>
          <w:iCs/>
        </w:rPr>
        <w:t>Social Research Methods</w:t>
      </w:r>
      <w:r>
        <w:t>. Oxford: Oxford University Press.</w:t>
      </w:r>
    </w:p>
    <w:p w14:paraId="1B5EE73D" w14:textId="77777777" w:rsidR="00FC3DD0" w:rsidRDefault="00FC3DD0" w:rsidP="001372D0">
      <w:pPr>
        <w:spacing w:line="360" w:lineRule="auto"/>
      </w:pPr>
      <w:r>
        <w:t xml:space="preserve">Buetow. S, (2010). </w:t>
      </w:r>
      <w:r w:rsidR="00BF3379">
        <w:t>‘</w:t>
      </w:r>
      <w:r>
        <w:t xml:space="preserve">Thematic analysis and its reconceptualization as ‘saliency analysis’’. </w:t>
      </w:r>
      <w:r w:rsidRPr="00BF3379">
        <w:rPr>
          <w:i/>
          <w:iCs/>
        </w:rPr>
        <w:t>Journal of Health and Services Research &amp; Policy</w:t>
      </w:r>
      <w:r>
        <w:t xml:space="preserve">. Vol: 15(2). Pp. 123-125. Accessed: 27/07/2020. Available at: </w:t>
      </w:r>
      <w:hyperlink r:id="rId6" w:history="1">
        <w:r w:rsidRPr="00910313">
          <w:rPr>
            <w:rStyle w:val="Hyperlink"/>
          </w:rPr>
          <w:t>https://www.jstor.org/stable/26751249</w:t>
        </w:r>
      </w:hyperlink>
    </w:p>
    <w:p w14:paraId="22D9D153" w14:textId="55E93EDD" w:rsidR="00FC3DD0" w:rsidRDefault="00FC3DD0" w:rsidP="001372D0">
      <w:pPr>
        <w:spacing w:line="360" w:lineRule="auto"/>
      </w:pPr>
      <w:r>
        <w:t xml:space="preserve">Burgess. R. G, (1991). </w:t>
      </w:r>
      <w:r w:rsidRPr="00BF3379">
        <w:rPr>
          <w:i/>
          <w:iCs/>
        </w:rPr>
        <w:t>Field Research: a Sourcebook and Field Manual.</w:t>
      </w:r>
      <w:r>
        <w:t xml:space="preserve"> London: Routledge.</w:t>
      </w:r>
    </w:p>
    <w:p w14:paraId="701D74D5" w14:textId="47D4D9F6" w:rsidR="006E509C" w:rsidRDefault="006E509C" w:rsidP="001372D0">
      <w:pPr>
        <w:spacing w:line="360" w:lineRule="auto"/>
      </w:pPr>
      <w:r w:rsidRPr="006E509C">
        <w:t xml:space="preserve">Butler. J, (1993). </w:t>
      </w:r>
      <w:r w:rsidRPr="006E509C">
        <w:rPr>
          <w:i/>
          <w:iCs/>
        </w:rPr>
        <w:t>Bodies that Matter: On the Discursive Limits of “Sex”</w:t>
      </w:r>
      <w:r w:rsidRPr="006E509C">
        <w:t>. New York: Routledge.</w:t>
      </w:r>
    </w:p>
    <w:p w14:paraId="19401F8B" w14:textId="77777777" w:rsidR="001372D0" w:rsidRDefault="001372D0" w:rsidP="001372D0">
      <w:pPr>
        <w:spacing w:line="360" w:lineRule="auto"/>
      </w:pPr>
      <w:r w:rsidRPr="001372D0">
        <w:t xml:space="preserve">Butler. J, (2006). </w:t>
      </w:r>
      <w:r w:rsidRPr="001372D0">
        <w:rPr>
          <w:i/>
          <w:iCs/>
        </w:rPr>
        <w:t>Gender Trouble</w:t>
      </w:r>
      <w:r w:rsidRPr="001372D0">
        <w:t>. Abingdon: Routledge.</w:t>
      </w:r>
    </w:p>
    <w:p w14:paraId="4C06C86D" w14:textId="77777777" w:rsidR="00BF3379" w:rsidRDefault="00BF3379" w:rsidP="001372D0">
      <w:pPr>
        <w:spacing w:line="360" w:lineRule="auto"/>
      </w:pPr>
      <w:r w:rsidRPr="00BF3379">
        <w:t xml:space="preserve">Cisero. C. A, (2006). ‘Does Reflective Journal Writing Improve Course Performance?’. </w:t>
      </w:r>
      <w:r w:rsidRPr="00BF3379">
        <w:rPr>
          <w:i/>
          <w:iCs/>
        </w:rPr>
        <w:t>College Teaching</w:t>
      </w:r>
      <w:r w:rsidRPr="00BF3379">
        <w:t xml:space="preserve">. Vol: 54(2). Pp. 231-236. Accessed: 29/07/2020. Available at: </w:t>
      </w:r>
      <w:hyperlink r:id="rId7" w:history="1">
        <w:r w:rsidRPr="00910313">
          <w:rPr>
            <w:rStyle w:val="Hyperlink"/>
          </w:rPr>
          <w:t>https://www.jstor.org/stable/pdf/27559272.pdf?refreqid=excelsior%3A69cedbddc91b9415b8ead02c2a0123dd</w:t>
        </w:r>
      </w:hyperlink>
    </w:p>
    <w:p w14:paraId="3B43C887" w14:textId="77777777" w:rsidR="001372D0" w:rsidRDefault="001372D0" w:rsidP="001372D0">
      <w:pPr>
        <w:spacing w:line="360" w:lineRule="auto"/>
      </w:pPr>
      <w:r w:rsidRPr="001372D0">
        <w:t xml:space="preserve">Connell. R. W, (2017). </w:t>
      </w:r>
      <w:r w:rsidRPr="001372D0">
        <w:rPr>
          <w:i/>
          <w:iCs/>
        </w:rPr>
        <w:t>Masculinities</w:t>
      </w:r>
      <w:r w:rsidRPr="001372D0">
        <w:t>. Cambridge: Polity Press.</w:t>
      </w:r>
    </w:p>
    <w:p w14:paraId="3270AF19" w14:textId="77777777" w:rsidR="00FC3DD0" w:rsidRDefault="00FC3DD0" w:rsidP="001372D0">
      <w:pPr>
        <w:spacing w:line="360" w:lineRule="auto"/>
      </w:pPr>
      <w:r>
        <w:t xml:space="preserve">DeWalts. K. M and DeWalt. B. R, (2002). </w:t>
      </w:r>
      <w:r w:rsidRPr="00BF3379">
        <w:rPr>
          <w:i/>
          <w:iCs/>
        </w:rPr>
        <w:t>Participant Observation: A Guide for Fieldworkers</w:t>
      </w:r>
      <w:r>
        <w:t>. Oxford: Altamira Press.</w:t>
      </w:r>
    </w:p>
    <w:p w14:paraId="27FA1392" w14:textId="77777777" w:rsidR="00FC3DD0" w:rsidRDefault="00FC3DD0" w:rsidP="001372D0">
      <w:pPr>
        <w:spacing w:line="360" w:lineRule="auto"/>
      </w:pPr>
      <w:r>
        <w:t xml:space="preserve">du Toit. B. M, (1980). ‘Ethics, Informed Consent, and Fieldwork’. </w:t>
      </w:r>
      <w:r w:rsidRPr="00BF3379">
        <w:rPr>
          <w:i/>
          <w:iCs/>
        </w:rPr>
        <w:t>Journal of Anthropological Research</w:t>
      </w:r>
      <w:r>
        <w:t xml:space="preserve">. Vol: 36(3). Pp. 274-286. Accessed: 28/06/2020. Available at: </w:t>
      </w:r>
      <w:hyperlink r:id="rId8" w:history="1">
        <w:r w:rsidRPr="00910313">
          <w:rPr>
            <w:rStyle w:val="Hyperlink"/>
          </w:rPr>
          <w:t>https://www.jstor.org/stable/pdf/3629524.pdf</w:t>
        </w:r>
      </w:hyperlink>
    </w:p>
    <w:p w14:paraId="3FCD9870" w14:textId="77777777" w:rsidR="00BF3379" w:rsidRDefault="00BF3379" w:rsidP="001372D0">
      <w:pPr>
        <w:spacing w:line="360" w:lineRule="auto"/>
      </w:pPr>
      <w:r>
        <w:t xml:space="preserve">Gonzalez. N. L, (1984). ‘Rethinking the Consanguineal Household and Matrifocality’. </w:t>
      </w:r>
      <w:r w:rsidRPr="00BF3379">
        <w:rPr>
          <w:i/>
          <w:iCs/>
        </w:rPr>
        <w:t>Ethnology</w:t>
      </w:r>
      <w:r>
        <w:t xml:space="preserve">. Vol: 23(1). Pp. 1-12. Accessed: 28/07/2020. Available at: </w:t>
      </w:r>
      <w:hyperlink r:id="rId9" w:history="1">
        <w:r w:rsidRPr="00910313">
          <w:rPr>
            <w:rStyle w:val="Hyperlink"/>
          </w:rPr>
          <w:t>https://www.jstor.org/stable/pdf/3773389.pdf</w:t>
        </w:r>
      </w:hyperlink>
    </w:p>
    <w:p w14:paraId="50D9B7ED" w14:textId="048F7D77" w:rsidR="00597095" w:rsidRPr="00597095" w:rsidRDefault="001372D0" w:rsidP="001372D0">
      <w:pPr>
        <w:spacing w:line="360" w:lineRule="auto"/>
        <w:rPr>
          <w:color w:val="0563C1" w:themeColor="hyperlink"/>
          <w:u w:val="single"/>
        </w:rPr>
      </w:pPr>
      <w:r w:rsidRPr="001372D0">
        <w:lastRenderedPageBreak/>
        <w:t xml:space="preserve">Harvard Law Review. (1995). ‘Patriarchy Is Such a Drag: The Strategic Possibilities of a Postmodern Account of Gender’. </w:t>
      </w:r>
      <w:r w:rsidRPr="001372D0">
        <w:rPr>
          <w:i/>
          <w:iCs/>
        </w:rPr>
        <w:t>Harvard Law Review</w:t>
      </w:r>
      <w:r w:rsidRPr="001372D0">
        <w:t xml:space="preserve">. Vol:108(8). Pp. 1973-2008. Accessed: 01/08/2020. Available at: </w:t>
      </w:r>
      <w:hyperlink r:id="rId10" w:history="1">
        <w:r w:rsidRPr="00910313">
          <w:rPr>
            <w:rStyle w:val="Hyperlink"/>
          </w:rPr>
          <w:t>https://www.jstor.org/stable/pdf/1341950.pdf</w:t>
        </w:r>
      </w:hyperlink>
    </w:p>
    <w:p w14:paraId="46474892" w14:textId="6D7025FD" w:rsidR="00597095" w:rsidRDefault="00597095" w:rsidP="001372D0">
      <w:pPr>
        <w:spacing w:line="360" w:lineRule="auto"/>
      </w:pPr>
      <w:r>
        <w:t xml:space="preserve">Harris. D, (1995). ‘The Aesthetic of Drag’. </w:t>
      </w:r>
      <w:r w:rsidR="00247DDA" w:rsidRPr="006216BC">
        <w:rPr>
          <w:i/>
          <w:iCs/>
        </w:rPr>
        <w:t>Salmagundi.</w:t>
      </w:r>
      <w:r w:rsidR="00247DDA">
        <w:t xml:space="preserve"> Vol: 108. Pp. 62-74. Accessed: 01/08/2020. Available at: </w:t>
      </w:r>
      <w:hyperlink r:id="rId11" w:history="1">
        <w:r w:rsidR="006216BC" w:rsidRPr="00130C29">
          <w:rPr>
            <w:rStyle w:val="Hyperlink"/>
          </w:rPr>
          <w:t>https://www.jstor.org/stable/40548841?seq=1</w:t>
        </w:r>
      </w:hyperlink>
    </w:p>
    <w:p w14:paraId="2402A550" w14:textId="0FCCFE5F" w:rsidR="001372D0" w:rsidRDefault="001372D0" w:rsidP="001372D0">
      <w:pPr>
        <w:spacing w:line="360" w:lineRule="auto"/>
      </w:pPr>
      <w:r w:rsidRPr="001372D0">
        <w:t xml:space="preserve">Hornby. R, (1996). ‘Cross-Gender Casting’ </w:t>
      </w:r>
      <w:r w:rsidRPr="001372D0">
        <w:rPr>
          <w:i/>
          <w:iCs/>
        </w:rPr>
        <w:t>The Hudson Review</w:t>
      </w:r>
      <w:r w:rsidRPr="001372D0">
        <w:t xml:space="preserve">. Vol: 48(4). Pp. 641-648. Accessed: 29/07/2020, Available at: </w:t>
      </w:r>
      <w:hyperlink r:id="rId12" w:history="1">
        <w:r w:rsidRPr="00910313">
          <w:rPr>
            <w:rStyle w:val="Hyperlink"/>
          </w:rPr>
          <w:t>https://www.jstor.org/stable/pdf/3852010.pdf?refreqid=excelsior%3A78e0ad5fcdd4b31a52824752b1b63d14</w:t>
        </w:r>
      </w:hyperlink>
    </w:p>
    <w:p w14:paraId="148CB373" w14:textId="77777777" w:rsidR="00BF3379" w:rsidRDefault="00BF3379" w:rsidP="001372D0">
      <w:pPr>
        <w:spacing w:line="360" w:lineRule="auto"/>
      </w:pPr>
      <w:r>
        <w:t xml:space="preserve">Ibsen. C. A and Klobus. P. (1972). ‘Fictive Kin Term Use and Social Relationships: Alternative Interpretations’. </w:t>
      </w:r>
      <w:r w:rsidRPr="00BF3379">
        <w:rPr>
          <w:i/>
          <w:iCs/>
        </w:rPr>
        <w:t>Journal of Marriage and Family</w:t>
      </w:r>
      <w:r>
        <w:t xml:space="preserve">. Vol: 34(4). Pp. 615:620. Accessed: 24/07/2020. Available at: </w:t>
      </w:r>
      <w:hyperlink r:id="rId13" w:history="1">
        <w:r w:rsidRPr="00910313">
          <w:rPr>
            <w:rStyle w:val="Hyperlink"/>
          </w:rPr>
          <w:t>https://www.jstor.org/stable/pdf/350312.pdf?refreqid=excelsior%3A473e20957391eac4573d23da5199dd4d</w:t>
        </w:r>
      </w:hyperlink>
    </w:p>
    <w:p w14:paraId="74CCFDE5" w14:textId="77777777" w:rsidR="00FC3DD0" w:rsidRDefault="00FC3DD0" w:rsidP="001372D0">
      <w:pPr>
        <w:spacing w:line="360" w:lineRule="auto"/>
      </w:pPr>
      <w:r>
        <w:t xml:space="preserve">Jorgensen. J. G, (1971). ‘On Ethics and Anthropology’. </w:t>
      </w:r>
      <w:r w:rsidRPr="00BF3379">
        <w:rPr>
          <w:i/>
          <w:iCs/>
        </w:rPr>
        <w:t>Current Anthropology</w:t>
      </w:r>
      <w:r>
        <w:t xml:space="preserve">. Vol: 12(3). Pp. 321-334. Accessed: 22/05/2020. Available at: </w:t>
      </w:r>
      <w:hyperlink r:id="rId14" w:history="1">
        <w:r w:rsidRPr="00910313">
          <w:rPr>
            <w:rStyle w:val="Hyperlink"/>
          </w:rPr>
          <w:t>https://www.jstor.org/stable/pdf/2741047.pdf?refreqid=excelsior%3Addcae0aa2ffb93615a6c44e8043ae1f5</w:t>
        </w:r>
      </w:hyperlink>
    </w:p>
    <w:p w14:paraId="77352017" w14:textId="77777777" w:rsidR="00FC3DD0" w:rsidRDefault="00FC3DD0" w:rsidP="001372D0">
      <w:pPr>
        <w:spacing w:line="360" w:lineRule="auto"/>
      </w:pPr>
      <w:r>
        <w:t xml:space="preserve">Kennedy. M. M, (1984). ‘Assessing the Validity of Qualitative Data’. </w:t>
      </w:r>
      <w:r w:rsidRPr="00BF3379">
        <w:rPr>
          <w:i/>
          <w:iCs/>
        </w:rPr>
        <w:t>Education Evaluation and Policy analysis</w:t>
      </w:r>
      <w:r>
        <w:t xml:space="preserve">. Vol: 6(4). Pp. 367-377. Accessed: 16/01/2020. Available at: </w:t>
      </w:r>
      <w:hyperlink r:id="rId15" w:history="1">
        <w:r w:rsidRPr="00910313">
          <w:rPr>
            <w:rStyle w:val="Hyperlink"/>
          </w:rPr>
          <w:t>https://www.jstor.org/stable/pdf/1163976.pdf?ab_segments=0%2Fbasic_SYC-4946%2Fcontrol&amp;refreqid=search%3A9a42d132d56032dd80107b6314842447</w:t>
        </w:r>
      </w:hyperlink>
    </w:p>
    <w:p w14:paraId="4C1D13C2" w14:textId="77777777" w:rsidR="00BF3379" w:rsidRDefault="00BF3379" w:rsidP="001372D0">
      <w:pPr>
        <w:spacing w:line="360" w:lineRule="auto"/>
      </w:pPr>
      <w:r w:rsidRPr="00BF3379">
        <w:t xml:space="preserve">Kronenfeld. D. B, (2012), ‘What kinship is not – Schneider, Sahlins, and Shapiro’ </w:t>
      </w:r>
      <w:r w:rsidRPr="00BF3379">
        <w:rPr>
          <w:i/>
          <w:iCs/>
        </w:rPr>
        <w:t>The Journal of the Royal Anthropological Institute</w:t>
      </w:r>
      <w:r w:rsidRPr="00BF3379">
        <w:t xml:space="preserve">, Vol:18(3), pp. 678-680. Accessed: 07/02/2020. Available at: </w:t>
      </w:r>
      <w:hyperlink r:id="rId16" w:history="1">
        <w:r w:rsidRPr="00910313">
          <w:rPr>
            <w:rStyle w:val="Hyperlink"/>
          </w:rPr>
          <w:t>https://www.jstor.org/stable/pdf/23321396.pdf?refreqid=excelsior%3Adffd22843621af47c477e5021361de8a</w:t>
        </w:r>
      </w:hyperlink>
    </w:p>
    <w:p w14:paraId="128BC7A1" w14:textId="77777777" w:rsidR="00FC3DD0" w:rsidRDefault="00FC3DD0" w:rsidP="001372D0">
      <w:pPr>
        <w:spacing w:line="360" w:lineRule="auto"/>
      </w:pPr>
      <w:r>
        <w:t xml:space="preserve">LeCompte. M. D, (1987). ‘Bias in the Biography: Bias and Subjectivity in Ethnographic Research’. </w:t>
      </w:r>
      <w:r w:rsidRPr="00BF3379">
        <w:rPr>
          <w:i/>
          <w:iCs/>
        </w:rPr>
        <w:t>Anthropology &amp; Education Quarterly</w:t>
      </w:r>
      <w:r>
        <w:t xml:space="preserve">. Vol: 18(1). Pp. 43-52. Accessed: 25/06/2020. Available at: </w:t>
      </w:r>
      <w:hyperlink r:id="rId17" w:history="1">
        <w:r w:rsidRPr="00910313">
          <w:rPr>
            <w:rStyle w:val="Hyperlink"/>
          </w:rPr>
          <w:t>https://www.jstor.org/stable/3216340</w:t>
        </w:r>
      </w:hyperlink>
    </w:p>
    <w:p w14:paraId="17763046" w14:textId="77777777" w:rsidR="00FC3DD0" w:rsidRDefault="00FC3DD0" w:rsidP="001372D0">
      <w:pPr>
        <w:spacing w:line="360" w:lineRule="auto"/>
      </w:pPr>
      <w:r>
        <w:t xml:space="preserve">Lincoln. Y and Guba. E, (1985). </w:t>
      </w:r>
      <w:r w:rsidRPr="00BF3379">
        <w:rPr>
          <w:i/>
          <w:iCs/>
        </w:rPr>
        <w:t>Naturalistic Inquiry</w:t>
      </w:r>
      <w:r>
        <w:t>. California: Sage Publishing.</w:t>
      </w:r>
    </w:p>
    <w:p w14:paraId="2C26BD88" w14:textId="0D07FEFA" w:rsidR="00BF3379" w:rsidRDefault="00BF3379" w:rsidP="001372D0">
      <w:pPr>
        <w:spacing w:line="360" w:lineRule="auto"/>
      </w:pPr>
      <w:r>
        <w:lastRenderedPageBreak/>
        <w:t xml:space="preserve">Manning. S, (2014). ‘Performance’, in Bruce. B and Hendler. G, (2nd ed.) </w:t>
      </w:r>
      <w:r w:rsidRPr="00BF3379">
        <w:rPr>
          <w:i/>
          <w:iCs/>
        </w:rPr>
        <w:t>Keywords for American Cultural Studies.</w:t>
      </w:r>
      <w:r>
        <w:t xml:space="preserve"> Manhattan: NYU Press.</w:t>
      </w:r>
    </w:p>
    <w:p w14:paraId="06CD7A31" w14:textId="2971594B" w:rsidR="00A427C6" w:rsidRDefault="00A427C6" w:rsidP="001372D0">
      <w:pPr>
        <w:spacing w:line="360" w:lineRule="auto"/>
      </w:pPr>
      <w:r>
        <w:t xml:space="preserve">McDermott. E, Roen. K and Scourfield. J, (2008). ‘Avoiding Shame: Young LGBT People, Homophobia and Self-Destructive Behaviours’. </w:t>
      </w:r>
      <w:r w:rsidRPr="0099039B">
        <w:rPr>
          <w:i/>
          <w:iCs/>
        </w:rPr>
        <w:t>Health &amp; Sexuality</w:t>
      </w:r>
      <w:r>
        <w:t>. Vol: 10 (8)</w:t>
      </w:r>
      <w:r w:rsidR="00DB3B69">
        <w:t xml:space="preserve">. Pp. 815-829. Accessed: 21/06/2020. Available at: </w:t>
      </w:r>
      <w:bookmarkStart w:id="8" w:name="_GoBack"/>
      <w:bookmarkEnd w:id="8"/>
      <w:r w:rsidR="0099039B">
        <w:fldChar w:fldCharType="begin"/>
      </w:r>
      <w:r w:rsidR="0099039B">
        <w:instrText xml:space="preserve"> HYPERLINK "https://www.jstor.org/stable/pdf/20461068.pdf?refreqid=excelsior%3Ae14d2bd8523fcf4514ccdf6f0c6e34c9" </w:instrText>
      </w:r>
      <w:r w:rsidR="0099039B">
        <w:fldChar w:fldCharType="separate"/>
      </w:r>
      <w:r w:rsidR="00F75E45" w:rsidRPr="00130C29">
        <w:rPr>
          <w:rStyle w:val="Hyperlink"/>
        </w:rPr>
        <w:t>https://www.jstor.org/stable/pdf/20461068.pdf?refreqid=excelsior%3Ae14d2bd8523fcf4514ccdf6f0c6e34c9</w:t>
      </w:r>
      <w:r w:rsidR="0099039B">
        <w:rPr>
          <w:rStyle w:val="Hyperlink"/>
        </w:rPr>
        <w:fldChar w:fldCharType="end"/>
      </w:r>
    </w:p>
    <w:p w14:paraId="6541C48C" w14:textId="77777777" w:rsidR="00BF3379" w:rsidRDefault="00BF3379" w:rsidP="001372D0">
      <w:pPr>
        <w:spacing w:line="360" w:lineRule="auto"/>
      </w:pPr>
      <w:r>
        <w:t xml:space="preserve">Mencarelli. R and Mathilde. P, (2006). ‘Positioning the Supply of Live Performance: Innovative Managerial Practices Relating to the Interaction of Spectator, Performance and Venue’. </w:t>
      </w:r>
      <w:r w:rsidRPr="00BF3379">
        <w:rPr>
          <w:i/>
          <w:iCs/>
        </w:rPr>
        <w:t>International Journal of Arts Management.</w:t>
      </w:r>
      <w:r>
        <w:t xml:space="preserve"> Vol: 8(3). Pp. 1-21. Accessed: 30/07/2020. Available at: </w:t>
      </w:r>
      <w:hyperlink r:id="rId18" w:history="1">
        <w:r w:rsidRPr="00910313">
          <w:rPr>
            <w:rStyle w:val="Hyperlink"/>
          </w:rPr>
          <w:t>https://www.researchgate.net/publication/5086963_Positioning_the_Supply_of_Live_Performance_Innovative_Managerial_Practices_Relating_to_the_Interaction_of_Spectator_Performance_and_Venue</w:t>
        </w:r>
      </w:hyperlink>
    </w:p>
    <w:p w14:paraId="271E2D44" w14:textId="77777777" w:rsidR="001372D0" w:rsidRDefault="001372D0" w:rsidP="001372D0">
      <w:pPr>
        <w:spacing w:line="360" w:lineRule="auto"/>
      </w:pPr>
      <w:r w:rsidRPr="001372D0">
        <w:t xml:space="preserve">Nicoll. F. J, (2001). </w:t>
      </w:r>
      <w:r w:rsidRPr="001372D0">
        <w:rPr>
          <w:i/>
          <w:iCs/>
        </w:rPr>
        <w:t>From Diggers to Drag Queens</w:t>
      </w:r>
      <w:r w:rsidRPr="001372D0">
        <w:t>. London: King Street Press.</w:t>
      </w:r>
    </w:p>
    <w:p w14:paraId="4BBB4D96" w14:textId="77777777" w:rsidR="00BF3379" w:rsidRDefault="00BF3379" w:rsidP="001372D0">
      <w:pPr>
        <w:spacing w:line="360" w:lineRule="auto"/>
      </w:pPr>
      <w:r w:rsidRPr="00BF3379">
        <w:t xml:space="preserve">Norbeck. E and Befu. H, (1958). ‘Informal Fictive Kinship in Japan’. </w:t>
      </w:r>
      <w:r w:rsidRPr="00BF3379">
        <w:rPr>
          <w:i/>
          <w:iCs/>
        </w:rPr>
        <w:t>American Anthropologist</w:t>
      </w:r>
      <w:r w:rsidRPr="00BF3379">
        <w:t xml:space="preserve">. Vol: 60(1). Pp. 102-117. Accessed: 28/07/2020. </w:t>
      </w:r>
      <w:hyperlink r:id="rId19" w:history="1">
        <w:r w:rsidRPr="00910313">
          <w:rPr>
            <w:rStyle w:val="Hyperlink"/>
          </w:rPr>
          <w:t>https://www.jstor.org/stable/pdf/665610.pdf?refreqid=excelsior%3A44073f0034789a51ea69e4ec4590aba8</w:t>
        </w:r>
      </w:hyperlink>
    </w:p>
    <w:p w14:paraId="6B9C630F" w14:textId="77777777" w:rsidR="00FC3DD0" w:rsidRDefault="00FC3DD0" w:rsidP="001372D0">
      <w:pPr>
        <w:spacing w:line="360" w:lineRule="auto"/>
      </w:pPr>
      <w:r>
        <w:t xml:space="preserve">Okely. J, (2012). </w:t>
      </w:r>
      <w:r w:rsidRPr="00BF3379">
        <w:rPr>
          <w:i/>
          <w:iCs/>
        </w:rPr>
        <w:t>Anthropological Practice: Fieldwork and the Ethnographic Method</w:t>
      </w:r>
      <w:r>
        <w:t>. London: Berg.</w:t>
      </w:r>
    </w:p>
    <w:p w14:paraId="6991220B" w14:textId="657A952F" w:rsidR="00FC3DD0" w:rsidRDefault="00FC3DD0" w:rsidP="001372D0">
      <w:pPr>
        <w:spacing w:line="360" w:lineRule="auto"/>
      </w:pPr>
      <w:r>
        <w:t xml:space="preserve">Palmer. V. M, (1928). </w:t>
      </w:r>
      <w:r w:rsidRPr="00BF3379">
        <w:rPr>
          <w:i/>
          <w:iCs/>
        </w:rPr>
        <w:t>Field Studies in Sociology: a Students Manual</w:t>
      </w:r>
      <w:r>
        <w:t>. Chicago: University of Chicago Press.</w:t>
      </w:r>
    </w:p>
    <w:p w14:paraId="2ABA22EA" w14:textId="7BBF67DC" w:rsidR="00ED4759" w:rsidRDefault="00ED4759" w:rsidP="001372D0">
      <w:pPr>
        <w:spacing w:line="360" w:lineRule="auto"/>
      </w:pPr>
      <w:r>
        <w:t xml:space="preserve">Paoletti. J. B, (1987). ‘Clothing and Gender in America: Children’s Fashions, 1890-1920’. </w:t>
      </w:r>
      <w:r w:rsidRPr="006216BC">
        <w:rPr>
          <w:i/>
          <w:iCs/>
        </w:rPr>
        <w:t>Signs.</w:t>
      </w:r>
      <w:r>
        <w:t xml:space="preserve"> Vol:13(1). </w:t>
      </w:r>
      <w:r w:rsidR="001A69AD">
        <w:t xml:space="preserve">Pp. 136-143. Accessed: 24/07/2020. Available at: </w:t>
      </w:r>
      <w:hyperlink r:id="rId20" w:history="1">
        <w:r w:rsidR="00A0022A" w:rsidRPr="00130C29">
          <w:rPr>
            <w:rStyle w:val="Hyperlink"/>
          </w:rPr>
          <w:t>https://www.jstor.org/stable/pdf/3174031.pdf</w:t>
        </w:r>
      </w:hyperlink>
    </w:p>
    <w:p w14:paraId="7FD3F9E7" w14:textId="77777777" w:rsidR="001372D0" w:rsidRDefault="001372D0" w:rsidP="001372D0">
      <w:pPr>
        <w:spacing w:line="360" w:lineRule="auto"/>
      </w:pPr>
      <w:r w:rsidRPr="001372D0">
        <w:t xml:space="preserve">Parsons. S. F, (2002). </w:t>
      </w:r>
      <w:r w:rsidRPr="001372D0">
        <w:rPr>
          <w:i/>
          <w:iCs/>
        </w:rPr>
        <w:t>The Ethics of Gender</w:t>
      </w:r>
      <w:r w:rsidRPr="001372D0">
        <w:t>. Oxford: Blackwell Publishers.</w:t>
      </w:r>
    </w:p>
    <w:p w14:paraId="02270111" w14:textId="77777777" w:rsidR="00BF3379" w:rsidRDefault="00BF3379" w:rsidP="001372D0">
      <w:pPr>
        <w:spacing w:line="360" w:lineRule="auto"/>
      </w:pPr>
      <w:r w:rsidRPr="00BF3379">
        <w:t xml:space="preserve">Pitts. S. E, (2005). ‘What Makes an Audience? Investigating the Roles and Experiences of Listeners at Chamber Music Festival’ </w:t>
      </w:r>
      <w:r w:rsidRPr="00BF3379">
        <w:rPr>
          <w:i/>
          <w:iCs/>
        </w:rPr>
        <w:t>Music &amp; Letters</w:t>
      </w:r>
      <w:r w:rsidRPr="00BF3379">
        <w:t xml:space="preserve">. Vol: 86(2). Pp. 257-269. Accessed: 29/07/2020. Available at: </w:t>
      </w:r>
      <w:hyperlink r:id="rId21" w:history="1">
        <w:r w:rsidRPr="00910313">
          <w:rPr>
            <w:rStyle w:val="Hyperlink"/>
          </w:rPr>
          <w:t>https://www.jstor.org/stable/pdf/3526537.pdf</w:t>
        </w:r>
      </w:hyperlink>
    </w:p>
    <w:p w14:paraId="2D609D41" w14:textId="77777777" w:rsidR="00FC3DD0" w:rsidRDefault="00FC3DD0" w:rsidP="001372D0">
      <w:pPr>
        <w:spacing w:line="360" w:lineRule="auto"/>
      </w:pPr>
      <w:r>
        <w:t xml:space="preserve">Reeves. S, Kuper. A and Hodges. B. D, (2008), ‘Qualitative Research: Qualitative Research Methodologies: Ethnography’. </w:t>
      </w:r>
      <w:r w:rsidRPr="00BF3379">
        <w:rPr>
          <w:i/>
          <w:iCs/>
        </w:rPr>
        <w:t>British Medical Journal</w:t>
      </w:r>
      <w:r>
        <w:t xml:space="preserve">. Vol: 337(7668). Pp. 512-514. Accessed: 22/01/2020. Available at: </w:t>
      </w:r>
      <w:hyperlink r:id="rId22" w:history="1">
        <w:r w:rsidRPr="00910313">
          <w:rPr>
            <w:rStyle w:val="Hyperlink"/>
          </w:rPr>
          <w:t>https://www.jstor.org/stable/pdf/20510696.pdf?ab_segments=0%2Fbasic_SYC-4946%2Fcontrol&amp;refreqid=search%3Aed44b0c3e83fae1288d7e03ad3d00642</w:t>
        </w:r>
      </w:hyperlink>
    </w:p>
    <w:p w14:paraId="6E7D834E" w14:textId="77777777" w:rsidR="001372D0" w:rsidRDefault="001372D0" w:rsidP="001372D0">
      <w:pPr>
        <w:spacing w:line="360" w:lineRule="auto"/>
      </w:pPr>
      <w:r w:rsidRPr="001372D0">
        <w:t xml:space="preserve">Rupp. L and Taylor. V, (2003). </w:t>
      </w:r>
      <w:r w:rsidRPr="001372D0">
        <w:rPr>
          <w:i/>
          <w:iCs/>
        </w:rPr>
        <w:t>Drag queens at the 801 cabaret</w:t>
      </w:r>
      <w:r w:rsidRPr="001372D0">
        <w:t>. Chicago: University of Chicago Press.</w:t>
      </w:r>
    </w:p>
    <w:p w14:paraId="60233D1F" w14:textId="77777777" w:rsidR="001372D0" w:rsidRDefault="001372D0" w:rsidP="001372D0">
      <w:pPr>
        <w:spacing w:line="360" w:lineRule="auto"/>
      </w:pPr>
      <w:r w:rsidRPr="001372D0">
        <w:t xml:space="preserve">Sahlins. M, (2011), ‘What kinship is (part one)’ </w:t>
      </w:r>
      <w:r w:rsidRPr="001372D0">
        <w:rPr>
          <w:i/>
          <w:iCs/>
        </w:rPr>
        <w:t>The Journal of the Royal Anthropological Institute</w:t>
      </w:r>
      <w:r w:rsidRPr="001372D0">
        <w:t xml:space="preserve">, Vol: 1(1), pp. 2-19 Accessed: 01/02/2020 Available at: </w:t>
      </w:r>
      <w:hyperlink r:id="rId23" w:history="1">
        <w:r w:rsidRPr="00910313">
          <w:rPr>
            <w:rStyle w:val="Hyperlink"/>
          </w:rPr>
          <w:t>https://www.jstor.org/stable/pdf/23011568.pdf?refreqid=excelsior%3A91908a5565e7da018813dc0a03f3ad7d</w:t>
        </w:r>
      </w:hyperlink>
    </w:p>
    <w:p w14:paraId="42ECBCC8" w14:textId="77777777" w:rsidR="001372D0" w:rsidRDefault="00FC3DD0" w:rsidP="001372D0">
      <w:pPr>
        <w:spacing w:line="360" w:lineRule="auto"/>
      </w:pPr>
      <w:r>
        <w:t xml:space="preserve">Salzman. P. C, (2002). ‘On Reflexivity’. </w:t>
      </w:r>
      <w:r w:rsidRPr="00BF3379">
        <w:rPr>
          <w:i/>
          <w:iCs/>
        </w:rPr>
        <w:t>American Anthropologist</w:t>
      </w:r>
      <w:r>
        <w:t xml:space="preserve">. Vol: 104(3). Pp. 805-813. Accessed: 21/07/2020. Available at: </w:t>
      </w:r>
      <w:hyperlink r:id="rId24" w:history="1">
        <w:r w:rsidRPr="00910313">
          <w:rPr>
            <w:rStyle w:val="Hyperlink"/>
          </w:rPr>
          <w:t>https://www.jstor.org/stable/pdf/3567258.pdf</w:t>
        </w:r>
      </w:hyperlink>
    </w:p>
    <w:p w14:paraId="0F131B6D" w14:textId="77777777" w:rsidR="00BF3379" w:rsidRDefault="00BF3379" w:rsidP="001372D0">
      <w:pPr>
        <w:spacing w:line="360" w:lineRule="auto"/>
      </w:pPr>
      <w:r w:rsidRPr="00BF3379">
        <w:t xml:space="preserve">Schechner. R, (1990). ‘ Behavior, Performance and Performance Space’. </w:t>
      </w:r>
      <w:r w:rsidRPr="00BF3379">
        <w:rPr>
          <w:i/>
          <w:iCs/>
        </w:rPr>
        <w:t>Perspecta</w:t>
      </w:r>
      <w:r w:rsidRPr="00BF3379">
        <w:t xml:space="preserve">. Vol: 26. Pp. 97-102. Accessed: 30/07/2020. Available at: </w:t>
      </w:r>
      <w:hyperlink r:id="rId25" w:history="1">
        <w:r w:rsidRPr="00910313">
          <w:rPr>
            <w:rStyle w:val="Hyperlink"/>
          </w:rPr>
          <w:t>https://www.jstor.org/stable/pdf/1567156.pdf</w:t>
        </w:r>
      </w:hyperlink>
    </w:p>
    <w:p w14:paraId="6B0FE51C" w14:textId="77777777" w:rsidR="001372D0" w:rsidRDefault="001372D0" w:rsidP="001372D0">
      <w:pPr>
        <w:spacing w:line="360" w:lineRule="auto"/>
      </w:pPr>
      <w:r w:rsidRPr="001372D0">
        <w:t xml:space="preserve">Schneider. B. E, (1993), ‘Families We Choose: Lesbians, Gays, Kinship. By Kath Weston’ </w:t>
      </w:r>
      <w:r w:rsidRPr="001372D0">
        <w:rPr>
          <w:i/>
          <w:iCs/>
        </w:rPr>
        <w:t>American Journal of Sociology</w:t>
      </w:r>
      <w:r w:rsidRPr="001372D0">
        <w:t xml:space="preserve">. Vol: 99(2). Pp. 540-542. Accessed: 26/07/2020. Available at: </w:t>
      </w:r>
      <w:hyperlink r:id="rId26" w:history="1">
        <w:r w:rsidRPr="00910313">
          <w:rPr>
            <w:rStyle w:val="Hyperlink"/>
          </w:rPr>
          <w:t>https://www.jstor.org/stable/pdf/2781721.pdf</w:t>
        </w:r>
      </w:hyperlink>
    </w:p>
    <w:p w14:paraId="5BD54C12" w14:textId="77777777" w:rsidR="001372D0" w:rsidRDefault="001372D0" w:rsidP="001372D0">
      <w:pPr>
        <w:spacing w:line="360" w:lineRule="auto"/>
      </w:pPr>
      <w:r w:rsidRPr="001372D0">
        <w:t xml:space="preserve">Shapiro. E, (2007). ‘Drag Kinging and the Transformation of Gender Identities’. </w:t>
      </w:r>
      <w:r w:rsidRPr="001372D0">
        <w:rPr>
          <w:i/>
          <w:iCs/>
        </w:rPr>
        <w:t>Gender and Society.</w:t>
      </w:r>
      <w:r w:rsidRPr="001372D0">
        <w:t xml:space="preserve"> Vol: 21(2). Pp. 250-271.</w:t>
      </w:r>
      <w:r>
        <w:t xml:space="preserve"> Accessed: 24/07/2020. Available at: </w:t>
      </w:r>
      <w:hyperlink r:id="rId27" w:history="1">
        <w:r w:rsidRPr="00910313">
          <w:rPr>
            <w:rStyle w:val="Hyperlink"/>
          </w:rPr>
          <w:t>https://www.jstor.org/stable/pdf/27640961.pdf</w:t>
        </w:r>
      </w:hyperlink>
    </w:p>
    <w:p w14:paraId="20D433C5" w14:textId="77777777" w:rsidR="00FC3DD0" w:rsidRDefault="00FC3DD0" w:rsidP="001372D0">
      <w:pPr>
        <w:spacing w:line="360" w:lineRule="auto"/>
      </w:pPr>
      <w:r>
        <w:t xml:space="preserve">Skinner. J, (2012). </w:t>
      </w:r>
      <w:r w:rsidRPr="00BF3379">
        <w:rPr>
          <w:i/>
          <w:iCs/>
        </w:rPr>
        <w:t>The</w:t>
      </w:r>
      <w:r>
        <w:t xml:space="preserve"> </w:t>
      </w:r>
      <w:r w:rsidRPr="00BF3379">
        <w:rPr>
          <w:i/>
          <w:iCs/>
        </w:rPr>
        <w:t>Interview: An Ethnographic Approach</w:t>
      </w:r>
      <w:r>
        <w:t>. London: Berg.</w:t>
      </w:r>
    </w:p>
    <w:p w14:paraId="07D2CF42" w14:textId="77777777" w:rsidR="00FC3DD0" w:rsidRDefault="00FC3DD0" w:rsidP="001372D0">
      <w:pPr>
        <w:spacing w:line="360" w:lineRule="auto"/>
      </w:pPr>
      <w:r>
        <w:t xml:space="preserve">Sluka. J. A, (1990). ‘Participant Observation in Violent Social Contexts’. </w:t>
      </w:r>
      <w:r w:rsidRPr="00BF3379">
        <w:rPr>
          <w:i/>
          <w:iCs/>
        </w:rPr>
        <w:t>Human Organization</w:t>
      </w:r>
      <w:r>
        <w:t xml:space="preserve">. Vol: 49(2). Pp. 114-126. Accessed: 24/06/2020. Available at: </w:t>
      </w:r>
      <w:hyperlink r:id="rId28" w:history="1">
        <w:r w:rsidRPr="00910313">
          <w:rPr>
            <w:rStyle w:val="Hyperlink"/>
          </w:rPr>
          <w:t>https://www.jstor.org/stable/44126442</w:t>
        </w:r>
      </w:hyperlink>
    </w:p>
    <w:p w14:paraId="3D65BD6A" w14:textId="77777777" w:rsidR="00FC3DD0" w:rsidRDefault="00FC3DD0" w:rsidP="001372D0">
      <w:pPr>
        <w:spacing w:line="360" w:lineRule="auto"/>
      </w:pPr>
      <w:r>
        <w:t xml:space="preserve">Spiggle. S, (1994). ‘Analysis and Interpretation of Qualitative Data in Consumer Research’. </w:t>
      </w:r>
      <w:r w:rsidRPr="00BF3379">
        <w:rPr>
          <w:i/>
          <w:iCs/>
        </w:rPr>
        <w:t>Journal of Consumer Research</w:t>
      </w:r>
      <w:r>
        <w:t xml:space="preserve">. Vol: 21(3). Pp. 491-503. Accessed: 27/07/2020. Available at: </w:t>
      </w:r>
      <w:hyperlink r:id="rId29" w:history="1">
        <w:r w:rsidRPr="00910313">
          <w:rPr>
            <w:rStyle w:val="Hyperlink"/>
          </w:rPr>
          <w:t>https://www.jstor.org/stable/pdf/2489688.pdf?refreqid=excelsior%3Add13aa187f3425cb9d68610da6ee19df</w:t>
        </w:r>
      </w:hyperlink>
    </w:p>
    <w:p w14:paraId="03206C52" w14:textId="77777777" w:rsidR="00FC3DD0" w:rsidRDefault="00FC3DD0" w:rsidP="001372D0">
      <w:pPr>
        <w:spacing w:line="360" w:lineRule="auto"/>
      </w:pPr>
      <w:r>
        <w:t xml:space="preserve">Stoelte. B. J, Fox. C. L and Olbrys. S, (1999). ‘The Self in “Fieldwork”: A Methodological Concern’. </w:t>
      </w:r>
      <w:r w:rsidRPr="00BF3379">
        <w:rPr>
          <w:i/>
          <w:iCs/>
        </w:rPr>
        <w:t>The Journal of American Folklore.</w:t>
      </w:r>
      <w:r>
        <w:t xml:space="preserve"> Vol: 112(444). Pp. 158-182. Accessed: 17/07/2020. Available at: </w:t>
      </w:r>
      <w:hyperlink r:id="rId30" w:history="1">
        <w:r w:rsidRPr="00910313">
          <w:rPr>
            <w:rStyle w:val="Hyperlink"/>
          </w:rPr>
          <w:t>https://www.jstor.org/stable/pdf/541947.pdf</w:t>
        </w:r>
      </w:hyperlink>
    </w:p>
    <w:p w14:paraId="0DE82CFB" w14:textId="77777777" w:rsidR="00BF3379" w:rsidRDefault="00BF3379" w:rsidP="001372D0">
      <w:pPr>
        <w:spacing w:line="360" w:lineRule="auto"/>
      </w:pPr>
      <w:r>
        <w:t xml:space="preserve">Thiong’o. N. W, (1997). ‘Enactments of Power: The Politics of Performance Space’. </w:t>
      </w:r>
      <w:r w:rsidRPr="00BF3379">
        <w:rPr>
          <w:i/>
          <w:iCs/>
        </w:rPr>
        <w:t>TDR</w:t>
      </w:r>
      <w:r>
        <w:t xml:space="preserve">. Vol: 41(3). Pp. 11-30. Accessed: 30/07/2020. Available at: </w:t>
      </w:r>
      <w:hyperlink r:id="rId31" w:history="1">
        <w:r w:rsidRPr="00910313">
          <w:rPr>
            <w:rStyle w:val="Hyperlink"/>
          </w:rPr>
          <w:t>https://www.jstor.org/stable/pdf/1146606.pdf</w:t>
        </w:r>
      </w:hyperlink>
    </w:p>
    <w:p w14:paraId="1F124C97" w14:textId="77777777" w:rsidR="00BF3379" w:rsidRPr="00FC3DD0" w:rsidRDefault="00BF3379" w:rsidP="001372D0">
      <w:pPr>
        <w:spacing w:line="360" w:lineRule="auto"/>
      </w:pPr>
      <w:r>
        <w:t xml:space="preserve">Turner. V, (1988). </w:t>
      </w:r>
      <w:r w:rsidRPr="00BF3379">
        <w:rPr>
          <w:i/>
          <w:iCs/>
        </w:rPr>
        <w:t>The Anthropology of Performance</w:t>
      </w:r>
      <w:r>
        <w:t>. New York: PAJ Publications.</w:t>
      </w:r>
    </w:p>
    <w:sectPr w:rsidR="00BF3379" w:rsidRPr="00FC3D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DD0"/>
    <w:rsid w:val="0000431A"/>
    <w:rsid w:val="000125D9"/>
    <w:rsid w:val="00042D82"/>
    <w:rsid w:val="00054969"/>
    <w:rsid w:val="000B34C7"/>
    <w:rsid w:val="000B76DB"/>
    <w:rsid w:val="000F599D"/>
    <w:rsid w:val="0010291A"/>
    <w:rsid w:val="00123332"/>
    <w:rsid w:val="001372D0"/>
    <w:rsid w:val="00161F8A"/>
    <w:rsid w:val="00185230"/>
    <w:rsid w:val="00187388"/>
    <w:rsid w:val="00190D34"/>
    <w:rsid w:val="001A69AD"/>
    <w:rsid w:val="001D4F86"/>
    <w:rsid w:val="001E334C"/>
    <w:rsid w:val="001F78EE"/>
    <w:rsid w:val="00247DDA"/>
    <w:rsid w:val="00286D29"/>
    <w:rsid w:val="002D41C7"/>
    <w:rsid w:val="002D560F"/>
    <w:rsid w:val="002E2F1F"/>
    <w:rsid w:val="0030290E"/>
    <w:rsid w:val="003B1FAC"/>
    <w:rsid w:val="003B40F9"/>
    <w:rsid w:val="003B436D"/>
    <w:rsid w:val="003D0232"/>
    <w:rsid w:val="003D0289"/>
    <w:rsid w:val="003D09BA"/>
    <w:rsid w:val="00411551"/>
    <w:rsid w:val="00416277"/>
    <w:rsid w:val="00435568"/>
    <w:rsid w:val="00441D29"/>
    <w:rsid w:val="00447C4B"/>
    <w:rsid w:val="004621AD"/>
    <w:rsid w:val="0047051E"/>
    <w:rsid w:val="004833C8"/>
    <w:rsid w:val="0048385E"/>
    <w:rsid w:val="00484585"/>
    <w:rsid w:val="004C63C4"/>
    <w:rsid w:val="004D6092"/>
    <w:rsid w:val="00502AA6"/>
    <w:rsid w:val="00502B02"/>
    <w:rsid w:val="0050747C"/>
    <w:rsid w:val="00524E55"/>
    <w:rsid w:val="0053675B"/>
    <w:rsid w:val="00544127"/>
    <w:rsid w:val="00544C23"/>
    <w:rsid w:val="00563AAC"/>
    <w:rsid w:val="005816F0"/>
    <w:rsid w:val="005945C3"/>
    <w:rsid w:val="00597095"/>
    <w:rsid w:val="005A1140"/>
    <w:rsid w:val="005A5074"/>
    <w:rsid w:val="005D306C"/>
    <w:rsid w:val="005F1B64"/>
    <w:rsid w:val="005F6435"/>
    <w:rsid w:val="00606ED8"/>
    <w:rsid w:val="00612EB3"/>
    <w:rsid w:val="00617D5F"/>
    <w:rsid w:val="006216BC"/>
    <w:rsid w:val="00626501"/>
    <w:rsid w:val="006770D9"/>
    <w:rsid w:val="006A3B25"/>
    <w:rsid w:val="006A5495"/>
    <w:rsid w:val="006C716B"/>
    <w:rsid w:val="006D5CE1"/>
    <w:rsid w:val="006E509C"/>
    <w:rsid w:val="006F0CC9"/>
    <w:rsid w:val="006F1B07"/>
    <w:rsid w:val="00730714"/>
    <w:rsid w:val="00732B89"/>
    <w:rsid w:val="007852E5"/>
    <w:rsid w:val="00787C95"/>
    <w:rsid w:val="007911B7"/>
    <w:rsid w:val="007C7643"/>
    <w:rsid w:val="007D5489"/>
    <w:rsid w:val="007D7C78"/>
    <w:rsid w:val="00825CF4"/>
    <w:rsid w:val="00832CEC"/>
    <w:rsid w:val="00846941"/>
    <w:rsid w:val="008504EF"/>
    <w:rsid w:val="008526C5"/>
    <w:rsid w:val="008553B7"/>
    <w:rsid w:val="00870DB3"/>
    <w:rsid w:val="008757AA"/>
    <w:rsid w:val="008D674B"/>
    <w:rsid w:val="008E1F28"/>
    <w:rsid w:val="0093274D"/>
    <w:rsid w:val="009420BE"/>
    <w:rsid w:val="0095382B"/>
    <w:rsid w:val="00983588"/>
    <w:rsid w:val="009877D8"/>
    <w:rsid w:val="0099039B"/>
    <w:rsid w:val="009A3B52"/>
    <w:rsid w:val="009C368D"/>
    <w:rsid w:val="00A0022A"/>
    <w:rsid w:val="00A21497"/>
    <w:rsid w:val="00A35ADC"/>
    <w:rsid w:val="00A36472"/>
    <w:rsid w:val="00A41243"/>
    <w:rsid w:val="00A427C6"/>
    <w:rsid w:val="00A64409"/>
    <w:rsid w:val="00AA52E8"/>
    <w:rsid w:val="00AD2EFA"/>
    <w:rsid w:val="00AF13A6"/>
    <w:rsid w:val="00AF6855"/>
    <w:rsid w:val="00B4104A"/>
    <w:rsid w:val="00B50C69"/>
    <w:rsid w:val="00B56524"/>
    <w:rsid w:val="00B65B9E"/>
    <w:rsid w:val="00B851C3"/>
    <w:rsid w:val="00BD0796"/>
    <w:rsid w:val="00BE2831"/>
    <w:rsid w:val="00BF3379"/>
    <w:rsid w:val="00C26FDC"/>
    <w:rsid w:val="00C403B6"/>
    <w:rsid w:val="00C42ABA"/>
    <w:rsid w:val="00C86B21"/>
    <w:rsid w:val="00CD3295"/>
    <w:rsid w:val="00CF4D28"/>
    <w:rsid w:val="00CF71E5"/>
    <w:rsid w:val="00D05490"/>
    <w:rsid w:val="00D702F3"/>
    <w:rsid w:val="00D87D5C"/>
    <w:rsid w:val="00DA164D"/>
    <w:rsid w:val="00DB3B69"/>
    <w:rsid w:val="00DC2395"/>
    <w:rsid w:val="00DD188D"/>
    <w:rsid w:val="00DF1400"/>
    <w:rsid w:val="00DF7A91"/>
    <w:rsid w:val="00E340E9"/>
    <w:rsid w:val="00E56700"/>
    <w:rsid w:val="00EA188E"/>
    <w:rsid w:val="00EC7221"/>
    <w:rsid w:val="00ED4759"/>
    <w:rsid w:val="00EF51EE"/>
    <w:rsid w:val="00F016BA"/>
    <w:rsid w:val="00F04532"/>
    <w:rsid w:val="00F05FFE"/>
    <w:rsid w:val="00F06A6B"/>
    <w:rsid w:val="00F12218"/>
    <w:rsid w:val="00F55807"/>
    <w:rsid w:val="00F63B4F"/>
    <w:rsid w:val="00F64F0F"/>
    <w:rsid w:val="00F75E45"/>
    <w:rsid w:val="00F97485"/>
    <w:rsid w:val="00FA7391"/>
    <w:rsid w:val="00FA74AA"/>
    <w:rsid w:val="00FA74CA"/>
    <w:rsid w:val="00FB6BB9"/>
    <w:rsid w:val="00FC3DD0"/>
    <w:rsid w:val="00FC66BF"/>
    <w:rsid w:val="00FC69EB"/>
    <w:rsid w:val="00FD71A2"/>
    <w:rsid w:val="00FF1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3F66A"/>
  <w15:chartTrackingRefBased/>
  <w15:docId w15:val="{F78B7523-1A93-4F44-9228-0A843E0E6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3D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D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C3DD0"/>
    <w:pPr>
      <w:outlineLvl w:val="9"/>
    </w:pPr>
    <w:rPr>
      <w:lang w:val="en-US"/>
    </w:rPr>
  </w:style>
  <w:style w:type="paragraph" w:styleId="TOC1">
    <w:name w:val="toc 1"/>
    <w:basedOn w:val="Normal"/>
    <w:next w:val="Normal"/>
    <w:autoRedefine/>
    <w:uiPriority w:val="39"/>
    <w:unhideWhenUsed/>
    <w:rsid w:val="00FC3DD0"/>
    <w:pPr>
      <w:spacing w:after="100"/>
    </w:pPr>
  </w:style>
  <w:style w:type="character" w:styleId="Hyperlink">
    <w:name w:val="Hyperlink"/>
    <w:basedOn w:val="DefaultParagraphFont"/>
    <w:uiPriority w:val="99"/>
    <w:unhideWhenUsed/>
    <w:rsid w:val="00FC3DD0"/>
    <w:rPr>
      <w:color w:val="0563C1" w:themeColor="hyperlink"/>
      <w:u w:val="single"/>
    </w:rPr>
  </w:style>
  <w:style w:type="character" w:styleId="UnresolvedMention">
    <w:name w:val="Unresolved Mention"/>
    <w:basedOn w:val="DefaultParagraphFont"/>
    <w:uiPriority w:val="99"/>
    <w:semiHidden/>
    <w:unhideWhenUsed/>
    <w:rsid w:val="00FC3DD0"/>
    <w:rPr>
      <w:color w:val="605E5C"/>
      <w:shd w:val="clear" w:color="auto" w:fill="E1DFDD"/>
    </w:rPr>
  </w:style>
  <w:style w:type="paragraph" w:styleId="Title">
    <w:name w:val="Title"/>
    <w:basedOn w:val="Normal"/>
    <w:next w:val="Normal"/>
    <w:link w:val="TitleChar"/>
    <w:uiPriority w:val="10"/>
    <w:qFormat/>
    <w:rsid w:val="00DA16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164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pdf/3629524.pdf" TargetMode="External"/><Relationship Id="rId13" Type="http://schemas.openxmlformats.org/officeDocument/2006/relationships/hyperlink" Target="https://www.jstor.org/stable/pdf/350312.pdf?refreqid=excelsior%3A473e20957391eac4573d23da5199dd4d" TargetMode="External"/><Relationship Id="rId18" Type="http://schemas.openxmlformats.org/officeDocument/2006/relationships/hyperlink" Target="https://www.researchgate.net/publication/5086963_Positioning_the_Supply_of_Live_Performance_Innovative_Managerial_Practices_Relating_to_the_Interaction_of_Spectator_Performance_and_Venue" TargetMode="External"/><Relationship Id="rId26" Type="http://schemas.openxmlformats.org/officeDocument/2006/relationships/hyperlink" Target="https://www.jstor.org/stable/pdf/2781721.pdf" TargetMode="External"/><Relationship Id="rId3" Type="http://schemas.openxmlformats.org/officeDocument/2006/relationships/settings" Target="settings.xml"/><Relationship Id="rId21" Type="http://schemas.openxmlformats.org/officeDocument/2006/relationships/hyperlink" Target="https://www.jstor.org/stable/pdf/3526537.pdf" TargetMode="External"/><Relationship Id="rId7" Type="http://schemas.openxmlformats.org/officeDocument/2006/relationships/hyperlink" Target="https://www.jstor.org/stable/pdf/27559272.pdf?refreqid=excelsior%3A69cedbddc91b9415b8ead02c2a0123dd" TargetMode="External"/><Relationship Id="rId12" Type="http://schemas.openxmlformats.org/officeDocument/2006/relationships/hyperlink" Target="https://www.jstor.org/stable/pdf/3852010.pdf?refreqid=excelsior%3A78e0ad5fcdd4b31a52824752b1b63d14" TargetMode="External"/><Relationship Id="rId17" Type="http://schemas.openxmlformats.org/officeDocument/2006/relationships/hyperlink" Target="https://www.jstor.org/stable/3216340" TargetMode="External"/><Relationship Id="rId25" Type="http://schemas.openxmlformats.org/officeDocument/2006/relationships/hyperlink" Target="https://www.jstor.org/stable/pdf/1567156.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jstor.org/stable/pdf/23321396.pdf?refreqid=excelsior%3Adffd22843621af47c477e5021361de8a" TargetMode="External"/><Relationship Id="rId20" Type="http://schemas.openxmlformats.org/officeDocument/2006/relationships/hyperlink" Target="https://www.jstor.org/stable/pdf/3174031.pdf" TargetMode="External"/><Relationship Id="rId29" Type="http://schemas.openxmlformats.org/officeDocument/2006/relationships/hyperlink" Target="https://www.jstor.org/stable/pdf/2489688.pdf?refreqid=excelsior%3Add13aa187f3425cb9d68610da6ee19df" TargetMode="External"/><Relationship Id="rId1" Type="http://schemas.openxmlformats.org/officeDocument/2006/relationships/customXml" Target="../customXml/item1.xml"/><Relationship Id="rId6" Type="http://schemas.openxmlformats.org/officeDocument/2006/relationships/hyperlink" Target="https://www.jstor.org/stable/26751249" TargetMode="External"/><Relationship Id="rId11" Type="http://schemas.openxmlformats.org/officeDocument/2006/relationships/hyperlink" Target="https://www.jstor.org/stable/40548841?seq=1" TargetMode="External"/><Relationship Id="rId24" Type="http://schemas.openxmlformats.org/officeDocument/2006/relationships/hyperlink" Target="https://www.jstor.org/stable/pdf/3567258.pdf" TargetMode="External"/><Relationship Id="rId32" Type="http://schemas.openxmlformats.org/officeDocument/2006/relationships/fontTable" Target="fontTable.xml"/><Relationship Id="rId5" Type="http://schemas.openxmlformats.org/officeDocument/2006/relationships/hyperlink" Target="https://www.jstor.org/stable/pdf/1492424.pdf?ab_segments=0%2Fbasic_SYC-4946%2Fcontrol&amp;refreqid=search%3A0caa6465d8bfe88bbe1022dbbec4f3d2" TargetMode="External"/><Relationship Id="rId15" Type="http://schemas.openxmlformats.org/officeDocument/2006/relationships/hyperlink" Target="https://www.jstor.org/stable/pdf/1163976.pdf?ab_segments=0%2Fbasic_SYC-4946%2Fcontrol&amp;refreqid=search%3A9a42d132d56032dd80107b6314842447" TargetMode="External"/><Relationship Id="rId23" Type="http://schemas.openxmlformats.org/officeDocument/2006/relationships/hyperlink" Target="https://www.jstor.org/stable/pdf/23011568.pdf?refreqid=excelsior%3A91908a5565e7da018813dc0a03f3ad7d" TargetMode="External"/><Relationship Id="rId28" Type="http://schemas.openxmlformats.org/officeDocument/2006/relationships/hyperlink" Target="https://www.jstor.org/stable/44126442" TargetMode="External"/><Relationship Id="rId10" Type="http://schemas.openxmlformats.org/officeDocument/2006/relationships/hyperlink" Target="https://www.jstor.org/stable/pdf/1341950.pdf" TargetMode="External"/><Relationship Id="rId19" Type="http://schemas.openxmlformats.org/officeDocument/2006/relationships/hyperlink" Target="https://www.jstor.org/stable/pdf/665610.pdf?refreqid=excelsior%3A44073f0034789a51ea69e4ec4590aba8" TargetMode="External"/><Relationship Id="rId31" Type="http://schemas.openxmlformats.org/officeDocument/2006/relationships/hyperlink" Target="https://www.jstor.org/stable/pdf/1146606.pdf" TargetMode="External"/><Relationship Id="rId4" Type="http://schemas.openxmlformats.org/officeDocument/2006/relationships/webSettings" Target="webSettings.xml"/><Relationship Id="rId9" Type="http://schemas.openxmlformats.org/officeDocument/2006/relationships/hyperlink" Target="https://www.jstor.org/stable/pdf/3773389.pdf" TargetMode="External"/><Relationship Id="rId14" Type="http://schemas.openxmlformats.org/officeDocument/2006/relationships/hyperlink" Target="https://www.jstor.org/stable/pdf/2741047.pdf?refreqid=excelsior%3Addcae0aa2ffb93615a6c44e8043ae1f5" TargetMode="External"/><Relationship Id="rId22" Type="http://schemas.openxmlformats.org/officeDocument/2006/relationships/hyperlink" Target="https://www.jstor.org/stable/pdf/20510696.pdf?ab_segments=0%2Fbasic_SYC-4946%2Fcontrol&amp;refreqid=search%3Aed44b0c3e83fae1288d7e03ad3d00642" TargetMode="External"/><Relationship Id="rId27" Type="http://schemas.openxmlformats.org/officeDocument/2006/relationships/hyperlink" Target="https://www.jstor.org/stable/pdf/27640961.pdf" TargetMode="External"/><Relationship Id="rId30" Type="http://schemas.openxmlformats.org/officeDocument/2006/relationships/hyperlink" Target="https://www.jstor.org/stable/pdf/54194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A8E580-5CF6-4493-A011-CE4D4EFA7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30</Pages>
  <Words>11064</Words>
  <Characters>63067</Characters>
  <Application>Microsoft Office Word</Application>
  <DocSecurity>0</DocSecurity>
  <Lines>525</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Morgan</dc:creator>
  <cp:keywords/>
  <dc:description/>
  <cp:lastModifiedBy>Sam Morgan</cp:lastModifiedBy>
  <cp:revision>6</cp:revision>
  <dcterms:created xsi:type="dcterms:W3CDTF">2020-08-05T09:26:00Z</dcterms:created>
  <dcterms:modified xsi:type="dcterms:W3CDTF">2020-08-05T09:30:00Z</dcterms:modified>
</cp:coreProperties>
</file>