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72FC6"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Abstract</w:t>
      </w:r>
    </w:p>
    <w:p w14:paraId="51F925F1" w14:textId="49B33077" w:rsidR="002237CE"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The premise of this thesis is that all business is embedded in society and needs to be responsible for the socio-cultural problems it creates. This thesis examines the social responsibilities operators should have to gamblers and wider society and seeks to understand if responsible gambling can empower gamblers to minimise harms. The aim of this thesis is to evaluate critically the extent to which responsible gambling is possible in relation to the interests of society and gamblers themselves and an examination of the efficacy of responsible gambling features in the online environment. Gambling-harms have been studied by researchers from many different disciplines however few are situated from the perspective of business. There has been a dominance of quantitative gambling research but a lack of qualitative investigation into harms from the perspective of gamblers. This thesis seeks to address these issues using a pragmatic, mixed methods approach and presents empirical findings drawn from the approaches used. A group interview gathered qualitative data about the behaviour and experiences of ‘problem gamblers’ in the development of their problems and specifically what measures would have been useful for them in controlling their ‘problem gambling.’ The rich information provided by the group-interview contributed to the development of an informed online questionnaire, completed by key stakeholders in the setting which provided insights on the phenomena of ‘problem gambling’ and responsible gambling. The lived experience of ‘problem gamblers’ is at variance with key stakeholders. The findings point to a need for a new model of ‘problem gambling’ one which recognises how gambling activity has become normalised in modern culture. Research findings are discussed in relation to implications for key stakeholders who need to participate in the socio-cultural debate that surrounds gambling becoming directly involved in its complex moral issues. Recommendations discuss policy changes, drawing on both health and consumer protection for the market to improve gambler safety and responsibility of the industry.</w:t>
      </w:r>
    </w:p>
    <w:p w14:paraId="4DF079B3" w14:textId="77777777" w:rsidR="00136F69" w:rsidRPr="00215029" w:rsidRDefault="00136F69" w:rsidP="00215029">
      <w:pPr>
        <w:spacing w:line="240" w:lineRule="auto"/>
        <w:rPr>
          <w:rFonts w:ascii="Calibri" w:hAnsi="Calibri" w:cs="Calibri"/>
          <w:sz w:val="22"/>
          <w:szCs w:val="22"/>
        </w:rPr>
      </w:pPr>
    </w:p>
    <w:p w14:paraId="5E99CF70" w14:textId="11D7EEC2"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From the PPT – Cultural Lens and Positionality</w:t>
      </w:r>
    </w:p>
    <w:p w14:paraId="3EE3D9F6" w14:textId="77777777" w:rsidR="00136F69" w:rsidRPr="00215029" w:rsidRDefault="00136F69" w:rsidP="00215029">
      <w:pPr>
        <w:spacing w:line="240" w:lineRule="auto"/>
        <w:rPr>
          <w:rFonts w:ascii="Calibri" w:hAnsi="Calibri" w:cs="Calibri"/>
          <w:sz w:val="22"/>
          <w:szCs w:val="22"/>
        </w:rPr>
      </w:pPr>
    </w:p>
    <w:p w14:paraId="74AD40B9" w14:textId="77777777" w:rsidR="00136F69" w:rsidRPr="00136F69" w:rsidRDefault="00136F69" w:rsidP="00215029">
      <w:pPr>
        <w:numPr>
          <w:ilvl w:val="0"/>
          <w:numId w:val="1"/>
        </w:numPr>
        <w:spacing w:line="240" w:lineRule="auto"/>
        <w:rPr>
          <w:rFonts w:ascii="Calibri" w:hAnsi="Calibri" w:cs="Calibri"/>
          <w:sz w:val="22"/>
          <w:szCs w:val="22"/>
        </w:rPr>
      </w:pPr>
      <w:r w:rsidRPr="00136F69">
        <w:rPr>
          <w:rFonts w:ascii="Calibri" w:hAnsi="Calibri" w:cs="Calibri"/>
          <w:sz w:val="22"/>
          <w:szCs w:val="22"/>
        </w:rPr>
        <w:t xml:space="preserve">Examine your research through multiple cultural lenses: </w:t>
      </w:r>
    </w:p>
    <w:p w14:paraId="3598F969" w14:textId="77777777" w:rsidR="00136F69" w:rsidRPr="00136F69" w:rsidRDefault="00136F69" w:rsidP="00215029">
      <w:pPr>
        <w:numPr>
          <w:ilvl w:val="0"/>
          <w:numId w:val="1"/>
        </w:numPr>
        <w:spacing w:line="240" w:lineRule="auto"/>
        <w:rPr>
          <w:rFonts w:ascii="Calibri" w:hAnsi="Calibri" w:cs="Calibri"/>
          <w:sz w:val="22"/>
          <w:szCs w:val="22"/>
        </w:rPr>
      </w:pPr>
      <w:r w:rsidRPr="00136F69">
        <w:rPr>
          <w:rFonts w:ascii="Calibri" w:hAnsi="Calibri" w:cs="Calibri"/>
          <w:sz w:val="22"/>
          <w:szCs w:val="22"/>
        </w:rPr>
        <w:t xml:space="preserve">a) Identify 3-5 distinct cultural perspectives relevant to your research area </w:t>
      </w:r>
    </w:p>
    <w:p w14:paraId="48A502E4" w14:textId="77777777" w:rsidR="00136F69" w:rsidRPr="00136F69" w:rsidRDefault="00136F69" w:rsidP="00215029">
      <w:pPr>
        <w:numPr>
          <w:ilvl w:val="0"/>
          <w:numId w:val="1"/>
        </w:numPr>
        <w:spacing w:line="240" w:lineRule="auto"/>
        <w:rPr>
          <w:rFonts w:ascii="Calibri" w:hAnsi="Calibri" w:cs="Calibri"/>
          <w:sz w:val="22"/>
          <w:szCs w:val="22"/>
        </w:rPr>
      </w:pPr>
      <w:r w:rsidRPr="00136F69">
        <w:rPr>
          <w:rFonts w:ascii="Calibri" w:hAnsi="Calibri" w:cs="Calibri"/>
          <w:sz w:val="22"/>
          <w:szCs w:val="22"/>
        </w:rPr>
        <w:t xml:space="preserve">b) For each perspective, rewrite your research questions and objectives </w:t>
      </w:r>
    </w:p>
    <w:p w14:paraId="7D6CC52F" w14:textId="77777777" w:rsidR="00136F69" w:rsidRPr="00136F69" w:rsidRDefault="00136F69" w:rsidP="00215029">
      <w:pPr>
        <w:numPr>
          <w:ilvl w:val="0"/>
          <w:numId w:val="1"/>
        </w:numPr>
        <w:spacing w:line="240" w:lineRule="auto"/>
        <w:rPr>
          <w:rFonts w:ascii="Calibri" w:hAnsi="Calibri" w:cs="Calibri"/>
          <w:sz w:val="22"/>
          <w:szCs w:val="22"/>
        </w:rPr>
      </w:pPr>
      <w:r w:rsidRPr="00136F69">
        <w:rPr>
          <w:rFonts w:ascii="Calibri" w:hAnsi="Calibri" w:cs="Calibri"/>
          <w:sz w:val="22"/>
          <w:szCs w:val="22"/>
        </w:rPr>
        <w:t xml:space="preserve">c) Conduct a mini-literature review from each cultural viewpoint </w:t>
      </w:r>
    </w:p>
    <w:p w14:paraId="50D58C8A" w14:textId="77777777" w:rsidR="00136F69" w:rsidRPr="00136F69" w:rsidRDefault="00136F69" w:rsidP="00215029">
      <w:pPr>
        <w:numPr>
          <w:ilvl w:val="0"/>
          <w:numId w:val="1"/>
        </w:numPr>
        <w:spacing w:line="240" w:lineRule="auto"/>
        <w:rPr>
          <w:rFonts w:ascii="Calibri" w:hAnsi="Calibri" w:cs="Calibri"/>
          <w:sz w:val="22"/>
          <w:szCs w:val="22"/>
        </w:rPr>
      </w:pPr>
      <w:r w:rsidRPr="00136F69">
        <w:rPr>
          <w:rFonts w:ascii="Calibri" w:hAnsi="Calibri" w:cs="Calibri"/>
          <w:sz w:val="22"/>
          <w:szCs w:val="22"/>
        </w:rPr>
        <w:t>d) Compare and contrast these perspectives with your original approach</w:t>
      </w:r>
    </w:p>
    <w:p w14:paraId="2B7D7CB3" w14:textId="77777777" w:rsidR="00136F69" w:rsidRPr="00215029" w:rsidRDefault="00136F69" w:rsidP="00215029">
      <w:pPr>
        <w:numPr>
          <w:ilvl w:val="0"/>
          <w:numId w:val="1"/>
        </w:numPr>
        <w:spacing w:line="240" w:lineRule="auto"/>
        <w:rPr>
          <w:rFonts w:ascii="Calibri" w:hAnsi="Calibri" w:cs="Calibri"/>
          <w:sz w:val="22"/>
          <w:szCs w:val="22"/>
        </w:rPr>
      </w:pPr>
      <w:r w:rsidRPr="00136F69">
        <w:rPr>
          <w:rFonts w:ascii="Calibri" w:hAnsi="Calibri" w:cs="Calibri"/>
          <w:sz w:val="22"/>
          <w:szCs w:val="22"/>
        </w:rPr>
        <w:t>e) Analyze how your cultural position influences your research design and interpretation of literature.</w:t>
      </w:r>
    </w:p>
    <w:p w14:paraId="2E629437" w14:textId="77777777" w:rsidR="00136F69" w:rsidRPr="00215029" w:rsidRDefault="00136F69" w:rsidP="00215029">
      <w:pPr>
        <w:spacing w:line="240" w:lineRule="auto"/>
        <w:rPr>
          <w:rFonts w:ascii="Calibri" w:hAnsi="Calibri" w:cs="Calibri"/>
          <w:sz w:val="22"/>
          <w:szCs w:val="22"/>
        </w:rPr>
      </w:pPr>
    </w:p>
    <w:p w14:paraId="30DE84FD" w14:textId="283231C9" w:rsidR="00136F69" w:rsidRPr="00215029" w:rsidRDefault="00136F69" w:rsidP="00215029">
      <w:pPr>
        <w:spacing w:line="240" w:lineRule="auto"/>
        <w:rPr>
          <w:rFonts w:ascii="Calibri" w:hAnsi="Calibri" w:cs="Calibri"/>
          <w:b/>
          <w:bCs/>
          <w:sz w:val="22"/>
          <w:szCs w:val="22"/>
        </w:rPr>
      </w:pPr>
      <w:r w:rsidRPr="00215029">
        <w:rPr>
          <w:rFonts w:ascii="Calibri" w:hAnsi="Calibri" w:cs="Calibri"/>
          <w:b/>
          <w:bCs/>
          <w:sz w:val="22"/>
          <w:szCs w:val="22"/>
        </w:rPr>
        <w:t>Policy</w:t>
      </w:r>
    </w:p>
    <w:p w14:paraId="4D62FCF2" w14:textId="77777777" w:rsidR="00136F69" w:rsidRPr="00215029" w:rsidRDefault="00136F69" w:rsidP="00215029">
      <w:pPr>
        <w:spacing w:line="240" w:lineRule="auto"/>
        <w:rPr>
          <w:rFonts w:ascii="Calibri" w:hAnsi="Calibri" w:cs="Calibri"/>
          <w:sz w:val="22"/>
          <w:szCs w:val="22"/>
        </w:rPr>
      </w:pPr>
    </w:p>
    <w:p w14:paraId="698E9D9D"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a) Identify 3-5 distinct cultural perspectives relevant to your research area:</w:t>
      </w:r>
    </w:p>
    <w:p w14:paraId="1F4177BD" w14:textId="77777777" w:rsidR="00136F69" w:rsidRPr="00215029" w:rsidRDefault="00136F69" w:rsidP="00215029">
      <w:pPr>
        <w:spacing w:line="240" w:lineRule="auto"/>
        <w:rPr>
          <w:rFonts w:ascii="Calibri" w:hAnsi="Calibri" w:cs="Calibri"/>
          <w:sz w:val="22"/>
          <w:szCs w:val="22"/>
        </w:rPr>
      </w:pPr>
    </w:p>
    <w:p w14:paraId="2D9B501F"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1. Feminist perspective</w:t>
      </w:r>
    </w:p>
    <w:p w14:paraId="3A5D9386"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2. Marxist/Critical Theory perspective</w:t>
      </w:r>
    </w:p>
    <w:p w14:paraId="32F1427D"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3. Foucauldian discourse analysis perspective</w:t>
      </w:r>
    </w:p>
    <w:p w14:paraId="6C9081D6"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4. Postcolonial perspective</w:t>
      </w:r>
    </w:p>
    <w:p w14:paraId="7ED1D311"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5. Disability Studies perspective</w:t>
      </w:r>
    </w:p>
    <w:p w14:paraId="529B3BC5" w14:textId="77777777" w:rsidR="00136F69" w:rsidRPr="00215029" w:rsidRDefault="00136F69" w:rsidP="00215029">
      <w:pPr>
        <w:spacing w:line="240" w:lineRule="auto"/>
        <w:rPr>
          <w:rFonts w:ascii="Calibri" w:hAnsi="Calibri" w:cs="Calibri"/>
          <w:sz w:val="22"/>
          <w:szCs w:val="22"/>
        </w:rPr>
      </w:pPr>
    </w:p>
    <w:p w14:paraId="2850D381" w14:textId="182C21A8"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xml:space="preserve">b) For each perspective, rewrite </w:t>
      </w:r>
      <w:r w:rsidRPr="00215029">
        <w:rPr>
          <w:rFonts w:ascii="Calibri" w:hAnsi="Calibri" w:cs="Calibri"/>
          <w:sz w:val="22"/>
          <w:szCs w:val="22"/>
        </w:rPr>
        <w:t>of</w:t>
      </w:r>
      <w:r w:rsidRPr="00215029">
        <w:rPr>
          <w:rFonts w:ascii="Calibri" w:hAnsi="Calibri" w:cs="Calibri"/>
          <w:sz w:val="22"/>
          <w:szCs w:val="22"/>
        </w:rPr>
        <w:t xml:space="preserve"> research questions and objectives:</w:t>
      </w:r>
    </w:p>
    <w:p w14:paraId="3FCEB4A9" w14:textId="77777777" w:rsidR="00136F69" w:rsidRPr="00215029" w:rsidRDefault="00136F69" w:rsidP="00215029">
      <w:pPr>
        <w:spacing w:line="240" w:lineRule="auto"/>
        <w:rPr>
          <w:rFonts w:ascii="Calibri" w:hAnsi="Calibri" w:cs="Calibri"/>
          <w:sz w:val="22"/>
          <w:szCs w:val="22"/>
        </w:rPr>
      </w:pPr>
    </w:p>
    <w:p w14:paraId="77F58518"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1. Feminist perspective:</w:t>
      </w:r>
    </w:p>
    <w:p w14:paraId="20FFD16C"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How do gender dynamics and societal norms influence gambling behaviors and the effectiveness of responsible gambling measures in the UK?</w:t>
      </w:r>
    </w:p>
    <w:p w14:paraId="1111DEB3"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Objective: To examine the gendered aspects of gambling addiction and critique the current responsible gambling framework through a feminist lens.</w:t>
      </w:r>
    </w:p>
    <w:p w14:paraId="759930EC" w14:textId="77777777" w:rsidR="00136F69" w:rsidRPr="00215029" w:rsidRDefault="00136F69" w:rsidP="00215029">
      <w:pPr>
        <w:spacing w:line="240" w:lineRule="auto"/>
        <w:rPr>
          <w:rFonts w:ascii="Calibri" w:hAnsi="Calibri" w:cs="Calibri"/>
          <w:sz w:val="22"/>
          <w:szCs w:val="22"/>
        </w:rPr>
      </w:pPr>
    </w:p>
    <w:p w14:paraId="10F6BAE8"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2. Marxist/Critical Theory perspective:</w:t>
      </w:r>
    </w:p>
    <w:p w14:paraId="646D22C8"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How does the gambling industry perpetuate class inequalities, and how can responsible gambling be reconceptualized to address systemic issues?</w:t>
      </w:r>
    </w:p>
    <w:p w14:paraId="49DC3DF4"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Objective: To analyze the political economy of gambling in the UK and propose a critical framework for understanding 'responsible gambling' beyond individual behavior.</w:t>
      </w:r>
    </w:p>
    <w:p w14:paraId="214197AE" w14:textId="77777777" w:rsidR="00136F69" w:rsidRPr="00215029" w:rsidRDefault="00136F69" w:rsidP="00215029">
      <w:pPr>
        <w:spacing w:line="240" w:lineRule="auto"/>
        <w:rPr>
          <w:rFonts w:ascii="Calibri" w:hAnsi="Calibri" w:cs="Calibri"/>
          <w:sz w:val="22"/>
          <w:szCs w:val="22"/>
        </w:rPr>
      </w:pPr>
    </w:p>
    <w:p w14:paraId="6C64A01C"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3. Foucauldian discourse analysis perspective:</w:t>
      </w:r>
    </w:p>
    <w:p w14:paraId="6B5F5153"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How do power relations and discursive practices shape the concept of 'responsible gambling' and 'problem gambling' in UK policy and public discourse?</w:t>
      </w:r>
    </w:p>
    <w:p w14:paraId="42BFC06F"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Objective: To deconstruct the dominant narratives around gambling and explore how they influence policy, industry practices, and individual behaviors.</w:t>
      </w:r>
    </w:p>
    <w:p w14:paraId="51462FB9" w14:textId="77777777" w:rsidR="00136F69" w:rsidRPr="00215029" w:rsidRDefault="00136F69" w:rsidP="00215029">
      <w:pPr>
        <w:spacing w:line="240" w:lineRule="auto"/>
        <w:rPr>
          <w:rFonts w:ascii="Calibri" w:hAnsi="Calibri" w:cs="Calibri"/>
          <w:sz w:val="22"/>
          <w:szCs w:val="22"/>
        </w:rPr>
      </w:pPr>
    </w:p>
    <w:p w14:paraId="0CA1BE67"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4. Postcolonial perspective:</w:t>
      </w:r>
    </w:p>
    <w:p w14:paraId="34122200"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How do UK gambling practices and policies reflect postcolonial power structures, and how can responsible gambling approaches be decolonized?</w:t>
      </w:r>
    </w:p>
    <w:p w14:paraId="36AF36C3"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Objective: To examine the colonial legacies in British gambling culture and develop a more inclusive, culturally sensitive approach to responsible gambling.</w:t>
      </w:r>
    </w:p>
    <w:p w14:paraId="7AD4ABBB" w14:textId="77777777" w:rsidR="00136F69" w:rsidRPr="00215029" w:rsidRDefault="00136F69" w:rsidP="00215029">
      <w:pPr>
        <w:spacing w:line="240" w:lineRule="auto"/>
        <w:rPr>
          <w:rFonts w:ascii="Calibri" w:hAnsi="Calibri" w:cs="Calibri"/>
          <w:sz w:val="22"/>
          <w:szCs w:val="22"/>
        </w:rPr>
      </w:pPr>
    </w:p>
    <w:p w14:paraId="4BCD1D6B"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5. Disability Studies perspective:</w:t>
      </w:r>
    </w:p>
    <w:p w14:paraId="16EE6EB6"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How does the current framework of responsible gambling address or neglect the needs of individuals with various disabilities, including mental health conditions?</w:t>
      </w:r>
    </w:p>
    <w:p w14:paraId="5419F19D"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Objective: To critique the ableist assumptions in current gambling research and policy, and propose a more inclusive model of responsible gambling.</w:t>
      </w:r>
    </w:p>
    <w:p w14:paraId="02570867" w14:textId="77777777" w:rsidR="00136F69" w:rsidRPr="00215029" w:rsidRDefault="00136F69" w:rsidP="00215029">
      <w:pPr>
        <w:spacing w:line="240" w:lineRule="auto"/>
        <w:rPr>
          <w:rFonts w:ascii="Calibri" w:hAnsi="Calibri" w:cs="Calibri"/>
          <w:sz w:val="22"/>
          <w:szCs w:val="22"/>
        </w:rPr>
      </w:pPr>
    </w:p>
    <w:p w14:paraId="5FEA0E44"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c) Conduct a mini-literature review from each cultural viewpoint:</w:t>
      </w:r>
    </w:p>
    <w:p w14:paraId="31321F0C"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(This would involve searching for and summarizing relevant literature for each perspective, focusing on key theorists and applying their frameworks to the gambling context)</w:t>
      </w:r>
    </w:p>
    <w:p w14:paraId="6ADDDFC1" w14:textId="77777777" w:rsidR="00136F69" w:rsidRPr="00215029" w:rsidRDefault="00136F69" w:rsidP="00215029">
      <w:pPr>
        <w:spacing w:line="240" w:lineRule="auto"/>
        <w:rPr>
          <w:rFonts w:ascii="Calibri" w:hAnsi="Calibri" w:cs="Calibri"/>
          <w:sz w:val="22"/>
          <w:szCs w:val="22"/>
        </w:rPr>
      </w:pPr>
    </w:p>
    <w:p w14:paraId="5CDDEB7E"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d) Compare and contrast these perspectives with your original approach:</w:t>
      </w:r>
    </w:p>
    <w:p w14:paraId="48A02EB1"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The original approach seems to take a more neutral, policy-oriented stance.</w:t>
      </w:r>
    </w:p>
    <w:p w14:paraId="442C280C"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The feminist perspective would highlight gendered aspects that might be overlooked in the original approach.</w:t>
      </w:r>
    </w:p>
    <w:p w14:paraId="6D0935D7"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The Marxist/Critical Theory view would provide a more systemic critique of the gambling industry and societal structures.</w:t>
      </w:r>
    </w:p>
    <w:p w14:paraId="15635F03"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The Foucauldian approach would offer a deeper analysis of the power dynamics embedded in gambling discourses.</w:t>
      </w:r>
    </w:p>
    <w:p w14:paraId="2040AAC4"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The postcolonial perspective would bring attention to historical and cultural power imbalances not addressed in the original approach.</w:t>
      </w:r>
    </w:p>
    <w:p w14:paraId="6BE3EF47"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The Disability Studies lens would highlight issues of accessibility and inclusivity that might be neglected in mainstream approaches.</w:t>
      </w:r>
    </w:p>
    <w:p w14:paraId="225F5AF9" w14:textId="77777777" w:rsidR="00136F69" w:rsidRPr="00215029" w:rsidRDefault="00136F69" w:rsidP="00215029">
      <w:pPr>
        <w:spacing w:line="240" w:lineRule="auto"/>
        <w:rPr>
          <w:rFonts w:ascii="Calibri" w:hAnsi="Calibri" w:cs="Calibri"/>
          <w:sz w:val="22"/>
          <w:szCs w:val="22"/>
        </w:rPr>
      </w:pPr>
    </w:p>
    <w:p w14:paraId="3F31D6C0"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e) Analyze how your cultural position influences your research design and interpretation of literature:</w:t>
      </w:r>
    </w:p>
    <w:p w14:paraId="76086AD9"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Your gender identity and understanding of feminist theory might influence how you perceive gendered aspects of gambling.</w:t>
      </w:r>
    </w:p>
    <w:p w14:paraId="3BF804A3"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Your socioeconomic background could affect your critique of class dynamics in gambling from a Marxist perspective.</w:t>
      </w:r>
    </w:p>
    <w:p w14:paraId="34D6BA28"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Your position within academic and societal power structures might influence your analysis of discourses around gambling.</w:t>
      </w:r>
    </w:p>
    <w:p w14:paraId="2CB05B50"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Your cultural background and understanding of British colonial history could shape your postcolonial critique.</w:t>
      </w:r>
    </w:p>
    <w:p w14:paraId="04ABCA2F" w14:textId="77777777" w:rsidR="00136F69" w:rsidRPr="00215029" w:rsidRDefault="00136F69" w:rsidP="00215029">
      <w:pPr>
        <w:spacing w:line="240" w:lineRule="auto"/>
        <w:rPr>
          <w:rFonts w:ascii="Calibri" w:hAnsi="Calibri" w:cs="Calibri"/>
          <w:sz w:val="22"/>
          <w:szCs w:val="22"/>
        </w:rPr>
      </w:pPr>
      <w:r w:rsidRPr="00215029">
        <w:rPr>
          <w:rFonts w:ascii="Calibri" w:hAnsi="Calibri" w:cs="Calibri"/>
          <w:sz w:val="22"/>
          <w:szCs w:val="22"/>
        </w:rPr>
        <w:t>- Your personal experiences with and understanding of disability could influence your analysis from a Disability Studies perspective.</w:t>
      </w:r>
    </w:p>
    <w:p w14:paraId="4D781071" w14:textId="77777777" w:rsidR="00136F69" w:rsidRPr="00215029" w:rsidRDefault="00136F69" w:rsidP="00215029">
      <w:pPr>
        <w:spacing w:line="240" w:lineRule="auto"/>
        <w:rPr>
          <w:rFonts w:ascii="Calibri" w:hAnsi="Calibri" w:cs="Calibri"/>
          <w:sz w:val="22"/>
          <w:szCs w:val="22"/>
        </w:rPr>
      </w:pPr>
    </w:p>
    <w:p w14:paraId="2B804433" w14:textId="121B8EB4" w:rsidR="00136F69" w:rsidRPr="00136F69" w:rsidRDefault="00136F69" w:rsidP="00215029">
      <w:pPr>
        <w:spacing w:line="240" w:lineRule="auto"/>
        <w:rPr>
          <w:rFonts w:ascii="Calibri" w:hAnsi="Calibri" w:cs="Calibri"/>
          <w:sz w:val="22"/>
          <w:szCs w:val="22"/>
        </w:rPr>
      </w:pPr>
      <w:r w:rsidRPr="00215029">
        <w:rPr>
          <w:rFonts w:ascii="Calibri" w:hAnsi="Calibri" w:cs="Calibri"/>
          <w:sz w:val="22"/>
          <w:szCs w:val="22"/>
        </w:rPr>
        <w:t>This revised exercise should provide a more theoretically grounded and critically engaged approach to examining cultural perspectives on your research topic, suitable for doctoral-level analysis.</w:t>
      </w:r>
    </w:p>
    <w:p w14:paraId="5CECD8FA" w14:textId="77777777" w:rsidR="00136F69" w:rsidRDefault="00136F69" w:rsidP="00215029">
      <w:pPr>
        <w:spacing w:line="240" w:lineRule="auto"/>
        <w:rPr>
          <w:rFonts w:ascii="Calibri" w:hAnsi="Calibri" w:cs="Calibri"/>
          <w:sz w:val="22"/>
          <w:szCs w:val="22"/>
        </w:rPr>
      </w:pPr>
    </w:p>
    <w:p w14:paraId="0AB6901B" w14:textId="012694DC" w:rsidR="006543DB" w:rsidRPr="006543DB" w:rsidRDefault="006543DB" w:rsidP="00215029">
      <w:pPr>
        <w:spacing w:line="240" w:lineRule="auto"/>
        <w:rPr>
          <w:rFonts w:ascii="Calibri" w:hAnsi="Calibri" w:cs="Calibri"/>
          <w:b/>
          <w:bCs/>
          <w:sz w:val="22"/>
          <w:szCs w:val="22"/>
        </w:rPr>
      </w:pPr>
      <w:r w:rsidRPr="006543DB">
        <w:rPr>
          <w:rFonts w:ascii="Calibri" w:hAnsi="Calibri" w:cs="Calibri"/>
          <w:b/>
          <w:bCs/>
          <w:sz w:val="22"/>
          <w:szCs w:val="22"/>
        </w:rPr>
        <w:t>Researcher's positionality refers to their social, cultural, and philosophical stance in relation to the research; reflection involves critically examining their research process and choices; and reflexivity is the ongoing self-awareness of how their positionality influences every aspect of the research, from design to interpretation.</w:t>
      </w:r>
    </w:p>
    <w:p w14:paraId="1041B221" w14:textId="77777777" w:rsidR="006543DB" w:rsidRPr="00215029" w:rsidRDefault="006543DB" w:rsidP="00215029">
      <w:pPr>
        <w:spacing w:line="240" w:lineRule="auto"/>
        <w:rPr>
          <w:rFonts w:ascii="Calibri" w:hAnsi="Calibri" w:cs="Calibri"/>
          <w:sz w:val="22"/>
          <w:szCs w:val="22"/>
        </w:rPr>
      </w:pPr>
    </w:p>
    <w:p w14:paraId="626095A9"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Based on the abstract provided, let's discuss the researcher's positionality, reflection, and reflexivity:</w:t>
      </w:r>
    </w:p>
    <w:p w14:paraId="2E5A66BD" w14:textId="77777777" w:rsidR="00215029" w:rsidRPr="00215029" w:rsidRDefault="00215029" w:rsidP="00215029">
      <w:pPr>
        <w:spacing w:line="240" w:lineRule="auto"/>
        <w:rPr>
          <w:rFonts w:ascii="Calibri" w:hAnsi="Calibri" w:cs="Calibri"/>
          <w:sz w:val="22"/>
          <w:szCs w:val="22"/>
        </w:rPr>
      </w:pPr>
    </w:p>
    <w:p w14:paraId="5D241B2D"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RESEARCHER POSITIONALITY:</w:t>
      </w:r>
    </w:p>
    <w:p w14:paraId="4D33883B" w14:textId="77777777" w:rsidR="00215029" w:rsidRPr="00215029" w:rsidRDefault="00215029" w:rsidP="00215029">
      <w:pPr>
        <w:spacing w:line="240" w:lineRule="auto"/>
        <w:rPr>
          <w:rFonts w:ascii="Calibri" w:hAnsi="Calibri" w:cs="Calibri"/>
          <w:sz w:val="22"/>
          <w:szCs w:val="22"/>
        </w:rPr>
      </w:pPr>
    </w:p>
    <w:p w14:paraId="4CFE1513"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 xml:space="preserve">The researcher's positionality appears to be grounded in a business ethics perspective, with a focus on corporate social responsibility. This is evident from the premise that "all business is embedded in society and needs to be responsible for the socio-cultural problems it creates." </w:t>
      </w:r>
    </w:p>
    <w:p w14:paraId="4A7B6B58" w14:textId="77777777" w:rsidR="00215029" w:rsidRPr="00215029" w:rsidRDefault="00215029" w:rsidP="00215029">
      <w:pPr>
        <w:spacing w:line="240" w:lineRule="auto"/>
        <w:rPr>
          <w:rFonts w:ascii="Calibri" w:hAnsi="Calibri" w:cs="Calibri"/>
          <w:sz w:val="22"/>
          <w:szCs w:val="22"/>
        </w:rPr>
      </w:pPr>
    </w:p>
    <w:p w14:paraId="7BD1E8F4"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Key aspects of the researcher's positionality:</w:t>
      </w:r>
    </w:p>
    <w:p w14:paraId="3EE2DE9D" w14:textId="77777777" w:rsidR="00215029" w:rsidRPr="00215029" w:rsidRDefault="00215029" w:rsidP="00215029">
      <w:pPr>
        <w:spacing w:line="240" w:lineRule="auto"/>
        <w:rPr>
          <w:rFonts w:ascii="Calibri" w:hAnsi="Calibri" w:cs="Calibri"/>
          <w:sz w:val="22"/>
          <w:szCs w:val="22"/>
        </w:rPr>
      </w:pPr>
    </w:p>
    <w:p w14:paraId="2082FE2F"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1. Business-oriented perspective: The researcher approaches gambling from a business angle, which is relatively uncommon in gambling research.</w:t>
      </w:r>
    </w:p>
    <w:p w14:paraId="5C5E200C" w14:textId="77777777" w:rsidR="00215029" w:rsidRPr="00215029" w:rsidRDefault="00215029" w:rsidP="00215029">
      <w:pPr>
        <w:spacing w:line="240" w:lineRule="auto"/>
        <w:rPr>
          <w:rFonts w:ascii="Calibri" w:hAnsi="Calibri" w:cs="Calibri"/>
          <w:sz w:val="22"/>
          <w:szCs w:val="22"/>
        </w:rPr>
      </w:pPr>
    </w:p>
    <w:p w14:paraId="2200576F"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2. Pragmatic worldview: The use of a mixed-methods approach suggests a pragmatic philosophical stance, valuing both quantitative and qualitative data.</w:t>
      </w:r>
    </w:p>
    <w:p w14:paraId="02270675" w14:textId="77777777" w:rsidR="00215029" w:rsidRPr="00215029" w:rsidRDefault="00215029" w:rsidP="00215029">
      <w:pPr>
        <w:spacing w:line="240" w:lineRule="auto"/>
        <w:rPr>
          <w:rFonts w:ascii="Calibri" w:hAnsi="Calibri" w:cs="Calibri"/>
          <w:sz w:val="22"/>
          <w:szCs w:val="22"/>
        </w:rPr>
      </w:pPr>
    </w:p>
    <w:p w14:paraId="2E2F74C5"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3. Stakeholder-focused: The research considers multiple stakeholders, including gamblers, operators, and society at large.</w:t>
      </w:r>
    </w:p>
    <w:p w14:paraId="6D9F813B" w14:textId="77777777" w:rsidR="00215029" w:rsidRPr="00215029" w:rsidRDefault="00215029" w:rsidP="00215029">
      <w:pPr>
        <w:spacing w:line="240" w:lineRule="auto"/>
        <w:rPr>
          <w:rFonts w:ascii="Calibri" w:hAnsi="Calibri" w:cs="Calibri"/>
          <w:sz w:val="22"/>
          <w:szCs w:val="22"/>
        </w:rPr>
      </w:pPr>
    </w:p>
    <w:p w14:paraId="1B2DB936"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4. Critical stance: The researcher aims to "evaluate critically" responsible gambling, indicating a willingness to challenge existing paradigms.</w:t>
      </w:r>
    </w:p>
    <w:p w14:paraId="4426FAFF" w14:textId="77777777" w:rsidR="00215029" w:rsidRPr="00215029" w:rsidRDefault="00215029" w:rsidP="00215029">
      <w:pPr>
        <w:spacing w:line="240" w:lineRule="auto"/>
        <w:rPr>
          <w:rFonts w:ascii="Calibri" w:hAnsi="Calibri" w:cs="Calibri"/>
          <w:sz w:val="22"/>
          <w:szCs w:val="22"/>
        </w:rPr>
      </w:pPr>
    </w:p>
    <w:p w14:paraId="2677F330"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5. Socially responsible orientation: There's a clear emphasis on the social responsibilities of gambling operators.</w:t>
      </w:r>
    </w:p>
    <w:p w14:paraId="62B93727" w14:textId="77777777" w:rsidR="00215029" w:rsidRPr="00215029" w:rsidRDefault="00215029" w:rsidP="00215029">
      <w:pPr>
        <w:spacing w:line="240" w:lineRule="auto"/>
        <w:rPr>
          <w:rFonts w:ascii="Calibri" w:hAnsi="Calibri" w:cs="Calibri"/>
          <w:sz w:val="22"/>
          <w:szCs w:val="22"/>
        </w:rPr>
      </w:pPr>
    </w:p>
    <w:p w14:paraId="7685AE47"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REFLECTION:</w:t>
      </w:r>
    </w:p>
    <w:p w14:paraId="017BD534" w14:textId="77777777" w:rsidR="00215029" w:rsidRPr="00215029" w:rsidRDefault="00215029" w:rsidP="00215029">
      <w:pPr>
        <w:spacing w:line="240" w:lineRule="auto"/>
        <w:rPr>
          <w:rFonts w:ascii="Calibri" w:hAnsi="Calibri" w:cs="Calibri"/>
          <w:sz w:val="22"/>
          <w:szCs w:val="22"/>
        </w:rPr>
      </w:pPr>
    </w:p>
    <w:p w14:paraId="06AEE5AA"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The researcher's reflective process is evident in several aspects of the abstract:</w:t>
      </w:r>
    </w:p>
    <w:p w14:paraId="7EAD5FF4" w14:textId="77777777" w:rsidR="00215029" w:rsidRPr="00215029" w:rsidRDefault="00215029" w:rsidP="00215029">
      <w:pPr>
        <w:spacing w:line="240" w:lineRule="auto"/>
        <w:rPr>
          <w:rFonts w:ascii="Calibri" w:hAnsi="Calibri" w:cs="Calibri"/>
          <w:sz w:val="22"/>
          <w:szCs w:val="22"/>
        </w:rPr>
      </w:pPr>
    </w:p>
    <w:p w14:paraId="5C471DFF"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1. Methodological choices: The decision to use mixed methods reflects a consideration of the limitations of purely quantitative approaches in capturing the complexity of gambling harms.</w:t>
      </w:r>
    </w:p>
    <w:p w14:paraId="2F5695BB" w14:textId="77777777" w:rsidR="00215029" w:rsidRPr="00215029" w:rsidRDefault="00215029" w:rsidP="00215029">
      <w:pPr>
        <w:spacing w:line="240" w:lineRule="auto"/>
        <w:rPr>
          <w:rFonts w:ascii="Calibri" w:hAnsi="Calibri" w:cs="Calibri"/>
          <w:sz w:val="22"/>
          <w:szCs w:val="22"/>
        </w:rPr>
      </w:pPr>
    </w:p>
    <w:p w14:paraId="27BAF576"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2. Stakeholder perspectives: The inclusion of both 'problem gamblers' and key stakeholders shows reflection on the importance of diverse viewpoints.</w:t>
      </w:r>
    </w:p>
    <w:p w14:paraId="4A677121" w14:textId="77777777" w:rsidR="00215029" w:rsidRPr="00215029" w:rsidRDefault="00215029" w:rsidP="00215029">
      <w:pPr>
        <w:spacing w:line="240" w:lineRule="auto"/>
        <w:rPr>
          <w:rFonts w:ascii="Calibri" w:hAnsi="Calibri" w:cs="Calibri"/>
          <w:sz w:val="22"/>
          <w:szCs w:val="22"/>
        </w:rPr>
      </w:pPr>
    </w:p>
    <w:p w14:paraId="7D6BE0D7"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3. Normalization of gambling: The recognition that gambling has become normalized in modern culture indicates reflection on broader societal trends.</w:t>
      </w:r>
    </w:p>
    <w:p w14:paraId="2E9DA0DA" w14:textId="77777777" w:rsidR="00215029" w:rsidRPr="00215029" w:rsidRDefault="00215029" w:rsidP="00215029">
      <w:pPr>
        <w:spacing w:line="240" w:lineRule="auto"/>
        <w:rPr>
          <w:rFonts w:ascii="Calibri" w:hAnsi="Calibri" w:cs="Calibri"/>
          <w:sz w:val="22"/>
          <w:szCs w:val="22"/>
        </w:rPr>
      </w:pPr>
    </w:p>
    <w:p w14:paraId="703091B3"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4. Policy implications: The consideration of policy changes demonstrates reflection on the practical applications of the research.</w:t>
      </w:r>
    </w:p>
    <w:p w14:paraId="12527D50" w14:textId="77777777" w:rsidR="00215029" w:rsidRPr="00215029" w:rsidRDefault="00215029" w:rsidP="00215029">
      <w:pPr>
        <w:spacing w:line="240" w:lineRule="auto"/>
        <w:rPr>
          <w:rFonts w:ascii="Calibri" w:hAnsi="Calibri" w:cs="Calibri"/>
          <w:sz w:val="22"/>
          <w:szCs w:val="22"/>
        </w:rPr>
      </w:pPr>
    </w:p>
    <w:p w14:paraId="019E0E27"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REFLEXIVITY:</w:t>
      </w:r>
    </w:p>
    <w:p w14:paraId="2791A877" w14:textId="77777777" w:rsidR="00215029" w:rsidRPr="00215029" w:rsidRDefault="00215029" w:rsidP="00215029">
      <w:pPr>
        <w:spacing w:line="240" w:lineRule="auto"/>
        <w:rPr>
          <w:rFonts w:ascii="Calibri" w:hAnsi="Calibri" w:cs="Calibri"/>
          <w:sz w:val="22"/>
          <w:szCs w:val="22"/>
        </w:rPr>
      </w:pPr>
    </w:p>
    <w:p w14:paraId="19F89CD9"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The abstract suggests several areas where the researcher has engaged in reflexivity:</w:t>
      </w:r>
    </w:p>
    <w:p w14:paraId="71A5F7F9" w14:textId="77777777" w:rsidR="00215029" w:rsidRPr="00215029" w:rsidRDefault="00215029" w:rsidP="00215029">
      <w:pPr>
        <w:spacing w:line="240" w:lineRule="auto"/>
        <w:rPr>
          <w:rFonts w:ascii="Calibri" w:hAnsi="Calibri" w:cs="Calibri"/>
          <w:sz w:val="22"/>
          <w:szCs w:val="22"/>
        </w:rPr>
      </w:pPr>
    </w:p>
    <w:p w14:paraId="07270A6D"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1. Disciplinary positioning: Acknowledging that few studies are situated from a business perspective shows awareness of the researcher's unique position in the field.</w:t>
      </w:r>
    </w:p>
    <w:p w14:paraId="7FC7B64F" w14:textId="77777777" w:rsidR="00215029" w:rsidRPr="00215029" w:rsidRDefault="00215029" w:rsidP="00215029">
      <w:pPr>
        <w:spacing w:line="240" w:lineRule="auto"/>
        <w:rPr>
          <w:rFonts w:ascii="Calibri" w:hAnsi="Calibri" w:cs="Calibri"/>
          <w:sz w:val="22"/>
          <w:szCs w:val="22"/>
        </w:rPr>
      </w:pPr>
    </w:p>
    <w:p w14:paraId="2BA9F62D"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2. Methodological reflexivity: The choice to include qualitative methods, particularly the group interview, suggests reflexivity about the limitations of dominant quantitative approaches.</w:t>
      </w:r>
    </w:p>
    <w:p w14:paraId="3255F164" w14:textId="77777777" w:rsidR="00215029" w:rsidRPr="00215029" w:rsidRDefault="00215029" w:rsidP="00215029">
      <w:pPr>
        <w:spacing w:line="240" w:lineRule="auto"/>
        <w:rPr>
          <w:rFonts w:ascii="Calibri" w:hAnsi="Calibri" w:cs="Calibri"/>
          <w:sz w:val="22"/>
          <w:szCs w:val="22"/>
        </w:rPr>
      </w:pPr>
    </w:p>
    <w:p w14:paraId="261A6963"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3. Conceptual reflexivity: The call for "a new model of 'problem gambling'" indicates reflexive thinking about existing conceptual frameworks.</w:t>
      </w:r>
    </w:p>
    <w:p w14:paraId="5E49CF8F" w14:textId="77777777" w:rsidR="00215029" w:rsidRPr="00215029" w:rsidRDefault="00215029" w:rsidP="00215029">
      <w:pPr>
        <w:spacing w:line="240" w:lineRule="auto"/>
        <w:rPr>
          <w:rFonts w:ascii="Calibri" w:hAnsi="Calibri" w:cs="Calibri"/>
          <w:sz w:val="22"/>
          <w:szCs w:val="22"/>
        </w:rPr>
      </w:pPr>
    </w:p>
    <w:p w14:paraId="50AC7D8F"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4. Stakeholder dynamics: Recognizing that the lived experience of 'problem gamblers' is at variance with key stakeholders shows reflexivity about power dynamics and differing perspectives in the gambling industry.</w:t>
      </w:r>
    </w:p>
    <w:p w14:paraId="0459C446" w14:textId="77777777" w:rsidR="00215029" w:rsidRPr="00215029" w:rsidRDefault="00215029" w:rsidP="00215029">
      <w:pPr>
        <w:spacing w:line="240" w:lineRule="auto"/>
        <w:rPr>
          <w:rFonts w:ascii="Calibri" w:hAnsi="Calibri" w:cs="Calibri"/>
          <w:sz w:val="22"/>
          <w:szCs w:val="22"/>
        </w:rPr>
      </w:pPr>
    </w:p>
    <w:p w14:paraId="02CB656F"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5. Ethical considerations: The focus on "complex moral issues" suggests reflexivity about the ethical implications of the research.</w:t>
      </w:r>
    </w:p>
    <w:p w14:paraId="4FFF090C" w14:textId="77777777" w:rsidR="00215029" w:rsidRPr="00215029" w:rsidRDefault="00215029" w:rsidP="00215029">
      <w:pPr>
        <w:spacing w:line="240" w:lineRule="auto"/>
        <w:rPr>
          <w:rFonts w:ascii="Calibri" w:hAnsi="Calibri" w:cs="Calibri"/>
          <w:sz w:val="22"/>
          <w:szCs w:val="22"/>
        </w:rPr>
      </w:pPr>
    </w:p>
    <w:p w14:paraId="060AF445"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To enhance reflexivity, the researcher could consider:</w:t>
      </w:r>
    </w:p>
    <w:p w14:paraId="6D49BC8D" w14:textId="77777777" w:rsidR="00215029" w:rsidRPr="00215029" w:rsidRDefault="00215029" w:rsidP="00215029">
      <w:pPr>
        <w:spacing w:line="240" w:lineRule="auto"/>
        <w:rPr>
          <w:rFonts w:ascii="Calibri" w:hAnsi="Calibri" w:cs="Calibri"/>
          <w:sz w:val="22"/>
          <w:szCs w:val="22"/>
        </w:rPr>
      </w:pPr>
    </w:p>
    <w:p w14:paraId="40D363FC"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1. Their own relationship to gambling (personal experiences, cultural background).</w:t>
      </w:r>
    </w:p>
    <w:p w14:paraId="08AF90A5"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2. Potential biases in their business-oriented approach.</w:t>
      </w:r>
    </w:p>
    <w:p w14:paraId="524CB21A"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3. Power dynamics in their interactions with 'problem gamblers' and industry stakeholders.</w:t>
      </w:r>
    </w:p>
    <w:p w14:paraId="63597712"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4. How their pragmatic philosophical stance might influence their interpretation of data.</w:t>
      </w:r>
    </w:p>
    <w:p w14:paraId="7A39CF64" w14:textId="77777777"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5. The potential impact of their research on gambling policies and practices.</w:t>
      </w:r>
    </w:p>
    <w:p w14:paraId="16D63813" w14:textId="77777777" w:rsidR="00215029" w:rsidRPr="00215029" w:rsidRDefault="00215029" w:rsidP="00215029">
      <w:pPr>
        <w:spacing w:line="240" w:lineRule="auto"/>
        <w:rPr>
          <w:rFonts w:ascii="Calibri" w:hAnsi="Calibri" w:cs="Calibri"/>
          <w:sz w:val="22"/>
          <w:szCs w:val="22"/>
        </w:rPr>
      </w:pPr>
    </w:p>
    <w:p w14:paraId="35F325A9" w14:textId="3331F769" w:rsidR="00215029" w:rsidRPr="00215029" w:rsidRDefault="00215029" w:rsidP="00215029">
      <w:pPr>
        <w:spacing w:line="240" w:lineRule="auto"/>
        <w:rPr>
          <w:rFonts w:ascii="Calibri" w:hAnsi="Calibri" w:cs="Calibri"/>
          <w:sz w:val="22"/>
          <w:szCs w:val="22"/>
        </w:rPr>
      </w:pPr>
      <w:r w:rsidRPr="00215029">
        <w:rPr>
          <w:rFonts w:ascii="Calibri" w:hAnsi="Calibri" w:cs="Calibri"/>
          <w:sz w:val="22"/>
          <w:szCs w:val="22"/>
        </w:rPr>
        <w:t>By continuously engaging with these aspects of positionality, reflection, and reflexivity, the researcher can enhance the rigor and ethical grounding of their study, while also acknowledging the subjective elements inherent in this type of research.</w:t>
      </w:r>
    </w:p>
    <w:sectPr w:rsidR="00215029" w:rsidRPr="002150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30BE3"/>
    <w:multiLevelType w:val="hybridMultilevel"/>
    <w:tmpl w:val="72EC5910"/>
    <w:lvl w:ilvl="0" w:tplc="18CEE180">
      <w:start w:val="1"/>
      <w:numFmt w:val="bullet"/>
      <w:lvlText w:val="•"/>
      <w:lvlJc w:val="left"/>
      <w:pPr>
        <w:tabs>
          <w:tab w:val="num" w:pos="720"/>
        </w:tabs>
        <w:ind w:left="720" w:hanging="360"/>
      </w:pPr>
      <w:rPr>
        <w:rFonts w:ascii="Arial" w:hAnsi="Arial" w:hint="default"/>
      </w:rPr>
    </w:lvl>
    <w:lvl w:ilvl="1" w:tplc="AEFEE4E4" w:tentative="1">
      <w:start w:val="1"/>
      <w:numFmt w:val="bullet"/>
      <w:lvlText w:val="•"/>
      <w:lvlJc w:val="left"/>
      <w:pPr>
        <w:tabs>
          <w:tab w:val="num" w:pos="1440"/>
        </w:tabs>
        <w:ind w:left="1440" w:hanging="360"/>
      </w:pPr>
      <w:rPr>
        <w:rFonts w:ascii="Arial" w:hAnsi="Arial" w:hint="default"/>
      </w:rPr>
    </w:lvl>
    <w:lvl w:ilvl="2" w:tplc="ADA2A522" w:tentative="1">
      <w:start w:val="1"/>
      <w:numFmt w:val="bullet"/>
      <w:lvlText w:val="•"/>
      <w:lvlJc w:val="left"/>
      <w:pPr>
        <w:tabs>
          <w:tab w:val="num" w:pos="2160"/>
        </w:tabs>
        <w:ind w:left="2160" w:hanging="360"/>
      </w:pPr>
      <w:rPr>
        <w:rFonts w:ascii="Arial" w:hAnsi="Arial" w:hint="default"/>
      </w:rPr>
    </w:lvl>
    <w:lvl w:ilvl="3" w:tplc="A572A488" w:tentative="1">
      <w:start w:val="1"/>
      <w:numFmt w:val="bullet"/>
      <w:lvlText w:val="•"/>
      <w:lvlJc w:val="left"/>
      <w:pPr>
        <w:tabs>
          <w:tab w:val="num" w:pos="2880"/>
        </w:tabs>
        <w:ind w:left="2880" w:hanging="360"/>
      </w:pPr>
      <w:rPr>
        <w:rFonts w:ascii="Arial" w:hAnsi="Arial" w:hint="default"/>
      </w:rPr>
    </w:lvl>
    <w:lvl w:ilvl="4" w:tplc="7A741ED0" w:tentative="1">
      <w:start w:val="1"/>
      <w:numFmt w:val="bullet"/>
      <w:lvlText w:val="•"/>
      <w:lvlJc w:val="left"/>
      <w:pPr>
        <w:tabs>
          <w:tab w:val="num" w:pos="3600"/>
        </w:tabs>
        <w:ind w:left="3600" w:hanging="360"/>
      </w:pPr>
      <w:rPr>
        <w:rFonts w:ascii="Arial" w:hAnsi="Arial" w:hint="default"/>
      </w:rPr>
    </w:lvl>
    <w:lvl w:ilvl="5" w:tplc="776CDEEE" w:tentative="1">
      <w:start w:val="1"/>
      <w:numFmt w:val="bullet"/>
      <w:lvlText w:val="•"/>
      <w:lvlJc w:val="left"/>
      <w:pPr>
        <w:tabs>
          <w:tab w:val="num" w:pos="4320"/>
        </w:tabs>
        <w:ind w:left="4320" w:hanging="360"/>
      </w:pPr>
      <w:rPr>
        <w:rFonts w:ascii="Arial" w:hAnsi="Arial" w:hint="default"/>
      </w:rPr>
    </w:lvl>
    <w:lvl w:ilvl="6" w:tplc="EBD88616" w:tentative="1">
      <w:start w:val="1"/>
      <w:numFmt w:val="bullet"/>
      <w:lvlText w:val="•"/>
      <w:lvlJc w:val="left"/>
      <w:pPr>
        <w:tabs>
          <w:tab w:val="num" w:pos="5040"/>
        </w:tabs>
        <w:ind w:left="5040" w:hanging="360"/>
      </w:pPr>
      <w:rPr>
        <w:rFonts w:ascii="Arial" w:hAnsi="Arial" w:hint="default"/>
      </w:rPr>
    </w:lvl>
    <w:lvl w:ilvl="7" w:tplc="9A9E1A98" w:tentative="1">
      <w:start w:val="1"/>
      <w:numFmt w:val="bullet"/>
      <w:lvlText w:val="•"/>
      <w:lvlJc w:val="left"/>
      <w:pPr>
        <w:tabs>
          <w:tab w:val="num" w:pos="5760"/>
        </w:tabs>
        <w:ind w:left="5760" w:hanging="360"/>
      </w:pPr>
      <w:rPr>
        <w:rFonts w:ascii="Arial" w:hAnsi="Arial" w:hint="default"/>
      </w:rPr>
    </w:lvl>
    <w:lvl w:ilvl="8" w:tplc="9E4C4AC6" w:tentative="1">
      <w:start w:val="1"/>
      <w:numFmt w:val="bullet"/>
      <w:lvlText w:val="•"/>
      <w:lvlJc w:val="left"/>
      <w:pPr>
        <w:tabs>
          <w:tab w:val="num" w:pos="6480"/>
        </w:tabs>
        <w:ind w:left="6480" w:hanging="360"/>
      </w:pPr>
      <w:rPr>
        <w:rFonts w:ascii="Arial" w:hAnsi="Arial" w:hint="default"/>
      </w:rPr>
    </w:lvl>
  </w:abstractNum>
  <w:num w:numId="1" w16cid:durableId="2136293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F69"/>
    <w:rsid w:val="00136F69"/>
    <w:rsid w:val="00215029"/>
    <w:rsid w:val="002237CE"/>
    <w:rsid w:val="005A79DE"/>
    <w:rsid w:val="006543DB"/>
    <w:rsid w:val="00A273A1"/>
    <w:rsid w:val="00E15F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13224"/>
  <w15:chartTrackingRefBased/>
  <w15:docId w15:val="{E2A60179-C982-484A-A980-1236C538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F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6F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6F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6F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6F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6F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6F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6F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6F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F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6F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6F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6F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6F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6F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6F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6F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6F69"/>
    <w:rPr>
      <w:rFonts w:eastAsiaTheme="majorEastAsia" w:cstheme="majorBidi"/>
      <w:color w:val="272727" w:themeColor="text1" w:themeTint="D8"/>
    </w:rPr>
  </w:style>
  <w:style w:type="paragraph" w:styleId="Title">
    <w:name w:val="Title"/>
    <w:basedOn w:val="Normal"/>
    <w:next w:val="Normal"/>
    <w:link w:val="TitleChar"/>
    <w:uiPriority w:val="10"/>
    <w:qFormat/>
    <w:rsid w:val="00136F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F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6F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6F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6F69"/>
    <w:pPr>
      <w:spacing w:before="160"/>
      <w:jc w:val="center"/>
    </w:pPr>
    <w:rPr>
      <w:i/>
      <w:iCs/>
      <w:color w:val="404040" w:themeColor="text1" w:themeTint="BF"/>
    </w:rPr>
  </w:style>
  <w:style w:type="character" w:customStyle="1" w:styleId="QuoteChar">
    <w:name w:val="Quote Char"/>
    <w:basedOn w:val="DefaultParagraphFont"/>
    <w:link w:val="Quote"/>
    <w:uiPriority w:val="29"/>
    <w:rsid w:val="00136F69"/>
    <w:rPr>
      <w:i/>
      <w:iCs/>
      <w:color w:val="404040" w:themeColor="text1" w:themeTint="BF"/>
    </w:rPr>
  </w:style>
  <w:style w:type="paragraph" w:styleId="ListParagraph">
    <w:name w:val="List Paragraph"/>
    <w:basedOn w:val="Normal"/>
    <w:uiPriority w:val="34"/>
    <w:qFormat/>
    <w:rsid w:val="00136F69"/>
    <w:pPr>
      <w:ind w:left="720"/>
      <w:contextualSpacing/>
    </w:pPr>
  </w:style>
  <w:style w:type="character" w:styleId="IntenseEmphasis">
    <w:name w:val="Intense Emphasis"/>
    <w:basedOn w:val="DefaultParagraphFont"/>
    <w:uiPriority w:val="21"/>
    <w:qFormat/>
    <w:rsid w:val="00136F69"/>
    <w:rPr>
      <w:i/>
      <w:iCs/>
      <w:color w:val="0F4761" w:themeColor="accent1" w:themeShade="BF"/>
    </w:rPr>
  </w:style>
  <w:style w:type="paragraph" w:styleId="IntenseQuote">
    <w:name w:val="Intense Quote"/>
    <w:basedOn w:val="Normal"/>
    <w:next w:val="Normal"/>
    <w:link w:val="IntenseQuoteChar"/>
    <w:uiPriority w:val="30"/>
    <w:qFormat/>
    <w:rsid w:val="00136F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6F69"/>
    <w:rPr>
      <w:i/>
      <w:iCs/>
      <w:color w:val="0F4761" w:themeColor="accent1" w:themeShade="BF"/>
    </w:rPr>
  </w:style>
  <w:style w:type="character" w:styleId="IntenseReference">
    <w:name w:val="Intense Reference"/>
    <w:basedOn w:val="DefaultParagraphFont"/>
    <w:uiPriority w:val="32"/>
    <w:qFormat/>
    <w:rsid w:val="00136F6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5990352">
      <w:bodyDiv w:val="1"/>
      <w:marLeft w:val="0"/>
      <w:marRight w:val="0"/>
      <w:marTop w:val="0"/>
      <w:marBottom w:val="0"/>
      <w:divBdr>
        <w:top w:val="none" w:sz="0" w:space="0" w:color="auto"/>
        <w:left w:val="none" w:sz="0" w:space="0" w:color="auto"/>
        <w:bottom w:val="none" w:sz="0" w:space="0" w:color="auto"/>
        <w:right w:val="none" w:sz="0" w:space="0" w:color="auto"/>
      </w:divBdr>
    </w:div>
    <w:div w:id="1496066298">
      <w:bodyDiv w:val="1"/>
      <w:marLeft w:val="0"/>
      <w:marRight w:val="0"/>
      <w:marTop w:val="0"/>
      <w:marBottom w:val="0"/>
      <w:divBdr>
        <w:top w:val="none" w:sz="0" w:space="0" w:color="auto"/>
        <w:left w:val="none" w:sz="0" w:space="0" w:color="auto"/>
        <w:bottom w:val="none" w:sz="0" w:space="0" w:color="auto"/>
        <w:right w:val="none" w:sz="0" w:space="0" w:color="auto"/>
      </w:divBdr>
      <w:divsChild>
        <w:div w:id="633760081">
          <w:marLeft w:val="360"/>
          <w:marRight w:val="0"/>
          <w:marTop w:val="200"/>
          <w:marBottom w:val="0"/>
          <w:divBdr>
            <w:top w:val="none" w:sz="0" w:space="0" w:color="auto"/>
            <w:left w:val="none" w:sz="0" w:space="0" w:color="auto"/>
            <w:bottom w:val="none" w:sz="0" w:space="0" w:color="auto"/>
            <w:right w:val="none" w:sz="0" w:space="0" w:color="auto"/>
          </w:divBdr>
        </w:div>
        <w:div w:id="769937968">
          <w:marLeft w:val="360"/>
          <w:marRight w:val="0"/>
          <w:marTop w:val="200"/>
          <w:marBottom w:val="0"/>
          <w:divBdr>
            <w:top w:val="none" w:sz="0" w:space="0" w:color="auto"/>
            <w:left w:val="none" w:sz="0" w:space="0" w:color="auto"/>
            <w:bottom w:val="none" w:sz="0" w:space="0" w:color="auto"/>
            <w:right w:val="none" w:sz="0" w:space="0" w:color="auto"/>
          </w:divBdr>
        </w:div>
        <w:div w:id="1369183352">
          <w:marLeft w:val="360"/>
          <w:marRight w:val="0"/>
          <w:marTop w:val="200"/>
          <w:marBottom w:val="0"/>
          <w:divBdr>
            <w:top w:val="none" w:sz="0" w:space="0" w:color="auto"/>
            <w:left w:val="none" w:sz="0" w:space="0" w:color="auto"/>
            <w:bottom w:val="none" w:sz="0" w:space="0" w:color="auto"/>
            <w:right w:val="none" w:sz="0" w:space="0" w:color="auto"/>
          </w:divBdr>
        </w:div>
        <w:div w:id="857112564">
          <w:marLeft w:val="360"/>
          <w:marRight w:val="0"/>
          <w:marTop w:val="200"/>
          <w:marBottom w:val="0"/>
          <w:divBdr>
            <w:top w:val="none" w:sz="0" w:space="0" w:color="auto"/>
            <w:left w:val="none" w:sz="0" w:space="0" w:color="auto"/>
            <w:bottom w:val="none" w:sz="0" w:space="0" w:color="auto"/>
            <w:right w:val="none" w:sz="0" w:space="0" w:color="auto"/>
          </w:divBdr>
        </w:div>
        <w:div w:id="1622301440">
          <w:marLeft w:val="360"/>
          <w:marRight w:val="0"/>
          <w:marTop w:val="200"/>
          <w:marBottom w:val="0"/>
          <w:divBdr>
            <w:top w:val="none" w:sz="0" w:space="0" w:color="auto"/>
            <w:left w:val="none" w:sz="0" w:space="0" w:color="auto"/>
            <w:bottom w:val="none" w:sz="0" w:space="0" w:color="auto"/>
            <w:right w:val="none" w:sz="0" w:space="0" w:color="auto"/>
          </w:divBdr>
        </w:div>
        <w:div w:id="158859973">
          <w:marLeft w:val="360"/>
          <w:marRight w:val="0"/>
          <w:marTop w:val="200"/>
          <w:marBottom w:val="0"/>
          <w:divBdr>
            <w:top w:val="none" w:sz="0" w:space="0" w:color="auto"/>
            <w:left w:val="none" w:sz="0" w:space="0" w:color="auto"/>
            <w:bottom w:val="none" w:sz="0" w:space="0" w:color="auto"/>
            <w:right w:val="none" w:sz="0" w:space="0" w:color="auto"/>
          </w:divBdr>
        </w:div>
      </w:divsChild>
    </w:div>
    <w:div w:id="1580559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1534</Words>
  <Characters>8930</Characters>
  <Application>Microsoft Office Word</Application>
  <DocSecurity>0</DocSecurity>
  <Lines>129</Lines>
  <Paragraphs>16</Paragraphs>
  <ScaleCrop>false</ScaleCrop>
  <Company/>
  <LinksUpToDate>false</LinksUpToDate>
  <CharactersWithSpaces>10448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2024-06-30T14:47:00Z</dcterms:created>
  <dcterms:modified xsi:type="dcterms:W3CDTF">2024-06-30T14:47:00Z</dcterms:modified>
</cp:coreProperties>
</file>