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A8BF7" w14:textId="77777777" w:rsidR="0033534B" w:rsidRDefault="0033534B" w:rsidP="0033534B">
      <w:pPr>
        <w:pStyle w:val="BodyText"/>
        <w:spacing w:line="480" w:lineRule="auto"/>
        <w:jc w:val="center"/>
        <w:rPr>
          <w:rFonts w:ascii="Arial" w:hAnsi="Arial"/>
          <w:b/>
          <w:bCs/>
          <w:sz w:val="32"/>
          <w:szCs w:val="32"/>
        </w:rPr>
      </w:pPr>
    </w:p>
    <w:p w14:paraId="5D0A653B" w14:textId="77777777" w:rsidR="0033534B" w:rsidRDefault="0033534B" w:rsidP="0033534B">
      <w:pPr>
        <w:pStyle w:val="BodyText"/>
        <w:spacing w:line="480" w:lineRule="auto"/>
        <w:jc w:val="center"/>
        <w:rPr>
          <w:rFonts w:ascii="Arial" w:hAnsi="Arial"/>
          <w:b/>
          <w:bCs/>
          <w:sz w:val="32"/>
          <w:szCs w:val="32"/>
        </w:rPr>
      </w:pPr>
    </w:p>
    <w:p w14:paraId="43B8D266" w14:textId="77777777" w:rsidR="0033534B" w:rsidRDefault="0033534B" w:rsidP="0033534B">
      <w:pPr>
        <w:pStyle w:val="BodyText"/>
        <w:spacing w:line="480" w:lineRule="auto"/>
        <w:jc w:val="center"/>
        <w:rPr>
          <w:rFonts w:ascii="Arial" w:hAnsi="Arial"/>
          <w:b/>
          <w:bCs/>
          <w:sz w:val="32"/>
          <w:szCs w:val="32"/>
        </w:rPr>
      </w:pPr>
    </w:p>
    <w:p w14:paraId="32F82E89" w14:textId="77777777" w:rsidR="00A03778" w:rsidRDefault="0040598C" w:rsidP="0033534B">
      <w:pPr>
        <w:pStyle w:val="BodyText"/>
        <w:spacing w:line="480" w:lineRule="auto"/>
        <w:jc w:val="center"/>
        <w:rPr>
          <w:rFonts w:ascii="Arial" w:hAnsi="Arial"/>
          <w:b/>
          <w:bCs/>
          <w:sz w:val="36"/>
          <w:szCs w:val="36"/>
        </w:rPr>
      </w:pPr>
      <w:r w:rsidRPr="00A03778">
        <w:rPr>
          <w:rFonts w:ascii="Arial" w:hAnsi="Arial"/>
          <w:b/>
          <w:bCs/>
          <w:sz w:val="36"/>
          <w:szCs w:val="36"/>
        </w:rPr>
        <w:t xml:space="preserve">Examining the Impacts and Mitigating Strategies </w:t>
      </w:r>
      <w:r w:rsidR="007F6674" w:rsidRPr="00A03778">
        <w:rPr>
          <w:rFonts w:ascii="Arial" w:hAnsi="Arial"/>
          <w:b/>
          <w:bCs/>
          <w:sz w:val="36"/>
          <w:szCs w:val="36"/>
        </w:rPr>
        <w:t>on</w:t>
      </w:r>
      <w:r w:rsidRPr="00A03778">
        <w:rPr>
          <w:rFonts w:ascii="Arial" w:hAnsi="Arial"/>
          <w:b/>
          <w:bCs/>
          <w:sz w:val="36"/>
          <w:szCs w:val="36"/>
        </w:rPr>
        <w:t xml:space="preserve"> Staff Turnover at Holiday Inn Sunderland: </w:t>
      </w:r>
    </w:p>
    <w:p w14:paraId="60D5509F" w14:textId="07646EB8" w:rsidR="0040598C" w:rsidRPr="00A03778" w:rsidRDefault="0040598C" w:rsidP="0033534B">
      <w:pPr>
        <w:pStyle w:val="BodyText"/>
        <w:spacing w:line="480" w:lineRule="auto"/>
        <w:jc w:val="center"/>
        <w:rPr>
          <w:rFonts w:ascii="Arial" w:hAnsi="Arial"/>
          <w:b/>
          <w:bCs/>
          <w:sz w:val="36"/>
          <w:szCs w:val="36"/>
        </w:rPr>
      </w:pPr>
      <w:r w:rsidRPr="00A03778">
        <w:rPr>
          <w:rFonts w:ascii="Arial" w:hAnsi="Arial"/>
          <w:b/>
          <w:bCs/>
          <w:sz w:val="36"/>
          <w:szCs w:val="36"/>
        </w:rPr>
        <w:t>A Case Study Approach</w:t>
      </w:r>
    </w:p>
    <w:p w14:paraId="2E19D0EC" w14:textId="77777777" w:rsidR="002B3600" w:rsidRDefault="002B3600" w:rsidP="007B5666">
      <w:pPr>
        <w:pStyle w:val="BodyText"/>
        <w:spacing w:line="360" w:lineRule="auto"/>
        <w:jc w:val="center"/>
        <w:rPr>
          <w:rFonts w:ascii="Arial" w:hAnsi="Arial"/>
          <w:b/>
          <w:bCs/>
          <w:sz w:val="32"/>
          <w:szCs w:val="32"/>
        </w:rPr>
      </w:pPr>
    </w:p>
    <w:p w14:paraId="15519C51" w14:textId="77777777" w:rsidR="002B3600" w:rsidRDefault="002B3600" w:rsidP="007B5666">
      <w:pPr>
        <w:pStyle w:val="BodyText"/>
        <w:spacing w:line="360" w:lineRule="auto"/>
        <w:jc w:val="center"/>
        <w:rPr>
          <w:rFonts w:ascii="Arial" w:hAnsi="Arial"/>
          <w:b/>
          <w:bCs/>
          <w:sz w:val="32"/>
          <w:szCs w:val="32"/>
        </w:rPr>
      </w:pPr>
    </w:p>
    <w:p w14:paraId="0757C5A4" w14:textId="77777777" w:rsidR="002B3600" w:rsidRDefault="002B3600" w:rsidP="007B5666">
      <w:pPr>
        <w:pStyle w:val="BodyText"/>
        <w:spacing w:line="360" w:lineRule="auto"/>
        <w:jc w:val="center"/>
        <w:rPr>
          <w:rFonts w:ascii="Arial" w:hAnsi="Arial"/>
          <w:b/>
          <w:bCs/>
          <w:sz w:val="32"/>
          <w:szCs w:val="32"/>
        </w:rPr>
      </w:pPr>
    </w:p>
    <w:p w14:paraId="5265FB42" w14:textId="77777777" w:rsidR="002B3600" w:rsidRDefault="002B3600" w:rsidP="007B5666">
      <w:pPr>
        <w:pStyle w:val="BodyText"/>
        <w:spacing w:line="360" w:lineRule="auto"/>
        <w:jc w:val="center"/>
        <w:rPr>
          <w:rFonts w:ascii="Arial" w:hAnsi="Arial"/>
          <w:b/>
          <w:bCs/>
          <w:sz w:val="32"/>
          <w:szCs w:val="32"/>
        </w:rPr>
      </w:pPr>
    </w:p>
    <w:p w14:paraId="59BBF4EB" w14:textId="77777777"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Student Name: Andreea Balanescu</w:t>
      </w:r>
    </w:p>
    <w:p w14:paraId="1AAFB8CF" w14:textId="77777777"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Student ID: 2211130</w:t>
      </w:r>
    </w:p>
    <w:p w14:paraId="6251AF8B" w14:textId="750F024A"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 xml:space="preserve">Module: </w:t>
      </w:r>
      <w:r>
        <w:rPr>
          <w:rFonts w:ascii="Arial" w:eastAsia="Calibri" w:hAnsi="Arial"/>
          <w:bCs/>
          <w:kern w:val="0"/>
          <w:sz w:val="24"/>
          <w:szCs w:val="24"/>
          <w:lang w:val="en-GB"/>
          <w14:ligatures w14:val="none"/>
        </w:rPr>
        <w:t>Hotel Placement Research Project</w:t>
      </w:r>
    </w:p>
    <w:p w14:paraId="72C8593C" w14:textId="39EAB5E1"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Module code: BMI</w:t>
      </w:r>
      <w:r>
        <w:rPr>
          <w:rFonts w:ascii="Arial" w:eastAsia="Calibri" w:hAnsi="Arial"/>
          <w:bCs/>
          <w:kern w:val="0"/>
          <w:sz w:val="24"/>
          <w:szCs w:val="24"/>
          <w:lang w:val="en-GB"/>
          <w14:ligatures w14:val="none"/>
        </w:rPr>
        <w:t>H6008</w:t>
      </w:r>
    </w:p>
    <w:p w14:paraId="0B1448AA" w14:textId="77777777"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Lecturer name: Dr</w:t>
      </w:r>
      <w:bookmarkStart w:id="0" w:name="_Hlk200213010"/>
      <w:r w:rsidRPr="002B3600">
        <w:rPr>
          <w:rFonts w:ascii="Arial" w:eastAsia="Calibri" w:hAnsi="Arial"/>
          <w:bCs/>
          <w:kern w:val="0"/>
          <w:sz w:val="24"/>
          <w:szCs w:val="24"/>
          <w:lang w:val="en-GB"/>
          <w14:ligatures w14:val="none"/>
        </w:rPr>
        <w:t>. Ernest Balutie Wavei</w:t>
      </w:r>
    </w:p>
    <w:bookmarkEnd w:id="0"/>
    <w:p w14:paraId="24344A99" w14:textId="21E68639" w:rsid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 xml:space="preserve">Date: </w:t>
      </w:r>
      <w:r>
        <w:rPr>
          <w:rFonts w:ascii="Arial" w:eastAsia="Calibri" w:hAnsi="Arial"/>
          <w:bCs/>
          <w:kern w:val="0"/>
          <w:sz w:val="24"/>
          <w:szCs w:val="24"/>
          <w:lang w:val="en-GB"/>
          <w14:ligatures w14:val="none"/>
        </w:rPr>
        <w:t>1</w:t>
      </w:r>
      <w:r w:rsidR="00697D77">
        <w:rPr>
          <w:rFonts w:ascii="Arial" w:eastAsia="Calibri" w:hAnsi="Arial"/>
          <w:bCs/>
          <w:kern w:val="0"/>
          <w:sz w:val="24"/>
          <w:szCs w:val="24"/>
          <w:lang w:val="en-GB"/>
          <w14:ligatures w14:val="none"/>
        </w:rPr>
        <w:t>0</w:t>
      </w:r>
      <w:r>
        <w:rPr>
          <w:rFonts w:ascii="Arial" w:eastAsia="Calibri" w:hAnsi="Arial"/>
          <w:bCs/>
          <w:kern w:val="0"/>
          <w:sz w:val="24"/>
          <w:szCs w:val="24"/>
          <w:lang w:val="en-GB"/>
          <w14:ligatures w14:val="none"/>
        </w:rPr>
        <w:t xml:space="preserve"> June </w:t>
      </w:r>
      <w:r w:rsidRPr="002B3600">
        <w:rPr>
          <w:rFonts w:ascii="Arial" w:eastAsia="Calibri" w:hAnsi="Arial"/>
          <w:bCs/>
          <w:kern w:val="0"/>
          <w:sz w:val="24"/>
          <w:szCs w:val="24"/>
          <w:lang w:val="en-GB"/>
          <w14:ligatures w14:val="none"/>
        </w:rPr>
        <w:t>2</w:t>
      </w:r>
      <w:r>
        <w:rPr>
          <w:rFonts w:ascii="Arial" w:eastAsia="Calibri" w:hAnsi="Arial"/>
          <w:bCs/>
          <w:kern w:val="0"/>
          <w:sz w:val="24"/>
          <w:szCs w:val="24"/>
          <w:lang w:val="en-GB"/>
          <w14:ligatures w14:val="none"/>
        </w:rPr>
        <w:t>02</w:t>
      </w:r>
      <w:r w:rsidRPr="002B3600">
        <w:rPr>
          <w:rFonts w:ascii="Arial" w:eastAsia="Calibri" w:hAnsi="Arial"/>
          <w:bCs/>
          <w:kern w:val="0"/>
          <w:sz w:val="24"/>
          <w:szCs w:val="24"/>
          <w:lang w:val="en-GB"/>
          <w14:ligatures w14:val="none"/>
        </w:rPr>
        <w:t>5</w:t>
      </w:r>
    </w:p>
    <w:p w14:paraId="14F3EB18" w14:textId="77777777" w:rsidR="00751CD0" w:rsidRDefault="00751CD0" w:rsidP="00945168">
      <w:pPr>
        <w:spacing w:after="160" w:line="360" w:lineRule="auto"/>
        <w:jc w:val="center"/>
        <w:rPr>
          <w:rFonts w:ascii="Arial" w:eastAsia="Calibri" w:hAnsi="Arial"/>
          <w:bCs/>
          <w:kern w:val="0"/>
          <w:sz w:val="24"/>
          <w:szCs w:val="24"/>
          <w:lang w:val="en-GB"/>
          <w14:ligatures w14:val="none"/>
        </w:rPr>
      </w:pPr>
    </w:p>
    <w:p w14:paraId="3B722A7F" w14:textId="77777777" w:rsidR="00751CD0" w:rsidRDefault="00751CD0" w:rsidP="00945168">
      <w:pPr>
        <w:spacing w:after="160" w:line="360" w:lineRule="auto"/>
        <w:jc w:val="center"/>
        <w:rPr>
          <w:rFonts w:ascii="Arial" w:eastAsia="Calibri" w:hAnsi="Arial"/>
          <w:bCs/>
          <w:kern w:val="0"/>
          <w:sz w:val="24"/>
          <w:szCs w:val="24"/>
          <w:lang w:val="en-GB"/>
          <w14:ligatures w14:val="none"/>
        </w:rPr>
      </w:pPr>
    </w:p>
    <w:p w14:paraId="1DC18136" w14:textId="77777777" w:rsidR="0033534B" w:rsidRDefault="0033534B" w:rsidP="00945168">
      <w:pPr>
        <w:spacing w:after="160" w:line="360" w:lineRule="auto"/>
        <w:jc w:val="center"/>
        <w:rPr>
          <w:rFonts w:ascii="Arial" w:eastAsia="Calibri" w:hAnsi="Arial"/>
          <w:bCs/>
          <w:kern w:val="0"/>
          <w:sz w:val="24"/>
          <w:szCs w:val="24"/>
          <w:lang w:val="en-GB"/>
          <w14:ligatures w14:val="none"/>
        </w:rPr>
      </w:pPr>
    </w:p>
    <w:p w14:paraId="7BB28C6C" w14:textId="77777777" w:rsidR="00751CD0" w:rsidRDefault="00751CD0" w:rsidP="00945168">
      <w:pPr>
        <w:spacing w:after="160" w:line="360" w:lineRule="auto"/>
        <w:jc w:val="center"/>
        <w:rPr>
          <w:rFonts w:ascii="Arial" w:eastAsia="Calibri" w:hAnsi="Arial"/>
          <w:bCs/>
          <w:kern w:val="0"/>
          <w:sz w:val="24"/>
          <w:szCs w:val="24"/>
          <w:lang w:val="en-GB"/>
          <w14:ligatures w14:val="none"/>
        </w:rPr>
      </w:pPr>
    </w:p>
    <w:p w14:paraId="29EDB4BF" w14:textId="77777777" w:rsidR="00725F1D" w:rsidRPr="00887B54" w:rsidRDefault="00725F1D" w:rsidP="00EC32C7">
      <w:pPr>
        <w:pStyle w:val="Heading1"/>
        <w:rPr>
          <w:rFonts w:eastAsia="Calibri"/>
          <w:sz w:val="28"/>
          <w:lang w:val="en-GB"/>
        </w:rPr>
      </w:pPr>
      <w:bookmarkStart w:id="1" w:name="_Toc200461583"/>
      <w:r w:rsidRPr="00887B54">
        <w:rPr>
          <w:rFonts w:eastAsia="Calibri"/>
          <w:sz w:val="28"/>
          <w:lang w:val="en-GB"/>
        </w:rPr>
        <w:t>AI Acknowledgement</w:t>
      </w:r>
      <w:bookmarkEnd w:id="1"/>
    </w:p>
    <w:p w14:paraId="2CB0EB48" w14:textId="77777777" w:rsidR="00751CD0" w:rsidRDefault="00751CD0" w:rsidP="00945168">
      <w:pPr>
        <w:spacing w:after="160" w:line="360" w:lineRule="auto"/>
        <w:jc w:val="center"/>
        <w:rPr>
          <w:rFonts w:ascii="Arial" w:eastAsia="Calibri" w:hAnsi="Arial"/>
          <w:bCs/>
          <w:kern w:val="0"/>
          <w:sz w:val="24"/>
          <w:szCs w:val="24"/>
          <w:lang w:val="en-GB"/>
          <w14:ligatures w14:val="none"/>
        </w:rPr>
      </w:pPr>
    </w:p>
    <w:p w14:paraId="666E36F2" w14:textId="3E5F1699" w:rsidR="00FA0455" w:rsidRPr="00FA0455" w:rsidRDefault="00FA0455" w:rsidP="0033534B">
      <w:pPr>
        <w:spacing w:line="480" w:lineRule="auto"/>
        <w:jc w:val="both"/>
        <w:rPr>
          <w:rFonts w:ascii="Arial" w:eastAsia="Aptos" w:hAnsi="Arial"/>
          <w:sz w:val="24"/>
          <w:szCs w:val="24"/>
          <w:lang w:val="en-GB"/>
        </w:rPr>
      </w:pPr>
      <w:r w:rsidRPr="00FA0455">
        <w:rPr>
          <w:rFonts w:ascii="Arial" w:eastAsia="Aptos" w:hAnsi="Arial"/>
          <w:sz w:val="24"/>
          <w:szCs w:val="24"/>
          <w:lang w:val="en-GB"/>
        </w:rPr>
        <w:t xml:space="preserve">I acknowledge using Grammarly (https://www.grammarly.com/) on </w:t>
      </w:r>
      <w:r w:rsidR="00957449">
        <w:rPr>
          <w:rFonts w:ascii="Arial" w:eastAsia="Aptos" w:hAnsi="Arial"/>
          <w:sz w:val="24"/>
          <w:szCs w:val="24"/>
          <w:lang w:val="en-GB"/>
        </w:rPr>
        <w:t>the 9</w:t>
      </w:r>
      <w:r w:rsidR="00957449" w:rsidRPr="00957449">
        <w:rPr>
          <w:rFonts w:ascii="Arial" w:eastAsia="Aptos" w:hAnsi="Arial"/>
          <w:sz w:val="24"/>
          <w:szCs w:val="24"/>
          <w:vertAlign w:val="superscript"/>
          <w:lang w:val="en-GB"/>
        </w:rPr>
        <w:t>th</w:t>
      </w:r>
      <w:r w:rsidR="00957449">
        <w:rPr>
          <w:rFonts w:ascii="Arial" w:eastAsia="Aptos" w:hAnsi="Arial"/>
          <w:sz w:val="24"/>
          <w:szCs w:val="24"/>
          <w:lang w:val="en-GB"/>
        </w:rPr>
        <w:t xml:space="preserve"> </w:t>
      </w:r>
      <w:r w:rsidR="00DF1DA9">
        <w:rPr>
          <w:rFonts w:ascii="Arial" w:eastAsia="Aptos" w:hAnsi="Arial"/>
          <w:sz w:val="24"/>
          <w:szCs w:val="24"/>
          <w:lang w:val="en-GB"/>
        </w:rPr>
        <w:t xml:space="preserve">of </w:t>
      </w:r>
      <w:r w:rsidR="00DF1DA9" w:rsidRPr="00FA0455">
        <w:rPr>
          <w:rFonts w:ascii="Arial" w:eastAsia="Aptos" w:hAnsi="Arial"/>
          <w:sz w:val="24"/>
          <w:szCs w:val="24"/>
          <w:lang w:val="en-GB"/>
        </w:rPr>
        <w:t>June</w:t>
      </w:r>
      <w:r w:rsidRPr="00FA0455">
        <w:rPr>
          <w:rFonts w:ascii="Arial" w:eastAsia="Aptos" w:hAnsi="Arial"/>
          <w:sz w:val="24"/>
          <w:szCs w:val="24"/>
          <w:lang w:val="en-GB"/>
        </w:rPr>
        <w:t xml:space="preserve"> 2025 to check my work.</w:t>
      </w:r>
    </w:p>
    <w:p w14:paraId="2D3ECCD7" w14:textId="77777777" w:rsidR="00FA0455" w:rsidRPr="00FA0455" w:rsidRDefault="00FA0455" w:rsidP="0033534B">
      <w:pPr>
        <w:spacing w:after="160" w:line="480" w:lineRule="auto"/>
        <w:jc w:val="both"/>
        <w:rPr>
          <w:rFonts w:ascii="Arial" w:eastAsia="Aptos" w:hAnsi="Arial"/>
          <w:sz w:val="24"/>
          <w:szCs w:val="24"/>
          <w:lang w:val="en-GB"/>
        </w:rPr>
      </w:pPr>
      <w:r w:rsidRPr="00FA0455">
        <w:rPr>
          <w:rFonts w:ascii="Arial" w:eastAsia="Aptos" w:hAnsi="Arial"/>
          <w:sz w:val="24"/>
          <w:szCs w:val="24"/>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as evidence.</w:t>
      </w:r>
    </w:p>
    <w:p w14:paraId="3DF4B1C1" w14:textId="77777777" w:rsidR="00B70F85" w:rsidRDefault="00B70F85">
      <w:pPr>
        <w:spacing w:after="0" w:line="240" w:lineRule="auto"/>
        <w:rPr>
          <w:rFonts w:ascii="Arial" w:eastAsia="Calibri" w:hAnsi="Arial"/>
          <w:bCs/>
          <w:kern w:val="0"/>
          <w:sz w:val="24"/>
          <w:szCs w:val="24"/>
          <w:lang w:val="en-GB"/>
          <w14:ligatures w14:val="none"/>
        </w:rPr>
      </w:pPr>
    </w:p>
    <w:p w14:paraId="08620111" w14:textId="30454F84" w:rsidR="00B70F85" w:rsidRDefault="00B70F85">
      <w:pPr>
        <w:spacing w:after="0" w:line="240" w:lineRule="auto"/>
        <w:rPr>
          <w:rFonts w:ascii="Arial" w:eastAsia="Calibri" w:hAnsi="Arial"/>
          <w:bCs/>
          <w:kern w:val="0"/>
          <w:sz w:val="24"/>
          <w:szCs w:val="24"/>
          <w:lang w:val="en-GB"/>
          <w14:ligatures w14:val="none"/>
        </w:rPr>
      </w:pPr>
    </w:p>
    <w:p w14:paraId="614BC603" w14:textId="1C2CE0F0" w:rsidR="00B70F85" w:rsidRPr="00EC32C7" w:rsidRDefault="00B70F85" w:rsidP="00887B54">
      <w:pPr>
        <w:pStyle w:val="Heading1"/>
        <w:jc w:val="center"/>
        <w:rPr>
          <w:rFonts w:eastAsia="Calibri"/>
          <w:sz w:val="28"/>
        </w:rPr>
      </w:pPr>
      <w:bookmarkStart w:id="2" w:name="_Toc200461584"/>
      <w:r w:rsidRPr="00EC32C7">
        <w:rPr>
          <w:rFonts w:eastAsia="Calibri"/>
          <w:sz w:val="28"/>
        </w:rPr>
        <w:t>Acknowledgement</w:t>
      </w:r>
      <w:bookmarkEnd w:id="2"/>
    </w:p>
    <w:p w14:paraId="37594111" w14:textId="77777777" w:rsidR="00B70F85" w:rsidRPr="00EC32C7" w:rsidRDefault="00B70F85" w:rsidP="00EC32C7">
      <w:pPr>
        <w:pStyle w:val="Heading1"/>
        <w:jc w:val="both"/>
        <w:rPr>
          <w:rFonts w:eastAsia="Calibri"/>
          <w:sz w:val="28"/>
        </w:rPr>
      </w:pPr>
    </w:p>
    <w:p w14:paraId="56D8A871" w14:textId="6D9FB92E" w:rsidR="003D4209" w:rsidRDefault="00B70F85" w:rsidP="0033534B">
      <w:pPr>
        <w:spacing w:after="0" w:line="480" w:lineRule="auto"/>
        <w:jc w:val="both"/>
        <w:rPr>
          <w:rFonts w:ascii="Arial" w:eastAsia="Calibri" w:hAnsi="Arial"/>
          <w:kern w:val="0"/>
          <w:sz w:val="24"/>
          <w:szCs w:val="24"/>
          <w:lang w:val="en-GB"/>
          <w14:ligatures w14:val="none"/>
        </w:rPr>
      </w:pPr>
      <w:r w:rsidRPr="00B70F85">
        <w:rPr>
          <w:rFonts w:ascii="Arial" w:eastAsia="Calibri" w:hAnsi="Arial"/>
          <w:kern w:val="0"/>
          <w:sz w:val="24"/>
          <w:szCs w:val="24"/>
          <w14:ligatures w14:val="none"/>
        </w:rPr>
        <w:t xml:space="preserve">I would like to express </w:t>
      </w:r>
      <w:r w:rsidR="003D4209" w:rsidRPr="003D4209">
        <w:rPr>
          <w:rFonts w:ascii="Arial" w:eastAsia="Calibri" w:hAnsi="Arial"/>
          <w:kern w:val="0"/>
          <w:sz w:val="24"/>
          <w:szCs w:val="24"/>
          <w:lang w:val="en-GB"/>
          <w14:ligatures w14:val="none"/>
        </w:rPr>
        <w:t>my heartfelt gratitude to</w:t>
      </w:r>
      <w:r w:rsidR="003D4209">
        <w:rPr>
          <w:rFonts w:ascii="Arial" w:eastAsia="Calibri" w:hAnsi="Arial"/>
          <w:kern w:val="0"/>
          <w:sz w:val="24"/>
          <w:szCs w:val="24"/>
          <w:lang w:val="en-GB"/>
          <w14:ligatures w14:val="none"/>
        </w:rPr>
        <w:t xml:space="preserve"> my research project supervisor, Dr</w:t>
      </w:r>
      <w:r w:rsidR="003D4209" w:rsidRPr="003D4209">
        <w:rPr>
          <w:rFonts w:ascii="Arial" w:eastAsia="Calibri" w:hAnsi="Arial"/>
          <w:bCs/>
          <w:kern w:val="0"/>
          <w:sz w:val="24"/>
          <w:szCs w:val="24"/>
          <w:lang w:val="en-GB"/>
          <w14:ligatures w14:val="none"/>
        </w:rPr>
        <w:t>. Ernest Balutie Wavei</w:t>
      </w:r>
      <w:r w:rsidR="003D4209">
        <w:rPr>
          <w:rFonts w:ascii="Arial" w:eastAsia="Calibri" w:hAnsi="Arial"/>
          <w:bCs/>
          <w:kern w:val="0"/>
          <w:sz w:val="24"/>
          <w:szCs w:val="24"/>
          <w:lang w:val="en-GB"/>
          <w14:ligatures w14:val="none"/>
        </w:rPr>
        <w:t>,</w:t>
      </w:r>
      <w:r w:rsidR="003D4209" w:rsidRPr="003D4209">
        <w:rPr>
          <w:rFonts w:ascii="Arial" w:eastAsia="Calibri" w:hAnsi="Arial"/>
          <w:kern w:val="0"/>
          <w:sz w:val="24"/>
          <w:szCs w:val="24"/>
          <w:lang w:val="en-GB"/>
          <w14:ligatures w14:val="none"/>
        </w:rPr>
        <w:t xml:space="preserve"> </w:t>
      </w:r>
      <w:r w:rsidR="004556B3">
        <w:rPr>
          <w:rFonts w:ascii="Arial" w:eastAsia="Calibri" w:hAnsi="Arial"/>
          <w:kern w:val="0"/>
          <w:sz w:val="24"/>
          <w:szCs w:val="24"/>
          <w:lang w:val="en-GB"/>
          <w14:ligatures w14:val="none"/>
        </w:rPr>
        <w:t xml:space="preserve">the </w:t>
      </w:r>
      <w:r w:rsidR="003D4209" w:rsidRPr="003D4209">
        <w:rPr>
          <w:rFonts w:ascii="Arial" w:eastAsia="Calibri" w:hAnsi="Arial"/>
          <w:kern w:val="0"/>
          <w:sz w:val="24"/>
          <w:szCs w:val="24"/>
          <w:lang w:val="en-GB"/>
          <w14:ligatures w14:val="none"/>
        </w:rPr>
        <w:t>University of Wales Trinity Saint David members and academic advisers</w:t>
      </w:r>
      <w:r w:rsidR="00F67D33">
        <w:rPr>
          <w:rFonts w:ascii="Arial" w:eastAsia="Calibri" w:hAnsi="Arial"/>
          <w:kern w:val="0"/>
          <w:sz w:val="24"/>
          <w:szCs w:val="24"/>
          <w:lang w:val="en-GB"/>
          <w14:ligatures w14:val="none"/>
        </w:rPr>
        <w:t>,</w:t>
      </w:r>
      <w:r w:rsidR="003D4209" w:rsidRPr="003D4209">
        <w:rPr>
          <w:rFonts w:ascii="Arial" w:eastAsia="Calibri" w:hAnsi="Arial"/>
          <w:kern w:val="0"/>
          <w:sz w:val="24"/>
          <w:szCs w:val="24"/>
          <w:lang w:val="en-GB"/>
          <w14:ligatures w14:val="none"/>
        </w:rPr>
        <w:t xml:space="preserve"> who have guided, </w:t>
      </w:r>
      <w:r w:rsidR="003D4209">
        <w:rPr>
          <w:rFonts w:ascii="Arial" w:eastAsia="Calibri" w:hAnsi="Arial"/>
          <w:kern w:val="0"/>
          <w:sz w:val="24"/>
          <w:szCs w:val="24"/>
          <w:lang w:val="en-GB"/>
          <w14:ligatures w14:val="none"/>
        </w:rPr>
        <w:t>provided feedback</w:t>
      </w:r>
      <w:r w:rsidR="003D4209" w:rsidRPr="003D4209">
        <w:rPr>
          <w:rFonts w:ascii="Arial" w:eastAsia="Calibri" w:hAnsi="Arial"/>
          <w:kern w:val="0"/>
          <w:sz w:val="24"/>
          <w:szCs w:val="24"/>
          <w:lang w:val="en-GB"/>
          <w14:ligatures w14:val="none"/>
        </w:rPr>
        <w:t xml:space="preserve">, and supported me throughout my </w:t>
      </w:r>
      <w:r w:rsidR="006B3F65">
        <w:rPr>
          <w:rFonts w:ascii="Arial" w:eastAsia="Calibri" w:hAnsi="Arial"/>
          <w:kern w:val="0"/>
          <w:sz w:val="24"/>
          <w:szCs w:val="24"/>
          <w:lang w:val="en-GB"/>
          <w14:ligatures w14:val="none"/>
        </w:rPr>
        <w:t>educational</w:t>
      </w:r>
      <w:r w:rsidR="003D4209" w:rsidRPr="003D4209">
        <w:rPr>
          <w:rFonts w:ascii="Arial" w:eastAsia="Calibri" w:hAnsi="Arial"/>
          <w:kern w:val="0"/>
          <w:sz w:val="24"/>
          <w:szCs w:val="24"/>
          <w:lang w:val="en-GB"/>
          <w14:ligatures w14:val="none"/>
        </w:rPr>
        <w:t xml:space="preserve"> career. Their knowledge, experience, and commitment to teaching and mentoring have helped shape my research skills and scholarly interests. I</w:t>
      </w:r>
      <w:r w:rsidR="00FF3179">
        <w:rPr>
          <w:rFonts w:ascii="Arial" w:eastAsia="Calibri" w:hAnsi="Arial"/>
          <w:kern w:val="0"/>
          <w:sz w:val="24"/>
          <w:szCs w:val="24"/>
          <w:lang w:val="en-GB"/>
          <w14:ligatures w14:val="none"/>
        </w:rPr>
        <w:t xml:space="preserve"> would </w:t>
      </w:r>
      <w:r w:rsidR="003D4209" w:rsidRPr="003D4209">
        <w:rPr>
          <w:rFonts w:ascii="Arial" w:eastAsia="Calibri" w:hAnsi="Arial"/>
          <w:kern w:val="0"/>
          <w:sz w:val="24"/>
          <w:szCs w:val="24"/>
          <w:lang w:val="en-GB"/>
          <w14:ligatures w14:val="none"/>
        </w:rPr>
        <w:t xml:space="preserve">also </w:t>
      </w:r>
      <w:r w:rsidR="00166604">
        <w:rPr>
          <w:rFonts w:ascii="Arial" w:eastAsia="Calibri" w:hAnsi="Arial"/>
          <w:kern w:val="0"/>
          <w:sz w:val="24"/>
          <w:szCs w:val="24"/>
          <w:lang w:val="en-GB"/>
          <w14:ligatures w14:val="none"/>
        </w:rPr>
        <w:t>like to thank the</w:t>
      </w:r>
      <w:r w:rsidR="003D4209" w:rsidRPr="003D4209">
        <w:rPr>
          <w:rFonts w:ascii="Arial" w:eastAsia="Calibri" w:hAnsi="Arial"/>
          <w:kern w:val="0"/>
          <w:sz w:val="24"/>
          <w:szCs w:val="24"/>
          <w:lang w:val="en-GB"/>
          <w14:ligatures w14:val="none"/>
        </w:rPr>
        <w:t xml:space="preserve"> Holiday Inn Sunderland team members for their guidance and encouragement</w:t>
      </w:r>
      <w:r w:rsidR="00166604">
        <w:rPr>
          <w:rFonts w:ascii="Arial" w:eastAsia="Calibri" w:hAnsi="Arial"/>
          <w:kern w:val="0"/>
          <w:sz w:val="24"/>
          <w:szCs w:val="24"/>
          <w:lang w:val="en-GB"/>
          <w14:ligatures w14:val="none"/>
        </w:rPr>
        <w:t xml:space="preserve"> through my placement</w:t>
      </w:r>
      <w:r w:rsidR="003D4209" w:rsidRPr="003D4209">
        <w:rPr>
          <w:rFonts w:ascii="Arial" w:eastAsia="Calibri" w:hAnsi="Arial"/>
          <w:kern w:val="0"/>
          <w:sz w:val="24"/>
          <w:szCs w:val="24"/>
          <w:lang w:val="en-GB"/>
          <w14:ligatures w14:val="none"/>
        </w:rPr>
        <w:t>, which helped me strengthen my research skills and inspired me to reach new heights. Their conviction in my abilities has been a constant source of motivation throughout this research project.</w:t>
      </w:r>
    </w:p>
    <w:p w14:paraId="580EFFC6" w14:textId="77777777" w:rsidR="005C1493" w:rsidRDefault="005C1493" w:rsidP="0033534B">
      <w:pPr>
        <w:spacing w:after="0" w:line="480" w:lineRule="auto"/>
        <w:jc w:val="both"/>
        <w:rPr>
          <w:rFonts w:ascii="Arial" w:eastAsia="Calibri" w:hAnsi="Arial"/>
          <w:bCs/>
          <w:kern w:val="0"/>
          <w:sz w:val="24"/>
          <w:szCs w:val="24"/>
          <w:lang w:val="en-GB"/>
          <w14:ligatures w14:val="none"/>
        </w:rPr>
      </w:pPr>
    </w:p>
    <w:p w14:paraId="6D0A5135" w14:textId="77777777" w:rsidR="009B41A4" w:rsidRPr="003D4209" w:rsidRDefault="009B41A4" w:rsidP="0033534B">
      <w:pPr>
        <w:spacing w:after="0" w:line="480" w:lineRule="auto"/>
        <w:jc w:val="both"/>
        <w:rPr>
          <w:rFonts w:ascii="Arial" w:eastAsia="Calibri" w:hAnsi="Arial"/>
          <w:bCs/>
          <w:kern w:val="0"/>
          <w:sz w:val="24"/>
          <w:szCs w:val="24"/>
          <w:lang w:val="en-GB"/>
          <w14:ligatures w14:val="none"/>
        </w:rPr>
      </w:pPr>
    </w:p>
    <w:p w14:paraId="4A2C4538" w14:textId="2F5B955B" w:rsidR="00211636" w:rsidRPr="008B5138" w:rsidRDefault="007B5567" w:rsidP="005C1493">
      <w:pPr>
        <w:pStyle w:val="Heading1"/>
        <w:rPr>
          <w:rFonts w:eastAsia="Calibri"/>
          <w:sz w:val="28"/>
          <w:lang w:val="en-GB"/>
        </w:rPr>
      </w:pPr>
      <w:bookmarkStart w:id="3" w:name="_Toc200461585"/>
      <w:r w:rsidRPr="008B5138">
        <w:rPr>
          <w:rFonts w:eastAsia="Calibri"/>
          <w:sz w:val="28"/>
          <w:lang w:val="en-GB"/>
        </w:rPr>
        <w:lastRenderedPageBreak/>
        <w:t>Abstract</w:t>
      </w:r>
      <w:bookmarkEnd w:id="3"/>
    </w:p>
    <w:p w14:paraId="05219EDE" w14:textId="77777777" w:rsidR="005C1493" w:rsidRPr="005C1493" w:rsidRDefault="005C1493" w:rsidP="005C1493">
      <w:pPr>
        <w:pStyle w:val="BodyText"/>
        <w:rPr>
          <w:rFonts w:eastAsia="Calibri"/>
          <w:lang w:val="en-GB"/>
        </w:rPr>
      </w:pPr>
    </w:p>
    <w:p w14:paraId="6F1A2C9E" w14:textId="3B87FA16" w:rsidR="0040598C" w:rsidRPr="008B5138" w:rsidRDefault="007B5567" w:rsidP="008B5138">
      <w:pPr>
        <w:pStyle w:val="BodyText"/>
        <w:spacing w:line="480" w:lineRule="auto"/>
        <w:jc w:val="both"/>
        <w:rPr>
          <w:rFonts w:eastAsia="Calibri"/>
          <w:sz w:val="24"/>
          <w:szCs w:val="24"/>
        </w:rPr>
      </w:pPr>
      <w:r w:rsidRPr="007B5567">
        <w:rPr>
          <w:rFonts w:eastAsia="Calibri"/>
          <w:sz w:val="24"/>
          <w:szCs w:val="24"/>
        </w:rPr>
        <w:t xml:space="preserve">This research aims to analyse the phenomenon of staff turnover within the Holiday Inn Sunderland hotel, </w:t>
      </w:r>
      <w:r w:rsidR="00ED5895">
        <w:rPr>
          <w:rFonts w:eastAsia="Calibri"/>
          <w:sz w:val="24"/>
          <w:szCs w:val="24"/>
        </w:rPr>
        <w:t>identifying</w:t>
      </w:r>
      <w:r w:rsidRPr="007B5567">
        <w:rPr>
          <w:rFonts w:eastAsia="Calibri"/>
          <w:sz w:val="24"/>
          <w:szCs w:val="24"/>
        </w:rPr>
        <w:t xml:space="preserve"> the main causes, </w:t>
      </w:r>
      <w:r w:rsidR="00ED5895">
        <w:rPr>
          <w:rFonts w:eastAsia="Calibri"/>
          <w:sz w:val="24"/>
          <w:szCs w:val="24"/>
        </w:rPr>
        <w:t>assessing</w:t>
      </w:r>
      <w:r w:rsidRPr="007B5567">
        <w:rPr>
          <w:rFonts w:eastAsia="Calibri"/>
          <w:sz w:val="24"/>
          <w:szCs w:val="24"/>
        </w:rPr>
        <w:t xml:space="preserve"> its impact on operational efficiency and service quality,</w:t>
      </w:r>
      <w:r w:rsidR="00211636">
        <w:rPr>
          <w:rFonts w:eastAsia="Calibri"/>
          <w:sz w:val="24"/>
          <w:szCs w:val="24"/>
        </w:rPr>
        <w:t xml:space="preserve"> </w:t>
      </w:r>
      <w:r w:rsidRPr="007B5567">
        <w:rPr>
          <w:rFonts w:eastAsia="Calibri"/>
          <w:sz w:val="24"/>
          <w:szCs w:val="24"/>
        </w:rPr>
        <w:t xml:space="preserve">as well as </w:t>
      </w:r>
      <w:r w:rsidR="00ED5895">
        <w:rPr>
          <w:rFonts w:eastAsia="Calibri"/>
          <w:sz w:val="24"/>
          <w:szCs w:val="24"/>
        </w:rPr>
        <w:t>proposing</w:t>
      </w:r>
      <w:r w:rsidRPr="007B5567">
        <w:rPr>
          <w:rFonts w:eastAsia="Calibri"/>
          <w:sz w:val="24"/>
          <w:szCs w:val="24"/>
        </w:rPr>
        <w:t xml:space="preserve"> effective employee retention strategies. The study is based on the placement experience in th</w:t>
      </w:r>
      <w:r w:rsidR="00ED5895">
        <w:rPr>
          <w:rFonts w:eastAsia="Calibri"/>
          <w:sz w:val="24"/>
          <w:szCs w:val="24"/>
        </w:rPr>
        <w:t>e</w:t>
      </w:r>
      <w:r w:rsidRPr="007B5567">
        <w:rPr>
          <w:rFonts w:eastAsia="Calibri"/>
          <w:sz w:val="24"/>
          <w:szCs w:val="24"/>
        </w:rPr>
        <w:t xml:space="preserve"> hotel and has as its foundation the case study method, supported by a combination of qualitative and quantitative techniques, including direct observation and internal document analysis.</w:t>
      </w:r>
      <w:r w:rsidR="00ED5895" w:rsidRPr="00ED5895">
        <w:rPr>
          <w:rFonts w:eastAsia="Calibri"/>
          <w:sz w:val="24"/>
          <w:szCs w:val="24"/>
        </w:rPr>
        <w:t xml:space="preserve"> The research questions aimed to establish what the causes of frequent employee departures are, what consequences these departures have on organisational performance, and what measures can be adopted to improve staff retention. </w:t>
      </w:r>
      <w:r w:rsidR="00211636">
        <w:rPr>
          <w:rFonts w:eastAsia="Calibri"/>
          <w:sz w:val="24"/>
          <w:szCs w:val="24"/>
        </w:rPr>
        <w:t>Aligning,</w:t>
      </w:r>
      <w:r w:rsidR="00ED5895">
        <w:rPr>
          <w:rFonts w:eastAsia="Calibri"/>
          <w:sz w:val="24"/>
          <w:szCs w:val="24"/>
        </w:rPr>
        <w:t xml:space="preserve"> research </w:t>
      </w:r>
      <w:r w:rsidRPr="007B5567">
        <w:rPr>
          <w:rFonts w:eastAsia="Calibri"/>
          <w:sz w:val="24"/>
          <w:szCs w:val="24"/>
        </w:rPr>
        <w:t>objectives</w:t>
      </w:r>
      <w:r w:rsidR="00211636">
        <w:rPr>
          <w:rFonts w:eastAsia="Calibri"/>
          <w:sz w:val="24"/>
          <w:szCs w:val="24"/>
        </w:rPr>
        <w:t xml:space="preserve"> </w:t>
      </w:r>
      <w:r w:rsidRPr="007B5567">
        <w:rPr>
          <w:rFonts w:eastAsia="Calibri"/>
          <w:sz w:val="24"/>
          <w:szCs w:val="24"/>
        </w:rPr>
        <w:t>were clearly outlined: to identify the determinants of staff turnover in the hotel; to assess its impact on operations and customer relations; and to formulate practical recommendations for reducing this problem in a sustainable way. The research findings revealed that the main causes of staff turnover are related to the lack of career advancement opportunities, high workload, lack of managerial support and unmotivating salary packages</w:t>
      </w:r>
      <w:r w:rsidR="005C1493">
        <w:rPr>
          <w:rFonts w:eastAsia="Calibri"/>
          <w:sz w:val="24"/>
          <w:szCs w:val="24"/>
        </w:rPr>
        <w:t xml:space="preserve">, </w:t>
      </w:r>
      <w:r w:rsidRPr="007B5567">
        <w:rPr>
          <w:rFonts w:eastAsia="Calibri"/>
          <w:sz w:val="24"/>
          <w:szCs w:val="24"/>
        </w:rPr>
        <w:t>affecting both operational efficiency and service quality</w:t>
      </w:r>
      <w:r w:rsidR="00E560D3">
        <w:rPr>
          <w:rFonts w:eastAsia="Calibri"/>
          <w:sz w:val="24"/>
          <w:szCs w:val="24"/>
        </w:rPr>
        <w:t xml:space="preserve">. </w:t>
      </w:r>
      <w:r w:rsidRPr="007B5567">
        <w:rPr>
          <w:rFonts w:eastAsia="Calibri"/>
          <w:sz w:val="24"/>
          <w:szCs w:val="24"/>
        </w:rPr>
        <w:t>Based on the findings, the research proposes a series of strategies to reduce staff turnover within Holiday Inn Sunderland. These include implementing a clear professional development program,</w:t>
      </w:r>
      <w:r w:rsidR="00211636">
        <w:rPr>
          <w:rFonts w:eastAsia="Calibri"/>
          <w:sz w:val="24"/>
          <w:szCs w:val="24"/>
        </w:rPr>
        <w:t xml:space="preserve"> </w:t>
      </w:r>
      <w:r w:rsidR="00FC0D59">
        <w:rPr>
          <w:rFonts w:eastAsia="Calibri"/>
          <w:sz w:val="24"/>
          <w:szCs w:val="24"/>
        </w:rPr>
        <w:t xml:space="preserve">applying </w:t>
      </w:r>
      <w:r w:rsidR="00211636">
        <w:rPr>
          <w:rFonts w:eastAsia="Calibri"/>
          <w:sz w:val="24"/>
          <w:szCs w:val="24"/>
        </w:rPr>
        <w:t xml:space="preserve">motivation theories, </w:t>
      </w:r>
      <w:r w:rsidRPr="007B5567">
        <w:rPr>
          <w:rFonts w:eastAsia="Calibri"/>
          <w:sz w:val="24"/>
          <w:szCs w:val="24"/>
        </w:rPr>
        <w:t>reviewing the reward and recognition system, improving internal communication, promoting a transformational leadership style and strengthening the organisational culture based on support and inclusion. The importance of this study lies in addressing a real and persistent problem in the hospitality industry, which affects not only the hotel’s performance but also the well-being of employees.</w:t>
      </w:r>
    </w:p>
    <w:p w14:paraId="17924347" w14:textId="77777777" w:rsidR="00011024" w:rsidRPr="00011024" w:rsidRDefault="00011024" w:rsidP="00011024">
      <w:pPr>
        <w:pStyle w:val="BodyText"/>
        <w:rPr>
          <w:rFonts w:eastAsia="Calibri"/>
          <w:lang w:val="en-GB"/>
        </w:rPr>
      </w:pPr>
    </w:p>
    <w:sdt>
      <w:sdtPr>
        <w:rPr>
          <w:rFonts w:asciiTheme="minorHAnsi" w:eastAsia="Times New Roman" w:hAnsiTheme="minorHAnsi" w:cs="Arial"/>
          <w:color w:val="auto"/>
          <w:kern w:val="2"/>
          <w:sz w:val="24"/>
          <w:szCs w:val="24"/>
        </w:rPr>
        <w:id w:val="-1949759813"/>
        <w:docPartObj>
          <w:docPartGallery w:val="Table of Contents"/>
          <w:docPartUnique/>
        </w:docPartObj>
      </w:sdtPr>
      <w:sdtEndPr>
        <w:rPr>
          <w:b/>
          <w:bCs/>
          <w:noProof/>
        </w:rPr>
      </w:sdtEndPr>
      <w:sdtContent>
        <w:p w14:paraId="41D66B26" w14:textId="05A92B0C" w:rsidR="0087526D" w:rsidRPr="00536EF0" w:rsidRDefault="0087526D" w:rsidP="00536EF0">
          <w:pPr>
            <w:pStyle w:val="TOCHeading"/>
            <w:spacing w:line="480" w:lineRule="auto"/>
            <w:rPr>
              <w:rFonts w:ascii="Arial" w:hAnsi="Arial" w:cs="Arial"/>
              <w:sz w:val="28"/>
              <w:szCs w:val="28"/>
            </w:rPr>
          </w:pPr>
          <w:r w:rsidRPr="00536EF0">
            <w:rPr>
              <w:rFonts w:ascii="Arial" w:hAnsi="Arial" w:cs="Arial"/>
              <w:sz w:val="28"/>
              <w:szCs w:val="28"/>
            </w:rPr>
            <w:t>Table of Contents</w:t>
          </w:r>
        </w:p>
        <w:p w14:paraId="4C15AC63" w14:textId="34C00EFC" w:rsidR="00536EF0" w:rsidRPr="00536EF0" w:rsidRDefault="0087526D" w:rsidP="00536EF0">
          <w:pPr>
            <w:pStyle w:val="TOC1"/>
            <w:spacing w:line="480" w:lineRule="auto"/>
            <w:rPr>
              <w:rFonts w:eastAsiaTheme="minorEastAsia" w:cstheme="minorBidi"/>
              <w:noProof/>
              <w:sz w:val="24"/>
              <w:szCs w:val="24"/>
              <w:lang w:val="en-GB" w:eastAsia="en-GB"/>
            </w:rPr>
          </w:pPr>
          <w:r w:rsidRPr="00536EF0">
            <w:rPr>
              <w:rFonts w:ascii="Arial" w:hAnsi="Arial"/>
              <w:sz w:val="24"/>
              <w:szCs w:val="24"/>
            </w:rPr>
            <w:fldChar w:fldCharType="begin"/>
          </w:r>
          <w:r w:rsidRPr="00536EF0">
            <w:rPr>
              <w:rFonts w:ascii="Arial" w:hAnsi="Arial"/>
              <w:sz w:val="24"/>
              <w:szCs w:val="24"/>
            </w:rPr>
            <w:instrText xml:space="preserve"> TOC \o "1-3" \h \z \u </w:instrText>
          </w:r>
          <w:r w:rsidRPr="00536EF0">
            <w:rPr>
              <w:rFonts w:ascii="Arial" w:hAnsi="Arial"/>
              <w:sz w:val="24"/>
              <w:szCs w:val="24"/>
            </w:rPr>
            <w:fldChar w:fldCharType="separate"/>
          </w:r>
          <w:hyperlink w:anchor="_Toc200461583" w:history="1">
            <w:r w:rsidR="00536EF0" w:rsidRPr="00536EF0">
              <w:rPr>
                <w:rStyle w:val="Hyperlink"/>
                <w:rFonts w:eastAsia="Calibri"/>
                <w:noProof/>
                <w:sz w:val="24"/>
                <w:szCs w:val="24"/>
                <w:lang w:val="en-GB"/>
              </w:rPr>
              <w:t>AI Acknowledgement</w:t>
            </w:r>
            <w:r w:rsidR="00536EF0">
              <w:rPr>
                <w:rStyle w:val="Hyperlink"/>
                <w:rFonts w:eastAsia="Calibri"/>
                <w:noProof/>
                <w:sz w:val="24"/>
                <w:szCs w:val="24"/>
                <w:lang w:val="en-GB"/>
              </w:rPr>
              <w:t>…………………………………………………………………..</w:t>
            </w:r>
            <w:r w:rsidR="00536EF0" w:rsidRPr="00536EF0">
              <w:rPr>
                <w:noProof/>
                <w:webHidden/>
                <w:sz w:val="24"/>
                <w:szCs w:val="24"/>
              </w:rPr>
              <w:tab/>
            </w:r>
            <w:r w:rsidR="00536EF0" w:rsidRPr="00536EF0">
              <w:rPr>
                <w:noProof/>
                <w:webHidden/>
                <w:sz w:val="24"/>
                <w:szCs w:val="24"/>
              </w:rPr>
              <w:fldChar w:fldCharType="begin"/>
            </w:r>
            <w:r w:rsidR="00536EF0" w:rsidRPr="00536EF0">
              <w:rPr>
                <w:noProof/>
                <w:webHidden/>
                <w:sz w:val="24"/>
                <w:szCs w:val="24"/>
              </w:rPr>
              <w:instrText xml:space="preserve"> PAGEREF _Toc200461583 \h </w:instrText>
            </w:r>
            <w:r w:rsidR="00536EF0" w:rsidRPr="00536EF0">
              <w:rPr>
                <w:noProof/>
                <w:webHidden/>
                <w:sz w:val="24"/>
                <w:szCs w:val="24"/>
              </w:rPr>
            </w:r>
            <w:r w:rsidR="00536EF0" w:rsidRPr="00536EF0">
              <w:rPr>
                <w:noProof/>
                <w:webHidden/>
                <w:sz w:val="24"/>
                <w:szCs w:val="24"/>
              </w:rPr>
              <w:fldChar w:fldCharType="separate"/>
            </w:r>
            <w:r w:rsidR="00536EF0" w:rsidRPr="00536EF0">
              <w:rPr>
                <w:noProof/>
                <w:webHidden/>
                <w:sz w:val="24"/>
                <w:szCs w:val="24"/>
              </w:rPr>
              <w:t>2</w:t>
            </w:r>
            <w:r w:rsidR="00536EF0" w:rsidRPr="00536EF0">
              <w:rPr>
                <w:noProof/>
                <w:webHidden/>
                <w:sz w:val="24"/>
                <w:szCs w:val="24"/>
              </w:rPr>
              <w:fldChar w:fldCharType="end"/>
            </w:r>
          </w:hyperlink>
        </w:p>
        <w:p w14:paraId="76832BBA" w14:textId="1815F4FA"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84" w:history="1">
            <w:r w:rsidRPr="00536EF0">
              <w:rPr>
                <w:rStyle w:val="Hyperlink"/>
                <w:rFonts w:eastAsia="Calibri"/>
                <w:noProof/>
                <w:sz w:val="24"/>
                <w:szCs w:val="24"/>
              </w:rPr>
              <w:t>Acknowledgement</w:t>
            </w:r>
            <w:r>
              <w:rPr>
                <w:rStyle w:val="Hyperlink"/>
                <w:rFonts w:eastAsia="Calibri"/>
                <w:noProof/>
                <w:sz w:val="24"/>
                <w:szCs w:val="24"/>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_Toc200461584 \h </w:instrText>
            </w:r>
            <w:r w:rsidRPr="00536EF0">
              <w:rPr>
                <w:noProof/>
                <w:webHidden/>
                <w:sz w:val="24"/>
                <w:szCs w:val="24"/>
              </w:rPr>
            </w:r>
            <w:r w:rsidRPr="00536EF0">
              <w:rPr>
                <w:noProof/>
                <w:webHidden/>
                <w:sz w:val="24"/>
                <w:szCs w:val="24"/>
              </w:rPr>
              <w:fldChar w:fldCharType="separate"/>
            </w:r>
            <w:r w:rsidRPr="00536EF0">
              <w:rPr>
                <w:noProof/>
                <w:webHidden/>
                <w:sz w:val="24"/>
                <w:szCs w:val="24"/>
              </w:rPr>
              <w:t>2</w:t>
            </w:r>
            <w:r w:rsidRPr="00536EF0">
              <w:rPr>
                <w:noProof/>
                <w:webHidden/>
                <w:sz w:val="24"/>
                <w:szCs w:val="24"/>
              </w:rPr>
              <w:fldChar w:fldCharType="end"/>
            </w:r>
          </w:hyperlink>
        </w:p>
        <w:p w14:paraId="21316FA4" w14:textId="342090F9"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85" w:history="1">
            <w:r w:rsidRPr="00536EF0">
              <w:rPr>
                <w:rStyle w:val="Hyperlink"/>
                <w:rFonts w:eastAsia="Calibri"/>
                <w:noProof/>
                <w:sz w:val="24"/>
                <w:szCs w:val="24"/>
                <w:lang w:val="en-GB"/>
              </w:rPr>
              <w:t>Abstract</w:t>
            </w:r>
            <w:r>
              <w:rPr>
                <w:rStyle w:val="Hyperlink"/>
                <w:rFonts w:eastAsia="Calibri"/>
                <w:noProof/>
                <w:sz w:val="24"/>
                <w:szCs w:val="24"/>
                <w:lang w:val="en-GB"/>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_Toc200461585 \h </w:instrText>
            </w:r>
            <w:r w:rsidRPr="00536EF0">
              <w:rPr>
                <w:noProof/>
                <w:webHidden/>
                <w:sz w:val="24"/>
                <w:szCs w:val="24"/>
              </w:rPr>
            </w:r>
            <w:r w:rsidRPr="00536EF0">
              <w:rPr>
                <w:noProof/>
                <w:webHidden/>
                <w:sz w:val="24"/>
                <w:szCs w:val="24"/>
              </w:rPr>
              <w:fldChar w:fldCharType="separate"/>
            </w:r>
            <w:r w:rsidRPr="00536EF0">
              <w:rPr>
                <w:noProof/>
                <w:webHidden/>
                <w:sz w:val="24"/>
                <w:szCs w:val="24"/>
              </w:rPr>
              <w:t>3</w:t>
            </w:r>
            <w:r w:rsidRPr="00536EF0">
              <w:rPr>
                <w:noProof/>
                <w:webHidden/>
                <w:sz w:val="24"/>
                <w:szCs w:val="24"/>
              </w:rPr>
              <w:fldChar w:fldCharType="end"/>
            </w:r>
          </w:hyperlink>
        </w:p>
        <w:p w14:paraId="00949DCE" w14:textId="0EDBC765"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86" w:history="1">
            <w:r w:rsidRPr="00536EF0">
              <w:rPr>
                <w:rStyle w:val="Hyperlink"/>
                <w:noProof/>
                <w:sz w:val="24"/>
                <w:szCs w:val="24"/>
              </w:rPr>
              <w:t>Chapter 1. Introduction</w:t>
            </w:r>
            <w:r>
              <w:rPr>
                <w:rStyle w:val="Hyperlink"/>
                <w:noProof/>
                <w:sz w:val="24"/>
                <w:szCs w:val="24"/>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_Toc200461586 \h </w:instrText>
            </w:r>
            <w:r w:rsidRPr="00536EF0">
              <w:rPr>
                <w:noProof/>
                <w:webHidden/>
                <w:sz w:val="24"/>
                <w:szCs w:val="24"/>
              </w:rPr>
            </w:r>
            <w:r w:rsidRPr="00536EF0">
              <w:rPr>
                <w:noProof/>
                <w:webHidden/>
                <w:sz w:val="24"/>
                <w:szCs w:val="24"/>
              </w:rPr>
              <w:fldChar w:fldCharType="separate"/>
            </w:r>
            <w:r w:rsidRPr="00536EF0">
              <w:rPr>
                <w:noProof/>
                <w:webHidden/>
                <w:sz w:val="24"/>
                <w:szCs w:val="24"/>
              </w:rPr>
              <w:t>4</w:t>
            </w:r>
            <w:r w:rsidRPr="00536EF0">
              <w:rPr>
                <w:noProof/>
                <w:webHidden/>
                <w:sz w:val="24"/>
                <w:szCs w:val="24"/>
              </w:rPr>
              <w:fldChar w:fldCharType="end"/>
            </w:r>
          </w:hyperlink>
        </w:p>
        <w:p w14:paraId="6076964A" w14:textId="3B203B83" w:rsidR="00536EF0" w:rsidRPr="00536EF0" w:rsidRDefault="00536EF0" w:rsidP="00536EF0">
          <w:pPr>
            <w:pStyle w:val="TOC2"/>
            <w:spacing w:line="480" w:lineRule="auto"/>
            <w:ind w:left="0"/>
            <w:rPr>
              <w:rFonts w:eastAsiaTheme="minorEastAsia" w:cstheme="minorBidi"/>
              <w:noProof/>
              <w:sz w:val="24"/>
              <w:lang w:val="en-GB" w:eastAsia="en-GB"/>
            </w:rPr>
          </w:pPr>
          <w:hyperlink w:anchor="_Toc200461587" w:history="1">
            <w:r w:rsidRPr="00536EF0">
              <w:rPr>
                <w:rStyle w:val="Hyperlink"/>
                <w:noProof/>
                <w:sz w:val="24"/>
              </w:rPr>
              <w:t>Chapter 2. Literature Review</w:t>
            </w:r>
            <w:r>
              <w:rPr>
                <w:rStyle w:val="Hyperlink"/>
                <w:noProof/>
                <w:sz w:val="24"/>
              </w:rPr>
              <w:t>………………………………………………………….</w:t>
            </w:r>
            <w:r w:rsidRPr="00536EF0">
              <w:rPr>
                <w:noProof/>
                <w:webHidden/>
                <w:sz w:val="24"/>
              </w:rPr>
              <w:fldChar w:fldCharType="begin"/>
            </w:r>
            <w:r w:rsidRPr="00536EF0">
              <w:rPr>
                <w:noProof/>
                <w:webHidden/>
                <w:sz w:val="24"/>
              </w:rPr>
              <w:instrText xml:space="preserve"> PAGEREF _Toc200461587 \h </w:instrText>
            </w:r>
            <w:r w:rsidRPr="00536EF0">
              <w:rPr>
                <w:noProof/>
                <w:webHidden/>
                <w:sz w:val="24"/>
              </w:rPr>
            </w:r>
            <w:r w:rsidRPr="00536EF0">
              <w:rPr>
                <w:noProof/>
                <w:webHidden/>
                <w:sz w:val="24"/>
              </w:rPr>
              <w:fldChar w:fldCharType="separate"/>
            </w:r>
            <w:r w:rsidRPr="00536EF0">
              <w:rPr>
                <w:noProof/>
                <w:webHidden/>
                <w:sz w:val="24"/>
              </w:rPr>
              <w:t>7</w:t>
            </w:r>
            <w:r w:rsidRPr="00536EF0">
              <w:rPr>
                <w:noProof/>
                <w:webHidden/>
                <w:sz w:val="24"/>
              </w:rPr>
              <w:fldChar w:fldCharType="end"/>
            </w:r>
          </w:hyperlink>
        </w:p>
        <w:p w14:paraId="40708667" w14:textId="0C563621"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88" w:history="1">
            <w:r w:rsidRPr="00536EF0">
              <w:rPr>
                <w:rStyle w:val="Hyperlink"/>
                <w:rFonts w:ascii="Arial" w:hAnsi="Arial"/>
                <w:noProof/>
                <w:sz w:val="24"/>
              </w:rPr>
              <w:t>2.1.</w:t>
            </w:r>
            <w:r w:rsidRPr="00536EF0">
              <w:rPr>
                <w:rFonts w:eastAsiaTheme="minorEastAsia" w:cstheme="minorBidi"/>
                <w:noProof/>
                <w:sz w:val="24"/>
                <w:lang w:val="en-GB" w:eastAsia="en-GB"/>
              </w:rPr>
              <w:tab/>
            </w:r>
            <w:r w:rsidRPr="00536EF0">
              <w:rPr>
                <w:rStyle w:val="Hyperlink"/>
                <w:rFonts w:ascii="Arial" w:hAnsi="Arial"/>
                <w:noProof/>
                <w:sz w:val="24"/>
              </w:rPr>
              <w:t>Causes of staff turnover in the hospitality industry</w:t>
            </w:r>
            <w:r>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_Toc200461588 \h </w:instrText>
            </w:r>
            <w:r w:rsidRPr="00536EF0">
              <w:rPr>
                <w:noProof/>
                <w:webHidden/>
                <w:sz w:val="24"/>
              </w:rPr>
            </w:r>
            <w:r w:rsidRPr="00536EF0">
              <w:rPr>
                <w:noProof/>
                <w:webHidden/>
                <w:sz w:val="24"/>
              </w:rPr>
              <w:fldChar w:fldCharType="separate"/>
            </w:r>
            <w:r w:rsidRPr="00536EF0">
              <w:rPr>
                <w:noProof/>
                <w:webHidden/>
                <w:sz w:val="24"/>
              </w:rPr>
              <w:t>8</w:t>
            </w:r>
            <w:r w:rsidRPr="00536EF0">
              <w:rPr>
                <w:noProof/>
                <w:webHidden/>
                <w:sz w:val="24"/>
              </w:rPr>
              <w:fldChar w:fldCharType="end"/>
            </w:r>
          </w:hyperlink>
        </w:p>
        <w:p w14:paraId="37E0E37A" w14:textId="774E27B5"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89" w:history="1">
            <w:r w:rsidRPr="00536EF0">
              <w:rPr>
                <w:rStyle w:val="Hyperlink"/>
                <w:rFonts w:ascii="Arial" w:hAnsi="Arial"/>
                <w:noProof/>
                <w:sz w:val="24"/>
              </w:rPr>
              <w:t>2.2.</w:t>
            </w:r>
            <w:r w:rsidRPr="00536EF0">
              <w:rPr>
                <w:rFonts w:eastAsiaTheme="minorEastAsia" w:cstheme="minorBidi"/>
                <w:noProof/>
                <w:sz w:val="24"/>
                <w:lang w:val="en-GB" w:eastAsia="en-GB"/>
              </w:rPr>
              <w:tab/>
            </w:r>
            <w:r w:rsidRPr="00536EF0">
              <w:rPr>
                <w:rStyle w:val="Hyperlink"/>
                <w:rFonts w:ascii="Arial" w:hAnsi="Arial"/>
                <w:noProof/>
                <w:sz w:val="24"/>
              </w:rPr>
              <w:t>The Impact of Staff Turnover on Operational Performance</w:t>
            </w:r>
            <w:r>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_Toc200461589 \h </w:instrText>
            </w:r>
            <w:r w:rsidRPr="00536EF0">
              <w:rPr>
                <w:noProof/>
                <w:webHidden/>
                <w:sz w:val="24"/>
              </w:rPr>
            </w:r>
            <w:r w:rsidRPr="00536EF0">
              <w:rPr>
                <w:noProof/>
                <w:webHidden/>
                <w:sz w:val="24"/>
              </w:rPr>
              <w:fldChar w:fldCharType="separate"/>
            </w:r>
            <w:r w:rsidRPr="00536EF0">
              <w:rPr>
                <w:noProof/>
                <w:webHidden/>
                <w:sz w:val="24"/>
              </w:rPr>
              <w:t>8</w:t>
            </w:r>
            <w:r w:rsidRPr="00536EF0">
              <w:rPr>
                <w:noProof/>
                <w:webHidden/>
                <w:sz w:val="24"/>
              </w:rPr>
              <w:fldChar w:fldCharType="end"/>
            </w:r>
          </w:hyperlink>
        </w:p>
        <w:p w14:paraId="498392CA" w14:textId="27AAE510"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0" w:history="1">
            <w:r w:rsidRPr="00536EF0">
              <w:rPr>
                <w:rStyle w:val="Hyperlink"/>
                <w:rFonts w:ascii="Arial" w:hAnsi="Arial"/>
                <w:noProof/>
                <w:sz w:val="24"/>
              </w:rPr>
              <w:t>2.3.</w:t>
            </w:r>
            <w:r w:rsidRPr="00536EF0">
              <w:rPr>
                <w:rFonts w:eastAsiaTheme="minorEastAsia" w:cstheme="minorBidi"/>
                <w:noProof/>
                <w:sz w:val="24"/>
                <w:lang w:val="en-GB" w:eastAsia="en-GB"/>
              </w:rPr>
              <w:tab/>
            </w:r>
            <w:r w:rsidRPr="00536EF0">
              <w:rPr>
                <w:rStyle w:val="Hyperlink"/>
                <w:rFonts w:ascii="Arial" w:hAnsi="Arial"/>
                <w:noProof/>
                <w:sz w:val="24"/>
              </w:rPr>
              <w:t>Retention strategies and turnover prevention</w:t>
            </w:r>
            <w:r>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_Toc200461590 \h </w:instrText>
            </w:r>
            <w:r w:rsidRPr="00536EF0">
              <w:rPr>
                <w:noProof/>
                <w:webHidden/>
                <w:sz w:val="24"/>
              </w:rPr>
            </w:r>
            <w:r w:rsidRPr="00536EF0">
              <w:rPr>
                <w:noProof/>
                <w:webHidden/>
                <w:sz w:val="24"/>
              </w:rPr>
              <w:fldChar w:fldCharType="separate"/>
            </w:r>
            <w:r w:rsidRPr="00536EF0">
              <w:rPr>
                <w:noProof/>
                <w:webHidden/>
                <w:sz w:val="24"/>
              </w:rPr>
              <w:t>9</w:t>
            </w:r>
            <w:r w:rsidRPr="00536EF0">
              <w:rPr>
                <w:noProof/>
                <w:webHidden/>
                <w:sz w:val="24"/>
              </w:rPr>
              <w:fldChar w:fldCharType="end"/>
            </w:r>
          </w:hyperlink>
        </w:p>
        <w:p w14:paraId="57A3368F" w14:textId="5FE8BE5D"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1" w:history="1">
            <w:r w:rsidRPr="00536EF0">
              <w:rPr>
                <w:rStyle w:val="Hyperlink"/>
                <w:rFonts w:ascii="Arial" w:hAnsi="Arial"/>
                <w:noProof/>
                <w:sz w:val="24"/>
              </w:rPr>
              <w:t>2.4.</w:t>
            </w:r>
            <w:r w:rsidRPr="00536EF0">
              <w:rPr>
                <w:rFonts w:eastAsiaTheme="minorEastAsia" w:cstheme="minorBidi"/>
                <w:noProof/>
                <w:sz w:val="24"/>
                <w:lang w:val="en-GB" w:eastAsia="en-GB"/>
              </w:rPr>
              <w:tab/>
            </w:r>
            <w:r w:rsidRPr="00536EF0">
              <w:rPr>
                <w:rStyle w:val="Hyperlink"/>
                <w:rFonts w:ascii="Arial" w:hAnsi="Arial"/>
                <w:noProof/>
                <w:sz w:val="24"/>
              </w:rPr>
              <w:t>Relevant applicable models and theories</w:t>
            </w:r>
            <w:r>
              <w:rPr>
                <w:rStyle w:val="Hyperlink"/>
                <w:rFonts w:ascii="Arial" w:hAnsi="Arial"/>
                <w:noProof/>
                <w:sz w:val="24"/>
              </w:rPr>
              <w:t>……………………………….</w:t>
            </w:r>
            <w:r w:rsidRPr="00536EF0">
              <w:rPr>
                <w:noProof/>
                <w:webHidden/>
                <w:sz w:val="24"/>
              </w:rPr>
              <w:tab/>
            </w:r>
            <w:r>
              <w:rPr>
                <w:noProof/>
                <w:webHidden/>
                <w:sz w:val="24"/>
              </w:rPr>
              <w:t>…</w:t>
            </w:r>
            <w:r w:rsidRPr="00536EF0">
              <w:rPr>
                <w:noProof/>
                <w:webHidden/>
                <w:sz w:val="24"/>
              </w:rPr>
              <w:fldChar w:fldCharType="begin"/>
            </w:r>
            <w:r w:rsidRPr="00536EF0">
              <w:rPr>
                <w:noProof/>
                <w:webHidden/>
                <w:sz w:val="24"/>
              </w:rPr>
              <w:instrText xml:space="preserve"> PAGEREF _Toc200461591 \h </w:instrText>
            </w:r>
            <w:r w:rsidRPr="00536EF0">
              <w:rPr>
                <w:noProof/>
                <w:webHidden/>
                <w:sz w:val="24"/>
              </w:rPr>
            </w:r>
            <w:r w:rsidRPr="00536EF0">
              <w:rPr>
                <w:noProof/>
                <w:webHidden/>
                <w:sz w:val="24"/>
              </w:rPr>
              <w:fldChar w:fldCharType="separate"/>
            </w:r>
            <w:r w:rsidRPr="00536EF0">
              <w:rPr>
                <w:noProof/>
                <w:webHidden/>
                <w:sz w:val="24"/>
              </w:rPr>
              <w:t>10</w:t>
            </w:r>
            <w:r w:rsidRPr="00536EF0">
              <w:rPr>
                <w:noProof/>
                <w:webHidden/>
                <w:sz w:val="24"/>
              </w:rPr>
              <w:fldChar w:fldCharType="end"/>
            </w:r>
          </w:hyperlink>
        </w:p>
        <w:p w14:paraId="2B70EA5C" w14:textId="203F9083"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2" w:history="1">
            <w:r w:rsidRPr="00536EF0">
              <w:rPr>
                <w:rStyle w:val="Hyperlink"/>
                <w:rFonts w:ascii="Arial" w:hAnsi="Arial"/>
                <w:noProof/>
                <w:sz w:val="24"/>
              </w:rPr>
              <w:t>2.5.</w:t>
            </w:r>
            <w:r w:rsidRPr="00536EF0">
              <w:rPr>
                <w:rFonts w:eastAsiaTheme="minorEastAsia" w:cstheme="minorBidi"/>
                <w:noProof/>
                <w:sz w:val="24"/>
                <w:lang w:val="en-GB" w:eastAsia="en-GB"/>
              </w:rPr>
              <w:tab/>
            </w:r>
            <w:r w:rsidRPr="00536EF0">
              <w:rPr>
                <w:rStyle w:val="Hyperlink"/>
                <w:rFonts w:ascii="Arial" w:hAnsi="Arial"/>
                <w:noProof/>
                <w:sz w:val="24"/>
              </w:rPr>
              <w:t>Staff turnover in the post-pandemic context</w:t>
            </w:r>
            <w:r>
              <w:rPr>
                <w:rStyle w:val="Hyperlink"/>
                <w:rFonts w:ascii="Arial" w:hAnsi="Arial"/>
                <w:noProof/>
                <w:sz w:val="24"/>
              </w:rPr>
              <w:t>…………………………….</w:t>
            </w:r>
            <w:r w:rsidRPr="00536EF0">
              <w:rPr>
                <w:noProof/>
                <w:webHidden/>
                <w:sz w:val="24"/>
              </w:rPr>
              <w:tab/>
            </w:r>
            <w:r>
              <w:rPr>
                <w:noProof/>
                <w:webHidden/>
                <w:sz w:val="24"/>
              </w:rPr>
              <w:t>…</w:t>
            </w:r>
            <w:r w:rsidRPr="00536EF0">
              <w:rPr>
                <w:noProof/>
                <w:webHidden/>
                <w:sz w:val="24"/>
              </w:rPr>
              <w:fldChar w:fldCharType="begin"/>
            </w:r>
            <w:r w:rsidRPr="00536EF0">
              <w:rPr>
                <w:noProof/>
                <w:webHidden/>
                <w:sz w:val="24"/>
              </w:rPr>
              <w:instrText xml:space="preserve"> PAGEREF _Toc200461592 \h </w:instrText>
            </w:r>
            <w:r w:rsidRPr="00536EF0">
              <w:rPr>
                <w:noProof/>
                <w:webHidden/>
                <w:sz w:val="24"/>
              </w:rPr>
            </w:r>
            <w:r w:rsidRPr="00536EF0">
              <w:rPr>
                <w:noProof/>
                <w:webHidden/>
                <w:sz w:val="24"/>
              </w:rPr>
              <w:fldChar w:fldCharType="separate"/>
            </w:r>
            <w:r w:rsidRPr="00536EF0">
              <w:rPr>
                <w:noProof/>
                <w:webHidden/>
                <w:sz w:val="24"/>
              </w:rPr>
              <w:t>11</w:t>
            </w:r>
            <w:r w:rsidRPr="00536EF0">
              <w:rPr>
                <w:noProof/>
                <w:webHidden/>
                <w:sz w:val="24"/>
              </w:rPr>
              <w:fldChar w:fldCharType="end"/>
            </w:r>
          </w:hyperlink>
        </w:p>
        <w:p w14:paraId="25DBA02B" w14:textId="77F4CD3A"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93" w:history="1">
            <w:r w:rsidRPr="00536EF0">
              <w:rPr>
                <w:rStyle w:val="Hyperlink"/>
                <w:noProof/>
                <w:sz w:val="24"/>
                <w:szCs w:val="24"/>
              </w:rPr>
              <w:t>Chapter 3. Methodology</w:t>
            </w:r>
            <w:r>
              <w:rPr>
                <w:rStyle w:val="Hyperlink"/>
                <w:noProof/>
                <w:sz w:val="24"/>
                <w:szCs w:val="24"/>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_Toc200461593 \h </w:instrText>
            </w:r>
            <w:r w:rsidRPr="00536EF0">
              <w:rPr>
                <w:noProof/>
                <w:webHidden/>
                <w:sz w:val="24"/>
                <w:szCs w:val="24"/>
              </w:rPr>
            </w:r>
            <w:r w:rsidRPr="00536EF0">
              <w:rPr>
                <w:noProof/>
                <w:webHidden/>
                <w:sz w:val="24"/>
                <w:szCs w:val="24"/>
              </w:rPr>
              <w:fldChar w:fldCharType="separate"/>
            </w:r>
            <w:r w:rsidRPr="00536EF0">
              <w:rPr>
                <w:noProof/>
                <w:webHidden/>
                <w:sz w:val="24"/>
                <w:szCs w:val="24"/>
              </w:rPr>
              <w:t>12</w:t>
            </w:r>
            <w:r w:rsidRPr="00536EF0">
              <w:rPr>
                <w:noProof/>
                <w:webHidden/>
                <w:sz w:val="24"/>
                <w:szCs w:val="24"/>
              </w:rPr>
              <w:fldChar w:fldCharType="end"/>
            </w:r>
          </w:hyperlink>
        </w:p>
        <w:p w14:paraId="759C55CE" w14:textId="7906FED8"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94" w:history="1">
            <w:r w:rsidRPr="00536EF0">
              <w:rPr>
                <w:rStyle w:val="Hyperlink"/>
                <w:noProof/>
                <w:sz w:val="24"/>
                <w:szCs w:val="24"/>
              </w:rPr>
              <w:t>Chapter 4. Findings and Discussion</w:t>
            </w:r>
            <w:r>
              <w:rPr>
                <w:rStyle w:val="Hyperlink"/>
                <w:noProof/>
                <w:sz w:val="24"/>
                <w:szCs w:val="24"/>
              </w:rPr>
              <w:t>……………………………………………….</w:t>
            </w:r>
            <w:r w:rsidRPr="00536EF0">
              <w:rPr>
                <w:noProof/>
                <w:webHidden/>
                <w:sz w:val="24"/>
                <w:szCs w:val="24"/>
              </w:rPr>
              <w:tab/>
            </w:r>
            <w:r>
              <w:rPr>
                <w:noProof/>
                <w:webHidden/>
                <w:sz w:val="24"/>
                <w:szCs w:val="24"/>
              </w:rPr>
              <w:t>…</w:t>
            </w:r>
            <w:r w:rsidRPr="00536EF0">
              <w:rPr>
                <w:noProof/>
                <w:webHidden/>
                <w:sz w:val="24"/>
                <w:szCs w:val="24"/>
              </w:rPr>
              <w:fldChar w:fldCharType="begin"/>
            </w:r>
            <w:r w:rsidRPr="00536EF0">
              <w:rPr>
                <w:noProof/>
                <w:webHidden/>
                <w:sz w:val="24"/>
                <w:szCs w:val="24"/>
              </w:rPr>
              <w:instrText xml:space="preserve"> PAGEREF _Toc200461594 \h </w:instrText>
            </w:r>
            <w:r w:rsidRPr="00536EF0">
              <w:rPr>
                <w:noProof/>
                <w:webHidden/>
                <w:sz w:val="24"/>
                <w:szCs w:val="24"/>
              </w:rPr>
            </w:r>
            <w:r w:rsidRPr="00536EF0">
              <w:rPr>
                <w:noProof/>
                <w:webHidden/>
                <w:sz w:val="24"/>
                <w:szCs w:val="24"/>
              </w:rPr>
              <w:fldChar w:fldCharType="separate"/>
            </w:r>
            <w:r w:rsidRPr="00536EF0">
              <w:rPr>
                <w:noProof/>
                <w:webHidden/>
                <w:sz w:val="24"/>
                <w:szCs w:val="24"/>
              </w:rPr>
              <w:t>15</w:t>
            </w:r>
            <w:r w:rsidRPr="00536EF0">
              <w:rPr>
                <w:noProof/>
                <w:webHidden/>
                <w:sz w:val="24"/>
                <w:szCs w:val="24"/>
              </w:rPr>
              <w:fldChar w:fldCharType="end"/>
            </w:r>
          </w:hyperlink>
        </w:p>
        <w:p w14:paraId="0994A4EB" w14:textId="6AC410DB"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5" w:history="1">
            <w:r w:rsidRPr="00536EF0">
              <w:rPr>
                <w:rStyle w:val="Hyperlink"/>
                <w:rFonts w:ascii="Arial" w:hAnsi="Arial"/>
                <w:noProof/>
                <w:sz w:val="24"/>
              </w:rPr>
              <w:t>4.1.</w:t>
            </w:r>
            <w:r w:rsidRPr="00536EF0">
              <w:rPr>
                <w:rFonts w:eastAsiaTheme="minorEastAsia" w:cstheme="minorBidi"/>
                <w:noProof/>
                <w:sz w:val="24"/>
                <w:lang w:val="en-GB" w:eastAsia="en-GB"/>
              </w:rPr>
              <w:tab/>
            </w:r>
            <w:r w:rsidRPr="00536EF0">
              <w:rPr>
                <w:rStyle w:val="Hyperlink"/>
                <w:rFonts w:ascii="Arial" w:hAnsi="Arial"/>
                <w:noProof/>
                <w:sz w:val="24"/>
              </w:rPr>
              <w:t>Analysis of Case Study Results</w:t>
            </w:r>
            <w:r>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_Toc200461595 \h </w:instrText>
            </w:r>
            <w:r w:rsidRPr="00536EF0">
              <w:rPr>
                <w:noProof/>
                <w:webHidden/>
                <w:sz w:val="24"/>
              </w:rPr>
            </w:r>
            <w:r w:rsidRPr="00536EF0">
              <w:rPr>
                <w:noProof/>
                <w:webHidden/>
                <w:sz w:val="24"/>
              </w:rPr>
              <w:fldChar w:fldCharType="separate"/>
            </w:r>
            <w:r w:rsidRPr="00536EF0">
              <w:rPr>
                <w:noProof/>
                <w:webHidden/>
                <w:sz w:val="24"/>
              </w:rPr>
              <w:t>16</w:t>
            </w:r>
            <w:r w:rsidRPr="00536EF0">
              <w:rPr>
                <w:noProof/>
                <w:webHidden/>
                <w:sz w:val="24"/>
              </w:rPr>
              <w:fldChar w:fldCharType="end"/>
            </w:r>
          </w:hyperlink>
        </w:p>
        <w:p w14:paraId="26878033" w14:textId="3E63E08B"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6" w:history="1">
            <w:r w:rsidRPr="00536EF0">
              <w:rPr>
                <w:rStyle w:val="Hyperlink"/>
                <w:rFonts w:ascii="Arial" w:hAnsi="Arial"/>
                <w:noProof/>
                <w:sz w:val="24"/>
              </w:rPr>
              <w:t>4.2.</w:t>
            </w:r>
            <w:r w:rsidRPr="00536EF0">
              <w:rPr>
                <w:rFonts w:eastAsiaTheme="minorEastAsia" w:cstheme="minorBidi"/>
                <w:noProof/>
                <w:sz w:val="24"/>
                <w:lang w:val="en-GB" w:eastAsia="en-GB"/>
              </w:rPr>
              <w:tab/>
            </w:r>
            <w:r w:rsidRPr="00536EF0">
              <w:rPr>
                <w:rStyle w:val="Hyperlink"/>
                <w:rFonts w:ascii="Arial" w:hAnsi="Arial"/>
                <w:noProof/>
                <w:sz w:val="24"/>
              </w:rPr>
              <w:t>Analysis of the Implications of Staff Turnover in the Hotel Industry</w:t>
            </w:r>
            <w:r>
              <w:rPr>
                <w:rStyle w:val="Hyperlink"/>
                <w:rFonts w:ascii="Arial" w:hAnsi="Arial"/>
                <w:noProof/>
                <w:sz w:val="24"/>
              </w:rPr>
              <w:t>…….</w:t>
            </w:r>
            <w:r w:rsidR="00AF15A0">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_Toc200461596 \h </w:instrText>
            </w:r>
            <w:r w:rsidRPr="00536EF0">
              <w:rPr>
                <w:noProof/>
                <w:webHidden/>
                <w:sz w:val="24"/>
              </w:rPr>
            </w:r>
            <w:r w:rsidRPr="00536EF0">
              <w:rPr>
                <w:noProof/>
                <w:webHidden/>
                <w:sz w:val="24"/>
              </w:rPr>
              <w:fldChar w:fldCharType="separate"/>
            </w:r>
            <w:r w:rsidRPr="00536EF0">
              <w:rPr>
                <w:noProof/>
                <w:webHidden/>
                <w:sz w:val="24"/>
              </w:rPr>
              <w:t>21</w:t>
            </w:r>
            <w:r w:rsidRPr="00536EF0">
              <w:rPr>
                <w:noProof/>
                <w:webHidden/>
                <w:sz w:val="24"/>
              </w:rPr>
              <w:fldChar w:fldCharType="end"/>
            </w:r>
          </w:hyperlink>
        </w:p>
        <w:p w14:paraId="374DDA2D" w14:textId="216CB241"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97" w:history="1">
            <w:r w:rsidRPr="00536EF0">
              <w:rPr>
                <w:rStyle w:val="Hyperlink"/>
                <w:noProof/>
                <w:sz w:val="24"/>
                <w:szCs w:val="24"/>
              </w:rPr>
              <w:t>Chapter 5. Conclusion and Recommendations</w:t>
            </w:r>
            <w:r>
              <w:rPr>
                <w:rStyle w:val="Hyperlink"/>
                <w:noProof/>
                <w:sz w:val="24"/>
                <w:szCs w:val="24"/>
              </w:rPr>
              <w:t>…………………………………….</w:t>
            </w:r>
            <w:r w:rsidRPr="00536EF0">
              <w:rPr>
                <w:noProof/>
                <w:webHidden/>
                <w:sz w:val="24"/>
                <w:szCs w:val="24"/>
              </w:rPr>
              <w:tab/>
            </w:r>
            <w:r>
              <w:rPr>
                <w:noProof/>
                <w:webHidden/>
                <w:sz w:val="24"/>
                <w:szCs w:val="24"/>
              </w:rPr>
              <w:t>.</w:t>
            </w:r>
            <w:r w:rsidRPr="00536EF0">
              <w:rPr>
                <w:noProof/>
                <w:webHidden/>
                <w:sz w:val="24"/>
                <w:szCs w:val="24"/>
              </w:rPr>
              <w:fldChar w:fldCharType="begin"/>
            </w:r>
            <w:r w:rsidRPr="00536EF0">
              <w:rPr>
                <w:noProof/>
                <w:webHidden/>
                <w:sz w:val="24"/>
                <w:szCs w:val="24"/>
              </w:rPr>
              <w:instrText xml:space="preserve"> PAGEREF _Toc200461597 \h </w:instrText>
            </w:r>
            <w:r w:rsidRPr="00536EF0">
              <w:rPr>
                <w:noProof/>
                <w:webHidden/>
                <w:sz w:val="24"/>
                <w:szCs w:val="24"/>
              </w:rPr>
            </w:r>
            <w:r w:rsidRPr="00536EF0">
              <w:rPr>
                <w:noProof/>
                <w:webHidden/>
                <w:sz w:val="24"/>
                <w:szCs w:val="24"/>
              </w:rPr>
              <w:fldChar w:fldCharType="separate"/>
            </w:r>
            <w:r w:rsidRPr="00536EF0">
              <w:rPr>
                <w:noProof/>
                <w:webHidden/>
                <w:sz w:val="24"/>
                <w:szCs w:val="24"/>
              </w:rPr>
              <w:t>28</w:t>
            </w:r>
            <w:r w:rsidRPr="00536EF0">
              <w:rPr>
                <w:noProof/>
                <w:webHidden/>
                <w:sz w:val="24"/>
                <w:szCs w:val="24"/>
              </w:rPr>
              <w:fldChar w:fldCharType="end"/>
            </w:r>
          </w:hyperlink>
        </w:p>
        <w:p w14:paraId="40B7CC49" w14:textId="03D3E54E"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98" w:history="1">
            <w:r w:rsidRPr="00536EF0">
              <w:rPr>
                <w:rStyle w:val="Hyperlink"/>
                <w:noProof/>
                <w:sz w:val="24"/>
                <w:szCs w:val="24"/>
              </w:rPr>
              <w:t>References</w:t>
            </w:r>
            <w:r>
              <w:rPr>
                <w:rStyle w:val="Hyperlink"/>
                <w:noProof/>
                <w:sz w:val="24"/>
                <w:szCs w:val="24"/>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_Toc200461598 \h </w:instrText>
            </w:r>
            <w:r w:rsidRPr="00536EF0">
              <w:rPr>
                <w:noProof/>
                <w:webHidden/>
                <w:sz w:val="24"/>
                <w:szCs w:val="24"/>
              </w:rPr>
            </w:r>
            <w:r w:rsidRPr="00536EF0">
              <w:rPr>
                <w:noProof/>
                <w:webHidden/>
                <w:sz w:val="24"/>
                <w:szCs w:val="24"/>
              </w:rPr>
              <w:fldChar w:fldCharType="separate"/>
            </w:r>
            <w:r w:rsidRPr="00536EF0">
              <w:rPr>
                <w:noProof/>
                <w:webHidden/>
                <w:sz w:val="24"/>
                <w:szCs w:val="24"/>
              </w:rPr>
              <w:t>36</w:t>
            </w:r>
            <w:r w:rsidRPr="00536EF0">
              <w:rPr>
                <w:noProof/>
                <w:webHidden/>
                <w:sz w:val="24"/>
                <w:szCs w:val="24"/>
              </w:rPr>
              <w:fldChar w:fldCharType="end"/>
            </w:r>
          </w:hyperlink>
        </w:p>
        <w:p w14:paraId="57E19A2E" w14:textId="6624E17C" w:rsidR="00EC32C7" w:rsidRPr="00BC2049" w:rsidRDefault="0087526D" w:rsidP="00536EF0">
          <w:pPr>
            <w:spacing w:line="480" w:lineRule="auto"/>
            <w:rPr>
              <w:rFonts w:ascii="Arial" w:hAnsi="Arial"/>
              <w:b/>
              <w:bCs/>
              <w:noProof/>
              <w:sz w:val="24"/>
              <w:szCs w:val="24"/>
            </w:rPr>
          </w:pPr>
          <w:r w:rsidRPr="00536EF0">
            <w:rPr>
              <w:rFonts w:ascii="Arial" w:hAnsi="Arial"/>
              <w:b/>
              <w:bCs/>
              <w:noProof/>
              <w:sz w:val="24"/>
              <w:szCs w:val="24"/>
            </w:rPr>
            <w:fldChar w:fldCharType="end"/>
          </w:r>
        </w:p>
        <w:p w14:paraId="08697B0E" w14:textId="77777777" w:rsidR="00BC2049" w:rsidRDefault="00BC2049" w:rsidP="00EC32C7">
          <w:pPr>
            <w:spacing w:line="480" w:lineRule="auto"/>
            <w:rPr>
              <w:sz w:val="24"/>
              <w:szCs w:val="24"/>
            </w:rPr>
          </w:pPr>
        </w:p>
        <w:p w14:paraId="6898F542" w14:textId="02D38A33" w:rsidR="0087526D" w:rsidRPr="00EC32C7" w:rsidRDefault="00000000" w:rsidP="00EC32C7">
          <w:pPr>
            <w:spacing w:line="480" w:lineRule="auto"/>
            <w:rPr>
              <w:sz w:val="24"/>
              <w:szCs w:val="24"/>
            </w:rPr>
          </w:pPr>
        </w:p>
      </w:sdtContent>
    </w:sdt>
    <w:p w14:paraId="3D8718E9" w14:textId="5183D02E" w:rsidR="00BC2049" w:rsidRPr="00844467" w:rsidRDefault="000B5217" w:rsidP="00844467">
      <w:pPr>
        <w:pStyle w:val="Heading1"/>
        <w:rPr>
          <w:sz w:val="28"/>
        </w:rPr>
      </w:pPr>
      <w:bookmarkStart w:id="4" w:name="_Toc199633485"/>
      <w:bookmarkStart w:id="5" w:name="_Toc200461586"/>
      <w:r w:rsidRPr="00844467">
        <w:rPr>
          <w:sz w:val="28"/>
        </w:rPr>
        <w:lastRenderedPageBreak/>
        <w:t xml:space="preserve">Chapter 1. </w:t>
      </w:r>
      <w:r w:rsidR="00157891" w:rsidRPr="00844467">
        <w:rPr>
          <w:sz w:val="28"/>
        </w:rPr>
        <w:t>Introduction</w:t>
      </w:r>
      <w:bookmarkEnd w:id="4"/>
      <w:bookmarkEnd w:id="5"/>
    </w:p>
    <w:p w14:paraId="7F6CAADD" w14:textId="77777777" w:rsidR="000B5217" w:rsidRPr="000B5217" w:rsidRDefault="000B5217" w:rsidP="000B5217">
      <w:pPr>
        <w:pStyle w:val="BodyText"/>
      </w:pPr>
    </w:p>
    <w:p w14:paraId="219AC196" w14:textId="0844BE08" w:rsidR="00BD5CA5" w:rsidRPr="00E0734A" w:rsidRDefault="000B5217" w:rsidP="000F1502">
      <w:pPr>
        <w:pStyle w:val="BodyText"/>
        <w:spacing w:line="480" w:lineRule="auto"/>
        <w:jc w:val="both"/>
        <w:rPr>
          <w:rFonts w:ascii="Arial" w:hAnsi="Arial"/>
          <w:sz w:val="24"/>
          <w:szCs w:val="24"/>
        </w:rPr>
      </w:pPr>
      <w:r>
        <w:rPr>
          <w:rFonts w:ascii="Arial" w:hAnsi="Arial"/>
          <w:sz w:val="24"/>
          <w:szCs w:val="24"/>
        </w:rPr>
        <w:t xml:space="preserve">    </w:t>
      </w:r>
      <w:r w:rsidR="00BD5CA5" w:rsidRPr="00E0734A">
        <w:rPr>
          <w:rFonts w:ascii="Arial" w:hAnsi="Arial"/>
          <w:sz w:val="24"/>
          <w:szCs w:val="24"/>
        </w:rPr>
        <w:t xml:space="preserve">The hospitality industry is </w:t>
      </w:r>
      <w:r w:rsidR="003A1996" w:rsidRPr="00E0734A">
        <w:rPr>
          <w:rFonts w:ascii="Arial" w:hAnsi="Arial"/>
          <w:sz w:val="24"/>
          <w:szCs w:val="24"/>
        </w:rPr>
        <w:t>known</w:t>
      </w:r>
      <w:r w:rsidR="00BD5CA5" w:rsidRPr="00E0734A">
        <w:rPr>
          <w:rFonts w:ascii="Arial" w:hAnsi="Arial"/>
          <w:sz w:val="24"/>
          <w:szCs w:val="24"/>
        </w:rPr>
        <w:t xml:space="preserve"> for its dynamism and ability to adapt to social, economic and technological changes. However, one of the constant aspects that continues to cause major management challenges is staff turnover. Especially in the post-pandemic context, hotels in the United Kingdom have faced significant difficulties in attracting and retaining staff, which has directly affected the quality of service, operational efficiency and customer satisfaction</w:t>
      </w:r>
      <w:r w:rsidR="00844467">
        <w:rPr>
          <w:rFonts w:ascii="Arial" w:hAnsi="Arial"/>
          <w:sz w:val="24"/>
          <w:szCs w:val="24"/>
        </w:rPr>
        <w:t xml:space="preserve"> (CIPD, 2025).</w:t>
      </w:r>
    </w:p>
    <w:p w14:paraId="6104001D" w14:textId="3290956A" w:rsidR="00157891" w:rsidRPr="00E0734A" w:rsidRDefault="00BD5CA5" w:rsidP="000F1502">
      <w:pPr>
        <w:pStyle w:val="BodyText"/>
        <w:spacing w:line="480" w:lineRule="auto"/>
        <w:jc w:val="both"/>
        <w:rPr>
          <w:rFonts w:ascii="Arial" w:hAnsi="Arial"/>
          <w:sz w:val="24"/>
          <w:szCs w:val="24"/>
        </w:rPr>
      </w:pPr>
      <w:r w:rsidRPr="00E0734A">
        <w:rPr>
          <w:rFonts w:ascii="Arial" w:hAnsi="Arial"/>
          <w:sz w:val="24"/>
          <w:szCs w:val="24"/>
        </w:rPr>
        <w:t xml:space="preserve">According to the Office for National Statistics (2022), the UK hotel industry has recorded a reduction of over 20% in the active workforce compared to the pre-pandemic period. This decrease has generated additional </w:t>
      </w:r>
      <w:r w:rsidR="00B15018" w:rsidRPr="00E0734A">
        <w:rPr>
          <w:rFonts w:ascii="Arial" w:hAnsi="Arial"/>
          <w:sz w:val="24"/>
          <w:szCs w:val="24"/>
        </w:rPr>
        <w:t>pressure</w:t>
      </w:r>
      <w:r w:rsidRPr="00E0734A">
        <w:rPr>
          <w:rFonts w:ascii="Arial" w:hAnsi="Arial"/>
          <w:sz w:val="24"/>
          <w:szCs w:val="24"/>
        </w:rPr>
        <w:t xml:space="preserve"> on existing employees and has led to a chain reaction of voluntary departures, fueled by stress, professional burnout and the lack of clear development opportunities. In this context, the topic of staff turnover takes on strategic importance, both for academic research and for professional practice</w:t>
      </w:r>
      <w:r w:rsidR="00036E38" w:rsidRPr="00E0734A">
        <w:rPr>
          <w:rFonts w:ascii="Arial" w:hAnsi="Arial"/>
          <w:sz w:val="24"/>
          <w:szCs w:val="24"/>
        </w:rPr>
        <w:t xml:space="preserve"> (Silverman, 2011)</w:t>
      </w:r>
      <w:r w:rsidRPr="00E0734A">
        <w:rPr>
          <w:rFonts w:ascii="Arial" w:hAnsi="Arial"/>
          <w:sz w:val="24"/>
          <w:szCs w:val="24"/>
        </w:rPr>
        <w:t>.</w:t>
      </w:r>
    </w:p>
    <w:p w14:paraId="3165B0BE" w14:textId="08B2BAC8" w:rsidR="00BF2E26" w:rsidRPr="00E0734A" w:rsidRDefault="00BD5CA5" w:rsidP="000F1502">
      <w:pPr>
        <w:pStyle w:val="BodyText"/>
        <w:spacing w:line="480" w:lineRule="auto"/>
        <w:jc w:val="both"/>
        <w:rPr>
          <w:rFonts w:ascii="Arial" w:hAnsi="Arial"/>
          <w:sz w:val="24"/>
          <w:szCs w:val="24"/>
        </w:rPr>
      </w:pPr>
      <w:r w:rsidRPr="00E0734A">
        <w:rPr>
          <w:rFonts w:ascii="Arial" w:hAnsi="Arial"/>
          <w:sz w:val="24"/>
          <w:szCs w:val="24"/>
        </w:rPr>
        <w:t>Th</w:t>
      </w:r>
      <w:r w:rsidR="00EE1FA2">
        <w:rPr>
          <w:rFonts w:ascii="Arial" w:hAnsi="Arial"/>
          <w:sz w:val="24"/>
          <w:szCs w:val="24"/>
        </w:rPr>
        <w:t>e research</w:t>
      </w:r>
      <w:r w:rsidRPr="00E0734A">
        <w:rPr>
          <w:rFonts w:ascii="Arial" w:hAnsi="Arial"/>
          <w:sz w:val="24"/>
          <w:szCs w:val="24"/>
        </w:rPr>
        <w:t xml:space="preserve"> aims to investigate the causes and consequences of staff turnover in an international hotel with a local presence</w:t>
      </w:r>
      <w:r w:rsidR="00E233D7" w:rsidRPr="00E0734A">
        <w:rPr>
          <w:rFonts w:ascii="Arial" w:hAnsi="Arial"/>
          <w:sz w:val="24"/>
          <w:szCs w:val="24"/>
        </w:rPr>
        <w:t xml:space="preserve">, </w:t>
      </w:r>
      <w:r w:rsidRPr="00E0734A">
        <w:rPr>
          <w:rFonts w:ascii="Arial" w:hAnsi="Arial"/>
          <w:sz w:val="24"/>
          <w:szCs w:val="24"/>
        </w:rPr>
        <w:t>Holiday Inn Sunderland</w:t>
      </w:r>
      <w:r w:rsidR="00E233D7" w:rsidRPr="00E0734A">
        <w:rPr>
          <w:rFonts w:ascii="Arial" w:hAnsi="Arial"/>
          <w:sz w:val="24"/>
          <w:szCs w:val="24"/>
        </w:rPr>
        <w:t xml:space="preserve">, </w:t>
      </w:r>
      <w:r w:rsidRPr="00E0734A">
        <w:rPr>
          <w:rFonts w:ascii="Arial" w:hAnsi="Arial"/>
          <w:sz w:val="24"/>
          <w:szCs w:val="24"/>
        </w:rPr>
        <w:t xml:space="preserve">and to propose practical and applicable strategies for reducing it. The choice of this topic is motivated both by its current relevance in the hospitality industry and by the opportunity </w:t>
      </w:r>
      <w:r w:rsidR="00EE1FA2">
        <w:rPr>
          <w:rFonts w:ascii="Arial" w:hAnsi="Arial"/>
          <w:sz w:val="24"/>
          <w:szCs w:val="24"/>
        </w:rPr>
        <w:t>for</w:t>
      </w:r>
      <w:r w:rsidRPr="00E0734A">
        <w:rPr>
          <w:rFonts w:ascii="Arial" w:hAnsi="Arial"/>
          <w:sz w:val="24"/>
          <w:szCs w:val="24"/>
        </w:rPr>
        <w:t xml:space="preserve"> placement research, </w:t>
      </w:r>
      <w:r w:rsidR="007B3A1B" w:rsidRPr="00E0734A">
        <w:rPr>
          <w:rFonts w:ascii="Arial" w:hAnsi="Arial"/>
          <w:sz w:val="24"/>
          <w:szCs w:val="24"/>
        </w:rPr>
        <w:t>performed</w:t>
      </w:r>
      <w:r w:rsidRPr="00E0734A">
        <w:rPr>
          <w:rFonts w:ascii="Arial" w:hAnsi="Arial"/>
          <w:sz w:val="24"/>
          <w:szCs w:val="24"/>
        </w:rPr>
        <w:t xml:space="preserve"> directly in t</w:t>
      </w:r>
      <w:r w:rsidR="006C2D61">
        <w:rPr>
          <w:rFonts w:ascii="Arial" w:hAnsi="Arial"/>
          <w:sz w:val="24"/>
          <w:szCs w:val="24"/>
        </w:rPr>
        <w:t>he</w:t>
      </w:r>
      <w:r w:rsidRPr="00E0734A">
        <w:rPr>
          <w:rFonts w:ascii="Arial" w:hAnsi="Arial"/>
          <w:sz w:val="24"/>
          <w:szCs w:val="24"/>
        </w:rPr>
        <w:t xml:space="preserve"> </w:t>
      </w:r>
      <w:r w:rsidR="006C2D61">
        <w:rPr>
          <w:rFonts w:ascii="Arial" w:hAnsi="Arial"/>
          <w:sz w:val="24"/>
          <w:szCs w:val="24"/>
        </w:rPr>
        <w:t>organisation</w:t>
      </w:r>
      <w:r w:rsidRPr="00E0734A">
        <w:rPr>
          <w:rFonts w:ascii="Arial" w:hAnsi="Arial"/>
          <w:sz w:val="24"/>
          <w:szCs w:val="24"/>
        </w:rPr>
        <w:t xml:space="preserve"> within the framework of an academic internship. This allowed for direct observation of the </w:t>
      </w:r>
      <w:r w:rsidR="006C2D61">
        <w:rPr>
          <w:rFonts w:ascii="Arial" w:hAnsi="Arial"/>
          <w:sz w:val="24"/>
          <w:szCs w:val="24"/>
        </w:rPr>
        <w:t>organisational</w:t>
      </w:r>
      <w:r w:rsidRPr="00E0734A">
        <w:rPr>
          <w:rFonts w:ascii="Arial" w:hAnsi="Arial"/>
          <w:sz w:val="24"/>
          <w:szCs w:val="24"/>
        </w:rPr>
        <w:t xml:space="preserve"> environment, </w:t>
      </w:r>
      <w:r w:rsidR="001C7DFD">
        <w:rPr>
          <w:rFonts w:ascii="Arial" w:hAnsi="Arial"/>
          <w:sz w:val="24"/>
          <w:szCs w:val="24"/>
        </w:rPr>
        <w:t>labour</w:t>
      </w:r>
      <w:r w:rsidRPr="00E0734A">
        <w:rPr>
          <w:rFonts w:ascii="Arial" w:hAnsi="Arial"/>
          <w:sz w:val="24"/>
          <w:szCs w:val="24"/>
        </w:rPr>
        <w:t xml:space="preserve"> relations and operational challenges related to staff </w:t>
      </w:r>
      <w:r w:rsidR="00EE1FA2">
        <w:rPr>
          <w:rFonts w:ascii="Arial" w:hAnsi="Arial"/>
          <w:sz w:val="24"/>
          <w:szCs w:val="24"/>
        </w:rPr>
        <w:t>turnover</w:t>
      </w:r>
      <w:r w:rsidR="00EE0EF5" w:rsidRPr="00E0734A">
        <w:rPr>
          <w:rFonts w:ascii="Arial" w:hAnsi="Arial"/>
          <w:sz w:val="24"/>
          <w:szCs w:val="24"/>
        </w:rPr>
        <w:t>. Furthermore</w:t>
      </w:r>
      <w:r w:rsidRPr="00E0734A">
        <w:rPr>
          <w:rFonts w:ascii="Arial" w:hAnsi="Arial"/>
          <w:sz w:val="24"/>
          <w:szCs w:val="24"/>
        </w:rPr>
        <w:t xml:space="preserve">, the study is based on </w:t>
      </w:r>
      <w:r w:rsidR="001C7DFD" w:rsidRPr="00E0734A">
        <w:rPr>
          <w:rFonts w:ascii="Arial" w:hAnsi="Arial"/>
          <w:sz w:val="24"/>
          <w:szCs w:val="24"/>
        </w:rPr>
        <w:t>real</w:t>
      </w:r>
      <w:r w:rsidRPr="00E0734A">
        <w:rPr>
          <w:rFonts w:ascii="Arial" w:hAnsi="Arial"/>
          <w:sz w:val="24"/>
          <w:szCs w:val="24"/>
        </w:rPr>
        <w:t xml:space="preserve"> context, providing a deep and </w:t>
      </w:r>
      <w:r w:rsidR="001C7DFD">
        <w:rPr>
          <w:rFonts w:ascii="Arial" w:hAnsi="Arial"/>
          <w:sz w:val="24"/>
          <w:szCs w:val="24"/>
        </w:rPr>
        <w:t>contextualised</w:t>
      </w:r>
      <w:r w:rsidRPr="00E0734A">
        <w:rPr>
          <w:rFonts w:ascii="Arial" w:hAnsi="Arial"/>
          <w:sz w:val="24"/>
          <w:szCs w:val="24"/>
        </w:rPr>
        <w:t xml:space="preserve"> perspective on</w:t>
      </w:r>
      <w:r w:rsidR="00EE1FA2">
        <w:rPr>
          <w:rFonts w:ascii="Arial" w:hAnsi="Arial"/>
          <w:sz w:val="24"/>
          <w:szCs w:val="24"/>
        </w:rPr>
        <w:t xml:space="preserve"> </w:t>
      </w:r>
      <w:r w:rsidRPr="00E0734A">
        <w:rPr>
          <w:rFonts w:ascii="Arial" w:hAnsi="Arial"/>
          <w:sz w:val="24"/>
          <w:szCs w:val="24"/>
        </w:rPr>
        <w:t>problems frequently encountered in mid-</w:t>
      </w:r>
      <w:r w:rsidR="005A7BD5" w:rsidRPr="00E0734A">
        <w:rPr>
          <w:rFonts w:ascii="Arial" w:hAnsi="Arial"/>
          <w:sz w:val="24"/>
          <w:szCs w:val="24"/>
        </w:rPr>
        <w:t>upper-level</w:t>
      </w:r>
      <w:r w:rsidRPr="00E0734A">
        <w:rPr>
          <w:rFonts w:ascii="Arial" w:hAnsi="Arial"/>
          <w:sz w:val="24"/>
          <w:szCs w:val="24"/>
        </w:rPr>
        <w:t xml:space="preserve"> hotel units, which contributes to the validity and practical utility of the research results</w:t>
      </w:r>
      <w:r w:rsidR="00103B41" w:rsidRPr="00E0734A">
        <w:rPr>
          <w:rFonts w:ascii="Arial" w:hAnsi="Arial"/>
          <w:sz w:val="24"/>
          <w:szCs w:val="24"/>
        </w:rPr>
        <w:t xml:space="preserve"> (Grbich, 2006)</w:t>
      </w:r>
      <w:r w:rsidRPr="00E0734A">
        <w:rPr>
          <w:rFonts w:ascii="Arial" w:hAnsi="Arial"/>
          <w:sz w:val="24"/>
          <w:szCs w:val="24"/>
        </w:rPr>
        <w:t>.</w:t>
      </w:r>
    </w:p>
    <w:p w14:paraId="7DAE16D7" w14:textId="1FB26BAB" w:rsidR="00BD5CA5" w:rsidRPr="008C4813" w:rsidRDefault="00424F5E" w:rsidP="000F1502">
      <w:pPr>
        <w:pStyle w:val="BodyText"/>
        <w:spacing w:line="480" w:lineRule="auto"/>
        <w:jc w:val="both"/>
        <w:rPr>
          <w:rFonts w:ascii="Arial" w:hAnsi="Arial"/>
          <w:sz w:val="24"/>
          <w:szCs w:val="24"/>
          <w:lang w:val="en-GB"/>
        </w:rPr>
      </w:pPr>
      <w:r w:rsidRPr="00E0734A">
        <w:rPr>
          <w:rFonts w:ascii="Arial" w:hAnsi="Arial"/>
          <w:sz w:val="24"/>
          <w:szCs w:val="24"/>
        </w:rPr>
        <w:lastRenderedPageBreak/>
        <w:t>Holiday Inn Sunderland is part of the InterContinental Hotels Group (IHG)</w:t>
      </w:r>
      <w:r w:rsidR="00EE1FA2">
        <w:rPr>
          <w:rFonts w:ascii="Arial" w:hAnsi="Arial"/>
          <w:sz w:val="24"/>
          <w:szCs w:val="24"/>
        </w:rPr>
        <w:t>.</w:t>
      </w:r>
      <w:r w:rsidRPr="00E0734A">
        <w:rPr>
          <w:rFonts w:ascii="Arial" w:hAnsi="Arial"/>
          <w:sz w:val="24"/>
          <w:szCs w:val="24"/>
        </w:rPr>
        <w:t xml:space="preserve"> </w:t>
      </w:r>
      <w:r w:rsidR="008C4813" w:rsidRPr="008C4813">
        <w:rPr>
          <w:rFonts w:ascii="Arial" w:hAnsi="Arial"/>
          <w:sz w:val="24"/>
          <w:szCs w:val="24"/>
          <w:lang w:val="en-GB"/>
        </w:rPr>
        <w:t>Madison Cairn owns and manages the hotel under a license from IHG Hotels Limited</w:t>
      </w:r>
      <w:r w:rsidR="00F23D0B">
        <w:rPr>
          <w:rFonts w:ascii="Arial" w:hAnsi="Arial"/>
          <w:sz w:val="24"/>
          <w:szCs w:val="24"/>
          <w:lang w:val="en-GB"/>
        </w:rPr>
        <w:t xml:space="preserve"> </w:t>
      </w:r>
      <w:r w:rsidR="008C4813">
        <w:rPr>
          <w:rFonts w:ascii="Arial" w:hAnsi="Arial"/>
          <w:sz w:val="24"/>
          <w:szCs w:val="24"/>
          <w:lang w:val="en-GB"/>
        </w:rPr>
        <w:t>(Madison Cairn, 2022).</w:t>
      </w:r>
      <w:r w:rsidRPr="00E0734A">
        <w:rPr>
          <w:rFonts w:ascii="Arial" w:hAnsi="Arial"/>
          <w:sz w:val="24"/>
          <w:szCs w:val="24"/>
        </w:rPr>
        <w:t xml:space="preserve"> The Sunderland hotel is strategically located in the </w:t>
      </w:r>
      <w:r w:rsidR="00F84AF0" w:rsidRPr="00E0734A">
        <w:rPr>
          <w:rFonts w:ascii="Arial" w:hAnsi="Arial"/>
          <w:sz w:val="24"/>
          <w:szCs w:val="24"/>
        </w:rPr>
        <w:t>Northeast</w:t>
      </w:r>
      <w:r w:rsidRPr="00E0734A">
        <w:rPr>
          <w:rFonts w:ascii="Arial" w:hAnsi="Arial"/>
          <w:sz w:val="24"/>
          <w:szCs w:val="24"/>
        </w:rPr>
        <w:t xml:space="preserve"> of England, in an urban area with a transition economy and a relatively unstable local job market, which further contributes to the difficulties of retaining employees. With an average number of employees between 35 and 50, Holiday Inn Sunderland provides accommodation, </w:t>
      </w:r>
      <w:r w:rsidR="000B5217" w:rsidRPr="00E0734A">
        <w:rPr>
          <w:rFonts w:ascii="Arial" w:hAnsi="Arial"/>
          <w:sz w:val="24"/>
          <w:szCs w:val="24"/>
        </w:rPr>
        <w:t>a restaurant</w:t>
      </w:r>
      <w:r w:rsidRPr="00E0734A">
        <w:rPr>
          <w:rFonts w:ascii="Arial" w:hAnsi="Arial"/>
          <w:sz w:val="24"/>
          <w:szCs w:val="24"/>
        </w:rPr>
        <w:t xml:space="preserve">, events and business </w:t>
      </w:r>
      <w:r w:rsidR="001D23DB">
        <w:rPr>
          <w:rFonts w:ascii="Arial" w:hAnsi="Arial"/>
          <w:sz w:val="24"/>
          <w:szCs w:val="24"/>
        </w:rPr>
        <w:t>meeting</w:t>
      </w:r>
      <w:r w:rsidRPr="00E0734A">
        <w:rPr>
          <w:rFonts w:ascii="Arial" w:hAnsi="Arial"/>
          <w:sz w:val="24"/>
          <w:szCs w:val="24"/>
        </w:rPr>
        <w:t xml:space="preserve"> services. However, the hotel faces common challenges in the hospitality sector: frequent employee turnover, difficulties in attracting qualified staff and maintaining a constant level of satisfaction among the work teams</w:t>
      </w:r>
      <w:r w:rsidR="001A1414" w:rsidRPr="00E0734A">
        <w:rPr>
          <w:rFonts w:ascii="Arial" w:hAnsi="Arial"/>
          <w:sz w:val="24"/>
          <w:szCs w:val="24"/>
        </w:rPr>
        <w:t xml:space="preserve"> (IHG, 202</w:t>
      </w:r>
      <w:r w:rsidR="00D77E21">
        <w:rPr>
          <w:rFonts w:ascii="Arial" w:hAnsi="Arial"/>
          <w:sz w:val="24"/>
          <w:szCs w:val="24"/>
        </w:rPr>
        <w:t>5)</w:t>
      </w:r>
      <w:r w:rsidR="00957449">
        <w:rPr>
          <w:rFonts w:ascii="Arial" w:hAnsi="Arial"/>
          <w:sz w:val="24"/>
          <w:szCs w:val="24"/>
        </w:rPr>
        <w:t xml:space="preserve">; </w:t>
      </w:r>
      <w:r w:rsidR="00D77E21">
        <w:rPr>
          <w:rFonts w:ascii="Arial" w:hAnsi="Arial"/>
          <w:sz w:val="24"/>
          <w:szCs w:val="24"/>
        </w:rPr>
        <w:t>(</w:t>
      </w:r>
      <w:r w:rsidR="00924583" w:rsidRPr="00E0734A">
        <w:rPr>
          <w:rFonts w:ascii="Arial" w:hAnsi="Arial"/>
          <w:sz w:val="24"/>
          <w:szCs w:val="24"/>
        </w:rPr>
        <w:t>Mcgivern, 2006)</w:t>
      </w:r>
      <w:r w:rsidRPr="00E0734A">
        <w:rPr>
          <w:rFonts w:ascii="Arial" w:hAnsi="Arial"/>
          <w:sz w:val="24"/>
          <w:szCs w:val="24"/>
        </w:rPr>
        <w:t>.</w:t>
      </w:r>
    </w:p>
    <w:p w14:paraId="19381A7B" w14:textId="4ED40FCD" w:rsidR="00424F5E" w:rsidRPr="00E0734A" w:rsidRDefault="00424F5E" w:rsidP="000F1502">
      <w:pPr>
        <w:pStyle w:val="BodyText"/>
        <w:spacing w:line="480" w:lineRule="auto"/>
        <w:jc w:val="both"/>
        <w:rPr>
          <w:rFonts w:ascii="Arial" w:hAnsi="Arial"/>
          <w:sz w:val="24"/>
          <w:szCs w:val="24"/>
        </w:rPr>
      </w:pPr>
      <w:r w:rsidRPr="00E0734A">
        <w:rPr>
          <w:rFonts w:ascii="Arial" w:hAnsi="Arial"/>
          <w:sz w:val="24"/>
          <w:szCs w:val="24"/>
        </w:rPr>
        <w:t xml:space="preserve">The main purpose of this research is to </w:t>
      </w:r>
      <w:r w:rsidR="00957449">
        <w:rPr>
          <w:rFonts w:ascii="Arial" w:hAnsi="Arial"/>
          <w:sz w:val="24"/>
          <w:szCs w:val="24"/>
        </w:rPr>
        <w:t>analyse</w:t>
      </w:r>
      <w:r w:rsidRPr="00E0734A">
        <w:rPr>
          <w:rFonts w:ascii="Arial" w:hAnsi="Arial"/>
          <w:sz w:val="24"/>
          <w:szCs w:val="24"/>
        </w:rPr>
        <w:t xml:space="preserve"> the causes of staff turnover at Holiday Inn Sunderland and to explore possible solutions to reduce this phenomenon. The study aims to provide a realistic and applicable picture of the existing problems, based on employee </w:t>
      </w:r>
      <w:r w:rsidR="00957449" w:rsidRPr="00E0734A">
        <w:rPr>
          <w:rFonts w:ascii="Arial" w:hAnsi="Arial"/>
          <w:sz w:val="24"/>
          <w:szCs w:val="24"/>
        </w:rPr>
        <w:t>experience</w:t>
      </w:r>
      <w:r w:rsidRPr="00E0734A">
        <w:rPr>
          <w:rFonts w:ascii="Arial" w:hAnsi="Arial"/>
          <w:sz w:val="24"/>
          <w:szCs w:val="24"/>
        </w:rPr>
        <w:t>, direct observations and academic research</w:t>
      </w:r>
      <w:r w:rsidR="0066576D" w:rsidRPr="00E0734A">
        <w:rPr>
          <w:rFonts w:ascii="Arial" w:hAnsi="Arial"/>
          <w:sz w:val="24"/>
          <w:szCs w:val="24"/>
        </w:rPr>
        <w:t xml:space="preserve"> (Marshall and Rossman, 2015)</w:t>
      </w:r>
      <w:r w:rsidRPr="00E0734A">
        <w:rPr>
          <w:rFonts w:ascii="Arial" w:hAnsi="Arial"/>
          <w:sz w:val="24"/>
          <w:szCs w:val="24"/>
        </w:rPr>
        <w:t>.</w:t>
      </w:r>
    </w:p>
    <w:p w14:paraId="3419CA25" w14:textId="77777777" w:rsidR="00424F5E" w:rsidRPr="00E0734A" w:rsidRDefault="00424F5E" w:rsidP="000F1502">
      <w:pPr>
        <w:pStyle w:val="BodyText"/>
        <w:spacing w:line="480" w:lineRule="auto"/>
        <w:jc w:val="both"/>
        <w:rPr>
          <w:rFonts w:ascii="Arial" w:hAnsi="Arial"/>
          <w:sz w:val="24"/>
          <w:szCs w:val="24"/>
        </w:rPr>
      </w:pPr>
      <w:r w:rsidRPr="00E0734A">
        <w:rPr>
          <w:rFonts w:ascii="Arial" w:hAnsi="Arial"/>
          <w:sz w:val="24"/>
          <w:szCs w:val="24"/>
        </w:rPr>
        <w:t>The specific objectives of the research are:</w:t>
      </w:r>
    </w:p>
    <w:p w14:paraId="5062F227" w14:textId="083FD1DA" w:rsidR="00424F5E" w:rsidRPr="00E0734A" w:rsidRDefault="00424F5E" w:rsidP="000F1502">
      <w:pPr>
        <w:pStyle w:val="BodyText"/>
        <w:numPr>
          <w:ilvl w:val="0"/>
          <w:numId w:val="31"/>
        </w:numPr>
        <w:spacing w:line="480" w:lineRule="auto"/>
        <w:jc w:val="both"/>
        <w:rPr>
          <w:rFonts w:ascii="Arial" w:hAnsi="Arial"/>
          <w:sz w:val="24"/>
          <w:szCs w:val="24"/>
        </w:rPr>
      </w:pPr>
      <w:r w:rsidRPr="00E0734A">
        <w:rPr>
          <w:rFonts w:ascii="Arial" w:hAnsi="Arial"/>
          <w:sz w:val="24"/>
          <w:szCs w:val="24"/>
        </w:rPr>
        <w:t>Identify the key factors contributing to staff turnover at Holiday Inn Sunderland</w:t>
      </w:r>
      <w:r w:rsidR="00957449">
        <w:rPr>
          <w:rFonts w:ascii="Arial" w:hAnsi="Arial"/>
          <w:sz w:val="24"/>
          <w:szCs w:val="24"/>
        </w:rPr>
        <w:t>.</w:t>
      </w:r>
    </w:p>
    <w:p w14:paraId="6F786C14" w14:textId="5E5B0A92" w:rsidR="00424F5E" w:rsidRPr="00E0734A" w:rsidRDefault="00424F5E" w:rsidP="000F1502">
      <w:pPr>
        <w:pStyle w:val="BodyText"/>
        <w:numPr>
          <w:ilvl w:val="0"/>
          <w:numId w:val="31"/>
        </w:numPr>
        <w:spacing w:line="480" w:lineRule="auto"/>
        <w:jc w:val="both"/>
        <w:rPr>
          <w:rFonts w:ascii="Arial" w:hAnsi="Arial"/>
          <w:sz w:val="24"/>
          <w:szCs w:val="24"/>
        </w:rPr>
      </w:pPr>
      <w:r w:rsidRPr="00E0734A">
        <w:rPr>
          <w:rFonts w:ascii="Arial" w:hAnsi="Arial"/>
          <w:sz w:val="24"/>
          <w:szCs w:val="24"/>
        </w:rPr>
        <w:t xml:space="preserve">Assess the impact of staff turnover on operational efficiency and hotel service </w:t>
      </w:r>
      <w:r w:rsidR="004556B3" w:rsidRPr="00E0734A">
        <w:rPr>
          <w:rFonts w:ascii="Arial" w:hAnsi="Arial"/>
          <w:sz w:val="24"/>
          <w:szCs w:val="24"/>
        </w:rPr>
        <w:t>quality.</w:t>
      </w:r>
    </w:p>
    <w:p w14:paraId="52D32DDB" w14:textId="01284F0B" w:rsidR="009F4E81" w:rsidRPr="000B5217" w:rsidRDefault="00424F5E" w:rsidP="000F1502">
      <w:pPr>
        <w:pStyle w:val="BodyText"/>
        <w:numPr>
          <w:ilvl w:val="0"/>
          <w:numId w:val="31"/>
        </w:numPr>
        <w:spacing w:line="480" w:lineRule="auto"/>
        <w:jc w:val="both"/>
        <w:rPr>
          <w:rFonts w:ascii="Arial" w:hAnsi="Arial"/>
          <w:sz w:val="24"/>
          <w:szCs w:val="24"/>
        </w:rPr>
      </w:pPr>
      <w:r w:rsidRPr="00E0734A">
        <w:rPr>
          <w:rFonts w:ascii="Arial" w:hAnsi="Arial"/>
          <w:sz w:val="24"/>
          <w:szCs w:val="24"/>
        </w:rPr>
        <w:t>Propose practical solutions and strategies to contribute to employee retention and improve organi</w:t>
      </w:r>
      <w:r w:rsidR="002706CA">
        <w:rPr>
          <w:rFonts w:ascii="Arial" w:hAnsi="Arial"/>
          <w:sz w:val="24"/>
          <w:szCs w:val="24"/>
        </w:rPr>
        <w:t>s</w:t>
      </w:r>
      <w:r w:rsidRPr="00E0734A">
        <w:rPr>
          <w:rFonts w:ascii="Arial" w:hAnsi="Arial"/>
          <w:sz w:val="24"/>
          <w:szCs w:val="24"/>
        </w:rPr>
        <w:t>ational performance.</w:t>
      </w:r>
    </w:p>
    <w:p w14:paraId="4D9D7313" w14:textId="476A4483" w:rsidR="005B7FC0" w:rsidRPr="00E0734A" w:rsidRDefault="005B7FC0" w:rsidP="000F1502">
      <w:pPr>
        <w:pStyle w:val="BodyText"/>
        <w:spacing w:line="480" w:lineRule="auto"/>
        <w:jc w:val="both"/>
        <w:rPr>
          <w:rFonts w:ascii="Arial" w:hAnsi="Arial"/>
          <w:sz w:val="24"/>
          <w:szCs w:val="24"/>
        </w:rPr>
      </w:pPr>
      <w:r w:rsidRPr="00E0734A">
        <w:rPr>
          <w:rFonts w:ascii="Arial" w:hAnsi="Arial"/>
          <w:sz w:val="24"/>
          <w:szCs w:val="24"/>
        </w:rPr>
        <w:t>Based on the objectives set, the research aims to answer the following questions:</w:t>
      </w:r>
    </w:p>
    <w:p w14:paraId="425BCDCD" w14:textId="1AD94661" w:rsidR="005B7FC0" w:rsidRPr="00E0734A" w:rsidRDefault="00451434" w:rsidP="000F1502">
      <w:pPr>
        <w:pStyle w:val="BodyText"/>
        <w:spacing w:line="480" w:lineRule="auto"/>
        <w:jc w:val="both"/>
        <w:rPr>
          <w:rFonts w:ascii="Arial" w:hAnsi="Arial"/>
          <w:i/>
          <w:iCs/>
          <w:sz w:val="24"/>
          <w:szCs w:val="24"/>
        </w:rPr>
      </w:pPr>
      <w:r w:rsidRPr="00E0734A">
        <w:rPr>
          <w:rFonts w:ascii="Arial" w:hAnsi="Arial"/>
          <w:i/>
          <w:iCs/>
          <w:sz w:val="24"/>
          <w:szCs w:val="24"/>
        </w:rPr>
        <w:t>What are the causes of staff turnover in the Holiday Inn Hotel Sunderland?</w:t>
      </w:r>
    </w:p>
    <w:p w14:paraId="1C4E7C76" w14:textId="27D7EC43" w:rsidR="00856E0B" w:rsidRPr="00E0734A" w:rsidRDefault="00856E0B" w:rsidP="000F1502">
      <w:pPr>
        <w:pStyle w:val="BodyText"/>
        <w:spacing w:line="480" w:lineRule="auto"/>
        <w:jc w:val="both"/>
        <w:rPr>
          <w:rFonts w:ascii="Arial" w:hAnsi="Arial"/>
          <w:i/>
          <w:iCs/>
          <w:sz w:val="24"/>
          <w:szCs w:val="24"/>
        </w:rPr>
      </w:pPr>
      <w:r w:rsidRPr="00E0734A">
        <w:rPr>
          <w:rFonts w:ascii="Arial" w:hAnsi="Arial"/>
          <w:i/>
          <w:iCs/>
          <w:sz w:val="24"/>
          <w:szCs w:val="24"/>
        </w:rPr>
        <w:lastRenderedPageBreak/>
        <w:t>What is the impact of staff turnover on operational efficiency and service quality in the hotel?</w:t>
      </w:r>
    </w:p>
    <w:p w14:paraId="7EB0178B" w14:textId="7EC68623" w:rsidR="0064786E" w:rsidRPr="00E0734A" w:rsidRDefault="00856E0B" w:rsidP="000F1502">
      <w:pPr>
        <w:pStyle w:val="BodyText"/>
        <w:spacing w:line="480" w:lineRule="auto"/>
        <w:jc w:val="both"/>
        <w:rPr>
          <w:rFonts w:ascii="Arial" w:hAnsi="Arial"/>
          <w:i/>
          <w:iCs/>
          <w:sz w:val="24"/>
          <w:szCs w:val="24"/>
        </w:rPr>
      </w:pPr>
      <w:r w:rsidRPr="00E0734A">
        <w:rPr>
          <w:rFonts w:ascii="Arial" w:hAnsi="Arial"/>
          <w:i/>
          <w:iCs/>
          <w:sz w:val="24"/>
          <w:szCs w:val="24"/>
        </w:rPr>
        <w:t>What strategies can help mitigate staff turnover and improve the hotel's performance</w:t>
      </w:r>
      <w:r w:rsidR="005B7FC0" w:rsidRPr="00E0734A">
        <w:rPr>
          <w:rFonts w:ascii="Arial" w:hAnsi="Arial"/>
          <w:i/>
          <w:iCs/>
          <w:sz w:val="24"/>
          <w:szCs w:val="24"/>
        </w:rPr>
        <w:t>?</w:t>
      </w:r>
    </w:p>
    <w:p w14:paraId="2089C057" w14:textId="788DA071" w:rsidR="005B7FC0" w:rsidRPr="00E0734A" w:rsidRDefault="005B7FC0" w:rsidP="000F1502">
      <w:pPr>
        <w:pStyle w:val="BodyText"/>
        <w:spacing w:line="480" w:lineRule="auto"/>
        <w:jc w:val="both"/>
        <w:rPr>
          <w:rFonts w:ascii="Arial" w:hAnsi="Arial"/>
          <w:sz w:val="24"/>
          <w:szCs w:val="24"/>
        </w:rPr>
      </w:pPr>
      <w:r w:rsidRPr="00E0734A">
        <w:rPr>
          <w:rFonts w:ascii="Arial" w:hAnsi="Arial"/>
          <w:sz w:val="24"/>
          <w:szCs w:val="24"/>
        </w:rPr>
        <w:t xml:space="preserve">The </w:t>
      </w:r>
      <w:r w:rsidR="00D77E21">
        <w:rPr>
          <w:rFonts w:ascii="Arial" w:hAnsi="Arial"/>
          <w:sz w:val="24"/>
          <w:szCs w:val="24"/>
        </w:rPr>
        <w:t>research</w:t>
      </w:r>
      <w:r w:rsidRPr="00E0734A">
        <w:rPr>
          <w:rFonts w:ascii="Arial" w:hAnsi="Arial"/>
          <w:sz w:val="24"/>
          <w:szCs w:val="24"/>
        </w:rPr>
        <w:t xml:space="preserve"> uses a case study approach, complemented by an online netnographic research method. The choice of the case study method is justified by the applied nature of the </w:t>
      </w:r>
      <w:r w:rsidR="00A94133" w:rsidRPr="00E0734A">
        <w:rPr>
          <w:rFonts w:ascii="Arial" w:hAnsi="Arial"/>
          <w:sz w:val="24"/>
          <w:szCs w:val="24"/>
        </w:rPr>
        <w:t>research,</w:t>
      </w:r>
      <w:r w:rsidRPr="00E0734A">
        <w:rPr>
          <w:rFonts w:ascii="Arial" w:hAnsi="Arial"/>
          <w:sz w:val="24"/>
          <w:szCs w:val="24"/>
        </w:rPr>
        <w:t xml:space="preserve"> and it allows for </w:t>
      </w:r>
      <w:r w:rsidR="00A94133" w:rsidRPr="00E0734A">
        <w:rPr>
          <w:rFonts w:ascii="Arial" w:hAnsi="Arial"/>
          <w:sz w:val="24"/>
          <w:szCs w:val="24"/>
        </w:rPr>
        <w:t>a</w:t>
      </w:r>
      <w:r w:rsidRPr="00E0734A">
        <w:rPr>
          <w:rFonts w:ascii="Arial" w:hAnsi="Arial"/>
          <w:sz w:val="24"/>
          <w:szCs w:val="24"/>
        </w:rPr>
        <w:t xml:space="preserve"> </w:t>
      </w:r>
      <w:r w:rsidR="00A94133" w:rsidRPr="00E0734A">
        <w:rPr>
          <w:rFonts w:ascii="Arial" w:hAnsi="Arial"/>
          <w:sz w:val="24"/>
          <w:szCs w:val="24"/>
        </w:rPr>
        <w:t>detailed</w:t>
      </w:r>
      <w:r w:rsidRPr="00E0734A">
        <w:rPr>
          <w:rFonts w:ascii="Arial" w:hAnsi="Arial"/>
          <w:sz w:val="24"/>
          <w:szCs w:val="24"/>
        </w:rPr>
        <w:t xml:space="preserve"> analysis of a specific </w:t>
      </w:r>
      <w:r w:rsidR="002706CA">
        <w:rPr>
          <w:rFonts w:ascii="Arial" w:hAnsi="Arial"/>
          <w:sz w:val="24"/>
          <w:szCs w:val="24"/>
        </w:rPr>
        <w:t>organisation</w:t>
      </w:r>
      <w:r w:rsidRPr="00E0734A">
        <w:rPr>
          <w:rFonts w:ascii="Arial" w:hAnsi="Arial"/>
          <w:sz w:val="24"/>
          <w:szCs w:val="24"/>
        </w:rPr>
        <w:t xml:space="preserve"> in a real context. The data were collected through direct observation during the </w:t>
      </w:r>
      <w:r w:rsidR="00D77E21">
        <w:rPr>
          <w:rFonts w:ascii="Arial" w:hAnsi="Arial"/>
          <w:sz w:val="24"/>
          <w:szCs w:val="24"/>
        </w:rPr>
        <w:t>academic placement</w:t>
      </w:r>
      <w:r w:rsidRPr="00E0734A">
        <w:rPr>
          <w:rFonts w:ascii="Arial" w:hAnsi="Arial"/>
          <w:sz w:val="24"/>
          <w:szCs w:val="24"/>
        </w:rPr>
        <w:t xml:space="preserve"> period, complemented by the analysis of internal feedback and opinions expressed on public online platforms. The methodology will be detailed in Chapter 3 of the paper.</w:t>
      </w:r>
    </w:p>
    <w:p w14:paraId="75EB859D" w14:textId="7F115EBC" w:rsidR="00BE40F5" w:rsidRDefault="005B7FC0" w:rsidP="00D83E80">
      <w:pPr>
        <w:pStyle w:val="BodyText"/>
        <w:spacing w:line="480" w:lineRule="auto"/>
        <w:jc w:val="both"/>
        <w:rPr>
          <w:rFonts w:ascii="Arial" w:hAnsi="Arial"/>
          <w:sz w:val="24"/>
          <w:szCs w:val="24"/>
        </w:rPr>
      </w:pPr>
      <w:r w:rsidRPr="00E0734A">
        <w:rPr>
          <w:rFonts w:ascii="Arial" w:hAnsi="Arial"/>
          <w:sz w:val="24"/>
          <w:szCs w:val="24"/>
        </w:rPr>
        <w:t>Th</w:t>
      </w:r>
      <w:r w:rsidR="00A21B6F">
        <w:rPr>
          <w:rFonts w:ascii="Arial" w:hAnsi="Arial"/>
          <w:sz w:val="24"/>
          <w:szCs w:val="24"/>
        </w:rPr>
        <w:t>e</w:t>
      </w:r>
      <w:r w:rsidRPr="00E0734A">
        <w:rPr>
          <w:rFonts w:ascii="Arial" w:hAnsi="Arial"/>
          <w:sz w:val="24"/>
          <w:szCs w:val="24"/>
        </w:rPr>
        <w:t xml:space="preserve"> research makes a significant practical and theoretical contribution to the field of human resource management in the hospitality industry.</w:t>
      </w:r>
      <w:r w:rsidR="00D77E21">
        <w:rPr>
          <w:rFonts w:ascii="Arial" w:hAnsi="Arial"/>
          <w:sz w:val="24"/>
          <w:szCs w:val="24"/>
        </w:rPr>
        <w:t xml:space="preserve"> P</w:t>
      </w:r>
      <w:r w:rsidRPr="00E0734A">
        <w:rPr>
          <w:rFonts w:ascii="Arial" w:hAnsi="Arial"/>
          <w:sz w:val="24"/>
          <w:szCs w:val="24"/>
        </w:rPr>
        <w:t>rovid</w:t>
      </w:r>
      <w:r w:rsidR="00D77E21">
        <w:rPr>
          <w:rFonts w:ascii="Arial" w:hAnsi="Arial"/>
          <w:sz w:val="24"/>
          <w:szCs w:val="24"/>
        </w:rPr>
        <w:t>ing</w:t>
      </w:r>
      <w:r w:rsidRPr="00E0734A">
        <w:rPr>
          <w:rFonts w:ascii="Arial" w:hAnsi="Arial"/>
          <w:sz w:val="24"/>
          <w:szCs w:val="24"/>
        </w:rPr>
        <w:t xml:space="preserve"> a </w:t>
      </w:r>
      <w:r w:rsidR="001D23DB">
        <w:rPr>
          <w:rFonts w:ascii="Arial" w:hAnsi="Arial"/>
          <w:sz w:val="24"/>
          <w:szCs w:val="24"/>
        </w:rPr>
        <w:t>contextualised</w:t>
      </w:r>
      <w:r w:rsidRPr="00E0734A">
        <w:rPr>
          <w:rFonts w:ascii="Arial" w:hAnsi="Arial"/>
          <w:sz w:val="24"/>
          <w:szCs w:val="24"/>
        </w:rPr>
        <w:t xml:space="preserve"> analysis of a critical problem in a real British hotel</w:t>
      </w:r>
      <w:r w:rsidR="00A21B6F">
        <w:rPr>
          <w:rFonts w:ascii="Arial" w:hAnsi="Arial"/>
          <w:sz w:val="24"/>
          <w:szCs w:val="24"/>
        </w:rPr>
        <w:t xml:space="preserve">, </w:t>
      </w:r>
      <w:r w:rsidRPr="00E0734A">
        <w:rPr>
          <w:rFonts w:ascii="Arial" w:hAnsi="Arial"/>
          <w:sz w:val="24"/>
          <w:szCs w:val="24"/>
        </w:rPr>
        <w:t>propos</w:t>
      </w:r>
      <w:r w:rsidR="00A21B6F">
        <w:rPr>
          <w:rFonts w:ascii="Arial" w:hAnsi="Arial"/>
          <w:sz w:val="24"/>
          <w:szCs w:val="24"/>
        </w:rPr>
        <w:t>ing</w:t>
      </w:r>
      <w:r w:rsidRPr="00E0734A">
        <w:rPr>
          <w:rFonts w:ascii="Arial" w:hAnsi="Arial"/>
          <w:sz w:val="24"/>
          <w:szCs w:val="24"/>
        </w:rPr>
        <w:t xml:space="preserve"> applicable and sustainable personnel management strategies, with the potential for replication in other similar locations in the IHG network or in other hotel chains.</w:t>
      </w:r>
      <w:r w:rsidR="001739E4" w:rsidRPr="00E0734A">
        <w:rPr>
          <w:rFonts w:ascii="Arial" w:hAnsi="Arial"/>
          <w:sz w:val="24"/>
          <w:szCs w:val="24"/>
        </w:rPr>
        <w:t xml:space="preserve"> </w:t>
      </w:r>
      <w:r w:rsidRPr="00E0734A">
        <w:rPr>
          <w:rFonts w:ascii="Arial" w:hAnsi="Arial"/>
          <w:sz w:val="24"/>
          <w:szCs w:val="24"/>
        </w:rPr>
        <w:t xml:space="preserve">At the same time, the research </w:t>
      </w:r>
      <w:r w:rsidR="001B7053">
        <w:rPr>
          <w:rFonts w:ascii="Arial" w:hAnsi="Arial"/>
          <w:sz w:val="24"/>
          <w:szCs w:val="24"/>
        </w:rPr>
        <w:t>capitalises</w:t>
      </w:r>
      <w:r w:rsidRPr="00E0734A">
        <w:rPr>
          <w:rFonts w:ascii="Arial" w:hAnsi="Arial"/>
          <w:sz w:val="24"/>
          <w:szCs w:val="24"/>
        </w:rPr>
        <w:t xml:space="preserve"> on the direct link between theory and practice</w:t>
      </w:r>
      <w:r w:rsidR="00317CB7">
        <w:rPr>
          <w:rFonts w:ascii="Arial" w:hAnsi="Arial"/>
          <w:sz w:val="24"/>
          <w:szCs w:val="24"/>
        </w:rPr>
        <w:t>, analysing motivational theories to mitigate turnover</w:t>
      </w:r>
      <w:r w:rsidRPr="00E0734A">
        <w:rPr>
          <w:rFonts w:ascii="Arial" w:hAnsi="Arial"/>
          <w:sz w:val="24"/>
          <w:szCs w:val="24"/>
        </w:rPr>
        <w:t xml:space="preserve">, as the </w:t>
      </w:r>
      <w:r w:rsidR="00996EF5">
        <w:rPr>
          <w:rFonts w:ascii="Arial" w:hAnsi="Arial"/>
          <w:sz w:val="24"/>
          <w:szCs w:val="24"/>
        </w:rPr>
        <w:t>analysed</w:t>
      </w:r>
      <w:r w:rsidRPr="00E0734A">
        <w:rPr>
          <w:rFonts w:ascii="Arial" w:hAnsi="Arial"/>
          <w:sz w:val="24"/>
          <w:szCs w:val="24"/>
        </w:rPr>
        <w:t xml:space="preserve"> data </w:t>
      </w:r>
      <w:r w:rsidR="00317CB7">
        <w:rPr>
          <w:rFonts w:ascii="Arial" w:hAnsi="Arial"/>
          <w:sz w:val="24"/>
          <w:szCs w:val="24"/>
        </w:rPr>
        <w:t>are</w:t>
      </w:r>
      <w:r w:rsidRPr="00E0734A">
        <w:rPr>
          <w:rFonts w:ascii="Arial" w:hAnsi="Arial"/>
          <w:sz w:val="24"/>
          <w:szCs w:val="24"/>
        </w:rPr>
        <w:t xml:space="preserve"> collected in an authentic work environment, and the recommendations formulated are based on both academic sources and personal observations and reflections acquired during the </w:t>
      </w:r>
      <w:r w:rsidR="00E238D3">
        <w:rPr>
          <w:rFonts w:ascii="Arial" w:hAnsi="Arial"/>
          <w:sz w:val="24"/>
          <w:szCs w:val="24"/>
        </w:rPr>
        <w:t>placement</w:t>
      </w:r>
      <w:r w:rsidR="009E694A" w:rsidRPr="00E0734A">
        <w:rPr>
          <w:rFonts w:ascii="Arial" w:hAnsi="Arial"/>
          <w:sz w:val="24"/>
          <w:szCs w:val="24"/>
        </w:rPr>
        <w:t xml:space="preserve"> (Greetham, 2014)</w:t>
      </w:r>
      <w:r w:rsidRPr="00E0734A">
        <w:rPr>
          <w:rFonts w:ascii="Arial" w:hAnsi="Arial"/>
          <w:sz w:val="24"/>
          <w:szCs w:val="24"/>
        </w:rPr>
        <w:t>.</w:t>
      </w:r>
      <w:bookmarkStart w:id="6" w:name="_Toc199633486"/>
      <w:r w:rsidR="007C1011">
        <w:rPr>
          <w:rFonts w:ascii="Arial" w:hAnsi="Arial"/>
          <w:sz w:val="24"/>
          <w:szCs w:val="24"/>
        </w:rPr>
        <w:t xml:space="preserve"> The research is organised into 5 chapters, including introduction, literature review, methodology, findings and discussion and concludes with key recommendations and strategies that Holiday Inn Sunderland can enhance its performance, effectively attract and retain employees to mitigate staff turnover.</w:t>
      </w:r>
    </w:p>
    <w:p w14:paraId="3539C872" w14:textId="77777777" w:rsidR="007C1011" w:rsidRDefault="007C1011" w:rsidP="00D83E80">
      <w:pPr>
        <w:pStyle w:val="BodyText"/>
        <w:spacing w:line="480" w:lineRule="auto"/>
        <w:jc w:val="both"/>
        <w:rPr>
          <w:rFonts w:ascii="Arial" w:hAnsi="Arial"/>
          <w:sz w:val="24"/>
          <w:szCs w:val="24"/>
        </w:rPr>
      </w:pPr>
    </w:p>
    <w:p w14:paraId="77DC1306" w14:textId="7181CA07" w:rsidR="001739E4" w:rsidRPr="007C1011" w:rsidRDefault="000B5217" w:rsidP="00D83E80">
      <w:pPr>
        <w:pStyle w:val="Heading2"/>
        <w:rPr>
          <w:rFonts w:ascii="Arial" w:hAnsi="Arial"/>
          <w:sz w:val="28"/>
          <w:szCs w:val="28"/>
        </w:rPr>
      </w:pPr>
      <w:bookmarkStart w:id="7" w:name="_Toc200461587"/>
      <w:r w:rsidRPr="007C1011">
        <w:rPr>
          <w:sz w:val="28"/>
          <w:szCs w:val="28"/>
        </w:rPr>
        <w:lastRenderedPageBreak/>
        <w:t xml:space="preserve">Chapter 2. </w:t>
      </w:r>
      <w:r w:rsidR="00897DC6" w:rsidRPr="007C1011">
        <w:rPr>
          <w:sz w:val="28"/>
          <w:szCs w:val="28"/>
        </w:rPr>
        <w:t>Literature Review</w:t>
      </w:r>
      <w:bookmarkEnd w:id="6"/>
      <w:bookmarkEnd w:id="7"/>
    </w:p>
    <w:p w14:paraId="75576394" w14:textId="77777777" w:rsidR="000B5217" w:rsidRPr="000B5217" w:rsidRDefault="000B5217" w:rsidP="000B5217">
      <w:pPr>
        <w:pStyle w:val="BodyText"/>
      </w:pPr>
    </w:p>
    <w:p w14:paraId="69344184" w14:textId="3D5936E9" w:rsidR="00B15018" w:rsidRPr="00E0734A" w:rsidRDefault="00897DC6" w:rsidP="000F1502">
      <w:pPr>
        <w:pStyle w:val="BodyText"/>
        <w:spacing w:line="480" w:lineRule="auto"/>
        <w:jc w:val="both"/>
        <w:rPr>
          <w:rFonts w:ascii="Arial" w:hAnsi="Arial"/>
          <w:sz w:val="24"/>
          <w:szCs w:val="24"/>
        </w:rPr>
      </w:pPr>
      <w:r w:rsidRPr="00E0734A">
        <w:rPr>
          <w:rFonts w:ascii="Arial" w:hAnsi="Arial"/>
          <w:sz w:val="24"/>
          <w:szCs w:val="24"/>
        </w:rPr>
        <w:t xml:space="preserve">Staff turnover is a challenge in the hospitality industry and affects operational performance, service quality and </w:t>
      </w:r>
      <w:r w:rsidR="00EF50E9">
        <w:rPr>
          <w:rFonts w:ascii="Arial" w:hAnsi="Arial"/>
          <w:sz w:val="24"/>
          <w:szCs w:val="24"/>
        </w:rPr>
        <w:t>organisational</w:t>
      </w:r>
      <w:r w:rsidRPr="00E0734A">
        <w:rPr>
          <w:rFonts w:ascii="Arial" w:hAnsi="Arial"/>
          <w:sz w:val="24"/>
          <w:szCs w:val="24"/>
        </w:rPr>
        <w:t xml:space="preserve"> stability</w:t>
      </w:r>
      <w:r w:rsidR="003D2F25">
        <w:rPr>
          <w:rFonts w:ascii="Arial" w:hAnsi="Arial"/>
          <w:sz w:val="24"/>
          <w:szCs w:val="24"/>
        </w:rPr>
        <w:t>;</w:t>
      </w:r>
      <w:r w:rsidRPr="00E0734A">
        <w:rPr>
          <w:rFonts w:ascii="Arial" w:hAnsi="Arial"/>
          <w:sz w:val="24"/>
          <w:szCs w:val="24"/>
        </w:rPr>
        <w:t xml:space="preserve"> </w:t>
      </w:r>
      <w:r w:rsidR="003327C1">
        <w:rPr>
          <w:rFonts w:ascii="Arial" w:hAnsi="Arial"/>
          <w:sz w:val="24"/>
          <w:szCs w:val="24"/>
        </w:rPr>
        <w:t xml:space="preserve">the </w:t>
      </w:r>
      <w:r w:rsidRPr="00E0734A">
        <w:rPr>
          <w:rFonts w:ascii="Arial" w:hAnsi="Arial"/>
          <w:sz w:val="24"/>
          <w:szCs w:val="24"/>
        </w:rPr>
        <w:t>tourism sector is known for its direct customer contact and varying levels of stress</w:t>
      </w:r>
      <w:r w:rsidR="003327C1">
        <w:rPr>
          <w:rFonts w:ascii="Arial" w:hAnsi="Arial"/>
          <w:sz w:val="24"/>
          <w:szCs w:val="24"/>
        </w:rPr>
        <w:t>;</w:t>
      </w:r>
      <w:r w:rsidRPr="00E0734A">
        <w:rPr>
          <w:rFonts w:ascii="Arial" w:hAnsi="Arial"/>
          <w:sz w:val="24"/>
          <w:szCs w:val="24"/>
        </w:rPr>
        <w:t xml:space="preserve"> </w:t>
      </w:r>
      <w:r w:rsidR="003327C1">
        <w:rPr>
          <w:rFonts w:ascii="Arial" w:hAnsi="Arial"/>
          <w:sz w:val="24"/>
          <w:szCs w:val="24"/>
        </w:rPr>
        <w:t>thus,</w:t>
      </w:r>
      <w:r w:rsidRPr="00E0734A">
        <w:rPr>
          <w:rFonts w:ascii="Arial" w:hAnsi="Arial"/>
          <w:sz w:val="24"/>
          <w:szCs w:val="24"/>
        </w:rPr>
        <w:t xml:space="preserve"> for the sustainability of hotels, staff retention is very important</w:t>
      </w:r>
      <w:r w:rsidR="00110226">
        <w:rPr>
          <w:rFonts w:ascii="Arial" w:hAnsi="Arial"/>
          <w:sz w:val="24"/>
          <w:szCs w:val="24"/>
        </w:rPr>
        <w:t xml:space="preserve"> (</w:t>
      </w:r>
      <w:r w:rsidR="00110226" w:rsidRPr="00110226">
        <w:rPr>
          <w:rFonts w:ascii="Arial" w:hAnsi="Arial"/>
          <w:sz w:val="24"/>
          <w:szCs w:val="24"/>
          <w:lang w:val="en-GB"/>
        </w:rPr>
        <w:t>Dogru</w:t>
      </w:r>
      <w:r w:rsidR="00110226">
        <w:rPr>
          <w:rFonts w:ascii="Arial" w:hAnsi="Arial"/>
          <w:sz w:val="24"/>
          <w:szCs w:val="24"/>
          <w:lang w:val="en-GB"/>
        </w:rPr>
        <w:t xml:space="preserve"> </w:t>
      </w:r>
      <w:r w:rsidR="00110226" w:rsidRPr="00110226">
        <w:rPr>
          <w:rFonts w:ascii="Arial" w:hAnsi="Arial"/>
          <w:i/>
          <w:iCs/>
          <w:sz w:val="24"/>
          <w:szCs w:val="24"/>
          <w:lang w:val="en-GB"/>
        </w:rPr>
        <w:t>et al.</w:t>
      </w:r>
      <w:r w:rsidR="00110226" w:rsidRPr="00110226">
        <w:rPr>
          <w:rFonts w:ascii="Arial" w:hAnsi="Arial"/>
          <w:sz w:val="24"/>
          <w:szCs w:val="24"/>
          <w:lang w:val="en-GB"/>
        </w:rPr>
        <w:t xml:space="preserve"> 2023)</w:t>
      </w:r>
      <w:r w:rsidR="00110226">
        <w:rPr>
          <w:rFonts w:ascii="Arial" w:hAnsi="Arial"/>
          <w:sz w:val="24"/>
          <w:szCs w:val="24"/>
          <w:lang w:val="en-GB"/>
        </w:rPr>
        <w:t>.</w:t>
      </w:r>
      <w:r w:rsidR="00B55919" w:rsidRPr="00E0734A">
        <w:rPr>
          <w:rFonts w:ascii="Arial" w:hAnsi="Arial"/>
          <w:sz w:val="24"/>
          <w:szCs w:val="24"/>
        </w:rPr>
        <w:t xml:space="preserve"> </w:t>
      </w:r>
      <w:r w:rsidRPr="00E0734A">
        <w:rPr>
          <w:rFonts w:ascii="Arial" w:hAnsi="Arial"/>
          <w:sz w:val="24"/>
          <w:szCs w:val="24"/>
        </w:rPr>
        <w:t xml:space="preserve">The objective of the literature review is to critically examine staff turnover in the hotel industry, </w:t>
      </w:r>
      <w:r w:rsidR="008A7D1A" w:rsidRPr="00E0734A">
        <w:rPr>
          <w:rFonts w:ascii="Arial" w:hAnsi="Arial"/>
          <w:sz w:val="24"/>
          <w:szCs w:val="24"/>
        </w:rPr>
        <w:t>to</w:t>
      </w:r>
      <w:r w:rsidRPr="00E0734A">
        <w:rPr>
          <w:rFonts w:ascii="Arial" w:hAnsi="Arial"/>
          <w:sz w:val="24"/>
          <w:szCs w:val="24"/>
        </w:rPr>
        <w:t xml:space="preserve"> provide a solid theoretical framework for the case study of Holiday Inn Sunderland.</w:t>
      </w:r>
    </w:p>
    <w:p w14:paraId="7531448D" w14:textId="37400CF7" w:rsidR="009F2508" w:rsidRPr="000B5217" w:rsidRDefault="000B5217" w:rsidP="000B5217">
      <w:pPr>
        <w:pStyle w:val="Heading2"/>
        <w:numPr>
          <w:ilvl w:val="1"/>
          <w:numId w:val="43"/>
        </w:numPr>
        <w:spacing w:line="480" w:lineRule="auto"/>
        <w:jc w:val="both"/>
        <w:rPr>
          <w:rFonts w:ascii="Arial" w:hAnsi="Arial" w:cs="Arial"/>
          <w:sz w:val="28"/>
          <w:szCs w:val="28"/>
        </w:rPr>
      </w:pPr>
      <w:bookmarkStart w:id="8" w:name="_Toc199633487"/>
      <w:r w:rsidRPr="000B5217">
        <w:rPr>
          <w:rFonts w:ascii="Arial" w:hAnsi="Arial" w:cs="Arial"/>
          <w:sz w:val="28"/>
          <w:szCs w:val="28"/>
        </w:rPr>
        <w:t xml:space="preserve"> </w:t>
      </w:r>
      <w:bookmarkStart w:id="9" w:name="_Toc200461588"/>
      <w:r w:rsidR="009F2508" w:rsidRPr="000B5217">
        <w:rPr>
          <w:rFonts w:ascii="Arial" w:hAnsi="Arial" w:cs="Arial"/>
          <w:sz w:val="28"/>
          <w:szCs w:val="28"/>
        </w:rPr>
        <w:t>Causes of staff turnover in the hospitality industry</w:t>
      </w:r>
      <w:bookmarkEnd w:id="8"/>
      <w:bookmarkEnd w:id="9"/>
    </w:p>
    <w:p w14:paraId="2D2633E7" w14:textId="24ABC7DF" w:rsidR="00897DC6" w:rsidRPr="00E0734A" w:rsidRDefault="009F2508" w:rsidP="000F1502">
      <w:pPr>
        <w:pStyle w:val="BodyText"/>
        <w:spacing w:line="480" w:lineRule="auto"/>
        <w:jc w:val="both"/>
        <w:rPr>
          <w:rFonts w:ascii="Arial" w:hAnsi="Arial"/>
          <w:sz w:val="24"/>
          <w:szCs w:val="24"/>
        </w:rPr>
      </w:pPr>
      <w:r w:rsidRPr="00E0734A">
        <w:rPr>
          <w:rFonts w:ascii="Arial" w:hAnsi="Arial"/>
          <w:sz w:val="24"/>
          <w:szCs w:val="24"/>
        </w:rPr>
        <w:t xml:space="preserve">Recent studies have shown that factors contributing to staff turnover in hotels include low salaries, limited opportunities for advancement, working conditions, and </w:t>
      </w:r>
      <w:r w:rsidR="00EF50E9">
        <w:rPr>
          <w:rFonts w:ascii="Arial" w:hAnsi="Arial"/>
          <w:sz w:val="24"/>
          <w:szCs w:val="24"/>
        </w:rPr>
        <w:t xml:space="preserve">a </w:t>
      </w:r>
      <w:r w:rsidRPr="00E0734A">
        <w:rPr>
          <w:rFonts w:ascii="Arial" w:hAnsi="Arial"/>
          <w:sz w:val="24"/>
          <w:szCs w:val="24"/>
        </w:rPr>
        <w:t>lack of work-life balance.</w:t>
      </w:r>
      <w:r w:rsidR="00B55919" w:rsidRPr="00E0734A">
        <w:rPr>
          <w:rFonts w:ascii="Arial" w:hAnsi="Arial"/>
          <w:sz w:val="24"/>
          <w:szCs w:val="24"/>
        </w:rPr>
        <w:t xml:space="preserve"> </w:t>
      </w:r>
      <w:r w:rsidRPr="00E0734A">
        <w:rPr>
          <w:rFonts w:ascii="Arial" w:hAnsi="Arial"/>
          <w:sz w:val="24"/>
          <w:szCs w:val="24"/>
        </w:rPr>
        <w:t xml:space="preserve">Salaries and benefits are a major cause of turnover. According to Tews </w:t>
      </w:r>
      <w:r w:rsidRPr="002537F7">
        <w:rPr>
          <w:rFonts w:ascii="Arial" w:hAnsi="Arial"/>
          <w:i/>
          <w:iCs/>
          <w:sz w:val="24"/>
          <w:szCs w:val="24"/>
        </w:rPr>
        <w:t>et al.</w:t>
      </w:r>
      <w:r w:rsidRPr="00E0734A">
        <w:rPr>
          <w:rFonts w:ascii="Arial" w:hAnsi="Arial"/>
          <w:sz w:val="24"/>
          <w:szCs w:val="24"/>
        </w:rPr>
        <w:t xml:space="preserve"> (2014), employees in the hospitality industry are underpaid, and the absence of bonuses or non-financial rewards exacerbates employee dissatisfaction.</w:t>
      </w:r>
      <w:r w:rsidR="00EA56F9" w:rsidRPr="00E0734A">
        <w:rPr>
          <w:rFonts w:ascii="Arial" w:hAnsi="Arial"/>
          <w:sz w:val="24"/>
          <w:szCs w:val="24"/>
        </w:rPr>
        <w:t xml:space="preserve"> </w:t>
      </w:r>
      <w:r w:rsidRPr="00E0734A">
        <w:rPr>
          <w:rFonts w:ascii="Arial" w:hAnsi="Arial"/>
          <w:sz w:val="24"/>
          <w:szCs w:val="24"/>
        </w:rPr>
        <w:t xml:space="preserve">Research shows that authoritarian or unempathetic leaders generate stress and demotivation (Gill </w:t>
      </w:r>
      <w:r w:rsidRPr="002537F7">
        <w:rPr>
          <w:rFonts w:ascii="Arial" w:hAnsi="Arial"/>
          <w:i/>
          <w:iCs/>
          <w:sz w:val="24"/>
          <w:szCs w:val="24"/>
        </w:rPr>
        <w:t>et al</w:t>
      </w:r>
      <w:r w:rsidRPr="00E0734A">
        <w:rPr>
          <w:rFonts w:ascii="Arial" w:hAnsi="Arial"/>
          <w:sz w:val="24"/>
          <w:szCs w:val="24"/>
        </w:rPr>
        <w:t>., 2006). In contrast, transformational or servant leadership styles can foster employee loyalty and increase job satisfaction</w:t>
      </w:r>
      <w:r w:rsidR="003D2F25">
        <w:rPr>
          <w:rFonts w:ascii="Arial" w:hAnsi="Arial"/>
          <w:sz w:val="24"/>
          <w:szCs w:val="24"/>
        </w:rPr>
        <w:t xml:space="preserve"> (</w:t>
      </w:r>
      <w:r w:rsidR="003D2F25" w:rsidRPr="003D2F25">
        <w:rPr>
          <w:rFonts w:ascii="Arial" w:hAnsi="Arial"/>
          <w:sz w:val="24"/>
          <w:szCs w:val="24"/>
          <w:lang w:val="en-GB"/>
        </w:rPr>
        <w:t>Ming, H.C.G., Ming, W.W.P. and Harun,</w:t>
      </w:r>
      <w:r w:rsidR="003D2F25">
        <w:rPr>
          <w:rFonts w:ascii="Arial" w:hAnsi="Arial"/>
          <w:sz w:val="24"/>
          <w:szCs w:val="24"/>
          <w:lang w:val="en-GB"/>
        </w:rPr>
        <w:t xml:space="preserve"> </w:t>
      </w:r>
      <w:r w:rsidR="003D2F25" w:rsidRPr="003D2F25">
        <w:rPr>
          <w:rFonts w:ascii="Arial" w:hAnsi="Arial"/>
          <w:sz w:val="24"/>
          <w:szCs w:val="24"/>
          <w:lang w:val="en-GB"/>
        </w:rPr>
        <w:t>2021)</w:t>
      </w:r>
      <w:r w:rsidR="003D2F25">
        <w:rPr>
          <w:rFonts w:ascii="Arial" w:hAnsi="Arial"/>
          <w:sz w:val="24"/>
          <w:szCs w:val="24"/>
          <w:lang w:val="en-GB"/>
        </w:rPr>
        <w:t>.</w:t>
      </w:r>
      <w:r w:rsidR="00EA56F9" w:rsidRPr="00E0734A">
        <w:rPr>
          <w:rFonts w:ascii="Arial" w:hAnsi="Arial"/>
          <w:sz w:val="24"/>
          <w:szCs w:val="24"/>
        </w:rPr>
        <w:t xml:space="preserve"> </w:t>
      </w:r>
      <w:r w:rsidRPr="00E0734A">
        <w:rPr>
          <w:rFonts w:ascii="Arial" w:hAnsi="Arial"/>
          <w:sz w:val="24"/>
          <w:szCs w:val="24"/>
        </w:rPr>
        <w:t xml:space="preserve">Opportunities for professional development are important for employee engagement. Lack of training and clear career plans leads to resignations (Walsh </w:t>
      </w:r>
      <w:r w:rsidR="002537F7">
        <w:rPr>
          <w:rFonts w:ascii="Arial" w:hAnsi="Arial"/>
          <w:sz w:val="24"/>
          <w:szCs w:val="24"/>
        </w:rPr>
        <w:t>and</w:t>
      </w:r>
      <w:r w:rsidRPr="00E0734A">
        <w:rPr>
          <w:rFonts w:ascii="Arial" w:hAnsi="Arial"/>
          <w:sz w:val="24"/>
          <w:szCs w:val="24"/>
        </w:rPr>
        <w:t xml:space="preserve"> Taylor, 2007</w:t>
      </w:r>
      <w:r w:rsidR="00EE02A8" w:rsidRPr="00E0734A">
        <w:rPr>
          <w:rFonts w:ascii="Arial" w:hAnsi="Arial"/>
          <w:sz w:val="24"/>
          <w:szCs w:val="24"/>
        </w:rPr>
        <w:t>). Working</w:t>
      </w:r>
      <w:r w:rsidRPr="00E0734A">
        <w:rPr>
          <w:rFonts w:ascii="Arial" w:hAnsi="Arial"/>
          <w:sz w:val="24"/>
          <w:szCs w:val="24"/>
        </w:rPr>
        <w:t xml:space="preserve"> conditions with long shifts, weekend work, lack of adequate breaks, and pressure from clients lead to exhaustion and burnout.</w:t>
      </w:r>
    </w:p>
    <w:p w14:paraId="16A09D4C" w14:textId="214B6773" w:rsidR="00EC7595" w:rsidRPr="000B5217" w:rsidRDefault="00EC7595" w:rsidP="000B5217">
      <w:pPr>
        <w:pStyle w:val="Heading2"/>
        <w:numPr>
          <w:ilvl w:val="1"/>
          <w:numId w:val="43"/>
        </w:numPr>
        <w:spacing w:line="480" w:lineRule="auto"/>
        <w:jc w:val="both"/>
        <w:rPr>
          <w:rFonts w:ascii="Arial" w:hAnsi="Arial" w:cs="Arial"/>
          <w:sz w:val="28"/>
          <w:szCs w:val="28"/>
        </w:rPr>
      </w:pPr>
      <w:bookmarkStart w:id="10" w:name="_Toc199633488"/>
      <w:bookmarkStart w:id="11" w:name="_Toc200461589"/>
      <w:r w:rsidRPr="000B5217">
        <w:rPr>
          <w:rFonts w:ascii="Arial" w:hAnsi="Arial" w:cs="Arial"/>
          <w:sz w:val="28"/>
          <w:szCs w:val="28"/>
        </w:rPr>
        <w:t>The Impact of Staff Turnover on Operational Performance</w:t>
      </w:r>
      <w:bookmarkEnd w:id="10"/>
      <w:bookmarkEnd w:id="11"/>
    </w:p>
    <w:p w14:paraId="084E57EC" w14:textId="3471FB9D" w:rsidR="009F2508" w:rsidRPr="00E0734A" w:rsidRDefault="00EC7595" w:rsidP="000F1502">
      <w:pPr>
        <w:pStyle w:val="BodyText"/>
        <w:spacing w:line="480" w:lineRule="auto"/>
        <w:jc w:val="both"/>
        <w:rPr>
          <w:rFonts w:ascii="Arial" w:hAnsi="Arial"/>
          <w:sz w:val="24"/>
          <w:szCs w:val="24"/>
        </w:rPr>
      </w:pPr>
      <w:r w:rsidRPr="00E0734A">
        <w:rPr>
          <w:rFonts w:ascii="Arial" w:hAnsi="Arial"/>
          <w:sz w:val="24"/>
          <w:szCs w:val="24"/>
        </w:rPr>
        <w:t xml:space="preserve">Turnover has various effects on the operational efficiency of a hotel. According to Tracey </w:t>
      </w:r>
      <w:r w:rsidR="002537F7">
        <w:rPr>
          <w:rFonts w:ascii="Arial" w:hAnsi="Arial"/>
          <w:sz w:val="24"/>
          <w:szCs w:val="24"/>
        </w:rPr>
        <w:t>and</w:t>
      </w:r>
      <w:r w:rsidRPr="00E0734A">
        <w:rPr>
          <w:rFonts w:ascii="Arial" w:hAnsi="Arial"/>
          <w:sz w:val="24"/>
          <w:szCs w:val="24"/>
        </w:rPr>
        <w:t xml:space="preserve"> Hinkin (2008), replacing an employee </w:t>
      </w:r>
      <w:r w:rsidR="002706CA">
        <w:rPr>
          <w:rFonts w:ascii="Arial" w:hAnsi="Arial"/>
          <w:sz w:val="24"/>
          <w:szCs w:val="24"/>
        </w:rPr>
        <w:t>contains</w:t>
      </w:r>
      <w:r w:rsidRPr="00E0734A">
        <w:rPr>
          <w:rFonts w:ascii="Arial" w:hAnsi="Arial"/>
          <w:sz w:val="24"/>
          <w:szCs w:val="24"/>
        </w:rPr>
        <w:t xml:space="preserve"> additional costs, such as </w:t>
      </w:r>
      <w:r w:rsidRPr="00E0734A">
        <w:rPr>
          <w:rFonts w:ascii="Arial" w:hAnsi="Arial"/>
          <w:sz w:val="24"/>
          <w:szCs w:val="24"/>
        </w:rPr>
        <w:lastRenderedPageBreak/>
        <w:t xml:space="preserve">recruitment, training, decreased productivity, and affecting team morale. Frequent departures lead to a loss of institutional knowledge. Experienced employees are difficult to replace, and new employees need time to reach the required level of efficiency and quality. Another significant effect is the decrease in service quality. Guests may perceive a lack of professionalism in interactions with new or untrained employees, which can lead to negative reviews and financial losses (Kusluvan </w:t>
      </w:r>
      <w:r w:rsidRPr="008F665C">
        <w:rPr>
          <w:rFonts w:ascii="Arial" w:hAnsi="Arial"/>
          <w:i/>
          <w:iCs/>
          <w:sz w:val="24"/>
          <w:szCs w:val="24"/>
        </w:rPr>
        <w:t>et al.,</w:t>
      </w:r>
      <w:r w:rsidRPr="00E0734A">
        <w:rPr>
          <w:rFonts w:ascii="Arial" w:hAnsi="Arial"/>
          <w:sz w:val="24"/>
          <w:szCs w:val="24"/>
        </w:rPr>
        <w:t xml:space="preserve"> 2010). Furthermore, unstable teams generate internal tensions and affect collaboration between departments</w:t>
      </w:r>
      <w:r w:rsidR="004A1BB6">
        <w:rPr>
          <w:rFonts w:ascii="Arial" w:hAnsi="Arial"/>
          <w:sz w:val="24"/>
          <w:szCs w:val="24"/>
        </w:rPr>
        <w:t xml:space="preserve"> (</w:t>
      </w:r>
      <w:r w:rsidR="004A1BB6" w:rsidRPr="004A1BB6">
        <w:rPr>
          <w:rFonts w:ascii="Arial" w:hAnsi="Arial"/>
          <w:sz w:val="24"/>
          <w:szCs w:val="24"/>
          <w:lang w:val="en-GB"/>
        </w:rPr>
        <w:t>Aydin,</w:t>
      </w:r>
      <w:r w:rsidR="004A1BB6">
        <w:rPr>
          <w:rFonts w:ascii="Arial" w:hAnsi="Arial"/>
          <w:sz w:val="24"/>
          <w:szCs w:val="24"/>
          <w:lang w:val="en-GB"/>
        </w:rPr>
        <w:t xml:space="preserve"> </w:t>
      </w:r>
      <w:r w:rsidR="004A1BB6" w:rsidRPr="004A1BB6">
        <w:rPr>
          <w:rFonts w:ascii="Arial" w:hAnsi="Arial"/>
          <w:sz w:val="24"/>
          <w:szCs w:val="24"/>
          <w:lang w:val="en-GB"/>
        </w:rPr>
        <w:t>2020)</w:t>
      </w:r>
      <w:r w:rsidR="004A1BB6">
        <w:rPr>
          <w:rFonts w:ascii="Arial" w:hAnsi="Arial"/>
          <w:sz w:val="24"/>
          <w:szCs w:val="24"/>
          <w:lang w:val="en-GB"/>
        </w:rPr>
        <w:t>.</w:t>
      </w:r>
    </w:p>
    <w:p w14:paraId="1250A9D3" w14:textId="2FAC1631" w:rsidR="0077008C" w:rsidRPr="000B5217" w:rsidRDefault="0077008C" w:rsidP="000B5217">
      <w:pPr>
        <w:pStyle w:val="Heading2"/>
        <w:numPr>
          <w:ilvl w:val="1"/>
          <w:numId w:val="43"/>
        </w:numPr>
        <w:spacing w:line="480" w:lineRule="auto"/>
        <w:jc w:val="both"/>
        <w:rPr>
          <w:rFonts w:ascii="Arial" w:hAnsi="Arial" w:cs="Arial"/>
          <w:sz w:val="28"/>
          <w:szCs w:val="28"/>
        </w:rPr>
      </w:pPr>
      <w:bookmarkStart w:id="12" w:name="_Toc199633489"/>
      <w:bookmarkStart w:id="13" w:name="_Toc200461590"/>
      <w:r w:rsidRPr="000B5217">
        <w:rPr>
          <w:rFonts w:ascii="Arial" w:hAnsi="Arial" w:cs="Arial"/>
          <w:sz w:val="28"/>
          <w:szCs w:val="28"/>
        </w:rPr>
        <w:t>Retention strategies and turnover prevention</w:t>
      </w:r>
      <w:bookmarkEnd w:id="12"/>
      <w:bookmarkEnd w:id="13"/>
    </w:p>
    <w:p w14:paraId="3B8FCC69" w14:textId="040BF06C"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 xml:space="preserve">The literature proposes a variety of retention strategies adapted to the hospitality industry, starting from well-structured human resources policies to the development of a </w:t>
      </w:r>
      <w:r w:rsidR="00A65500">
        <w:rPr>
          <w:rFonts w:ascii="Arial" w:hAnsi="Arial"/>
          <w:sz w:val="24"/>
          <w:szCs w:val="24"/>
        </w:rPr>
        <w:t>favourable organisational</w:t>
      </w:r>
      <w:r w:rsidRPr="00E0734A">
        <w:rPr>
          <w:rFonts w:ascii="Arial" w:hAnsi="Arial"/>
          <w:sz w:val="24"/>
          <w:szCs w:val="24"/>
        </w:rPr>
        <w:t xml:space="preserve"> culture.</w:t>
      </w:r>
    </w:p>
    <w:p w14:paraId="16A199EF" w14:textId="77777777" w:rsidR="0077008C" w:rsidRPr="00E0734A" w:rsidRDefault="0077008C" w:rsidP="000F1502">
      <w:pPr>
        <w:pStyle w:val="BodyText"/>
        <w:spacing w:line="480" w:lineRule="auto"/>
        <w:jc w:val="both"/>
        <w:rPr>
          <w:rFonts w:ascii="Arial" w:hAnsi="Arial"/>
          <w:i/>
          <w:iCs/>
          <w:sz w:val="24"/>
          <w:szCs w:val="24"/>
        </w:rPr>
      </w:pPr>
      <w:r w:rsidRPr="00E0734A">
        <w:rPr>
          <w:rFonts w:ascii="Arial" w:hAnsi="Arial"/>
          <w:i/>
          <w:iCs/>
          <w:sz w:val="24"/>
          <w:szCs w:val="24"/>
        </w:rPr>
        <w:t>1. Professional development and training</w:t>
      </w:r>
    </w:p>
    <w:p w14:paraId="509B2BBB" w14:textId="7B695FAE"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 xml:space="preserve">Studies show that employees who receive training programs and clear career plans are more determined to stay with the company (Choi </w:t>
      </w:r>
      <w:r w:rsidR="008F665C">
        <w:rPr>
          <w:rFonts w:ascii="Arial" w:hAnsi="Arial"/>
          <w:sz w:val="24"/>
          <w:szCs w:val="24"/>
        </w:rPr>
        <w:t>and</w:t>
      </w:r>
      <w:r w:rsidRPr="00E0734A">
        <w:rPr>
          <w:rFonts w:ascii="Arial" w:hAnsi="Arial"/>
          <w:sz w:val="24"/>
          <w:szCs w:val="24"/>
        </w:rPr>
        <w:t xml:space="preserve"> Dickson, 2010). For Holiday Inn Sunderland, internal mentoring programs or "on-the-job training" can be implemented to offer employees the opportunity to advance internally or grow professionally.</w:t>
      </w:r>
    </w:p>
    <w:p w14:paraId="6BE990D4" w14:textId="77777777" w:rsidR="0077008C" w:rsidRPr="00E0734A" w:rsidRDefault="0077008C" w:rsidP="000F1502">
      <w:pPr>
        <w:pStyle w:val="BodyText"/>
        <w:spacing w:line="480" w:lineRule="auto"/>
        <w:jc w:val="both"/>
        <w:rPr>
          <w:rFonts w:ascii="Arial" w:hAnsi="Arial"/>
          <w:i/>
          <w:iCs/>
          <w:sz w:val="24"/>
          <w:szCs w:val="24"/>
        </w:rPr>
      </w:pPr>
      <w:r w:rsidRPr="00E0734A">
        <w:rPr>
          <w:rFonts w:ascii="Arial" w:hAnsi="Arial"/>
          <w:i/>
          <w:iCs/>
          <w:sz w:val="24"/>
          <w:szCs w:val="24"/>
        </w:rPr>
        <w:t>2. Financial and non-financial rewards</w:t>
      </w:r>
    </w:p>
    <w:p w14:paraId="7A66046E" w14:textId="1FCD9044"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In addition to salary, meal vouchers, free accommodation for night shifts, performance bonuses</w:t>
      </w:r>
      <w:r w:rsidR="00A60644">
        <w:rPr>
          <w:rFonts w:ascii="Arial" w:hAnsi="Arial"/>
          <w:sz w:val="24"/>
          <w:szCs w:val="24"/>
        </w:rPr>
        <w:t>,</w:t>
      </w:r>
      <w:r w:rsidRPr="00E0734A">
        <w:rPr>
          <w:rFonts w:ascii="Arial" w:hAnsi="Arial"/>
          <w:sz w:val="24"/>
          <w:szCs w:val="24"/>
        </w:rPr>
        <w:t xml:space="preserve"> or additional days off help motivate employees (Baum, 2015). At the local level, Holiday Inn Sunderland could introduce monthly internal competitions or "employee of the month" systems to stimulate performance.</w:t>
      </w:r>
    </w:p>
    <w:p w14:paraId="36C4F40F" w14:textId="749C2B8A" w:rsidR="0077008C" w:rsidRPr="00E0734A" w:rsidRDefault="0077008C" w:rsidP="000F1502">
      <w:pPr>
        <w:pStyle w:val="BodyText"/>
        <w:spacing w:line="480" w:lineRule="auto"/>
        <w:jc w:val="both"/>
        <w:rPr>
          <w:rFonts w:ascii="Arial" w:hAnsi="Arial"/>
          <w:i/>
          <w:iCs/>
          <w:sz w:val="24"/>
          <w:szCs w:val="24"/>
        </w:rPr>
      </w:pPr>
      <w:r w:rsidRPr="00E0734A">
        <w:rPr>
          <w:rFonts w:ascii="Arial" w:hAnsi="Arial"/>
          <w:i/>
          <w:iCs/>
          <w:sz w:val="24"/>
          <w:szCs w:val="24"/>
        </w:rPr>
        <w:lastRenderedPageBreak/>
        <w:t xml:space="preserve">3. Improving the </w:t>
      </w:r>
      <w:r w:rsidR="00A60644">
        <w:rPr>
          <w:rFonts w:ascii="Arial" w:hAnsi="Arial"/>
          <w:i/>
          <w:iCs/>
          <w:sz w:val="24"/>
          <w:szCs w:val="24"/>
        </w:rPr>
        <w:t>organisational</w:t>
      </w:r>
      <w:r w:rsidRPr="00E0734A">
        <w:rPr>
          <w:rFonts w:ascii="Arial" w:hAnsi="Arial"/>
          <w:i/>
          <w:iCs/>
          <w:sz w:val="24"/>
          <w:szCs w:val="24"/>
        </w:rPr>
        <w:t xml:space="preserve"> climate</w:t>
      </w:r>
    </w:p>
    <w:p w14:paraId="3CD3C648" w14:textId="6AAD710A"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 xml:space="preserve">An environment based on respect, open communication and fairness is necessary for employee retention. The </w:t>
      </w:r>
      <w:r w:rsidR="003752FD">
        <w:rPr>
          <w:rFonts w:ascii="Arial" w:hAnsi="Arial"/>
          <w:sz w:val="24"/>
          <w:szCs w:val="24"/>
        </w:rPr>
        <w:t>organisational</w:t>
      </w:r>
      <w:r w:rsidRPr="00E0734A">
        <w:rPr>
          <w:rFonts w:ascii="Arial" w:hAnsi="Arial"/>
          <w:sz w:val="24"/>
          <w:szCs w:val="24"/>
        </w:rPr>
        <w:t xml:space="preserve"> culture should support inclusion, active listening and appreciation of work</w:t>
      </w:r>
      <w:r w:rsidR="008F0217">
        <w:rPr>
          <w:rFonts w:ascii="Arial" w:hAnsi="Arial"/>
          <w:sz w:val="24"/>
          <w:szCs w:val="24"/>
        </w:rPr>
        <w:t xml:space="preserve"> </w:t>
      </w:r>
      <w:r w:rsidR="008F0217" w:rsidRPr="00E0734A">
        <w:rPr>
          <w:rFonts w:ascii="Arial" w:hAnsi="Arial"/>
          <w:sz w:val="24"/>
          <w:szCs w:val="24"/>
        </w:rPr>
        <w:t>(Prevue, 2024)</w:t>
      </w:r>
      <w:r w:rsidRPr="00E0734A">
        <w:rPr>
          <w:rFonts w:ascii="Arial" w:hAnsi="Arial"/>
          <w:sz w:val="24"/>
          <w:szCs w:val="24"/>
        </w:rPr>
        <w:t xml:space="preserve">. In smaller hotels, such as </w:t>
      </w:r>
      <w:r w:rsidR="001F4AEB" w:rsidRPr="00E0734A">
        <w:rPr>
          <w:rFonts w:ascii="Arial" w:hAnsi="Arial"/>
          <w:sz w:val="24"/>
          <w:szCs w:val="24"/>
        </w:rPr>
        <w:t>Sunderland</w:t>
      </w:r>
      <w:r w:rsidRPr="00E0734A">
        <w:rPr>
          <w:rFonts w:ascii="Arial" w:hAnsi="Arial"/>
          <w:sz w:val="24"/>
          <w:szCs w:val="24"/>
        </w:rPr>
        <w:t>, interpersonal relationships significantly influence team stability</w:t>
      </w:r>
      <w:r w:rsidR="008F0217">
        <w:rPr>
          <w:rFonts w:ascii="Arial" w:hAnsi="Arial"/>
          <w:sz w:val="24"/>
          <w:szCs w:val="24"/>
        </w:rPr>
        <w:t>.</w:t>
      </w:r>
      <w:r w:rsidR="0089655A" w:rsidRPr="00E0734A">
        <w:rPr>
          <w:rFonts w:ascii="Arial" w:hAnsi="Arial"/>
          <w:sz w:val="24"/>
          <w:szCs w:val="24"/>
        </w:rPr>
        <w:t xml:space="preserve"> </w:t>
      </w:r>
    </w:p>
    <w:p w14:paraId="236A820A" w14:textId="77777777" w:rsidR="0077008C" w:rsidRPr="00E0734A" w:rsidRDefault="0077008C" w:rsidP="000F1502">
      <w:pPr>
        <w:pStyle w:val="BodyText"/>
        <w:spacing w:line="480" w:lineRule="auto"/>
        <w:jc w:val="both"/>
        <w:rPr>
          <w:rFonts w:ascii="Arial" w:hAnsi="Arial"/>
          <w:i/>
          <w:iCs/>
          <w:sz w:val="24"/>
          <w:szCs w:val="24"/>
        </w:rPr>
      </w:pPr>
      <w:r w:rsidRPr="00E0734A">
        <w:rPr>
          <w:rFonts w:ascii="Arial" w:hAnsi="Arial"/>
          <w:i/>
          <w:iCs/>
          <w:sz w:val="24"/>
          <w:szCs w:val="24"/>
        </w:rPr>
        <w:t>4. Participatory leadership</w:t>
      </w:r>
    </w:p>
    <w:p w14:paraId="75D5E20A" w14:textId="54A7BBA3" w:rsidR="000B5217"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Managers who involve employees in decision-</w:t>
      </w:r>
      <w:r w:rsidR="008F0217" w:rsidRPr="00E0734A">
        <w:rPr>
          <w:rFonts w:ascii="Arial" w:hAnsi="Arial"/>
          <w:sz w:val="24"/>
          <w:szCs w:val="24"/>
        </w:rPr>
        <w:t>making</w:t>
      </w:r>
      <w:r w:rsidR="008F0217">
        <w:rPr>
          <w:rFonts w:ascii="Arial" w:hAnsi="Arial"/>
          <w:sz w:val="24"/>
          <w:szCs w:val="24"/>
        </w:rPr>
        <w:t>,</w:t>
      </w:r>
      <w:r w:rsidRPr="00E0734A">
        <w:rPr>
          <w:rFonts w:ascii="Arial" w:hAnsi="Arial"/>
          <w:sz w:val="24"/>
          <w:szCs w:val="24"/>
        </w:rPr>
        <w:t xml:space="preserve"> </w:t>
      </w:r>
      <w:r w:rsidR="008F0217">
        <w:rPr>
          <w:rFonts w:ascii="Arial" w:hAnsi="Arial"/>
          <w:sz w:val="24"/>
          <w:szCs w:val="24"/>
        </w:rPr>
        <w:t>provide</w:t>
      </w:r>
      <w:r w:rsidRPr="00E0734A">
        <w:rPr>
          <w:rFonts w:ascii="Arial" w:hAnsi="Arial"/>
          <w:sz w:val="24"/>
          <w:szCs w:val="24"/>
        </w:rPr>
        <w:t xml:space="preserve"> emotional support</w:t>
      </w:r>
      <w:r w:rsidR="008F0217">
        <w:rPr>
          <w:rFonts w:ascii="Arial" w:hAnsi="Arial"/>
          <w:sz w:val="24"/>
          <w:szCs w:val="24"/>
        </w:rPr>
        <w:t>,</w:t>
      </w:r>
      <w:r w:rsidRPr="00E0734A">
        <w:rPr>
          <w:rFonts w:ascii="Arial" w:hAnsi="Arial"/>
          <w:sz w:val="24"/>
          <w:szCs w:val="24"/>
        </w:rPr>
        <w:t xml:space="preserve"> </w:t>
      </w:r>
      <w:r w:rsidR="008F0217">
        <w:rPr>
          <w:rFonts w:ascii="Arial" w:hAnsi="Arial"/>
          <w:sz w:val="24"/>
          <w:szCs w:val="24"/>
        </w:rPr>
        <w:t xml:space="preserve">and </w:t>
      </w:r>
      <w:r w:rsidRPr="00E0734A">
        <w:rPr>
          <w:rFonts w:ascii="Arial" w:hAnsi="Arial"/>
          <w:sz w:val="24"/>
          <w:szCs w:val="24"/>
        </w:rPr>
        <w:t xml:space="preserve">achieve a work-life </w:t>
      </w:r>
      <w:r w:rsidR="008F0217" w:rsidRPr="00E0734A">
        <w:rPr>
          <w:rFonts w:ascii="Arial" w:hAnsi="Arial"/>
          <w:sz w:val="24"/>
          <w:szCs w:val="24"/>
        </w:rPr>
        <w:t>balance</w:t>
      </w:r>
      <w:r w:rsidR="008F0217">
        <w:rPr>
          <w:rFonts w:ascii="Arial" w:hAnsi="Arial"/>
          <w:sz w:val="24"/>
          <w:szCs w:val="24"/>
        </w:rPr>
        <w:t xml:space="preserve"> </w:t>
      </w:r>
      <w:r w:rsidR="008F0217" w:rsidRPr="00E0734A">
        <w:rPr>
          <w:rFonts w:ascii="Arial" w:hAnsi="Arial"/>
          <w:sz w:val="24"/>
          <w:szCs w:val="24"/>
        </w:rPr>
        <w:t>accomplish</w:t>
      </w:r>
      <w:r w:rsidRPr="00E0734A">
        <w:rPr>
          <w:rFonts w:ascii="Arial" w:hAnsi="Arial"/>
          <w:sz w:val="24"/>
          <w:szCs w:val="24"/>
        </w:rPr>
        <w:t xml:space="preserve"> a higher level of loyalty</w:t>
      </w:r>
      <w:r w:rsidR="008F0217">
        <w:rPr>
          <w:rFonts w:ascii="Arial" w:hAnsi="Arial"/>
          <w:sz w:val="24"/>
          <w:szCs w:val="24"/>
        </w:rPr>
        <w:t xml:space="preserve"> </w:t>
      </w:r>
      <w:r w:rsidR="008F0217" w:rsidRPr="00E0734A">
        <w:rPr>
          <w:rFonts w:ascii="Arial" w:hAnsi="Arial"/>
          <w:sz w:val="24"/>
          <w:szCs w:val="24"/>
        </w:rPr>
        <w:t>(Landry, 2020).</w:t>
      </w:r>
      <w:r w:rsidRPr="00E0734A">
        <w:rPr>
          <w:rFonts w:ascii="Arial" w:hAnsi="Arial"/>
          <w:sz w:val="24"/>
          <w:szCs w:val="24"/>
        </w:rPr>
        <w:t xml:space="preserve"> Holiday Inn </w:t>
      </w:r>
      <w:r w:rsidR="00893A1D" w:rsidRPr="00E0734A">
        <w:rPr>
          <w:rFonts w:ascii="Arial" w:hAnsi="Arial"/>
          <w:sz w:val="24"/>
          <w:szCs w:val="24"/>
        </w:rPr>
        <w:t>Sunderland</w:t>
      </w:r>
      <w:r w:rsidRPr="00E0734A">
        <w:rPr>
          <w:rFonts w:ascii="Arial" w:hAnsi="Arial"/>
          <w:sz w:val="24"/>
          <w:szCs w:val="24"/>
        </w:rPr>
        <w:t xml:space="preserve"> can encourage open dialogue and employee involvement in proposing solutions through monthly and formal meetings</w:t>
      </w:r>
      <w:r w:rsidR="008F0217">
        <w:rPr>
          <w:rFonts w:ascii="Arial" w:hAnsi="Arial"/>
          <w:sz w:val="24"/>
          <w:szCs w:val="24"/>
        </w:rPr>
        <w:t>.</w:t>
      </w:r>
    </w:p>
    <w:p w14:paraId="4BACBC28" w14:textId="152C8490" w:rsidR="005B1C4A" w:rsidRPr="005B1C4A" w:rsidRDefault="0077008C" w:rsidP="005B1C4A">
      <w:pPr>
        <w:pStyle w:val="Heading2"/>
        <w:numPr>
          <w:ilvl w:val="1"/>
          <w:numId w:val="43"/>
        </w:numPr>
        <w:spacing w:line="480" w:lineRule="auto"/>
        <w:jc w:val="both"/>
        <w:rPr>
          <w:rFonts w:ascii="Arial" w:hAnsi="Arial" w:cs="Arial"/>
          <w:sz w:val="28"/>
          <w:szCs w:val="28"/>
        </w:rPr>
      </w:pPr>
      <w:bookmarkStart w:id="14" w:name="_Toc199633490"/>
      <w:bookmarkStart w:id="15" w:name="_Toc200461591"/>
      <w:r w:rsidRPr="000B5217">
        <w:rPr>
          <w:rFonts w:ascii="Arial" w:hAnsi="Arial" w:cs="Arial"/>
          <w:sz w:val="28"/>
          <w:szCs w:val="28"/>
        </w:rPr>
        <w:t>Relevant applicable models and theories</w:t>
      </w:r>
      <w:bookmarkEnd w:id="14"/>
      <w:bookmarkEnd w:id="15"/>
    </w:p>
    <w:p w14:paraId="621572E8" w14:textId="6410A7CD" w:rsidR="003B59F5" w:rsidRPr="003B59F5" w:rsidRDefault="003B59F5" w:rsidP="000F1502">
      <w:pPr>
        <w:pStyle w:val="BodyText"/>
        <w:spacing w:line="480" w:lineRule="auto"/>
        <w:rPr>
          <w:sz w:val="24"/>
          <w:szCs w:val="24"/>
          <w:lang w:val="en-GB"/>
        </w:rPr>
      </w:pPr>
      <w:r w:rsidRPr="003B59F5">
        <w:rPr>
          <w:sz w:val="24"/>
          <w:szCs w:val="24"/>
        </w:rPr>
        <w:t>Model of Theory</w:t>
      </w:r>
      <w:r w:rsidRPr="003B59F5">
        <w:rPr>
          <w:sz w:val="24"/>
          <w:szCs w:val="24"/>
          <w:lang w:val="en-GB"/>
        </w:rPr>
        <w:t xml:space="preserve"> </w:t>
      </w:r>
      <w:r>
        <w:rPr>
          <w:sz w:val="24"/>
          <w:szCs w:val="24"/>
          <w:lang w:val="en-GB"/>
        </w:rPr>
        <w:t>related</w:t>
      </w:r>
      <w:r w:rsidRPr="003B59F5">
        <w:rPr>
          <w:sz w:val="24"/>
          <w:szCs w:val="24"/>
          <w:lang w:val="en-GB"/>
        </w:rPr>
        <w:t xml:space="preserve"> to </w:t>
      </w:r>
      <w:r>
        <w:rPr>
          <w:sz w:val="24"/>
          <w:szCs w:val="24"/>
          <w:lang w:val="en-GB"/>
        </w:rPr>
        <w:t>Employee Retention</w:t>
      </w:r>
      <w:r w:rsidR="008A5486">
        <w:rPr>
          <w:sz w:val="24"/>
          <w:szCs w:val="24"/>
          <w:lang w:val="en-GB"/>
        </w:rPr>
        <w:t>, theories of motivation</w:t>
      </w:r>
      <w:r w:rsidR="000F1502">
        <w:rPr>
          <w:sz w:val="24"/>
          <w:szCs w:val="24"/>
          <w:lang w:val="en-GB"/>
        </w:rPr>
        <w:t>:</w:t>
      </w:r>
    </w:p>
    <w:p w14:paraId="06C2F449" w14:textId="130F9D4D" w:rsidR="00B15018" w:rsidRPr="00B15018" w:rsidRDefault="00C53C6A" w:rsidP="000F1502">
      <w:pPr>
        <w:pStyle w:val="BodyText"/>
        <w:spacing w:line="480" w:lineRule="auto"/>
      </w:pPr>
      <w:r>
        <w:rPr>
          <w:noProof/>
        </w:rPr>
        <w:drawing>
          <wp:inline distT="0" distB="0" distL="0" distR="0" wp14:anchorId="59124AA5" wp14:editId="3074BC1F">
            <wp:extent cx="5905500" cy="3268980"/>
            <wp:effectExtent l="0" t="0" r="0" b="7620"/>
            <wp:docPr id="5" name="Picture 4" descr="Theories of Motivation: Types of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ories of Motivation: Types of Theor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17238" cy="3275478"/>
                    </a:xfrm>
                    <a:prstGeom prst="rect">
                      <a:avLst/>
                    </a:prstGeom>
                    <a:noFill/>
                    <a:ln>
                      <a:noFill/>
                    </a:ln>
                  </pic:spPr>
                </pic:pic>
              </a:graphicData>
            </a:graphic>
          </wp:inline>
        </w:drawing>
      </w:r>
    </w:p>
    <w:p w14:paraId="3D9FA1E3" w14:textId="19A20ABA" w:rsidR="00C53C6A" w:rsidRPr="00C53C6A" w:rsidRDefault="003B59F5" w:rsidP="00C53C6A">
      <w:pPr>
        <w:pStyle w:val="BodyText"/>
        <w:spacing w:line="480" w:lineRule="auto"/>
        <w:rPr>
          <w:sz w:val="24"/>
          <w:szCs w:val="24"/>
        </w:rPr>
      </w:pPr>
      <w:r w:rsidRPr="003B59F5">
        <w:rPr>
          <w:sz w:val="24"/>
          <w:szCs w:val="24"/>
        </w:rPr>
        <w:t xml:space="preserve">(Ghani </w:t>
      </w:r>
      <w:r w:rsidRPr="003B59F5">
        <w:rPr>
          <w:i/>
          <w:iCs/>
          <w:sz w:val="24"/>
          <w:szCs w:val="24"/>
        </w:rPr>
        <w:t>et al.</w:t>
      </w:r>
      <w:r w:rsidRPr="003B59F5">
        <w:rPr>
          <w:sz w:val="24"/>
          <w:szCs w:val="24"/>
        </w:rPr>
        <w:t xml:space="preserve"> 2022).</w:t>
      </w:r>
    </w:p>
    <w:p w14:paraId="666A3036" w14:textId="569BF551" w:rsidR="00CE0704" w:rsidRDefault="00CE0704" w:rsidP="000F1502">
      <w:pPr>
        <w:pStyle w:val="BodyText"/>
        <w:spacing w:line="480" w:lineRule="auto"/>
        <w:jc w:val="both"/>
        <w:rPr>
          <w:rFonts w:ascii="Arial" w:hAnsi="Arial"/>
          <w:sz w:val="24"/>
          <w:szCs w:val="24"/>
        </w:rPr>
      </w:pPr>
      <w:r>
        <w:rPr>
          <w:rFonts w:ascii="Arial" w:hAnsi="Arial"/>
          <w:sz w:val="24"/>
          <w:szCs w:val="24"/>
        </w:rPr>
        <w:lastRenderedPageBreak/>
        <w:t>Implementing theory models such as those presented can foster employee satisfaction, reducing retention and turnover.</w:t>
      </w:r>
    </w:p>
    <w:p w14:paraId="4B580324" w14:textId="78A57919" w:rsidR="0077008C" w:rsidRPr="00E0734A" w:rsidRDefault="00CE0704" w:rsidP="000F1502">
      <w:pPr>
        <w:pStyle w:val="BodyText"/>
        <w:spacing w:line="480" w:lineRule="auto"/>
        <w:jc w:val="both"/>
        <w:rPr>
          <w:rFonts w:ascii="Arial" w:hAnsi="Arial"/>
          <w:sz w:val="24"/>
          <w:szCs w:val="24"/>
        </w:rPr>
      </w:pPr>
      <w:r>
        <w:rPr>
          <w:rFonts w:ascii="Arial" w:hAnsi="Arial"/>
          <w:sz w:val="24"/>
          <w:szCs w:val="24"/>
        </w:rPr>
        <w:t xml:space="preserve">According to </w:t>
      </w:r>
      <w:r w:rsidR="0077008C" w:rsidRPr="00E0734A">
        <w:rPr>
          <w:rFonts w:ascii="Arial" w:hAnsi="Arial"/>
          <w:sz w:val="24"/>
          <w:szCs w:val="24"/>
        </w:rPr>
        <w:t>Herzberg</w:t>
      </w:r>
      <w:r>
        <w:rPr>
          <w:rFonts w:ascii="Arial" w:hAnsi="Arial"/>
          <w:sz w:val="24"/>
          <w:szCs w:val="24"/>
        </w:rPr>
        <w:t xml:space="preserve"> (</w:t>
      </w:r>
      <w:r w:rsidR="0077008C" w:rsidRPr="00E0734A">
        <w:rPr>
          <w:rFonts w:ascii="Arial" w:hAnsi="Arial"/>
          <w:sz w:val="24"/>
          <w:szCs w:val="24"/>
        </w:rPr>
        <w:t>1959)</w:t>
      </w:r>
      <w:r>
        <w:rPr>
          <w:rFonts w:ascii="Arial" w:hAnsi="Arial"/>
          <w:sz w:val="24"/>
          <w:szCs w:val="24"/>
        </w:rPr>
        <w:t>, the</w:t>
      </w:r>
      <w:r w:rsidRPr="00E0734A">
        <w:rPr>
          <w:rFonts w:ascii="Arial" w:hAnsi="Arial"/>
          <w:sz w:val="24"/>
          <w:szCs w:val="24"/>
        </w:rPr>
        <w:t xml:space="preserve"> Two Factor Model </w:t>
      </w:r>
      <w:r w:rsidR="0077008C" w:rsidRPr="00E0734A">
        <w:rPr>
          <w:rFonts w:ascii="Arial" w:hAnsi="Arial"/>
          <w:sz w:val="24"/>
          <w:szCs w:val="24"/>
        </w:rPr>
        <w:t>distinguishes between motivational factors (achievements, recognition, responsibility) and hygiene factors (salary, working conditions, security). The absence of hygiene factors leads to dissatisfaction, but only the presence of motivational factors leads to satisfaction and retention. For example, if employees receive a decent salary, but without opportunities to achieve professionally, the risk of leaving remains high</w:t>
      </w:r>
      <w:r w:rsidR="005F1501" w:rsidRPr="00E0734A">
        <w:rPr>
          <w:rFonts w:ascii="Arial" w:hAnsi="Arial"/>
          <w:sz w:val="24"/>
          <w:szCs w:val="24"/>
        </w:rPr>
        <w:t xml:space="preserve"> (Nickerson, 2025)</w:t>
      </w:r>
      <w:r w:rsidR="008A5486">
        <w:rPr>
          <w:rFonts w:ascii="Arial" w:hAnsi="Arial"/>
          <w:sz w:val="24"/>
          <w:szCs w:val="24"/>
        </w:rPr>
        <w:t>; (Mullins and Dossor, 2013, p.290).</w:t>
      </w:r>
    </w:p>
    <w:p w14:paraId="0A7D47E9" w14:textId="77777777"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Expectancy Theory (Vroom, 1964) argues that employees stay with the company if their effort brings performance and will be rewarded accordingly. If employees' efforts are not appreciated or rewarded during busy periods, employees feel demotivated and will leave.</w:t>
      </w:r>
    </w:p>
    <w:p w14:paraId="033C623B" w14:textId="5761FB31" w:rsidR="0077008C" w:rsidRPr="00E0734A" w:rsidRDefault="000A4974" w:rsidP="000F1502">
      <w:pPr>
        <w:pStyle w:val="BodyText"/>
        <w:spacing w:line="480" w:lineRule="auto"/>
        <w:jc w:val="both"/>
        <w:rPr>
          <w:rFonts w:ascii="Arial" w:hAnsi="Arial"/>
          <w:sz w:val="24"/>
          <w:szCs w:val="24"/>
        </w:rPr>
      </w:pPr>
      <w:r>
        <w:rPr>
          <w:rFonts w:ascii="Arial" w:hAnsi="Arial"/>
          <w:sz w:val="24"/>
          <w:szCs w:val="24"/>
        </w:rPr>
        <w:t>Organisational</w:t>
      </w:r>
      <w:r w:rsidR="0077008C" w:rsidRPr="00E0734A">
        <w:rPr>
          <w:rFonts w:ascii="Arial" w:hAnsi="Arial"/>
          <w:sz w:val="24"/>
          <w:szCs w:val="24"/>
        </w:rPr>
        <w:t xml:space="preserve"> Commitment Theory highlights three dimensions: </w:t>
      </w:r>
      <w:r w:rsidR="00E560D3">
        <w:rPr>
          <w:rFonts w:ascii="Arial" w:hAnsi="Arial"/>
          <w:sz w:val="24"/>
          <w:szCs w:val="24"/>
        </w:rPr>
        <w:t>affective</w:t>
      </w:r>
      <w:r w:rsidR="0077008C" w:rsidRPr="00E0734A">
        <w:rPr>
          <w:rFonts w:ascii="Arial" w:hAnsi="Arial"/>
          <w:sz w:val="24"/>
          <w:szCs w:val="24"/>
        </w:rPr>
        <w:t xml:space="preserve"> (emotional loyalty), normative (sense of obligation), and </w:t>
      </w:r>
      <w:r w:rsidR="001E6336">
        <w:rPr>
          <w:rFonts w:ascii="Arial" w:hAnsi="Arial"/>
          <w:sz w:val="24"/>
          <w:szCs w:val="24"/>
        </w:rPr>
        <w:t>continuance</w:t>
      </w:r>
      <w:r w:rsidR="0077008C" w:rsidRPr="00E0734A">
        <w:rPr>
          <w:rFonts w:ascii="Arial" w:hAnsi="Arial"/>
          <w:sz w:val="24"/>
          <w:szCs w:val="24"/>
        </w:rPr>
        <w:t xml:space="preserve"> (calculation of departure costs). A hotel that succeeds in developing an emotional attachment from employees through trust and support will experience lower turnover</w:t>
      </w:r>
      <w:r w:rsidR="005B3041" w:rsidRPr="00E0734A">
        <w:rPr>
          <w:rFonts w:ascii="Arial" w:hAnsi="Arial"/>
          <w:sz w:val="24"/>
          <w:szCs w:val="24"/>
        </w:rPr>
        <w:t xml:space="preserve"> (AL-Jabari and Ghazzawi, 2023)</w:t>
      </w:r>
      <w:r w:rsidR="0077008C" w:rsidRPr="00E0734A">
        <w:rPr>
          <w:rFonts w:ascii="Arial" w:hAnsi="Arial"/>
          <w:sz w:val="24"/>
          <w:szCs w:val="24"/>
        </w:rPr>
        <w:t>.</w:t>
      </w:r>
    </w:p>
    <w:p w14:paraId="7450261E" w14:textId="41D34336" w:rsidR="00FD68B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 xml:space="preserve">The Job Embeddedness model highlights retention through employees' connection to the people, culture, and opportunities in the </w:t>
      </w:r>
      <w:r w:rsidR="001E6336">
        <w:rPr>
          <w:rFonts w:ascii="Arial" w:hAnsi="Arial"/>
          <w:sz w:val="24"/>
          <w:szCs w:val="24"/>
        </w:rPr>
        <w:t>organisation</w:t>
      </w:r>
      <w:r w:rsidRPr="00E0734A">
        <w:rPr>
          <w:rFonts w:ascii="Arial" w:hAnsi="Arial"/>
          <w:sz w:val="24"/>
          <w:szCs w:val="24"/>
        </w:rPr>
        <w:t>. If these connections are stronger, the intention to leave decreases</w:t>
      </w:r>
      <w:r w:rsidR="00E158A6" w:rsidRPr="00E0734A">
        <w:rPr>
          <w:rFonts w:ascii="Arial" w:hAnsi="Arial"/>
          <w:sz w:val="24"/>
          <w:szCs w:val="24"/>
        </w:rPr>
        <w:t xml:space="preserve"> (Ehrler, 2018)</w:t>
      </w:r>
      <w:r w:rsidR="001E6336">
        <w:rPr>
          <w:rFonts w:ascii="Arial" w:hAnsi="Arial"/>
          <w:sz w:val="24"/>
          <w:szCs w:val="24"/>
        </w:rPr>
        <w:t xml:space="preserve">; (Robinson </w:t>
      </w:r>
      <w:r w:rsidR="001E6336" w:rsidRPr="001E6336">
        <w:rPr>
          <w:rFonts w:ascii="Arial" w:hAnsi="Arial"/>
          <w:i/>
          <w:iCs/>
          <w:sz w:val="24"/>
          <w:szCs w:val="24"/>
        </w:rPr>
        <w:t>et.al</w:t>
      </w:r>
      <w:r w:rsidR="001E6336">
        <w:rPr>
          <w:rFonts w:ascii="Arial" w:hAnsi="Arial"/>
          <w:sz w:val="24"/>
          <w:szCs w:val="24"/>
        </w:rPr>
        <w:t>., 2014).</w:t>
      </w:r>
    </w:p>
    <w:p w14:paraId="5FAA8D8A" w14:textId="6B4313CC" w:rsidR="00892BF8" w:rsidRPr="000B5217" w:rsidRDefault="00892BF8" w:rsidP="000B5217">
      <w:pPr>
        <w:pStyle w:val="Heading2"/>
        <w:numPr>
          <w:ilvl w:val="1"/>
          <w:numId w:val="43"/>
        </w:numPr>
        <w:spacing w:line="480" w:lineRule="auto"/>
        <w:jc w:val="both"/>
        <w:rPr>
          <w:rFonts w:ascii="Arial" w:hAnsi="Arial" w:cs="Arial"/>
          <w:sz w:val="28"/>
          <w:szCs w:val="28"/>
        </w:rPr>
      </w:pPr>
      <w:bookmarkStart w:id="16" w:name="_Toc199633491"/>
      <w:bookmarkStart w:id="17" w:name="_Toc200461592"/>
      <w:r w:rsidRPr="000B5217">
        <w:rPr>
          <w:rFonts w:ascii="Arial" w:hAnsi="Arial" w:cs="Arial"/>
          <w:sz w:val="28"/>
          <w:szCs w:val="28"/>
        </w:rPr>
        <w:t>Staff turnover in the post-pandemic context</w:t>
      </w:r>
      <w:bookmarkEnd w:id="16"/>
      <w:bookmarkEnd w:id="17"/>
    </w:p>
    <w:p w14:paraId="2D04D8BA" w14:textId="301282A4" w:rsidR="00892BF8" w:rsidRPr="00E0734A" w:rsidRDefault="00892BF8" w:rsidP="000F1502">
      <w:pPr>
        <w:pStyle w:val="BodyText"/>
        <w:spacing w:line="480" w:lineRule="auto"/>
        <w:jc w:val="both"/>
        <w:rPr>
          <w:rFonts w:ascii="Arial" w:hAnsi="Arial"/>
          <w:sz w:val="24"/>
          <w:szCs w:val="24"/>
        </w:rPr>
      </w:pPr>
      <w:r w:rsidRPr="00E0734A">
        <w:rPr>
          <w:rFonts w:ascii="Arial" w:hAnsi="Arial"/>
          <w:sz w:val="24"/>
          <w:szCs w:val="24"/>
        </w:rPr>
        <w:t xml:space="preserve">The </w:t>
      </w:r>
      <w:r w:rsidR="000B5217">
        <w:rPr>
          <w:rFonts w:ascii="Arial" w:hAnsi="Arial"/>
          <w:sz w:val="24"/>
          <w:szCs w:val="24"/>
        </w:rPr>
        <w:t>COVID-19</w:t>
      </w:r>
      <w:r w:rsidRPr="00E0734A">
        <w:rPr>
          <w:rFonts w:ascii="Arial" w:hAnsi="Arial"/>
          <w:sz w:val="24"/>
          <w:szCs w:val="24"/>
        </w:rPr>
        <w:t xml:space="preserve"> pandemic has</w:t>
      </w:r>
      <w:r w:rsidR="003B52EA" w:rsidRPr="00E0734A">
        <w:rPr>
          <w:rFonts w:ascii="Arial" w:hAnsi="Arial"/>
          <w:sz w:val="24"/>
          <w:szCs w:val="24"/>
        </w:rPr>
        <w:t xml:space="preserve"> worsened</w:t>
      </w:r>
      <w:r w:rsidRPr="00E0734A">
        <w:rPr>
          <w:rFonts w:ascii="Arial" w:hAnsi="Arial"/>
          <w:sz w:val="24"/>
          <w:szCs w:val="24"/>
        </w:rPr>
        <w:t xml:space="preserve"> existing problems in the hospitality industry and created new challenges related to employee retention. During 2020-2022, hotels </w:t>
      </w:r>
      <w:r w:rsidRPr="00E0734A">
        <w:rPr>
          <w:rFonts w:ascii="Arial" w:hAnsi="Arial"/>
          <w:sz w:val="24"/>
          <w:szCs w:val="24"/>
        </w:rPr>
        <w:lastRenderedPageBreak/>
        <w:t>experienced staff reductions, technical unemployment, temporary closures and financial uncertainty that led to a deterioration in loyalty</w:t>
      </w:r>
      <w:r w:rsidR="00467516" w:rsidRPr="00E0734A">
        <w:rPr>
          <w:rFonts w:ascii="Arial" w:hAnsi="Arial"/>
          <w:sz w:val="24"/>
          <w:szCs w:val="24"/>
        </w:rPr>
        <w:t>.</w:t>
      </w:r>
      <w:r w:rsidRPr="00E0734A">
        <w:rPr>
          <w:rFonts w:ascii="Arial" w:hAnsi="Arial"/>
          <w:sz w:val="24"/>
          <w:szCs w:val="24"/>
        </w:rPr>
        <w:t xml:space="preserve"> In the United Kingdom, many hotel units have encountered difficulties in re-hiring qualified staff after reopening, including units from international chains, such as Holiday Inn</w:t>
      </w:r>
      <w:r w:rsidR="00A47BDC" w:rsidRPr="00E0734A">
        <w:rPr>
          <w:rFonts w:ascii="Arial" w:hAnsi="Arial"/>
          <w:sz w:val="24"/>
          <w:szCs w:val="24"/>
        </w:rPr>
        <w:t xml:space="preserve"> (Gursoy and Chi, 2020)</w:t>
      </w:r>
      <w:r w:rsidRPr="00E0734A">
        <w:rPr>
          <w:rFonts w:ascii="Arial" w:hAnsi="Arial"/>
          <w:sz w:val="24"/>
          <w:szCs w:val="24"/>
        </w:rPr>
        <w:t>.</w:t>
      </w:r>
    </w:p>
    <w:p w14:paraId="2DFB1922" w14:textId="3BF1AE63" w:rsidR="00892BF8" w:rsidRPr="00E0734A" w:rsidRDefault="00892BF8" w:rsidP="000F1502">
      <w:pPr>
        <w:pStyle w:val="BodyText"/>
        <w:spacing w:line="480" w:lineRule="auto"/>
        <w:jc w:val="both"/>
        <w:rPr>
          <w:rFonts w:ascii="Arial" w:hAnsi="Arial"/>
          <w:sz w:val="24"/>
          <w:szCs w:val="24"/>
        </w:rPr>
      </w:pPr>
      <w:r w:rsidRPr="00E0734A">
        <w:rPr>
          <w:rFonts w:ascii="Arial" w:hAnsi="Arial"/>
          <w:sz w:val="24"/>
          <w:szCs w:val="24"/>
        </w:rPr>
        <w:t xml:space="preserve">One effect has been the migration of the workforce to other sectors such as retail, transport, </w:t>
      </w:r>
      <w:r w:rsidR="00C36624">
        <w:rPr>
          <w:rFonts w:ascii="Arial" w:hAnsi="Arial"/>
          <w:sz w:val="24"/>
          <w:szCs w:val="24"/>
        </w:rPr>
        <w:t xml:space="preserve">and </w:t>
      </w:r>
      <w:r w:rsidRPr="00E0734A">
        <w:rPr>
          <w:rFonts w:ascii="Arial" w:hAnsi="Arial"/>
          <w:sz w:val="24"/>
          <w:szCs w:val="24"/>
        </w:rPr>
        <w:t xml:space="preserve">health. </w:t>
      </w:r>
      <w:r w:rsidR="00B532F4">
        <w:rPr>
          <w:rFonts w:ascii="Arial" w:hAnsi="Arial"/>
          <w:sz w:val="24"/>
          <w:szCs w:val="24"/>
        </w:rPr>
        <w:t>T</w:t>
      </w:r>
      <w:r w:rsidRPr="00E0734A">
        <w:rPr>
          <w:rFonts w:ascii="Arial" w:hAnsi="Arial"/>
          <w:sz w:val="24"/>
          <w:szCs w:val="24"/>
        </w:rPr>
        <w:t>he UK hotel sector has recorded a decrease of over 11% in the active workforce compared to the pre-pandemic period. The shortage of staff has led to the overload of remaining employees and increased stress at work, which has led to further employee departures</w:t>
      </w:r>
      <w:r w:rsidR="00D107BD" w:rsidRPr="00E0734A">
        <w:rPr>
          <w:rFonts w:ascii="Arial" w:hAnsi="Arial"/>
          <w:sz w:val="24"/>
          <w:szCs w:val="24"/>
        </w:rPr>
        <w:t xml:space="preserve"> </w:t>
      </w:r>
      <w:r w:rsidR="004D14D5" w:rsidRPr="00E0734A">
        <w:rPr>
          <w:rFonts w:ascii="Arial" w:hAnsi="Arial"/>
          <w:sz w:val="24"/>
          <w:szCs w:val="24"/>
        </w:rPr>
        <w:t>(Ramuni, 2021)</w:t>
      </w:r>
      <w:r w:rsidRPr="00E0734A">
        <w:rPr>
          <w:rFonts w:ascii="Arial" w:hAnsi="Arial"/>
          <w:sz w:val="24"/>
          <w:szCs w:val="24"/>
        </w:rPr>
        <w:t>.</w:t>
      </w:r>
    </w:p>
    <w:p w14:paraId="3CC1D8BE" w14:textId="3B35E68B" w:rsidR="00892BF8" w:rsidRPr="00E0734A" w:rsidRDefault="00892BF8" w:rsidP="000F1502">
      <w:pPr>
        <w:pStyle w:val="BodyText"/>
        <w:spacing w:line="480" w:lineRule="auto"/>
        <w:jc w:val="both"/>
        <w:rPr>
          <w:rFonts w:ascii="Arial" w:hAnsi="Arial"/>
          <w:sz w:val="24"/>
          <w:szCs w:val="24"/>
        </w:rPr>
      </w:pPr>
      <w:r w:rsidRPr="00E0734A">
        <w:rPr>
          <w:rFonts w:ascii="Arial" w:hAnsi="Arial"/>
          <w:sz w:val="24"/>
          <w:szCs w:val="24"/>
        </w:rPr>
        <w:t xml:space="preserve">Job uncertainty has become a central demotivating factor in the post-COVID era. Employees who previously accepted the instability specific to the industry have become more cautious and more attentive to financial security and long-term benefits. In hotels such as Holiday Inn Sunderland, employees have begun to value flexibility, hybrid work opportunities, but also empathy and real support offered by management in times of </w:t>
      </w:r>
      <w:r w:rsidR="000E22AD" w:rsidRPr="00E0734A">
        <w:rPr>
          <w:rFonts w:ascii="Arial" w:hAnsi="Arial"/>
          <w:sz w:val="24"/>
          <w:szCs w:val="24"/>
        </w:rPr>
        <w:t>crisis. However</w:t>
      </w:r>
      <w:r w:rsidRPr="00E0734A">
        <w:rPr>
          <w:rFonts w:ascii="Arial" w:hAnsi="Arial"/>
          <w:sz w:val="24"/>
          <w:szCs w:val="24"/>
        </w:rPr>
        <w:t>, recent studies claim that the psychological health of hospitality staff has been affected by the pandemic, so the importance of mental well-being has increased</w:t>
      </w:r>
      <w:r w:rsidR="0037454C" w:rsidRPr="00E0734A">
        <w:rPr>
          <w:rFonts w:ascii="Arial" w:hAnsi="Arial"/>
          <w:sz w:val="24"/>
          <w:szCs w:val="24"/>
        </w:rPr>
        <w:t xml:space="preserve"> (Newman </w:t>
      </w:r>
      <w:r w:rsidR="0037454C" w:rsidRPr="00C36624">
        <w:rPr>
          <w:rFonts w:ascii="Arial" w:hAnsi="Arial"/>
          <w:i/>
          <w:iCs/>
          <w:sz w:val="24"/>
          <w:szCs w:val="24"/>
        </w:rPr>
        <w:t>et al</w:t>
      </w:r>
      <w:r w:rsidR="0037454C" w:rsidRPr="00E0734A">
        <w:rPr>
          <w:rFonts w:ascii="Arial" w:hAnsi="Arial"/>
          <w:sz w:val="24"/>
          <w:szCs w:val="24"/>
        </w:rPr>
        <w:t>., 2023)</w:t>
      </w:r>
      <w:r w:rsidR="0084773A" w:rsidRPr="00E0734A">
        <w:rPr>
          <w:rFonts w:ascii="Arial" w:hAnsi="Arial"/>
          <w:sz w:val="24"/>
          <w:szCs w:val="24"/>
        </w:rPr>
        <w:t>.</w:t>
      </w:r>
    </w:p>
    <w:p w14:paraId="6E620D83" w14:textId="156B0C6F" w:rsidR="002666E5" w:rsidRDefault="00892BF8" w:rsidP="002666E5">
      <w:pPr>
        <w:pStyle w:val="BodyText"/>
        <w:spacing w:line="480" w:lineRule="auto"/>
        <w:jc w:val="both"/>
        <w:rPr>
          <w:rFonts w:ascii="Arial" w:hAnsi="Arial"/>
          <w:sz w:val="24"/>
          <w:szCs w:val="24"/>
          <w:lang w:val="en-GB"/>
        </w:rPr>
      </w:pPr>
      <w:r w:rsidRPr="00E0734A">
        <w:rPr>
          <w:rFonts w:ascii="Arial" w:hAnsi="Arial"/>
          <w:sz w:val="24"/>
          <w:szCs w:val="24"/>
        </w:rPr>
        <w:t>Retention strategies are not enough</w:t>
      </w:r>
      <w:r w:rsidR="00F844BC">
        <w:rPr>
          <w:rFonts w:ascii="Arial" w:hAnsi="Arial"/>
          <w:sz w:val="24"/>
          <w:szCs w:val="24"/>
        </w:rPr>
        <w:t>;</w:t>
      </w:r>
      <w:r w:rsidRPr="00E0734A">
        <w:rPr>
          <w:rFonts w:ascii="Arial" w:hAnsi="Arial"/>
          <w:sz w:val="24"/>
          <w:szCs w:val="24"/>
        </w:rPr>
        <w:t xml:space="preserve"> a new approach that focuses on the employee must include listening to and actively involving employees in decision-making, clarifying career prospects, offering benefits according to individual needs, </w:t>
      </w:r>
      <w:r w:rsidR="00C36624">
        <w:rPr>
          <w:rFonts w:ascii="Arial" w:hAnsi="Arial"/>
          <w:sz w:val="24"/>
          <w:szCs w:val="24"/>
        </w:rPr>
        <w:t xml:space="preserve">and </w:t>
      </w:r>
      <w:r w:rsidRPr="00E0734A">
        <w:rPr>
          <w:rFonts w:ascii="Arial" w:hAnsi="Arial"/>
          <w:sz w:val="24"/>
          <w:szCs w:val="24"/>
        </w:rPr>
        <w:t xml:space="preserve">developing an empathetic </w:t>
      </w:r>
      <w:r w:rsidR="00C36624">
        <w:rPr>
          <w:rFonts w:ascii="Arial" w:hAnsi="Arial"/>
          <w:sz w:val="24"/>
          <w:szCs w:val="24"/>
        </w:rPr>
        <w:t>organisational</w:t>
      </w:r>
      <w:r w:rsidRPr="00E0734A">
        <w:rPr>
          <w:rFonts w:ascii="Arial" w:hAnsi="Arial"/>
          <w:sz w:val="24"/>
          <w:szCs w:val="24"/>
        </w:rPr>
        <w:t xml:space="preserve"> culture</w:t>
      </w:r>
      <w:r w:rsidR="0053326A" w:rsidRPr="00E0734A">
        <w:rPr>
          <w:rFonts w:ascii="Arial" w:hAnsi="Arial"/>
          <w:sz w:val="24"/>
          <w:szCs w:val="24"/>
        </w:rPr>
        <w:t xml:space="preserve"> (Crail and Watts, 2024)</w:t>
      </w:r>
      <w:r w:rsidR="002666E5">
        <w:rPr>
          <w:rFonts w:ascii="Arial" w:hAnsi="Arial"/>
          <w:sz w:val="24"/>
          <w:szCs w:val="24"/>
        </w:rPr>
        <w:t>; (</w:t>
      </w:r>
      <w:r w:rsidR="002666E5" w:rsidRPr="002666E5">
        <w:rPr>
          <w:rFonts w:ascii="Arial" w:hAnsi="Arial"/>
          <w:sz w:val="24"/>
          <w:szCs w:val="24"/>
          <w:lang w:val="en-GB"/>
        </w:rPr>
        <w:t>Allen</w:t>
      </w:r>
      <w:r w:rsidR="002666E5">
        <w:rPr>
          <w:rFonts w:ascii="Arial" w:hAnsi="Arial"/>
          <w:sz w:val="24"/>
          <w:szCs w:val="24"/>
          <w:lang w:val="en-GB"/>
        </w:rPr>
        <w:t xml:space="preserve"> </w:t>
      </w:r>
      <w:r w:rsidR="002666E5" w:rsidRPr="002666E5">
        <w:rPr>
          <w:rFonts w:ascii="Arial" w:hAnsi="Arial"/>
          <w:sz w:val="24"/>
          <w:szCs w:val="24"/>
          <w:lang w:val="en-GB"/>
        </w:rPr>
        <w:t>and Bryant,</w:t>
      </w:r>
      <w:r w:rsidR="002666E5">
        <w:rPr>
          <w:rFonts w:ascii="Arial" w:hAnsi="Arial"/>
          <w:sz w:val="24"/>
          <w:szCs w:val="24"/>
          <w:lang w:val="en-GB"/>
        </w:rPr>
        <w:t xml:space="preserve"> </w:t>
      </w:r>
      <w:r w:rsidR="002666E5" w:rsidRPr="002666E5">
        <w:rPr>
          <w:rFonts w:ascii="Arial" w:hAnsi="Arial"/>
          <w:sz w:val="24"/>
          <w:szCs w:val="24"/>
          <w:lang w:val="en-GB"/>
        </w:rPr>
        <w:t>2012)</w:t>
      </w:r>
      <w:r w:rsidR="002666E5">
        <w:rPr>
          <w:rFonts w:ascii="Arial" w:hAnsi="Arial"/>
          <w:sz w:val="24"/>
          <w:szCs w:val="24"/>
          <w:lang w:val="en-GB"/>
        </w:rPr>
        <w:t>.</w:t>
      </w:r>
      <w:bookmarkStart w:id="18" w:name="_Toc199633492"/>
    </w:p>
    <w:p w14:paraId="1C3198F5" w14:textId="77777777" w:rsidR="002666E5" w:rsidRPr="002666E5" w:rsidRDefault="002666E5" w:rsidP="002666E5">
      <w:pPr>
        <w:pStyle w:val="BodyText"/>
        <w:spacing w:line="480" w:lineRule="auto"/>
        <w:jc w:val="both"/>
        <w:rPr>
          <w:rFonts w:ascii="Arial" w:hAnsi="Arial"/>
          <w:sz w:val="24"/>
          <w:szCs w:val="24"/>
        </w:rPr>
      </w:pPr>
    </w:p>
    <w:p w14:paraId="236784CC" w14:textId="1ADEBF6A" w:rsidR="00892BF8" w:rsidRPr="002666E5" w:rsidRDefault="000B5217" w:rsidP="000B5217">
      <w:pPr>
        <w:pStyle w:val="Heading1"/>
        <w:rPr>
          <w:sz w:val="28"/>
        </w:rPr>
      </w:pPr>
      <w:bookmarkStart w:id="19" w:name="_Toc200461593"/>
      <w:r w:rsidRPr="002666E5">
        <w:rPr>
          <w:sz w:val="28"/>
        </w:rPr>
        <w:lastRenderedPageBreak/>
        <w:t xml:space="preserve">Chapter 3. </w:t>
      </w:r>
      <w:r w:rsidR="00CA4C38" w:rsidRPr="002666E5">
        <w:rPr>
          <w:sz w:val="28"/>
        </w:rPr>
        <w:t>Method</w:t>
      </w:r>
      <w:bookmarkEnd w:id="18"/>
      <w:r w:rsidR="005556BF" w:rsidRPr="002666E5">
        <w:rPr>
          <w:sz w:val="28"/>
        </w:rPr>
        <w:t>ology</w:t>
      </w:r>
      <w:bookmarkEnd w:id="19"/>
    </w:p>
    <w:p w14:paraId="4FAD0918" w14:textId="77777777" w:rsidR="000B5217" w:rsidRPr="000B5217" w:rsidRDefault="000B5217" w:rsidP="000B5217">
      <w:pPr>
        <w:pStyle w:val="BodyText"/>
      </w:pPr>
    </w:p>
    <w:p w14:paraId="0CF73B1B" w14:textId="019EF23F" w:rsidR="00E45668" w:rsidRPr="00E0734A" w:rsidRDefault="001853EC" w:rsidP="000F1502">
      <w:pPr>
        <w:pStyle w:val="BodyText"/>
        <w:spacing w:line="480" w:lineRule="auto"/>
        <w:jc w:val="both"/>
        <w:rPr>
          <w:rFonts w:ascii="Arial" w:hAnsi="Arial"/>
          <w:sz w:val="24"/>
          <w:szCs w:val="24"/>
        </w:rPr>
      </w:pPr>
      <w:r>
        <w:rPr>
          <w:rFonts w:ascii="Arial" w:hAnsi="Arial"/>
          <w:sz w:val="24"/>
          <w:szCs w:val="24"/>
        </w:rPr>
        <w:t xml:space="preserve">The </w:t>
      </w:r>
      <w:r w:rsidR="00E45668" w:rsidRPr="00E0734A">
        <w:rPr>
          <w:rFonts w:ascii="Arial" w:hAnsi="Arial"/>
          <w:sz w:val="24"/>
          <w:szCs w:val="24"/>
        </w:rPr>
        <w:t>research</w:t>
      </w:r>
      <w:r>
        <w:rPr>
          <w:rFonts w:ascii="Arial" w:hAnsi="Arial"/>
          <w:sz w:val="24"/>
          <w:szCs w:val="24"/>
        </w:rPr>
        <w:t xml:space="preserve"> methodology</w:t>
      </w:r>
      <w:r w:rsidR="005F102E">
        <w:rPr>
          <w:rFonts w:ascii="Arial" w:hAnsi="Arial"/>
          <w:sz w:val="24"/>
          <w:szCs w:val="24"/>
        </w:rPr>
        <w:t xml:space="preserve"> combines statistical analysis with theoretical studies, journals and theories related to employee turnover in the hotel industry.</w:t>
      </w:r>
      <w:r w:rsidR="00E45668" w:rsidRPr="00E0734A">
        <w:rPr>
          <w:rFonts w:ascii="Arial" w:hAnsi="Arial"/>
          <w:sz w:val="24"/>
          <w:szCs w:val="24"/>
        </w:rPr>
        <w:t xml:space="preserve"> </w:t>
      </w:r>
      <w:r w:rsidR="005F102E">
        <w:rPr>
          <w:rFonts w:ascii="Arial" w:hAnsi="Arial"/>
          <w:sz w:val="24"/>
          <w:szCs w:val="24"/>
        </w:rPr>
        <w:t>T</w:t>
      </w:r>
      <w:r w:rsidR="00E45668" w:rsidRPr="00E0734A">
        <w:rPr>
          <w:rFonts w:ascii="Arial" w:hAnsi="Arial"/>
          <w:sz w:val="24"/>
          <w:szCs w:val="24"/>
        </w:rPr>
        <w:t xml:space="preserve">he case study method was chosen based on </w:t>
      </w:r>
      <w:r w:rsidR="00DF5A10" w:rsidRPr="00E0734A">
        <w:rPr>
          <w:rFonts w:ascii="Arial" w:hAnsi="Arial"/>
          <w:sz w:val="24"/>
          <w:szCs w:val="24"/>
        </w:rPr>
        <w:t>practical</w:t>
      </w:r>
      <w:r w:rsidR="00E45668" w:rsidRPr="00E0734A">
        <w:rPr>
          <w:rFonts w:ascii="Arial" w:hAnsi="Arial"/>
          <w:sz w:val="24"/>
          <w:szCs w:val="24"/>
        </w:rPr>
        <w:t xml:space="preserve"> experience</w:t>
      </w:r>
      <w:r w:rsidR="00DF5A10">
        <w:rPr>
          <w:rFonts w:ascii="Arial" w:hAnsi="Arial"/>
          <w:sz w:val="24"/>
          <w:szCs w:val="24"/>
        </w:rPr>
        <w:t xml:space="preserve"> through observation</w:t>
      </w:r>
      <w:r w:rsidR="00E45668" w:rsidRPr="00E0734A">
        <w:rPr>
          <w:rFonts w:ascii="Arial" w:hAnsi="Arial"/>
          <w:sz w:val="24"/>
          <w:szCs w:val="24"/>
        </w:rPr>
        <w:t xml:space="preserve"> obtained at the Holiday Inn Sunderland. The case study is a qualitative research method widely used in social sciences and hospitality management, being considered appropriate when the researcher aims to investigate in depth a complex phenomenon, in a real and well-defined setting (Yin, 2018).</w:t>
      </w:r>
    </w:p>
    <w:p w14:paraId="14CE3C0C" w14:textId="31D7C470" w:rsidR="00A12BEA" w:rsidRPr="00E0734A" w:rsidRDefault="00E45668" w:rsidP="000F1502">
      <w:pPr>
        <w:pStyle w:val="BodyText"/>
        <w:spacing w:line="480" w:lineRule="auto"/>
        <w:jc w:val="both"/>
        <w:rPr>
          <w:rFonts w:ascii="Arial" w:hAnsi="Arial"/>
          <w:sz w:val="24"/>
          <w:szCs w:val="24"/>
        </w:rPr>
      </w:pPr>
      <w:r w:rsidRPr="00E0734A">
        <w:rPr>
          <w:rFonts w:ascii="Arial" w:hAnsi="Arial"/>
          <w:sz w:val="24"/>
          <w:szCs w:val="24"/>
        </w:rPr>
        <w:t xml:space="preserve">This method helps to explore the factors influencing staff turnover, the operational impact of the phenomenon and possible reduction strategies, </w:t>
      </w:r>
      <w:r w:rsidR="001853EC">
        <w:rPr>
          <w:rFonts w:ascii="Arial" w:hAnsi="Arial"/>
          <w:sz w:val="24"/>
          <w:szCs w:val="24"/>
        </w:rPr>
        <w:t>concerning</w:t>
      </w:r>
      <w:r w:rsidRPr="00E0734A">
        <w:rPr>
          <w:rFonts w:ascii="Arial" w:hAnsi="Arial"/>
          <w:sz w:val="24"/>
          <w:szCs w:val="24"/>
        </w:rPr>
        <w:t xml:space="preserve"> the internal dynamics of the hotel and the local context specific to the city of Sunderland.</w:t>
      </w:r>
      <w:r w:rsidR="0096670A" w:rsidRPr="00E0734A">
        <w:rPr>
          <w:rFonts w:ascii="Arial" w:hAnsi="Arial"/>
          <w:sz w:val="24"/>
          <w:szCs w:val="24"/>
        </w:rPr>
        <w:t xml:space="preserve"> </w:t>
      </w:r>
      <w:r w:rsidR="00A12BEA" w:rsidRPr="00E0734A">
        <w:rPr>
          <w:rFonts w:ascii="Arial" w:hAnsi="Arial"/>
          <w:sz w:val="24"/>
          <w:szCs w:val="24"/>
        </w:rPr>
        <w:t>The case study is useful in applied research</w:t>
      </w:r>
      <w:r w:rsidR="001853EC">
        <w:rPr>
          <w:rFonts w:ascii="Arial" w:hAnsi="Arial"/>
          <w:sz w:val="24"/>
          <w:szCs w:val="24"/>
        </w:rPr>
        <w:t>,</w:t>
      </w:r>
      <w:r w:rsidR="00A12BEA" w:rsidRPr="00E0734A">
        <w:rPr>
          <w:rFonts w:ascii="Arial" w:hAnsi="Arial"/>
          <w:sz w:val="24"/>
          <w:szCs w:val="24"/>
        </w:rPr>
        <w:t xml:space="preserve"> </w:t>
      </w:r>
      <w:r w:rsidR="001853EC">
        <w:rPr>
          <w:rFonts w:ascii="Arial" w:hAnsi="Arial"/>
          <w:sz w:val="24"/>
          <w:szCs w:val="24"/>
        </w:rPr>
        <w:t>allowing</w:t>
      </w:r>
      <w:r w:rsidR="00A12BEA" w:rsidRPr="00E0734A">
        <w:rPr>
          <w:rFonts w:ascii="Arial" w:hAnsi="Arial"/>
          <w:sz w:val="24"/>
          <w:szCs w:val="24"/>
        </w:rPr>
        <w:t xml:space="preserve"> for a broad contextual understanding of problems within an organi</w:t>
      </w:r>
      <w:r w:rsidR="001739B7">
        <w:rPr>
          <w:rFonts w:ascii="Arial" w:hAnsi="Arial"/>
          <w:sz w:val="24"/>
          <w:szCs w:val="24"/>
        </w:rPr>
        <w:t>s</w:t>
      </w:r>
      <w:r w:rsidR="00A12BEA" w:rsidRPr="00E0734A">
        <w:rPr>
          <w:rFonts w:ascii="Arial" w:hAnsi="Arial"/>
          <w:sz w:val="24"/>
          <w:szCs w:val="24"/>
        </w:rPr>
        <w:t>ation</w:t>
      </w:r>
      <w:r w:rsidR="00AE028D" w:rsidRPr="00E0734A">
        <w:rPr>
          <w:rFonts w:ascii="Arial" w:hAnsi="Arial"/>
          <w:kern w:val="0"/>
          <w:sz w:val="24"/>
          <w:szCs w:val="24"/>
          <w14:ligatures w14:val="none"/>
        </w:rPr>
        <w:t xml:space="preserve"> </w:t>
      </w:r>
      <w:r w:rsidR="00AE028D" w:rsidRPr="00E0734A">
        <w:rPr>
          <w:rFonts w:ascii="Arial" w:hAnsi="Arial"/>
          <w:sz w:val="24"/>
          <w:szCs w:val="24"/>
        </w:rPr>
        <w:t>(Saunders, Lewis and Thornhill, 2012)</w:t>
      </w:r>
      <w:r w:rsidR="00A12BEA" w:rsidRPr="00E0734A">
        <w:rPr>
          <w:rFonts w:ascii="Arial" w:hAnsi="Arial"/>
          <w:sz w:val="24"/>
          <w:szCs w:val="24"/>
        </w:rPr>
        <w:t xml:space="preserve">. According to Stake (1995), this method is ideal when the goal is to explore a phenomenon in depth, not </w:t>
      </w:r>
      <w:r w:rsidR="00130E6E">
        <w:rPr>
          <w:rFonts w:ascii="Arial" w:hAnsi="Arial"/>
          <w:sz w:val="24"/>
          <w:szCs w:val="24"/>
        </w:rPr>
        <w:t>generalise</w:t>
      </w:r>
      <w:r w:rsidR="00A12BEA" w:rsidRPr="00E0734A">
        <w:rPr>
          <w:rFonts w:ascii="Arial" w:hAnsi="Arial"/>
          <w:sz w:val="24"/>
          <w:szCs w:val="24"/>
        </w:rPr>
        <w:t xml:space="preserve"> to a large population. The purpose of this case study is to highlight the realities and challenges specific to the Holiday Inn Sunderland hotel </w:t>
      </w:r>
      <w:r w:rsidR="001853EC">
        <w:rPr>
          <w:rFonts w:ascii="Arial" w:hAnsi="Arial"/>
          <w:sz w:val="24"/>
          <w:szCs w:val="24"/>
        </w:rPr>
        <w:t>to formulate</w:t>
      </w:r>
      <w:r w:rsidR="00A12BEA" w:rsidRPr="00E0734A">
        <w:rPr>
          <w:rFonts w:ascii="Arial" w:hAnsi="Arial"/>
          <w:sz w:val="24"/>
          <w:szCs w:val="24"/>
        </w:rPr>
        <w:t xml:space="preserve"> practical solutions.</w:t>
      </w:r>
    </w:p>
    <w:p w14:paraId="46E2634A" w14:textId="2CF5D73A" w:rsidR="00A12BEA" w:rsidRPr="00E0734A" w:rsidRDefault="00A12BEA" w:rsidP="000F1502">
      <w:pPr>
        <w:pStyle w:val="BodyText"/>
        <w:spacing w:line="480" w:lineRule="auto"/>
        <w:jc w:val="both"/>
        <w:rPr>
          <w:rFonts w:ascii="Arial" w:hAnsi="Arial"/>
          <w:sz w:val="24"/>
          <w:szCs w:val="24"/>
        </w:rPr>
      </w:pPr>
      <w:r w:rsidRPr="00E0734A">
        <w:rPr>
          <w:rFonts w:ascii="Arial" w:hAnsi="Arial"/>
          <w:sz w:val="24"/>
          <w:szCs w:val="24"/>
        </w:rPr>
        <w:t>Another important advantage of the case study is its methodological flexibility. This method allows for the combination of qualitative and quantitative data, primary and secondary sources, and supports the verification and validation of data from different perspectives</w:t>
      </w:r>
      <w:r w:rsidR="00990BD2" w:rsidRPr="00E0734A">
        <w:rPr>
          <w:rFonts w:ascii="Arial" w:hAnsi="Arial"/>
          <w:sz w:val="24"/>
          <w:szCs w:val="24"/>
        </w:rPr>
        <w:t xml:space="preserve"> (ANNAMALAH, 2024)</w:t>
      </w:r>
      <w:r w:rsidRPr="00E0734A">
        <w:rPr>
          <w:rFonts w:ascii="Arial" w:hAnsi="Arial"/>
          <w:sz w:val="24"/>
          <w:szCs w:val="24"/>
        </w:rPr>
        <w:t>.</w:t>
      </w:r>
    </w:p>
    <w:p w14:paraId="5F6ED08A" w14:textId="3183BE5B" w:rsidR="00E45668" w:rsidRPr="00E0734A" w:rsidRDefault="00A12BEA" w:rsidP="000F1502">
      <w:pPr>
        <w:pStyle w:val="BodyText"/>
        <w:spacing w:line="480" w:lineRule="auto"/>
        <w:jc w:val="both"/>
        <w:rPr>
          <w:rFonts w:ascii="Arial" w:hAnsi="Arial"/>
          <w:sz w:val="24"/>
          <w:szCs w:val="24"/>
        </w:rPr>
      </w:pPr>
      <w:r w:rsidRPr="00E0734A">
        <w:rPr>
          <w:rFonts w:ascii="Arial" w:hAnsi="Arial"/>
          <w:sz w:val="24"/>
          <w:szCs w:val="24"/>
        </w:rPr>
        <w:t xml:space="preserve">A limitation of the case study may be the interpretation influenced by the experience </w:t>
      </w:r>
      <w:r w:rsidR="00DF5A10">
        <w:rPr>
          <w:rFonts w:ascii="Arial" w:hAnsi="Arial"/>
          <w:sz w:val="24"/>
          <w:szCs w:val="24"/>
        </w:rPr>
        <w:t>gained</w:t>
      </w:r>
      <w:r w:rsidRPr="00E0734A">
        <w:rPr>
          <w:rFonts w:ascii="Arial" w:hAnsi="Arial"/>
          <w:sz w:val="24"/>
          <w:szCs w:val="24"/>
        </w:rPr>
        <w:t xml:space="preserve"> in the </w:t>
      </w:r>
      <w:r w:rsidR="00DF5A10">
        <w:rPr>
          <w:rFonts w:ascii="Arial" w:hAnsi="Arial"/>
          <w:sz w:val="24"/>
          <w:szCs w:val="24"/>
        </w:rPr>
        <w:t>organisation</w:t>
      </w:r>
      <w:r w:rsidRPr="00E0734A">
        <w:rPr>
          <w:rFonts w:ascii="Arial" w:hAnsi="Arial"/>
          <w:sz w:val="24"/>
          <w:szCs w:val="24"/>
        </w:rPr>
        <w:t xml:space="preserve">. The Holiday Inn Sunderland was selected as an educational placement hotel, and the observations were made without the existence of a </w:t>
      </w:r>
      <w:r w:rsidRPr="00E0734A">
        <w:rPr>
          <w:rFonts w:ascii="Arial" w:hAnsi="Arial"/>
          <w:sz w:val="24"/>
          <w:szCs w:val="24"/>
        </w:rPr>
        <w:lastRenderedPageBreak/>
        <w:t xml:space="preserve">contractual or personal relationship between the researcher and the </w:t>
      </w:r>
      <w:r w:rsidR="00863E05">
        <w:rPr>
          <w:rFonts w:ascii="Arial" w:hAnsi="Arial"/>
          <w:sz w:val="24"/>
          <w:szCs w:val="24"/>
        </w:rPr>
        <w:t>organisation</w:t>
      </w:r>
      <w:r w:rsidRPr="00E0734A">
        <w:rPr>
          <w:rFonts w:ascii="Arial" w:hAnsi="Arial"/>
          <w:sz w:val="24"/>
          <w:szCs w:val="24"/>
        </w:rPr>
        <w:t>. This helped to maintain a critical distance and avoid internal influences on the interpretation of the data</w:t>
      </w:r>
      <w:r w:rsidR="00C3054E" w:rsidRPr="00E0734A">
        <w:rPr>
          <w:rFonts w:ascii="Arial" w:hAnsi="Arial"/>
          <w:sz w:val="24"/>
          <w:szCs w:val="24"/>
        </w:rPr>
        <w:t xml:space="preserve"> (Robson and McCartan, 2016)</w:t>
      </w:r>
      <w:r w:rsidRPr="00E0734A">
        <w:rPr>
          <w:rFonts w:ascii="Arial" w:hAnsi="Arial"/>
          <w:sz w:val="24"/>
          <w:szCs w:val="24"/>
        </w:rPr>
        <w:t>.</w:t>
      </w:r>
    </w:p>
    <w:p w14:paraId="40D69229" w14:textId="30826B74" w:rsidR="00A12BEA" w:rsidRPr="00E0734A" w:rsidRDefault="004E745F" w:rsidP="000F1502">
      <w:pPr>
        <w:pStyle w:val="BodyText"/>
        <w:spacing w:line="480" w:lineRule="auto"/>
        <w:jc w:val="both"/>
        <w:rPr>
          <w:rFonts w:ascii="Arial" w:hAnsi="Arial"/>
          <w:sz w:val="24"/>
          <w:szCs w:val="24"/>
        </w:rPr>
      </w:pPr>
      <w:r w:rsidRPr="00E0734A">
        <w:rPr>
          <w:rFonts w:ascii="Arial" w:hAnsi="Arial"/>
          <w:sz w:val="24"/>
          <w:szCs w:val="24"/>
        </w:rPr>
        <w:t xml:space="preserve">The data collection techniques used in the case study are direct observation during the </w:t>
      </w:r>
      <w:r w:rsidR="007450CD">
        <w:rPr>
          <w:rFonts w:ascii="Arial" w:hAnsi="Arial"/>
          <w:sz w:val="24"/>
          <w:szCs w:val="24"/>
        </w:rPr>
        <w:t>placement</w:t>
      </w:r>
      <w:r w:rsidRPr="00E0734A">
        <w:rPr>
          <w:rFonts w:ascii="Arial" w:hAnsi="Arial"/>
          <w:sz w:val="24"/>
          <w:szCs w:val="24"/>
        </w:rPr>
        <w:t xml:space="preserve"> at Holiday Inn Sunderland, where employee </w:t>
      </w:r>
      <w:r w:rsidR="007450CD">
        <w:rPr>
          <w:rFonts w:ascii="Arial" w:hAnsi="Arial"/>
          <w:sz w:val="24"/>
          <w:szCs w:val="24"/>
        </w:rPr>
        <w:t>behaviour</w:t>
      </w:r>
      <w:r w:rsidRPr="00E0734A">
        <w:rPr>
          <w:rFonts w:ascii="Arial" w:hAnsi="Arial"/>
          <w:sz w:val="24"/>
          <w:szCs w:val="24"/>
        </w:rPr>
        <w:t xml:space="preserve">, interactions with management, team dynamics and analysis of internal documents provided by the hotel, such as job descriptions, performance reports, </w:t>
      </w:r>
      <w:r w:rsidR="00DD1283">
        <w:rPr>
          <w:rFonts w:ascii="Arial" w:hAnsi="Arial"/>
          <w:sz w:val="24"/>
          <w:szCs w:val="24"/>
        </w:rPr>
        <w:t xml:space="preserve">and </w:t>
      </w:r>
      <w:r w:rsidRPr="00E0734A">
        <w:rPr>
          <w:rFonts w:ascii="Arial" w:hAnsi="Arial"/>
          <w:sz w:val="24"/>
          <w:szCs w:val="24"/>
        </w:rPr>
        <w:t>human resources policies</w:t>
      </w:r>
      <w:r w:rsidR="00DD1283">
        <w:rPr>
          <w:rFonts w:ascii="Arial" w:hAnsi="Arial"/>
          <w:sz w:val="24"/>
          <w:szCs w:val="24"/>
        </w:rPr>
        <w:t>,</w:t>
      </w:r>
      <w:r w:rsidRPr="00E0734A">
        <w:rPr>
          <w:rFonts w:ascii="Arial" w:hAnsi="Arial"/>
          <w:sz w:val="24"/>
          <w:szCs w:val="24"/>
        </w:rPr>
        <w:t xml:space="preserve"> were monitored. Another technique used is netnographic data obtained through online platforms such as TripAdvisor, Glassdoor and Indeed, to assess the opinions and reviews of former employees and customers.</w:t>
      </w:r>
    </w:p>
    <w:p w14:paraId="197F9DB0" w14:textId="52C661D1" w:rsidR="00C3687B" w:rsidRPr="00E0734A" w:rsidRDefault="00C3687B" w:rsidP="000F1502">
      <w:pPr>
        <w:pStyle w:val="BodyText"/>
        <w:spacing w:line="480" w:lineRule="auto"/>
        <w:jc w:val="both"/>
        <w:rPr>
          <w:rFonts w:ascii="Arial" w:hAnsi="Arial"/>
          <w:sz w:val="24"/>
          <w:szCs w:val="24"/>
        </w:rPr>
      </w:pPr>
      <w:r w:rsidRPr="00E0734A">
        <w:rPr>
          <w:rFonts w:ascii="Arial" w:hAnsi="Arial"/>
          <w:sz w:val="24"/>
          <w:szCs w:val="24"/>
        </w:rPr>
        <w:t xml:space="preserve">Netnography is a qualitative research technique derived from </w:t>
      </w:r>
      <w:r w:rsidR="00665FDE" w:rsidRPr="00E0734A">
        <w:rPr>
          <w:rFonts w:ascii="Arial" w:hAnsi="Arial"/>
          <w:sz w:val="24"/>
          <w:szCs w:val="24"/>
        </w:rPr>
        <w:t>ethnography but</w:t>
      </w:r>
      <w:r w:rsidRPr="00E0734A">
        <w:rPr>
          <w:rFonts w:ascii="Arial" w:hAnsi="Arial"/>
          <w:sz w:val="24"/>
          <w:szCs w:val="24"/>
        </w:rPr>
        <w:t xml:space="preserve"> applied in the digital space. It involves the analysis of user-generated content in the online environment (reviews, forums, comments or posts) and is used in </w:t>
      </w:r>
      <w:r w:rsidR="00847F5B" w:rsidRPr="00E0734A">
        <w:rPr>
          <w:rFonts w:ascii="Arial" w:hAnsi="Arial"/>
          <w:sz w:val="24"/>
          <w:szCs w:val="24"/>
        </w:rPr>
        <w:t>market</w:t>
      </w:r>
      <w:r w:rsidRPr="00E0734A">
        <w:rPr>
          <w:rFonts w:ascii="Arial" w:hAnsi="Arial"/>
          <w:sz w:val="24"/>
          <w:szCs w:val="24"/>
        </w:rPr>
        <w:t xml:space="preserve"> research. For th</w:t>
      </w:r>
      <w:r w:rsidR="005F102E">
        <w:rPr>
          <w:rFonts w:ascii="Arial" w:hAnsi="Arial"/>
          <w:sz w:val="24"/>
          <w:szCs w:val="24"/>
        </w:rPr>
        <w:t>e</w:t>
      </w:r>
      <w:r w:rsidRPr="00E0734A">
        <w:rPr>
          <w:rFonts w:ascii="Arial" w:hAnsi="Arial"/>
          <w:sz w:val="24"/>
          <w:szCs w:val="24"/>
        </w:rPr>
        <w:t xml:space="preserve"> research, netnography contributed </w:t>
      </w:r>
      <w:r w:rsidR="00847F5B">
        <w:rPr>
          <w:rFonts w:ascii="Arial" w:hAnsi="Arial"/>
          <w:sz w:val="24"/>
          <w:szCs w:val="24"/>
        </w:rPr>
        <w:t>effectively</w:t>
      </w:r>
      <w:r w:rsidRPr="00E0734A">
        <w:rPr>
          <w:rFonts w:ascii="Arial" w:hAnsi="Arial"/>
          <w:sz w:val="24"/>
          <w:szCs w:val="24"/>
        </w:rPr>
        <w:t xml:space="preserve"> by providing external perspectives on employees' perceptions of </w:t>
      </w:r>
      <w:r w:rsidR="00847F5B">
        <w:rPr>
          <w:rFonts w:ascii="Arial" w:hAnsi="Arial"/>
          <w:sz w:val="24"/>
          <w:szCs w:val="24"/>
        </w:rPr>
        <w:t>organisational</w:t>
      </w:r>
      <w:r w:rsidRPr="00E0734A">
        <w:rPr>
          <w:rFonts w:ascii="Arial" w:hAnsi="Arial"/>
          <w:sz w:val="24"/>
          <w:szCs w:val="24"/>
        </w:rPr>
        <w:t xml:space="preserve"> culture, leadership style and job satisfaction</w:t>
      </w:r>
      <w:r w:rsidR="006C7AE1" w:rsidRPr="00E0734A">
        <w:rPr>
          <w:rFonts w:ascii="Arial" w:hAnsi="Arial"/>
          <w:sz w:val="24"/>
          <w:szCs w:val="24"/>
        </w:rPr>
        <w:t xml:space="preserve"> (Kozinets, 2015)</w:t>
      </w:r>
      <w:r w:rsidR="005F102E">
        <w:rPr>
          <w:rFonts w:ascii="Arial" w:hAnsi="Arial"/>
          <w:sz w:val="24"/>
          <w:szCs w:val="24"/>
        </w:rPr>
        <w:t>.</w:t>
      </w:r>
    </w:p>
    <w:p w14:paraId="4FD13956" w14:textId="77777777" w:rsidR="00C3687B" w:rsidRPr="00E0734A" w:rsidRDefault="00C3687B" w:rsidP="000F1502">
      <w:pPr>
        <w:pStyle w:val="BodyText"/>
        <w:spacing w:line="480" w:lineRule="auto"/>
        <w:jc w:val="both"/>
        <w:rPr>
          <w:rFonts w:ascii="Arial" w:hAnsi="Arial"/>
          <w:sz w:val="24"/>
          <w:szCs w:val="24"/>
        </w:rPr>
      </w:pPr>
      <w:r w:rsidRPr="00E0734A">
        <w:rPr>
          <w:rFonts w:ascii="Arial" w:hAnsi="Arial"/>
          <w:sz w:val="24"/>
          <w:szCs w:val="24"/>
        </w:rPr>
        <w:t>The data was collected ethically, without direct interaction with users and without disclosing their identities. The platforms that were used are Glassdoor for evaluating working conditions from the perspective of employees and TripAdvisor for indirectly understanding the quality of services offered.</w:t>
      </w:r>
    </w:p>
    <w:p w14:paraId="6ED5BE02" w14:textId="77777777" w:rsidR="00FD68BC" w:rsidRDefault="00C3687B" w:rsidP="000F1502">
      <w:pPr>
        <w:pStyle w:val="BodyText"/>
        <w:spacing w:line="480" w:lineRule="auto"/>
        <w:jc w:val="both"/>
        <w:rPr>
          <w:rFonts w:ascii="Arial" w:hAnsi="Arial"/>
          <w:sz w:val="24"/>
          <w:szCs w:val="24"/>
        </w:rPr>
      </w:pPr>
      <w:r w:rsidRPr="00E0734A">
        <w:rPr>
          <w:rFonts w:ascii="Arial" w:hAnsi="Arial"/>
          <w:sz w:val="24"/>
          <w:szCs w:val="24"/>
        </w:rPr>
        <w:t xml:space="preserve">Netnography is important </w:t>
      </w:r>
      <w:r w:rsidR="001853EC">
        <w:rPr>
          <w:rFonts w:ascii="Arial" w:hAnsi="Arial"/>
          <w:sz w:val="24"/>
          <w:szCs w:val="24"/>
        </w:rPr>
        <w:t>in providing</w:t>
      </w:r>
      <w:r w:rsidRPr="00E0734A">
        <w:rPr>
          <w:rFonts w:ascii="Arial" w:hAnsi="Arial"/>
          <w:sz w:val="24"/>
          <w:szCs w:val="24"/>
        </w:rPr>
        <w:t xml:space="preserve"> authentic information, and the major limitation of the method is the lack of control over the data structure, making it difficult to </w:t>
      </w:r>
      <w:r w:rsidR="00933845">
        <w:rPr>
          <w:rFonts w:ascii="Arial" w:hAnsi="Arial"/>
          <w:sz w:val="24"/>
          <w:szCs w:val="24"/>
        </w:rPr>
        <w:t>standardise</w:t>
      </w:r>
      <w:r w:rsidRPr="00E0734A">
        <w:rPr>
          <w:rFonts w:ascii="Arial" w:hAnsi="Arial"/>
          <w:sz w:val="24"/>
          <w:szCs w:val="24"/>
        </w:rPr>
        <w:t xml:space="preserve"> the information.</w:t>
      </w:r>
    </w:p>
    <w:p w14:paraId="7999569B" w14:textId="028DDFB0" w:rsidR="0093460D" w:rsidRPr="00E0734A" w:rsidRDefault="001021D2"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 </w:t>
      </w:r>
      <w:r w:rsidR="0093460D" w:rsidRPr="00E0734A">
        <w:rPr>
          <w:rFonts w:ascii="Arial" w:hAnsi="Arial"/>
          <w:sz w:val="24"/>
          <w:szCs w:val="24"/>
        </w:rPr>
        <w:t xml:space="preserve">To ensure validity, the triangulation technique was used by integrating data from different sources such as observation, internal documents and netnography. The information was </w:t>
      </w:r>
      <w:r w:rsidR="00901D3B">
        <w:rPr>
          <w:rFonts w:ascii="Arial" w:hAnsi="Arial"/>
          <w:sz w:val="24"/>
          <w:szCs w:val="24"/>
        </w:rPr>
        <w:t>organised</w:t>
      </w:r>
      <w:r w:rsidR="0093460D" w:rsidRPr="00E0734A">
        <w:rPr>
          <w:rFonts w:ascii="Arial" w:hAnsi="Arial"/>
          <w:sz w:val="24"/>
          <w:szCs w:val="24"/>
        </w:rPr>
        <w:t xml:space="preserve"> based on </w:t>
      </w:r>
      <w:r w:rsidR="002A4560" w:rsidRPr="00E0734A">
        <w:rPr>
          <w:rFonts w:ascii="Arial" w:hAnsi="Arial"/>
          <w:sz w:val="24"/>
          <w:szCs w:val="24"/>
        </w:rPr>
        <w:t>research</w:t>
      </w:r>
      <w:r w:rsidR="0093460D" w:rsidRPr="00E0734A">
        <w:rPr>
          <w:rFonts w:ascii="Arial" w:hAnsi="Arial"/>
          <w:sz w:val="24"/>
          <w:szCs w:val="24"/>
        </w:rPr>
        <w:t xml:space="preserve"> </w:t>
      </w:r>
      <w:r w:rsidR="00FD68BC" w:rsidRPr="00E0734A">
        <w:rPr>
          <w:rFonts w:ascii="Arial" w:hAnsi="Arial"/>
          <w:sz w:val="24"/>
          <w:szCs w:val="24"/>
        </w:rPr>
        <w:t>questions</w:t>
      </w:r>
      <w:r w:rsidR="00FD68BC">
        <w:rPr>
          <w:rFonts w:ascii="Arial" w:hAnsi="Arial"/>
          <w:sz w:val="24"/>
          <w:szCs w:val="24"/>
        </w:rPr>
        <w:t xml:space="preserve">: </w:t>
      </w:r>
      <w:r w:rsidR="0093460D" w:rsidRPr="00E0734A">
        <w:rPr>
          <w:rFonts w:ascii="Arial" w:hAnsi="Arial"/>
          <w:sz w:val="24"/>
          <w:szCs w:val="24"/>
        </w:rPr>
        <w:t>causes of turnover, impact on operational efficiency and retention strategies</w:t>
      </w:r>
      <w:r w:rsidR="00EC6025" w:rsidRPr="00E0734A">
        <w:rPr>
          <w:rFonts w:ascii="Arial" w:hAnsi="Arial"/>
          <w:sz w:val="24"/>
          <w:szCs w:val="24"/>
        </w:rPr>
        <w:t xml:space="preserve"> (Veal, 2006)</w:t>
      </w:r>
      <w:r w:rsidR="0093460D" w:rsidRPr="00E0734A">
        <w:rPr>
          <w:rFonts w:ascii="Arial" w:hAnsi="Arial"/>
          <w:sz w:val="24"/>
          <w:szCs w:val="24"/>
        </w:rPr>
        <w:t>.</w:t>
      </w:r>
    </w:p>
    <w:p w14:paraId="0AABF51C" w14:textId="3D0360CA" w:rsidR="00C46BF5" w:rsidRDefault="0093460D" w:rsidP="000F1502">
      <w:pPr>
        <w:pStyle w:val="BodyText"/>
        <w:spacing w:line="480" w:lineRule="auto"/>
        <w:jc w:val="both"/>
        <w:rPr>
          <w:rFonts w:ascii="Arial" w:hAnsi="Arial"/>
          <w:sz w:val="24"/>
          <w:szCs w:val="24"/>
        </w:rPr>
      </w:pPr>
      <w:r w:rsidRPr="00E0734A">
        <w:rPr>
          <w:rFonts w:ascii="Arial" w:hAnsi="Arial"/>
          <w:sz w:val="24"/>
          <w:szCs w:val="24"/>
        </w:rPr>
        <w:t xml:space="preserve">Qualitative data were managed through thematic coding, a method used in interpretive research </w:t>
      </w:r>
      <w:r w:rsidR="00802740">
        <w:rPr>
          <w:rFonts w:ascii="Arial" w:hAnsi="Arial"/>
          <w:sz w:val="24"/>
          <w:szCs w:val="24"/>
        </w:rPr>
        <w:t>that</w:t>
      </w:r>
      <w:r w:rsidRPr="00E0734A">
        <w:rPr>
          <w:rFonts w:ascii="Arial" w:hAnsi="Arial"/>
          <w:sz w:val="24"/>
          <w:szCs w:val="24"/>
        </w:rPr>
        <w:t xml:space="preserve"> involves identifying and grouping recurring ideas, for example "lack of motivation", "pressure from management" or "insufficient benefits" and interpreting them in the case study</w:t>
      </w:r>
      <w:r w:rsidR="00DF74B8" w:rsidRPr="00E0734A">
        <w:rPr>
          <w:rFonts w:ascii="Arial" w:hAnsi="Arial"/>
          <w:sz w:val="24"/>
          <w:szCs w:val="24"/>
        </w:rPr>
        <w:t xml:space="preserve"> (Cottrell, 2014</w:t>
      </w:r>
      <w:r w:rsidR="001D008C" w:rsidRPr="00E0734A">
        <w:rPr>
          <w:rFonts w:ascii="Arial" w:hAnsi="Arial"/>
          <w:sz w:val="24"/>
          <w:szCs w:val="24"/>
        </w:rPr>
        <w:t>)</w:t>
      </w:r>
      <w:r w:rsidRPr="00E0734A">
        <w:rPr>
          <w:rFonts w:ascii="Arial" w:hAnsi="Arial"/>
          <w:sz w:val="24"/>
          <w:szCs w:val="24"/>
        </w:rPr>
        <w:t>. Descriptive grids were used for the secondary analysis of netnographic data, which allowed the synthesis of opinions in a way comparable to the data obtained from internal sources. This process facilitated the formulation of conclusions and recommendations in the following chapters</w:t>
      </w:r>
      <w:r w:rsidR="0096670A" w:rsidRPr="00E0734A">
        <w:rPr>
          <w:rFonts w:ascii="Arial" w:hAnsi="Arial"/>
          <w:sz w:val="24"/>
          <w:szCs w:val="24"/>
        </w:rPr>
        <w:t xml:space="preserve"> (Collis and Hussey, 2014)</w:t>
      </w:r>
      <w:r w:rsidRPr="00E0734A">
        <w:rPr>
          <w:rFonts w:ascii="Arial" w:hAnsi="Arial"/>
          <w:sz w:val="24"/>
          <w:szCs w:val="24"/>
        </w:rPr>
        <w:t>.</w:t>
      </w:r>
    </w:p>
    <w:p w14:paraId="5A09824F" w14:textId="77777777" w:rsidR="00857899" w:rsidRDefault="00857899" w:rsidP="000F1502">
      <w:pPr>
        <w:pStyle w:val="BodyText"/>
        <w:spacing w:line="480" w:lineRule="auto"/>
        <w:jc w:val="both"/>
        <w:rPr>
          <w:rFonts w:ascii="Arial" w:hAnsi="Arial"/>
          <w:sz w:val="24"/>
          <w:szCs w:val="24"/>
        </w:rPr>
      </w:pPr>
    </w:p>
    <w:p w14:paraId="139794A9" w14:textId="77777777" w:rsidR="00857899" w:rsidRDefault="00857899" w:rsidP="000F1502">
      <w:pPr>
        <w:pStyle w:val="BodyText"/>
        <w:spacing w:line="480" w:lineRule="auto"/>
        <w:jc w:val="both"/>
        <w:rPr>
          <w:rFonts w:ascii="Arial" w:hAnsi="Arial"/>
          <w:sz w:val="24"/>
          <w:szCs w:val="24"/>
        </w:rPr>
      </w:pPr>
    </w:p>
    <w:p w14:paraId="2F3366F2" w14:textId="77777777" w:rsidR="00857899" w:rsidRDefault="00857899" w:rsidP="000F1502">
      <w:pPr>
        <w:pStyle w:val="BodyText"/>
        <w:spacing w:line="480" w:lineRule="auto"/>
        <w:jc w:val="both"/>
        <w:rPr>
          <w:rFonts w:ascii="Arial" w:hAnsi="Arial"/>
          <w:sz w:val="24"/>
          <w:szCs w:val="24"/>
        </w:rPr>
      </w:pPr>
    </w:p>
    <w:p w14:paraId="30E65449" w14:textId="77777777" w:rsidR="00857899" w:rsidRDefault="00857899" w:rsidP="000F1502">
      <w:pPr>
        <w:pStyle w:val="BodyText"/>
        <w:spacing w:line="480" w:lineRule="auto"/>
        <w:jc w:val="both"/>
        <w:rPr>
          <w:rFonts w:ascii="Arial" w:hAnsi="Arial"/>
          <w:sz w:val="24"/>
          <w:szCs w:val="24"/>
        </w:rPr>
      </w:pPr>
    </w:p>
    <w:p w14:paraId="06C84715" w14:textId="77777777" w:rsidR="00857899" w:rsidRDefault="00857899" w:rsidP="000F1502">
      <w:pPr>
        <w:pStyle w:val="BodyText"/>
        <w:spacing w:line="480" w:lineRule="auto"/>
        <w:jc w:val="both"/>
        <w:rPr>
          <w:rFonts w:ascii="Arial" w:hAnsi="Arial"/>
          <w:sz w:val="24"/>
          <w:szCs w:val="24"/>
        </w:rPr>
      </w:pPr>
    </w:p>
    <w:p w14:paraId="42B92605" w14:textId="77777777" w:rsidR="00857899" w:rsidRDefault="00857899" w:rsidP="000F1502">
      <w:pPr>
        <w:pStyle w:val="BodyText"/>
        <w:spacing w:line="480" w:lineRule="auto"/>
        <w:jc w:val="both"/>
        <w:rPr>
          <w:rFonts w:ascii="Arial" w:hAnsi="Arial"/>
          <w:sz w:val="24"/>
          <w:szCs w:val="24"/>
        </w:rPr>
      </w:pPr>
    </w:p>
    <w:p w14:paraId="5B7879A7" w14:textId="77777777" w:rsidR="00857899" w:rsidRDefault="00857899" w:rsidP="000F1502">
      <w:pPr>
        <w:pStyle w:val="BodyText"/>
        <w:spacing w:line="480" w:lineRule="auto"/>
        <w:jc w:val="both"/>
        <w:rPr>
          <w:rFonts w:ascii="Arial" w:hAnsi="Arial"/>
          <w:sz w:val="24"/>
          <w:szCs w:val="24"/>
        </w:rPr>
      </w:pPr>
    </w:p>
    <w:p w14:paraId="40B49F0D" w14:textId="77777777" w:rsidR="00857899" w:rsidRDefault="00857899" w:rsidP="000F1502">
      <w:pPr>
        <w:pStyle w:val="BodyText"/>
        <w:spacing w:line="480" w:lineRule="auto"/>
        <w:jc w:val="both"/>
        <w:rPr>
          <w:rFonts w:ascii="Arial" w:hAnsi="Arial"/>
          <w:sz w:val="24"/>
          <w:szCs w:val="24"/>
        </w:rPr>
      </w:pPr>
    </w:p>
    <w:p w14:paraId="3E67A8C1" w14:textId="77777777" w:rsidR="00857899" w:rsidRDefault="00857899" w:rsidP="000F1502">
      <w:pPr>
        <w:pStyle w:val="BodyText"/>
        <w:spacing w:line="480" w:lineRule="auto"/>
        <w:jc w:val="both"/>
        <w:rPr>
          <w:rFonts w:ascii="Arial" w:hAnsi="Arial"/>
          <w:sz w:val="24"/>
          <w:szCs w:val="24"/>
        </w:rPr>
      </w:pPr>
    </w:p>
    <w:p w14:paraId="3EA52BE6" w14:textId="77777777" w:rsidR="00413BC1" w:rsidRDefault="00413BC1" w:rsidP="000F1502">
      <w:pPr>
        <w:pStyle w:val="BodyText"/>
        <w:spacing w:line="480" w:lineRule="auto"/>
        <w:jc w:val="both"/>
        <w:rPr>
          <w:rFonts w:ascii="Arial" w:hAnsi="Arial"/>
          <w:sz w:val="24"/>
          <w:szCs w:val="24"/>
        </w:rPr>
      </w:pPr>
    </w:p>
    <w:p w14:paraId="377DDBD4" w14:textId="77777777" w:rsidR="00413BC1" w:rsidRPr="00E0734A" w:rsidRDefault="00413BC1" w:rsidP="000F1502">
      <w:pPr>
        <w:pStyle w:val="BodyText"/>
        <w:spacing w:line="480" w:lineRule="auto"/>
        <w:jc w:val="both"/>
        <w:rPr>
          <w:rFonts w:ascii="Arial" w:hAnsi="Arial"/>
          <w:sz w:val="24"/>
          <w:szCs w:val="24"/>
        </w:rPr>
      </w:pPr>
    </w:p>
    <w:p w14:paraId="0D704254" w14:textId="2AD05F89" w:rsidR="0093460D" w:rsidRDefault="000B5217" w:rsidP="000B5217">
      <w:pPr>
        <w:pStyle w:val="Heading1"/>
        <w:rPr>
          <w:sz w:val="28"/>
        </w:rPr>
      </w:pPr>
      <w:bookmarkStart w:id="20" w:name="_Toc199633493"/>
      <w:r>
        <w:lastRenderedPageBreak/>
        <w:t xml:space="preserve"> </w:t>
      </w:r>
      <w:bookmarkStart w:id="21" w:name="_Toc200461594"/>
      <w:r w:rsidRPr="003E70F0">
        <w:rPr>
          <w:sz w:val="28"/>
        </w:rPr>
        <w:t xml:space="preserve">Chapter 4. </w:t>
      </w:r>
      <w:r w:rsidR="00F40537" w:rsidRPr="003E70F0">
        <w:rPr>
          <w:sz w:val="28"/>
        </w:rPr>
        <w:t>Findings and Discussion</w:t>
      </w:r>
      <w:bookmarkEnd w:id="20"/>
      <w:bookmarkEnd w:id="21"/>
    </w:p>
    <w:p w14:paraId="7D9679DD" w14:textId="77777777" w:rsidR="00F30950" w:rsidRPr="00F30950" w:rsidRDefault="00F30950" w:rsidP="00F30950">
      <w:pPr>
        <w:pStyle w:val="BodyText"/>
      </w:pPr>
    </w:p>
    <w:p w14:paraId="4F3AA77E" w14:textId="7ECA9CE3" w:rsidR="000B5217" w:rsidRPr="00F30950" w:rsidRDefault="00F30950" w:rsidP="00F30950">
      <w:pPr>
        <w:pStyle w:val="BodyText"/>
        <w:spacing w:line="480" w:lineRule="auto"/>
        <w:jc w:val="both"/>
        <w:rPr>
          <w:rFonts w:ascii="Arial" w:hAnsi="Arial"/>
          <w:sz w:val="24"/>
          <w:szCs w:val="24"/>
        </w:rPr>
      </w:pPr>
      <w:r w:rsidRPr="00E0734A">
        <w:rPr>
          <w:rFonts w:ascii="Arial" w:hAnsi="Arial"/>
          <w:sz w:val="24"/>
          <w:szCs w:val="24"/>
        </w:rPr>
        <w:t xml:space="preserve">This chapter presents the results of the research conducted </w:t>
      </w:r>
      <w:r>
        <w:rPr>
          <w:rFonts w:ascii="Arial" w:hAnsi="Arial"/>
          <w:sz w:val="24"/>
          <w:szCs w:val="24"/>
        </w:rPr>
        <w:t>for</w:t>
      </w:r>
      <w:r w:rsidRPr="00E0734A">
        <w:rPr>
          <w:rFonts w:ascii="Arial" w:hAnsi="Arial"/>
          <w:sz w:val="24"/>
          <w:szCs w:val="24"/>
        </w:rPr>
        <w:t xml:space="preserve"> the Holiday Inn Sunderland hotel, </w:t>
      </w:r>
      <w:r>
        <w:rPr>
          <w:rFonts w:ascii="Arial" w:hAnsi="Arial"/>
          <w:sz w:val="24"/>
          <w:szCs w:val="24"/>
        </w:rPr>
        <w:t>organised</w:t>
      </w:r>
      <w:r w:rsidRPr="00E0734A">
        <w:rPr>
          <w:rFonts w:ascii="Arial" w:hAnsi="Arial"/>
          <w:sz w:val="24"/>
          <w:szCs w:val="24"/>
        </w:rPr>
        <w:t xml:space="preserve"> thematically based on data collected through qualitative methods, such as direct observation during placement, internal documentary analysis and applied netnography. The objective of this section is to present </w:t>
      </w:r>
      <w:r>
        <w:rPr>
          <w:rFonts w:ascii="Arial" w:hAnsi="Arial"/>
          <w:sz w:val="24"/>
          <w:szCs w:val="24"/>
        </w:rPr>
        <w:t>impartially</w:t>
      </w:r>
      <w:r w:rsidRPr="00E0734A">
        <w:rPr>
          <w:rFonts w:ascii="Arial" w:hAnsi="Arial"/>
          <w:sz w:val="24"/>
          <w:szCs w:val="24"/>
        </w:rPr>
        <w:t xml:space="preserve"> the findings regarding the causes of staff turnover, its impact on operational efficiency and services provided, employee perceptions of the workplace and current retention practices implemented by management. The presentation of the results is structured around identified themes without introducing theoretical interpretations or critical evaluations.</w:t>
      </w:r>
    </w:p>
    <w:p w14:paraId="17845956" w14:textId="4A13B3E9" w:rsidR="00860A00" w:rsidRPr="000B5217" w:rsidRDefault="00860A00" w:rsidP="000B5217">
      <w:pPr>
        <w:pStyle w:val="Heading2"/>
        <w:numPr>
          <w:ilvl w:val="1"/>
          <w:numId w:val="44"/>
        </w:numPr>
        <w:spacing w:line="480" w:lineRule="auto"/>
        <w:jc w:val="both"/>
        <w:rPr>
          <w:rFonts w:ascii="Arial" w:hAnsi="Arial" w:cs="Arial"/>
          <w:sz w:val="28"/>
          <w:szCs w:val="28"/>
        </w:rPr>
      </w:pPr>
      <w:bookmarkStart w:id="22" w:name="_Toc199633494"/>
      <w:bookmarkStart w:id="23" w:name="_Toc200461595"/>
      <w:r w:rsidRPr="000B5217">
        <w:rPr>
          <w:rFonts w:ascii="Arial" w:hAnsi="Arial" w:cs="Arial"/>
          <w:sz w:val="28"/>
          <w:szCs w:val="28"/>
        </w:rPr>
        <w:t>Analysis of Case Study Results</w:t>
      </w:r>
      <w:bookmarkEnd w:id="22"/>
      <w:bookmarkEnd w:id="23"/>
    </w:p>
    <w:p w14:paraId="5A3B536F" w14:textId="2A352B4D"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Analysis of data collected from </w:t>
      </w:r>
      <w:r w:rsidR="00514E0D">
        <w:rPr>
          <w:rFonts w:ascii="Arial" w:hAnsi="Arial"/>
          <w:sz w:val="24"/>
          <w:szCs w:val="24"/>
        </w:rPr>
        <w:t>placement</w:t>
      </w:r>
      <w:r w:rsidRPr="00E0734A">
        <w:rPr>
          <w:rFonts w:ascii="Arial" w:hAnsi="Arial"/>
          <w:sz w:val="24"/>
          <w:szCs w:val="24"/>
        </w:rPr>
        <w:t xml:space="preserve"> at the Holiday Inn Sunderland, together with publicly available information, shows the factors that contribute to staff turnover within the hotel. These causes were determined both through informal interactions with employees and through netnographic analysis of reviews on platforms such as Indeed and Glassdoor. The most relevant themes are uncompetitive salary conditions, lack of professional development opportunities, overwork during peak periods and the quality of the relationship between management and employees.</w:t>
      </w:r>
    </w:p>
    <w:p w14:paraId="0B86350A" w14:textId="1DC7CC92" w:rsidR="008135DF" w:rsidRPr="009454CF"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A significant factor is the level of salary, which is considered by the majority of employees to be below the local average for the hospitality industry. In many of the reviews </w:t>
      </w:r>
      <w:r w:rsidR="00E208ED">
        <w:rPr>
          <w:rFonts w:ascii="Arial" w:hAnsi="Arial"/>
          <w:sz w:val="24"/>
          <w:szCs w:val="24"/>
        </w:rPr>
        <w:t>analysed</w:t>
      </w:r>
      <w:r w:rsidRPr="00E0734A">
        <w:rPr>
          <w:rFonts w:ascii="Arial" w:hAnsi="Arial"/>
          <w:sz w:val="24"/>
          <w:szCs w:val="24"/>
        </w:rPr>
        <w:t>, employees mention that the volume of work is not proportional to the remuneration received, and this has led to dissatisfaction and the intention to seek other</w:t>
      </w:r>
      <w:r w:rsidR="006119F1">
        <w:rPr>
          <w:rFonts w:ascii="Arial" w:hAnsi="Arial"/>
          <w:sz w:val="24"/>
          <w:szCs w:val="24"/>
        </w:rPr>
        <w:t>,</w:t>
      </w:r>
      <w:r w:rsidRPr="00E0734A">
        <w:rPr>
          <w:rFonts w:ascii="Arial" w:hAnsi="Arial"/>
          <w:sz w:val="24"/>
          <w:szCs w:val="24"/>
        </w:rPr>
        <w:t xml:space="preserve"> better-paid job offers in other hotels or other industries</w:t>
      </w:r>
      <w:r w:rsidR="00A87FDF">
        <w:rPr>
          <w:rFonts w:ascii="Arial" w:hAnsi="Arial"/>
          <w:sz w:val="24"/>
          <w:szCs w:val="24"/>
        </w:rPr>
        <w:t xml:space="preserve"> (</w:t>
      </w:r>
      <w:r w:rsidR="00A87FDF" w:rsidRPr="00A87FDF">
        <w:rPr>
          <w:rFonts w:ascii="Arial" w:hAnsi="Arial"/>
          <w:sz w:val="24"/>
          <w:szCs w:val="24"/>
        </w:rPr>
        <w:t>Arachchillage and Senevirathna,</w:t>
      </w:r>
      <w:r w:rsidR="00A87FDF">
        <w:rPr>
          <w:rFonts w:ascii="Arial" w:hAnsi="Arial"/>
          <w:sz w:val="24"/>
          <w:szCs w:val="24"/>
        </w:rPr>
        <w:t xml:space="preserve"> </w:t>
      </w:r>
      <w:r w:rsidR="00A87FDF" w:rsidRPr="00A87FDF">
        <w:rPr>
          <w:rFonts w:ascii="Arial" w:hAnsi="Arial"/>
          <w:sz w:val="24"/>
          <w:szCs w:val="24"/>
        </w:rPr>
        <w:t>2017)</w:t>
      </w:r>
      <w:r w:rsidR="00A87FDF">
        <w:rPr>
          <w:rFonts w:ascii="Arial" w:hAnsi="Arial"/>
          <w:sz w:val="24"/>
          <w:szCs w:val="24"/>
        </w:rPr>
        <w:t>.</w:t>
      </w:r>
      <w:r w:rsidR="00A87FDF" w:rsidRPr="00A87FDF">
        <w:rPr>
          <w:rFonts w:ascii="Arial" w:hAnsi="Arial"/>
          <w:i/>
          <w:iCs/>
          <w:sz w:val="24"/>
          <w:szCs w:val="24"/>
        </w:rPr>
        <w:t xml:space="preserve"> </w:t>
      </w:r>
    </w:p>
    <w:p w14:paraId="30FCBE10" w14:textId="789BC94B"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lastRenderedPageBreak/>
        <w:t>The lack of additional financial incentives, such as performance bonuses or overtime payments, leads to undervaluation of the work done</w:t>
      </w:r>
      <w:r w:rsidR="00801A62" w:rsidRPr="00E0734A">
        <w:rPr>
          <w:rFonts w:ascii="Arial" w:hAnsi="Arial"/>
          <w:sz w:val="24"/>
          <w:szCs w:val="24"/>
        </w:rPr>
        <w:t xml:space="preserve"> (AKTUtheintactone, 2019)</w:t>
      </w:r>
      <w:r w:rsidRPr="00E0734A">
        <w:rPr>
          <w:rFonts w:ascii="Arial" w:hAnsi="Arial"/>
          <w:sz w:val="24"/>
          <w:szCs w:val="24"/>
        </w:rPr>
        <w:t>.</w:t>
      </w:r>
    </w:p>
    <w:p w14:paraId="6B144580" w14:textId="05BC7852"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Another factor is the lack of training and career advancement opportunities. Many employees believe that their position does not offer them clear career advancement opportunities, an idea reinforced by the lack of structured training programs or an internal promotion policy</w:t>
      </w:r>
      <w:r w:rsidR="00536FA9">
        <w:rPr>
          <w:rFonts w:ascii="Arial" w:hAnsi="Arial"/>
          <w:sz w:val="24"/>
          <w:szCs w:val="24"/>
        </w:rPr>
        <w:t xml:space="preserve"> (</w:t>
      </w:r>
      <w:r w:rsidR="00536FA9" w:rsidRPr="00536FA9">
        <w:rPr>
          <w:rFonts w:ascii="Arial" w:hAnsi="Arial"/>
          <w:sz w:val="24"/>
          <w:szCs w:val="24"/>
        </w:rPr>
        <w:t>Mirić and Slavković,</w:t>
      </w:r>
      <w:r w:rsidR="00536FA9">
        <w:rPr>
          <w:rFonts w:ascii="Arial" w:hAnsi="Arial"/>
          <w:sz w:val="24"/>
          <w:szCs w:val="24"/>
        </w:rPr>
        <w:t xml:space="preserve"> </w:t>
      </w:r>
      <w:r w:rsidR="00536FA9" w:rsidRPr="00536FA9">
        <w:rPr>
          <w:rFonts w:ascii="Arial" w:hAnsi="Arial"/>
          <w:sz w:val="24"/>
          <w:szCs w:val="24"/>
        </w:rPr>
        <w:t>2023)</w:t>
      </w:r>
      <w:r w:rsidR="00536FA9">
        <w:rPr>
          <w:rFonts w:ascii="Arial" w:hAnsi="Arial"/>
          <w:sz w:val="24"/>
          <w:szCs w:val="24"/>
        </w:rPr>
        <w:t>.</w:t>
      </w:r>
      <w:r w:rsidR="00536FA9" w:rsidRPr="00536FA9">
        <w:rPr>
          <w:rFonts w:ascii="Arial" w:hAnsi="Arial"/>
          <w:sz w:val="24"/>
          <w:szCs w:val="24"/>
        </w:rPr>
        <w:t xml:space="preserve"> </w:t>
      </w:r>
      <w:r w:rsidRPr="00E0734A">
        <w:rPr>
          <w:rFonts w:ascii="Arial" w:hAnsi="Arial"/>
          <w:sz w:val="24"/>
          <w:szCs w:val="24"/>
        </w:rPr>
        <w:t>During the observations made, it was noted that many new employees were left to learn “on the fly”, without an adequate induction period or constant support from management</w:t>
      </w:r>
      <w:r w:rsidR="00F879EB" w:rsidRPr="00E0734A">
        <w:rPr>
          <w:rFonts w:ascii="Arial" w:hAnsi="Arial"/>
          <w:sz w:val="24"/>
          <w:szCs w:val="24"/>
        </w:rPr>
        <w:t xml:space="preserve"> (DeCarbo, 2024)</w:t>
      </w:r>
      <w:r w:rsidRPr="00E0734A">
        <w:rPr>
          <w:rFonts w:ascii="Arial" w:hAnsi="Arial"/>
          <w:sz w:val="24"/>
          <w:szCs w:val="24"/>
        </w:rPr>
        <w:t>.</w:t>
      </w:r>
    </w:p>
    <w:p w14:paraId="03BB299A" w14:textId="0B4CB121"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High workload and overwork </w:t>
      </w:r>
      <w:r w:rsidR="009344A1">
        <w:rPr>
          <w:rFonts w:ascii="Arial" w:hAnsi="Arial"/>
          <w:sz w:val="24"/>
          <w:szCs w:val="24"/>
        </w:rPr>
        <w:t>are</w:t>
      </w:r>
      <w:r w:rsidRPr="00E0734A">
        <w:rPr>
          <w:rFonts w:ascii="Arial" w:hAnsi="Arial"/>
          <w:sz w:val="24"/>
          <w:szCs w:val="24"/>
        </w:rPr>
        <w:t xml:space="preserve"> </w:t>
      </w:r>
      <w:r w:rsidR="009344A1">
        <w:rPr>
          <w:rFonts w:ascii="Arial" w:hAnsi="Arial"/>
          <w:sz w:val="24"/>
          <w:szCs w:val="24"/>
        </w:rPr>
        <w:t>other causes</w:t>
      </w:r>
      <w:r w:rsidRPr="00E0734A">
        <w:rPr>
          <w:rFonts w:ascii="Arial" w:hAnsi="Arial"/>
          <w:sz w:val="24"/>
          <w:szCs w:val="24"/>
        </w:rPr>
        <w:t xml:space="preserve"> of departures. At several points during the </w:t>
      </w:r>
      <w:r w:rsidR="001144EA">
        <w:rPr>
          <w:rFonts w:ascii="Arial" w:hAnsi="Arial"/>
          <w:sz w:val="24"/>
          <w:szCs w:val="24"/>
        </w:rPr>
        <w:t>placement</w:t>
      </w:r>
      <w:r w:rsidRPr="00E0734A">
        <w:rPr>
          <w:rFonts w:ascii="Arial" w:hAnsi="Arial"/>
          <w:sz w:val="24"/>
          <w:szCs w:val="24"/>
        </w:rPr>
        <w:t xml:space="preserve"> period, an uneven distribution of tasks among team members was observed, which generated frustration and tension. This problem is aggravated by the lack of an effective system of shift rotation or effort compensation during busy periods. Many employees stated that the lack of reserve staff leads to extended working hours and the accumulation of fatigue, which affects both the quality of services and job satisfaction</w:t>
      </w:r>
      <w:r w:rsidR="00D77FC5" w:rsidRPr="00E0734A">
        <w:rPr>
          <w:rFonts w:ascii="Arial" w:hAnsi="Arial"/>
          <w:sz w:val="24"/>
          <w:szCs w:val="24"/>
        </w:rPr>
        <w:t xml:space="preserve"> (Wong, Chan and Ngan, 2019)</w:t>
      </w:r>
      <w:r w:rsidRPr="00E0734A">
        <w:rPr>
          <w:rFonts w:ascii="Arial" w:hAnsi="Arial"/>
          <w:sz w:val="24"/>
          <w:szCs w:val="24"/>
        </w:rPr>
        <w:t>.</w:t>
      </w:r>
    </w:p>
    <w:p w14:paraId="3E37B437" w14:textId="278B7E56"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The organi</w:t>
      </w:r>
      <w:r w:rsidR="001144EA">
        <w:rPr>
          <w:rFonts w:ascii="Arial" w:hAnsi="Arial"/>
          <w:sz w:val="24"/>
          <w:szCs w:val="24"/>
        </w:rPr>
        <w:t>s</w:t>
      </w:r>
      <w:r w:rsidRPr="00E0734A">
        <w:rPr>
          <w:rFonts w:ascii="Arial" w:hAnsi="Arial"/>
          <w:sz w:val="24"/>
          <w:szCs w:val="24"/>
        </w:rPr>
        <w:t xml:space="preserve">ational climate and the quality of relationships with superiors are </w:t>
      </w:r>
      <w:r w:rsidR="001144EA" w:rsidRPr="00E0734A">
        <w:rPr>
          <w:rFonts w:ascii="Arial" w:hAnsi="Arial"/>
          <w:sz w:val="24"/>
          <w:szCs w:val="24"/>
        </w:rPr>
        <w:t>mentioned</w:t>
      </w:r>
      <w:r w:rsidRPr="00E0734A">
        <w:rPr>
          <w:rFonts w:ascii="Arial" w:hAnsi="Arial"/>
          <w:sz w:val="24"/>
          <w:szCs w:val="24"/>
        </w:rPr>
        <w:t xml:space="preserve">. The analysis of comments and informal interviews suggests poor communication between the team and management, as well as a perception of a lack of empathy on the part of management. In some situations, employees perceived managerial decisions as unpredictable or lacking transparency, which led to demotivation and emotional withdrawal from the activity. This situation was observed especially in operational departments, where frequent schedule changes and the lack of consultation </w:t>
      </w:r>
      <w:r w:rsidR="001144EA">
        <w:rPr>
          <w:rFonts w:ascii="Arial" w:hAnsi="Arial"/>
          <w:sz w:val="24"/>
          <w:szCs w:val="24"/>
        </w:rPr>
        <w:t>with</w:t>
      </w:r>
      <w:r w:rsidRPr="00E0734A">
        <w:rPr>
          <w:rFonts w:ascii="Arial" w:hAnsi="Arial"/>
          <w:sz w:val="24"/>
          <w:szCs w:val="24"/>
        </w:rPr>
        <w:t xml:space="preserve"> staff in decision-making contributed to instability and insecurity</w:t>
      </w:r>
      <w:r w:rsidR="00BB1C83" w:rsidRPr="00E0734A">
        <w:rPr>
          <w:rFonts w:ascii="Arial" w:hAnsi="Arial"/>
          <w:sz w:val="24"/>
          <w:szCs w:val="24"/>
        </w:rPr>
        <w:t xml:space="preserve"> (Mohammed and Hussein, 2013)</w:t>
      </w:r>
      <w:r w:rsidRPr="00E0734A">
        <w:rPr>
          <w:rFonts w:ascii="Arial" w:hAnsi="Arial"/>
          <w:sz w:val="24"/>
          <w:szCs w:val="24"/>
        </w:rPr>
        <w:t>.</w:t>
      </w:r>
    </w:p>
    <w:p w14:paraId="7A096F74" w14:textId="236BBA5D"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Physical working conditions were considered unsatisfactory by some employees. Lack of adequate facilities for breaks, worn or inadequate equipment and crowded workspaces were mentioned as factors that increase discomfort and affect well-being at work. These elements are often ignored in retention </w:t>
      </w:r>
      <w:r w:rsidR="001B15EF" w:rsidRPr="00E0734A">
        <w:rPr>
          <w:rFonts w:ascii="Arial" w:hAnsi="Arial"/>
          <w:sz w:val="24"/>
          <w:szCs w:val="24"/>
        </w:rPr>
        <w:t>policies but</w:t>
      </w:r>
      <w:r w:rsidRPr="00E0734A">
        <w:rPr>
          <w:rFonts w:ascii="Arial" w:hAnsi="Arial"/>
          <w:sz w:val="24"/>
          <w:szCs w:val="24"/>
        </w:rPr>
        <w:t xml:space="preserve"> can play a key role in the decision to stay or leave a job</w:t>
      </w:r>
      <w:r w:rsidR="001B15EF" w:rsidRPr="00E0734A">
        <w:rPr>
          <w:rFonts w:ascii="Arial" w:hAnsi="Arial"/>
          <w:sz w:val="24"/>
          <w:szCs w:val="24"/>
        </w:rPr>
        <w:t xml:space="preserve"> (Shaari, Sarip and Ramadhinda, 2022)</w:t>
      </w:r>
      <w:r w:rsidRPr="00E0734A">
        <w:rPr>
          <w:rFonts w:ascii="Arial" w:hAnsi="Arial"/>
          <w:sz w:val="24"/>
          <w:szCs w:val="24"/>
        </w:rPr>
        <w:t>.</w:t>
      </w:r>
    </w:p>
    <w:p w14:paraId="41C00E48" w14:textId="79D57B39" w:rsidR="00E77F24"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Staff turnover at Holiday Inn Sunderland is not the result of a single isolated element but reflects a combination of structural deficiencies and subjective employee perceptions, with direct implications for team stability and </w:t>
      </w:r>
      <w:r w:rsidR="001144EA">
        <w:rPr>
          <w:rFonts w:ascii="Arial" w:hAnsi="Arial"/>
          <w:sz w:val="24"/>
          <w:szCs w:val="24"/>
        </w:rPr>
        <w:t>organisational</w:t>
      </w:r>
      <w:r w:rsidRPr="00E0734A">
        <w:rPr>
          <w:rFonts w:ascii="Arial" w:hAnsi="Arial"/>
          <w:sz w:val="24"/>
          <w:szCs w:val="24"/>
        </w:rPr>
        <w:t xml:space="preserve"> performance.</w:t>
      </w:r>
    </w:p>
    <w:p w14:paraId="778AA8EE" w14:textId="17306A43" w:rsidR="009F644E" w:rsidRPr="00E0734A" w:rsidRDefault="009F644E" w:rsidP="000F1502">
      <w:pPr>
        <w:pStyle w:val="BodyText"/>
        <w:spacing w:line="480" w:lineRule="auto"/>
        <w:jc w:val="both"/>
        <w:rPr>
          <w:rFonts w:ascii="Arial" w:hAnsi="Arial"/>
          <w:sz w:val="24"/>
          <w:szCs w:val="24"/>
        </w:rPr>
      </w:pPr>
      <w:r w:rsidRPr="00E0734A">
        <w:rPr>
          <w:rFonts w:ascii="Arial" w:hAnsi="Arial"/>
          <w:sz w:val="24"/>
          <w:szCs w:val="24"/>
        </w:rPr>
        <w:t xml:space="preserve">Staff turnover at Holiday Inn Sunderland has negative effects on operational efficiency and the quality of guest service, such as team fragmentation and </w:t>
      </w:r>
      <w:r w:rsidR="00F05142">
        <w:rPr>
          <w:rFonts w:ascii="Arial" w:hAnsi="Arial"/>
          <w:sz w:val="24"/>
          <w:szCs w:val="24"/>
        </w:rPr>
        <w:t xml:space="preserve">a </w:t>
      </w:r>
      <w:r w:rsidRPr="00E0734A">
        <w:rPr>
          <w:rFonts w:ascii="Arial" w:hAnsi="Arial"/>
          <w:sz w:val="24"/>
          <w:szCs w:val="24"/>
        </w:rPr>
        <w:t>lack of continuity in daily activities. Staff changes mean constant re-introduction of the integration and training process, which leads to a waste of resources and time</w:t>
      </w:r>
      <w:r w:rsidR="009E6F2C" w:rsidRPr="00E0734A">
        <w:rPr>
          <w:rFonts w:ascii="Arial" w:hAnsi="Arial"/>
          <w:sz w:val="24"/>
          <w:szCs w:val="24"/>
        </w:rPr>
        <w:t xml:space="preserve"> (Bryman, 2008)</w:t>
      </w:r>
      <w:r w:rsidRPr="00E0734A">
        <w:rPr>
          <w:rFonts w:ascii="Arial" w:hAnsi="Arial"/>
          <w:sz w:val="24"/>
          <w:szCs w:val="24"/>
        </w:rPr>
        <w:t>. New employees, who are not yet familiar with internal standards and procedures, can make errors that negatively affect operational flow. During the observation period, it was found that staff turnover in the reception area and housekeeping department contributed to delays in check-in/check-out and an increase in the number of complaints about cleanliness</w:t>
      </w:r>
      <w:r w:rsidR="004B63DD">
        <w:rPr>
          <w:rFonts w:ascii="Arial" w:hAnsi="Arial"/>
          <w:sz w:val="24"/>
          <w:szCs w:val="24"/>
        </w:rPr>
        <w:t>.</w:t>
      </w:r>
      <w:r w:rsidR="00545DA0" w:rsidRPr="00E0734A">
        <w:rPr>
          <w:rFonts w:ascii="Arial" w:hAnsi="Arial"/>
          <w:sz w:val="24"/>
          <w:szCs w:val="24"/>
        </w:rPr>
        <w:t xml:space="preserve"> </w:t>
      </w:r>
    </w:p>
    <w:p w14:paraId="1D7FB00B" w14:textId="686CFF8B" w:rsidR="009F644E" w:rsidRPr="00E0734A" w:rsidRDefault="009F644E" w:rsidP="000F1502">
      <w:pPr>
        <w:pStyle w:val="BodyText"/>
        <w:spacing w:line="480" w:lineRule="auto"/>
        <w:jc w:val="both"/>
        <w:rPr>
          <w:rFonts w:ascii="Arial" w:hAnsi="Arial"/>
          <w:sz w:val="24"/>
          <w:szCs w:val="24"/>
        </w:rPr>
      </w:pPr>
      <w:r w:rsidRPr="00E0734A">
        <w:rPr>
          <w:rFonts w:ascii="Arial" w:hAnsi="Arial"/>
          <w:sz w:val="24"/>
          <w:szCs w:val="24"/>
        </w:rPr>
        <w:t>Staff turnover also affects the level of experience and expertise available in the team, which has an impact on the hotel's ability to respond effectively to guest needs</w:t>
      </w:r>
      <w:r w:rsidR="004B63DD">
        <w:rPr>
          <w:rFonts w:ascii="Arial" w:hAnsi="Arial"/>
          <w:sz w:val="24"/>
          <w:szCs w:val="24"/>
        </w:rPr>
        <w:t xml:space="preserve"> </w:t>
      </w:r>
      <w:r w:rsidR="004B63DD" w:rsidRPr="00E0734A">
        <w:rPr>
          <w:rFonts w:ascii="Arial" w:hAnsi="Arial"/>
          <w:sz w:val="24"/>
          <w:szCs w:val="24"/>
        </w:rPr>
        <w:t xml:space="preserve">(Al-Suraihi </w:t>
      </w:r>
      <w:r w:rsidR="004B63DD" w:rsidRPr="00AB5F23">
        <w:rPr>
          <w:rFonts w:ascii="Arial" w:hAnsi="Arial"/>
          <w:i/>
          <w:iCs/>
          <w:sz w:val="24"/>
          <w:szCs w:val="24"/>
        </w:rPr>
        <w:t>et al</w:t>
      </w:r>
      <w:r w:rsidR="004B63DD" w:rsidRPr="00E0734A">
        <w:rPr>
          <w:rFonts w:ascii="Arial" w:hAnsi="Arial"/>
          <w:sz w:val="24"/>
          <w:szCs w:val="24"/>
        </w:rPr>
        <w:t>., 2021).</w:t>
      </w:r>
      <w:r w:rsidRPr="00E0734A">
        <w:rPr>
          <w:rFonts w:ascii="Arial" w:hAnsi="Arial"/>
          <w:sz w:val="24"/>
          <w:szCs w:val="24"/>
        </w:rPr>
        <w:t xml:space="preserve"> The lack of senior staff leads to a decrease in the quality of personali</w:t>
      </w:r>
      <w:r w:rsidR="00A27DC9">
        <w:rPr>
          <w:rFonts w:ascii="Arial" w:hAnsi="Arial"/>
          <w:sz w:val="24"/>
          <w:szCs w:val="24"/>
        </w:rPr>
        <w:t>s</w:t>
      </w:r>
      <w:r w:rsidRPr="00E0734A">
        <w:rPr>
          <w:rFonts w:ascii="Arial" w:hAnsi="Arial"/>
          <w:sz w:val="24"/>
          <w:szCs w:val="24"/>
        </w:rPr>
        <w:t>ed services, as new employees do not have enough experience to handle special situations or complex requests. This lack of accumulated expertise was particularly felt in direct interactions with customers, where communication difficulties and a lack of confidence in making quick decisions were noted</w:t>
      </w:r>
      <w:r w:rsidR="00A94EB9" w:rsidRPr="00E0734A">
        <w:rPr>
          <w:rFonts w:ascii="Arial" w:hAnsi="Arial"/>
          <w:sz w:val="24"/>
          <w:szCs w:val="24"/>
        </w:rPr>
        <w:t xml:space="preserve"> (Surji, 2013)</w:t>
      </w:r>
      <w:r w:rsidRPr="00E0734A">
        <w:rPr>
          <w:rFonts w:ascii="Arial" w:hAnsi="Arial"/>
          <w:sz w:val="24"/>
          <w:szCs w:val="24"/>
        </w:rPr>
        <w:t>.</w:t>
      </w:r>
    </w:p>
    <w:p w14:paraId="469159F5" w14:textId="423F60B6" w:rsidR="009F644E" w:rsidRPr="00E0734A" w:rsidRDefault="009F644E" w:rsidP="000F1502">
      <w:pPr>
        <w:pStyle w:val="BodyText"/>
        <w:spacing w:line="480" w:lineRule="auto"/>
        <w:jc w:val="both"/>
        <w:rPr>
          <w:rFonts w:ascii="Arial" w:hAnsi="Arial"/>
          <w:sz w:val="24"/>
          <w:szCs w:val="24"/>
        </w:rPr>
      </w:pPr>
      <w:r w:rsidRPr="00E0734A">
        <w:rPr>
          <w:rFonts w:ascii="Arial" w:hAnsi="Arial"/>
          <w:sz w:val="24"/>
          <w:szCs w:val="24"/>
        </w:rPr>
        <w:lastRenderedPageBreak/>
        <w:t>The increasing pressure on remaining employees is another aspect, as they are forced to take on the responsibilities of those who have left to compensate for the lack of staff. This leads to physical and mental exhaustion, which reduces individual and collective efficiency</w:t>
      </w:r>
      <w:r w:rsidR="001A60CF">
        <w:rPr>
          <w:rFonts w:ascii="Arial" w:hAnsi="Arial"/>
          <w:sz w:val="24"/>
          <w:szCs w:val="24"/>
        </w:rPr>
        <w:t xml:space="preserve"> (</w:t>
      </w:r>
      <w:r w:rsidR="001A60CF" w:rsidRPr="00A16115">
        <w:rPr>
          <w:rFonts w:ascii="Arial" w:hAnsi="Arial"/>
          <w:sz w:val="24"/>
          <w:szCs w:val="24"/>
          <w:lang w:val="en-GB"/>
        </w:rPr>
        <w:t>Park and Min,</w:t>
      </w:r>
      <w:r w:rsidR="001A60CF">
        <w:rPr>
          <w:rFonts w:ascii="Arial" w:hAnsi="Arial"/>
          <w:sz w:val="24"/>
          <w:szCs w:val="24"/>
          <w:lang w:val="en-GB"/>
        </w:rPr>
        <w:t xml:space="preserve"> </w:t>
      </w:r>
      <w:r w:rsidR="001A60CF" w:rsidRPr="00A16115">
        <w:rPr>
          <w:rFonts w:ascii="Arial" w:hAnsi="Arial"/>
          <w:sz w:val="24"/>
          <w:szCs w:val="24"/>
          <w:lang w:val="en-GB"/>
        </w:rPr>
        <w:t>2020)</w:t>
      </w:r>
      <w:r w:rsidR="001A60CF">
        <w:rPr>
          <w:rFonts w:ascii="Arial" w:hAnsi="Arial"/>
          <w:sz w:val="24"/>
          <w:szCs w:val="24"/>
          <w:lang w:val="en-GB"/>
        </w:rPr>
        <w:t>.</w:t>
      </w:r>
      <w:r w:rsidR="001A60CF" w:rsidRPr="00A16115">
        <w:rPr>
          <w:rFonts w:ascii="Arial" w:hAnsi="Arial"/>
          <w:sz w:val="24"/>
          <w:szCs w:val="24"/>
          <w:lang w:val="en-GB"/>
        </w:rPr>
        <w:t xml:space="preserve"> </w:t>
      </w:r>
      <w:r w:rsidRPr="00E0734A">
        <w:rPr>
          <w:rFonts w:ascii="Arial" w:hAnsi="Arial"/>
          <w:sz w:val="24"/>
          <w:szCs w:val="24"/>
        </w:rPr>
        <w:t>Overworked employees can become less attentive to details, less empathetic in their relationship with customers and more prone to mistakes. This type of pressure affects all hotel activities in the chain, including preparing rooms, serving breakfast and resolving complaints</w:t>
      </w:r>
      <w:r w:rsidR="001E2C02" w:rsidRPr="00E0734A">
        <w:rPr>
          <w:rFonts w:ascii="Arial" w:hAnsi="Arial"/>
          <w:sz w:val="24"/>
          <w:szCs w:val="24"/>
        </w:rPr>
        <w:t xml:space="preserve"> (Klapproth, 2021)</w:t>
      </w:r>
      <w:r w:rsidRPr="00E0734A">
        <w:rPr>
          <w:rFonts w:ascii="Arial" w:hAnsi="Arial"/>
          <w:sz w:val="24"/>
          <w:szCs w:val="24"/>
        </w:rPr>
        <w:t>.</w:t>
      </w:r>
    </w:p>
    <w:p w14:paraId="028DE45B" w14:textId="77544014" w:rsidR="00323BEF" w:rsidRPr="00E0734A" w:rsidRDefault="009F644E" w:rsidP="000F1502">
      <w:pPr>
        <w:pStyle w:val="BodyText"/>
        <w:spacing w:line="480" w:lineRule="auto"/>
        <w:jc w:val="both"/>
        <w:rPr>
          <w:rFonts w:ascii="Arial" w:hAnsi="Arial"/>
          <w:sz w:val="24"/>
          <w:szCs w:val="24"/>
        </w:rPr>
      </w:pPr>
      <w:r w:rsidRPr="00E0734A">
        <w:rPr>
          <w:rFonts w:ascii="Arial" w:hAnsi="Arial"/>
          <w:sz w:val="24"/>
          <w:szCs w:val="24"/>
        </w:rPr>
        <w:t xml:space="preserve">At the same time, the fluctuation also affects the coherence in the delivery of Holiday Inn brand standards, which imposes strict standards regarding </w:t>
      </w:r>
      <w:r w:rsidR="00392F3A" w:rsidRPr="00E0734A">
        <w:rPr>
          <w:rFonts w:ascii="Arial" w:hAnsi="Arial"/>
          <w:sz w:val="24"/>
          <w:szCs w:val="24"/>
        </w:rPr>
        <w:t>customer</w:t>
      </w:r>
      <w:r w:rsidRPr="00E0734A">
        <w:rPr>
          <w:rFonts w:ascii="Arial" w:hAnsi="Arial"/>
          <w:sz w:val="24"/>
          <w:szCs w:val="24"/>
        </w:rPr>
        <w:t xml:space="preserve"> experience, and compliance with them depends on symmetry in </w:t>
      </w:r>
      <w:r w:rsidR="00392F3A">
        <w:rPr>
          <w:rFonts w:ascii="Arial" w:hAnsi="Arial"/>
          <w:sz w:val="24"/>
          <w:szCs w:val="24"/>
        </w:rPr>
        <w:t>behaviours</w:t>
      </w:r>
      <w:r w:rsidRPr="00E0734A">
        <w:rPr>
          <w:rFonts w:ascii="Arial" w:hAnsi="Arial"/>
          <w:sz w:val="24"/>
          <w:szCs w:val="24"/>
        </w:rPr>
        <w:t xml:space="preserve"> and practices. In the absence of a stable team, the implementation of these standards becomes inconsistent, leading to differences in service quality from one day to the next, affecting the hotel's image and reputation. This was confirmed by </w:t>
      </w:r>
      <w:r w:rsidR="00392F3A">
        <w:rPr>
          <w:rFonts w:ascii="Arial" w:hAnsi="Arial"/>
          <w:sz w:val="24"/>
          <w:szCs w:val="24"/>
        </w:rPr>
        <w:t>various</w:t>
      </w:r>
      <w:r w:rsidRPr="00E0734A">
        <w:rPr>
          <w:rFonts w:ascii="Arial" w:hAnsi="Arial"/>
          <w:sz w:val="24"/>
          <w:szCs w:val="24"/>
        </w:rPr>
        <w:t xml:space="preserve"> reviews, where some guests reported excellent experiences, while others complained about the lack of professionalism of the staff</w:t>
      </w:r>
      <w:r w:rsidR="001135D9" w:rsidRPr="00E0734A">
        <w:rPr>
          <w:rFonts w:ascii="Arial" w:hAnsi="Arial"/>
          <w:sz w:val="24"/>
          <w:szCs w:val="24"/>
        </w:rPr>
        <w:t xml:space="preserve"> </w:t>
      </w:r>
      <w:r w:rsidR="00B75CEC">
        <w:rPr>
          <w:rFonts w:ascii="Arial" w:hAnsi="Arial"/>
          <w:sz w:val="24"/>
          <w:szCs w:val="24"/>
        </w:rPr>
        <w:t xml:space="preserve">(Holiday Inn, 2025); </w:t>
      </w:r>
      <w:r w:rsidR="00392F3A">
        <w:rPr>
          <w:rFonts w:ascii="Arial" w:hAnsi="Arial"/>
          <w:sz w:val="24"/>
          <w:szCs w:val="24"/>
        </w:rPr>
        <w:t>(</w:t>
      </w:r>
      <w:r w:rsidR="00392F3A" w:rsidRPr="00381F3B">
        <w:rPr>
          <w:rFonts w:ascii="Arial" w:hAnsi="Arial"/>
          <w:sz w:val="24"/>
          <w:szCs w:val="24"/>
          <w:lang w:val="en-GB"/>
        </w:rPr>
        <w:t>Giousmpasoglou and Marinakou,</w:t>
      </w:r>
      <w:r w:rsidR="00392F3A">
        <w:rPr>
          <w:rFonts w:ascii="Arial" w:hAnsi="Arial"/>
          <w:sz w:val="24"/>
          <w:szCs w:val="24"/>
          <w:lang w:val="en-GB"/>
        </w:rPr>
        <w:t xml:space="preserve"> </w:t>
      </w:r>
      <w:r w:rsidR="00392F3A" w:rsidRPr="00381F3B">
        <w:rPr>
          <w:rFonts w:ascii="Arial" w:hAnsi="Arial"/>
          <w:sz w:val="24"/>
          <w:szCs w:val="24"/>
          <w:lang w:val="en-GB"/>
        </w:rPr>
        <w:t>2024)</w:t>
      </w:r>
      <w:r w:rsidR="00392F3A">
        <w:rPr>
          <w:rFonts w:ascii="Arial" w:hAnsi="Arial"/>
          <w:sz w:val="24"/>
          <w:szCs w:val="24"/>
          <w:lang w:val="en-GB"/>
        </w:rPr>
        <w:t>.</w:t>
      </w:r>
    </w:p>
    <w:p w14:paraId="6124A5B2" w14:textId="1B523EB4" w:rsidR="009D2017" w:rsidRPr="00E0734A" w:rsidRDefault="009D2017" w:rsidP="000F1502">
      <w:pPr>
        <w:pStyle w:val="BodyText"/>
        <w:spacing w:line="480" w:lineRule="auto"/>
        <w:jc w:val="both"/>
        <w:rPr>
          <w:rFonts w:ascii="Arial" w:hAnsi="Arial"/>
          <w:sz w:val="24"/>
          <w:szCs w:val="24"/>
        </w:rPr>
      </w:pPr>
      <w:r w:rsidRPr="00E0734A">
        <w:rPr>
          <w:rFonts w:ascii="Arial" w:hAnsi="Arial"/>
          <w:sz w:val="24"/>
          <w:szCs w:val="24"/>
        </w:rPr>
        <w:t xml:space="preserve">One aspect identified is the perception of recognition and appreciation of work. Many employees expressed the feeling that their efforts are not adequately appreciated by management, which generates frustration and demotivation. The lack of constructive feedback, symbolic rewards and public recognition </w:t>
      </w:r>
      <w:r w:rsidR="00AB7644">
        <w:rPr>
          <w:rFonts w:ascii="Arial" w:hAnsi="Arial"/>
          <w:sz w:val="24"/>
          <w:szCs w:val="24"/>
        </w:rPr>
        <w:t>contributes</w:t>
      </w:r>
      <w:r w:rsidRPr="00E0734A">
        <w:rPr>
          <w:rFonts w:ascii="Arial" w:hAnsi="Arial"/>
          <w:sz w:val="24"/>
          <w:szCs w:val="24"/>
        </w:rPr>
        <w:t xml:space="preserve"> to an atmosphere in which employees do not feel involved or valued. This phenomenon is accentuated during peak seasonal periods, when the workload increases significantly without adequate compensation</w:t>
      </w:r>
      <w:r w:rsidR="000A3B2D" w:rsidRPr="00E0734A">
        <w:rPr>
          <w:rFonts w:ascii="Arial" w:hAnsi="Arial"/>
          <w:sz w:val="24"/>
          <w:szCs w:val="24"/>
        </w:rPr>
        <w:t xml:space="preserve"> (Gallup, 2024)</w:t>
      </w:r>
      <w:r w:rsidRPr="00E0734A">
        <w:rPr>
          <w:rFonts w:ascii="Arial" w:hAnsi="Arial"/>
          <w:sz w:val="24"/>
          <w:szCs w:val="24"/>
        </w:rPr>
        <w:t>.</w:t>
      </w:r>
    </w:p>
    <w:p w14:paraId="55F580F1" w14:textId="471A00DB" w:rsidR="009D2017" w:rsidRPr="00E0734A" w:rsidRDefault="009D2017" w:rsidP="000F1502">
      <w:pPr>
        <w:pStyle w:val="BodyText"/>
        <w:spacing w:line="480" w:lineRule="auto"/>
        <w:jc w:val="both"/>
        <w:rPr>
          <w:rFonts w:ascii="Arial" w:hAnsi="Arial"/>
          <w:sz w:val="24"/>
          <w:szCs w:val="24"/>
        </w:rPr>
      </w:pPr>
      <w:r w:rsidRPr="00E0734A">
        <w:rPr>
          <w:rFonts w:ascii="Arial" w:hAnsi="Arial"/>
          <w:sz w:val="24"/>
          <w:szCs w:val="24"/>
        </w:rPr>
        <w:t xml:space="preserve">There is dissatisfaction with the lack of opportunities for professional development and advancement. Many employees, especially young or early-career employees, </w:t>
      </w:r>
      <w:r w:rsidRPr="00E0734A">
        <w:rPr>
          <w:rFonts w:ascii="Arial" w:hAnsi="Arial"/>
          <w:sz w:val="24"/>
          <w:szCs w:val="24"/>
        </w:rPr>
        <w:lastRenderedPageBreak/>
        <w:t xml:space="preserve">mentioned the lack of a clear career plan or training programs that would allow them to progress within the </w:t>
      </w:r>
      <w:r w:rsidR="000E68CA">
        <w:rPr>
          <w:rFonts w:ascii="Arial" w:hAnsi="Arial"/>
          <w:sz w:val="24"/>
          <w:szCs w:val="24"/>
        </w:rPr>
        <w:t>organisation</w:t>
      </w:r>
      <w:r w:rsidRPr="00E0734A">
        <w:rPr>
          <w:rFonts w:ascii="Arial" w:hAnsi="Arial"/>
          <w:sz w:val="24"/>
          <w:szCs w:val="24"/>
        </w:rPr>
        <w:t>. This perceived stagnation discourages employees from staying long-term and leads to a shift towards more promising job opportunities</w:t>
      </w:r>
      <w:r w:rsidR="00D87107" w:rsidRPr="00E0734A">
        <w:rPr>
          <w:rFonts w:ascii="Arial" w:hAnsi="Arial"/>
          <w:sz w:val="24"/>
          <w:szCs w:val="24"/>
        </w:rPr>
        <w:t xml:space="preserve"> (Hollar, Kuchinka and Feinberg, 2022)</w:t>
      </w:r>
      <w:r w:rsidRPr="00E0734A">
        <w:rPr>
          <w:rFonts w:ascii="Arial" w:hAnsi="Arial"/>
          <w:sz w:val="24"/>
          <w:szCs w:val="24"/>
        </w:rPr>
        <w:t>.</w:t>
      </w:r>
    </w:p>
    <w:p w14:paraId="4660913D" w14:textId="48E26376" w:rsidR="009D2017" w:rsidRPr="00E0734A" w:rsidRDefault="009D2017" w:rsidP="000F1502">
      <w:pPr>
        <w:pStyle w:val="BodyText"/>
        <w:spacing w:line="480" w:lineRule="auto"/>
        <w:jc w:val="both"/>
        <w:rPr>
          <w:rFonts w:ascii="Arial" w:hAnsi="Arial"/>
          <w:sz w:val="24"/>
          <w:szCs w:val="24"/>
        </w:rPr>
      </w:pPr>
      <w:r w:rsidRPr="00E0734A">
        <w:rPr>
          <w:rFonts w:ascii="Arial" w:hAnsi="Arial"/>
          <w:sz w:val="24"/>
          <w:szCs w:val="24"/>
        </w:rPr>
        <w:t>The quality of interpersonal relationships at work is another significant factor, where although some employees had positive experiences of collegiality, there were also mentions of tensions between departments, conflicts between employees and a lack of effective communication from middle management. Poor communication, especially regarding schedules, daily tasks and conflict resolution, was perceived as a constant source of stress</w:t>
      </w:r>
      <w:r w:rsidR="008B189A" w:rsidRPr="00E0734A">
        <w:rPr>
          <w:rFonts w:ascii="Arial" w:hAnsi="Arial"/>
          <w:sz w:val="24"/>
          <w:szCs w:val="24"/>
        </w:rPr>
        <w:t xml:space="preserve"> (Szostek, 2019)</w:t>
      </w:r>
      <w:r w:rsidRPr="00E0734A">
        <w:rPr>
          <w:rFonts w:ascii="Arial" w:hAnsi="Arial"/>
          <w:sz w:val="24"/>
          <w:szCs w:val="24"/>
        </w:rPr>
        <w:t>.</w:t>
      </w:r>
    </w:p>
    <w:p w14:paraId="061EE001" w14:textId="0FF5AA64" w:rsidR="00B27B60" w:rsidRPr="00E0734A" w:rsidRDefault="009D2017" w:rsidP="000F1502">
      <w:pPr>
        <w:pStyle w:val="BodyText"/>
        <w:spacing w:line="480" w:lineRule="auto"/>
        <w:jc w:val="both"/>
        <w:rPr>
          <w:rFonts w:ascii="Arial" w:hAnsi="Arial"/>
          <w:sz w:val="24"/>
          <w:szCs w:val="24"/>
        </w:rPr>
      </w:pPr>
      <w:r w:rsidRPr="00E0734A">
        <w:rPr>
          <w:rFonts w:ascii="Arial" w:hAnsi="Arial"/>
          <w:sz w:val="24"/>
          <w:szCs w:val="24"/>
        </w:rPr>
        <w:t>Finally, working conditions and work-life balance were the most frequently mentioned factors. Irregular working hours, long shifts and lack of flexibility were considered problematic, especially for employees with family responsibilities. This imbalance affects staff motivation and well-being, negatively influencing both individual performance and loyalty to the employer.</w:t>
      </w:r>
      <w:r w:rsidR="00235C61">
        <w:rPr>
          <w:rFonts w:ascii="Arial" w:hAnsi="Arial"/>
          <w:sz w:val="24"/>
          <w:szCs w:val="24"/>
        </w:rPr>
        <w:t xml:space="preserve"> </w:t>
      </w:r>
      <w:r w:rsidR="00B27B60" w:rsidRPr="00E0734A">
        <w:rPr>
          <w:rFonts w:ascii="Arial" w:hAnsi="Arial"/>
          <w:sz w:val="24"/>
          <w:szCs w:val="24"/>
        </w:rPr>
        <w:t xml:space="preserve">Holiday Inn Sunderland has implemented several strategies to reduce staff turnover. The effectiveness of these measures is perceived differently by employees, depending on the department, length of service and level of involvement in </w:t>
      </w:r>
      <w:r w:rsidR="009344A1">
        <w:rPr>
          <w:rFonts w:ascii="Arial" w:hAnsi="Arial"/>
          <w:sz w:val="24"/>
          <w:szCs w:val="24"/>
        </w:rPr>
        <w:t>organisational</w:t>
      </w:r>
      <w:r w:rsidR="00B27B60" w:rsidRPr="00E0734A">
        <w:rPr>
          <w:rFonts w:ascii="Arial" w:hAnsi="Arial"/>
          <w:sz w:val="24"/>
          <w:szCs w:val="24"/>
        </w:rPr>
        <w:t xml:space="preserve"> activities.</w:t>
      </w:r>
    </w:p>
    <w:p w14:paraId="698444ED" w14:textId="3174E173" w:rsidR="00B27B60" w:rsidRPr="00E0734A" w:rsidRDefault="00B27B60" w:rsidP="000F1502">
      <w:pPr>
        <w:pStyle w:val="BodyText"/>
        <w:spacing w:line="480" w:lineRule="auto"/>
        <w:jc w:val="both"/>
        <w:rPr>
          <w:rFonts w:ascii="Arial" w:hAnsi="Arial"/>
          <w:sz w:val="24"/>
          <w:szCs w:val="24"/>
        </w:rPr>
      </w:pPr>
      <w:r w:rsidRPr="00E0734A">
        <w:rPr>
          <w:rFonts w:ascii="Arial" w:hAnsi="Arial"/>
          <w:sz w:val="24"/>
          <w:szCs w:val="24"/>
        </w:rPr>
        <w:t>One strategy is to offer non-wage benefits, such as free meals, discounts at partner chains in the IHG network and temporary accommodation for employees. Although these benefits are formally appreciated, many employees believe that they do not compensate for the lack of regular salary increases or long-term financial incentives, especially in the context of inflation and the high cost of living in the region</w:t>
      </w:r>
      <w:r w:rsidR="00C46BF5" w:rsidRPr="00E0734A">
        <w:rPr>
          <w:rFonts w:ascii="Arial" w:hAnsi="Arial"/>
          <w:sz w:val="24"/>
          <w:szCs w:val="24"/>
        </w:rPr>
        <w:t xml:space="preserve"> (Verlinden, 2021)</w:t>
      </w:r>
      <w:r w:rsidRPr="00E0734A">
        <w:rPr>
          <w:rFonts w:ascii="Arial" w:hAnsi="Arial"/>
          <w:sz w:val="24"/>
          <w:szCs w:val="24"/>
        </w:rPr>
        <w:t>.</w:t>
      </w:r>
    </w:p>
    <w:p w14:paraId="6877E980" w14:textId="7D2D4C2D" w:rsidR="00B27B60" w:rsidRPr="00E0734A" w:rsidRDefault="00B27B60"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The next strategy is to </w:t>
      </w:r>
      <w:r w:rsidR="00BB1749">
        <w:rPr>
          <w:rFonts w:ascii="Arial" w:hAnsi="Arial"/>
          <w:sz w:val="24"/>
          <w:szCs w:val="24"/>
        </w:rPr>
        <w:t>organise</w:t>
      </w:r>
      <w:r w:rsidRPr="00E0734A">
        <w:rPr>
          <w:rFonts w:ascii="Arial" w:hAnsi="Arial"/>
          <w:sz w:val="24"/>
          <w:szCs w:val="24"/>
        </w:rPr>
        <w:t xml:space="preserve"> operational training sessions, </w:t>
      </w:r>
      <w:r w:rsidR="00BB1749" w:rsidRPr="00E0734A">
        <w:rPr>
          <w:rFonts w:ascii="Arial" w:hAnsi="Arial"/>
          <w:sz w:val="24"/>
          <w:szCs w:val="24"/>
        </w:rPr>
        <w:t>including</w:t>
      </w:r>
      <w:r w:rsidRPr="00E0734A">
        <w:rPr>
          <w:rFonts w:ascii="Arial" w:hAnsi="Arial"/>
          <w:sz w:val="24"/>
          <w:szCs w:val="24"/>
        </w:rPr>
        <w:t xml:space="preserve"> areas such as customer service, hygiene and occupational safety. Although these </w:t>
      </w:r>
      <w:r w:rsidR="00BB1749" w:rsidRPr="00E0734A">
        <w:rPr>
          <w:rFonts w:ascii="Arial" w:hAnsi="Arial"/>
          <w:sz w:val="24"/>
          <w:szCs w:val="24"/>
        </w:rPr>
        <w:t>training courses</w:t>
      </w:r>
      <w:r w:rsidRPr="00E0734A">
        <w:rPr>
          <w:rFonts w:ascii="Arial" w:hAnsi="Arial"/>
          <w:sz w:val="24"/>
          <w:szCs w:val="24"/>
        </w:rPr>
        <w:t xml:space="preserve"> are mandatory and regular, employees expressed the desire to have access to </w:t>
      </w:r>
      <w:r w:rsidR="00BB1749">
        <w:rPr>
          <w:rFonts w:ascii="Arial" w:hAnsi="Arial"/>
          <w:sz w:val="24"/>
          <w:szCs w:val="24"/>
        </w:rPr>
        <w:t>personalised</w:t>
      </w:r>
      <w:r w:rsidRPr="00E0734A">
        <w:rPr>
          <w:rFonts w:ascii="Arial" w:hAnsi="Arial"/>
          <w:sz w:val="24"/>
          <w:szCs w:val="24"/>
        </w:rPr>
        <w:t xml:space="preserve"> </w:t>
      </w:r>
      <w:r w:rsidR="00BB1749">
        <w:rPr>
          <w:rFonts w:ascii="Arial" w:hAnsi="Arial"/>
          <w:sz w:val="24"/>
          <w:szCs w:val="24"/>
        </w:rPr>
        <w:t>training</w:t>
      </w:r>
      <w:r w:rsidRPr="00E0734A">
        <w:rPr>
          <w:rFonts w:ascii="Arial" w:hAnsi="Arial"/>
          <w:sz w:val="24"/>
          <w:szCs w:val="24"/>
        </w:rPr>
        <w:t xml:space="preserve">, focused on professional development and career advancement. The lack of individual development plans or an </w:t>
      </w:r>
      <w:r w:rsidR="00BB1749">
        <w:rPr>
          <w:rFonts w:ascii="Arial" w:hAnsi="Arial"/>
          <w:sz w:val="24"/>
          <w:szCs w:val="24"/>
        </w:rPr>
        <w:t>organisational</w:t>
      </w:r>
      <w:r w:rsidRPr="00E0734A">
        <w:rPr>
          <w:rFonts w:ascii="Arial" w:hAnsi="Arial"/>
          <w:sz w:val="24"/>
          <w:szCs w:val="24"/>
        </w:rPr>
        <w:t xml:space="preserve"> culture that promotes continuous learning is perceived as a major limitation to professional potential</w:t>
      </w:r>
      <w:r w:rsidR="008378BD" w:rsidRPr="00E0734A">
        <w:rPr>
          <w:rFonts w:ascii="Arial" w:hAnsi="Arial"/>
          <w:sz w:val="24"/>
          <w:szCs w:val="24"/>
        </w:rPr>
        <w:t xml:space="preserve"> (Mar, 2024)</w:t>
      </w:r>
      <w:r w:rsidRPr="00E0734A">
        <w:rPr>
          <w:rFonts w:ascii="Arial" w:hAnsi="Arial"/>
          <w:sz w:val="24"/>
          <w:szCs w:val="24"/>
        </w:rPr>
        <w:t>.</w:t>
      </w:r>
      <w:r w:rsidR="00C822AC">
        <w:rPr>
          <w:rFonts w:ascii="Arial" w:hAnsi="Arial"/>
          <w:sz w:val="24"/>
          <w:szCs w:val="24"/>
        </w:rPr>
        <w:t xml:space="preserve"> </w:t>
      </w:r>
      <w:r w:rsidRPr="00E0734A">
        <w:rPr>
          <w:rFonts w:ascii="Arial" w:hAnsi="Arial"/>
          <w:sz w:val="24"/>
          <w:szCs w:val="24"/>
        </w:rPr>
        <w:t xml:space="preserve">Another strategy is verbal appreciation or thanks in team meetings. However, this practice is not </w:t>
      </w:r>
      <w:r w:rsidR="00BA6EBE">
        <w:rPr>
          <w:rFonts w:ascii="Arial" w:hAnsi="Arial"/>
          <w:sz w:val="24"/>
          <w:szCs w:val="24"/>
        </w:rPr>
        <w:t>standardised</w:t>
      </w:r>
      <w:r w:rsidRPr="00E0734A">
        <w:rPr>
          <w:rFonts w:ascii="Arial" w:hAnsi="Arial"/>
          <w:sz w:val="24"/>
          <w:szCs w:val="24"/>
        </w:rPr>
        <w:t xml:space="preserve"> or supported by a formal reward system. Many employees mentioned that appreciation is often unevenly distributed, leading to a feeling of injustice or lack of involvement among some team members</w:t>
      </w:r>
      <w:r w:rsidR="003A2320" w:rsidRPr="00E0734A">
        <w:rPr>
          <w:rFonts w:ascii="Arial" w:hAnsi="Arial"/>
          <w:sz w:val="24"/>
          <w:szCs w:val="24"/>
        </w:rPr>
        <w:t xml:space="preserve"> (Gabriella, 2021)</w:t>
      </w:r>
      <w:r w:rsidRPr="00E0734A">
        <w:rPr>
          <w:rFonts w:ascii="Arial" w:hAnsi="Arial"/>
          <w:sz w:val="24"/>
          <w:szCs w:val="24"/>
        </w:rPr>
        <w:t>.</w:t>
      </w:r>
    </w:p>
    <w:p w14:paraId="402B814A" w14:textId="59C971BF" w:rsidR="00E77F24" w:rsidRDefault="00B27B60" w:rsidP="000F1502">
      <w:pPr>
        <w:pStyle w:val="BodyText"/>
        <w:spacing w:line="480" w:lineRule="auto"/>
        <w:jc w:val="both"/>
        <w:rPr>
          <w:rFonts w:ascii="Arial" w:hAnsi="Arial"/>
          <w:sz w:val="24"/>
          <w:szCs w:val="24"/>
        </w:rPr>
      </w:pPr>
      <w:r w:rsidRPr="00E0734A">
        <w:rPr>
          <w:rFonts w:ascii="Arial" w:hAnsi="Arial"/>
          <w:sz w:val="24"/>
          <w:szCs w:val="24"/>
        </w:rPr>
        <w:t>The hotel has tried to improve internal communication through regular team meetings and online feedback channels. However, implementation is inconsistent. In some departments, communication works effectively, while in others</w:t>
      </w:r>
      <w:r w:rsidR="003E21B1">
        <w:rPr>
          <w:rFonts w:ascii="Arial" w:hAnsi="Arial"/>
          <w:sz w:val="24"/>
          <w:szCs w:val="24"/>
        </w:rPr>
        <w:t>,</w:t>
      </w:r>
      <w:r w:rsidRPr="00E0734A">
        <w:rPr>
          <w:rFonts w:ascii="Arial" w:hAnsi="Arial"/>
          <w:sz w:val="24"/>
          <w:szCs w:val="24"/>
        </w:rPr>
        <w:t xml:space="preserve"> a feeling of isolation and lack of transparency persists, which affects the relationship and trust between employees and management</w:t>
      </w:r>
      <w:r w:rsidR="003E21B1">
        <w:rPr>
          <w:rFonts w:ascii="Arial" w:hAnsi="Arial"/>
          <w:sz w:val="24"/>
          <w:szCs w:val="24"/>
        </w:rPr>
        <w:t xml:space="preserve">. </w:t>
      </w:r>
      <w:r w:rsidRPr="00E0734A">
        <w:rPr>
          <w:rFonts w:ascii="Arial" w:hAnsi="Arial"/>
          <w:sz w:val="24"/>
          <w:szCs w:val="24"/>
        </w:rPr>
        <w:t xml:space="preserve">Recent efforts to create a positive </w:t>
      </w:r>
      <w:r w:rsidR="003E21B1">
        <w:rPr>
          <w:rFonts w:ascii="Arial" w:hAnsi="Arial"/>
          <w:sz w:val="24"/>
          <w:szCs w:val="24"/>
        </w:rPr>
        <w:t>organisational</w:t>
      </w:r>
      <w:r w:rsidRPr="00E0734A">
        <w:rPr>
          <w:rFonts w:ascii="Arial" w:hAnsi="Arial"/>
          <w:sz w:val="24"/>
          <w:szCs w:val="24"/>
        </w:rPr>
        <w:t xml:space="preserve"> climate have been identified through the </w:t>
      </w:r>
      <w:r w:rsidR="003E21B1">
        <w:rPr>
          <w:rFonts w:ascii="Arial" w:hAnsi="Arial"/>
          <w:sz w:val="24"/>
          <w:szCs w:val="24"/>
        </w:rPr>
        <w:t>organisation</w:t>
      </w:r>
      <w:r w:rsidRPr="00E0734A">
        <w:rPr>
          <w:rFonts w:ascii="Arial" w:hAnsi="Arial"/>
          <w:sz w:val="24"/>
          <w:szCs w:val="24"/>
        </w:rPr>
        <w:t xml:space="preserve"> of social events, work anniversaries and team-building activities. However, participation is often low, especially from employees who work night shifts or weekends, suggesting a need to adapt these initiatives to the realities of the work schedule.</w:t>
      </w:r>
    </w:p>
    <w:p w14:paraId="78C03B7D" w14:textId="77777777" w:rsidR="00444D07" w:rsidRDefault="00444D07" w:rsidP="000F1502">
      <w:pPr>
        <w:pStyle w:val="BodyText"/>
        <w:spacing w:line="480" w:lineRule="auto"/>
        <w:jc w:val="both"/>
        <w:rPr>
          <w:rFonts w:ascii="Arial" w:hAnsi="Arial"/>
          <w:sz w:val="24"/>
          <w:szCs w:val="24"/>
        </w:rPr>
      </w:pPr>
    </w:p>
    <w:p w14:paraId="675883E8" w14:textId="77777777" w:rsidR="00444D07" w:rsidRPr="00E0734A" w:rsidRDefault="00444D07" w:rsidP="000F1502">
      <w:pPr>
        <w:pStyle w:val="BodyText"/>
        <w:spacing w:line="480" w:lineRule="auto"/>
        <w:jc w:val="both"/>
        <w:rPr>
          <w:rFonts w:ascii="Arial" w:hAnsi="Arial"/>
          <w:sz w:val="24"/>
          <w:szCs w:val="24"/>
        </w:rPr>
      </w:pPr>
    </w:p>
    <w:p w14:paraId="56A794E9" w14:textId="4C7B0A8C" w:rsidR="005851E4" w:rsidRPr="000B5217" w:rsidRDefault="005851E4" w:rsidP="000B5217">
      <w:pPr>
        <w:pStyle w:val="Heading2"/>
        <w:numPr>
          <w:ilvl w:val="1"/>
          <w:numId w:val="44"/>
        </w:numPr>
        <w:spacing w:line="480" w:lineRule="auto"/>
        <w:jc w:val="both"/>
        <w:rPr>
          <w:rFonts w:ascii="Arial" w:hAnsi="Arial" w:cs="Arial"/>
          <w:sz w:val="28"/>
          <w:szCs w:val="28"/>
        </w:rPr>
      </w:pPr>
      <w:bookmarkStart w:id="24" w:name="_Toc199633495"/>
      <w:bookmarkStart w:id="25" w:name="_Toc200461596"/>
      <w:r w:rsidRPr="000B5217">
        <w:rPr>
          <w:rFonts w:ascii="Arial" w:hAnsi="Arial" w:cs="Arial"/>
          <w:sz w:val="28"/>
          <w:szCs w:val="28"/>
        </w:rPr>
        <w:lastRenderedPageBreak/>
        <w:t>Analysis of the Implications of Staff Turnover in the Hotel Industry</w:t>
      </w:r>
      <w:bookmarkEnd w:id="24"/>
      <w:bookmarkEnd w:id="25"/>
    </w:p>
    <w:p w14:paraId="663E2697" w14:textId="18FECA92" w:rsidR="00D32BF4" w:rsidRPr="00E0734A" w:rsidRDefault="00D32BF4" w:rsidP="000F1502">
      <w:pPr>
        <w:pStyle w:val="BodyText"/>
        <w:spacing w:line="480" w:lineRule="auto"/>
        <w:jc w:val="both"/>
        <w:rPr>
          <w:rFonts w:ascii="Arial" w:hAnsi="Arial"/>
          <w:sz w:val="24"/>
          <w:szCs w:val="24"/>
        </w:rPr>
      </w:pPr>
      <w:r w:rsidRPr="00E0734A">
        <w:rPr>
          <w:rFonts w:ascii="Arial" w:hAnsi="Arial"/>
          <w:sz w:val="24"/>
          <w:szCs w:val="24"/>
        </w:rPr>
        <w:t xml:space="preserve">Research conducted at Holiday Inn Sunderland highlighted a number of factors driving employee turnover. The most frequently cited factors include excessive workload, lack of opportunities for advancement, lack of effective reward systems, and constant pressure to satisfy customers. These factors are corroborated by the results, which </w:t>
      </w:r>
      <w:r w:rsidR="00C822AC">
        <w:rPr>
          <w:rFonts w:ascii="Arial" w:hAnsi="Arial"/>
          <w:sz w:val="24"/>
          <w:szCs w:val="24"/>
        </w:rPr>
        <w:t>show</w:t>
      </w:r>
      <w:r w:rsidRPr="00E0734A">
        <w:rPr>
          <w:rFonts w:ascii="Arial" w:hAnsi="Arial"/>
          <w:sz w:val="24"/>
          <w:szCs w:val="24"/>
        </w:rPr>
        <w:t xml:space="preserve"> that, in the absence of a </w:t>
      </w:r>
      <w:r w:rsidR="00B1232B">
        <w:rPr>
          <w:rFonts w:ascii="Arial" w:hAnsi="Arial"/>
          <w:sz w:val="24"/>
          <w:szCs w:val="24"/>
        </w:rPr>
        <w:t>favourable</w:t>
      </w:r>
      <w:r w:rsidR="0064701A">
        <w:rPr>
          <w:rFonts w:ascii="Arial" w:hAnsi="Arial"/>
          <w:sz w:val="24"/>
          <w:szCs w:val="24"/>
        </w:rPr>
        <w:t xml:space="preserve"> organisational</w:t>
      </w:r>
      <w:r w:rsidRPr="00E0734A">
        <w:rPr>
          <w:rFonts w:ascii="Arial" w:hAnsi="Arial"/>
          <w:sz w:val="24"/>
          <w:szCs w:val="24"/>
        </w:rPr>
        <w:t xml:space="preserve"> climate and professional recognition, employees in the hospitality industry develop an increased intention to leave their jobs</w:t>
      </w:r>
      <w:r w:rsidR="00C822AC">
        <w:rPr>
          <w:rFonts w:ascii="Arial" w:hAnsi="Arial"/>
          <w:sz w:val="24"/>
          <w:szCs w:val="24"/>
        </w:rPr>
        <w:t xml:space="preserve"> (Mullins and Dossor, 2013);</w:t>
      </w:r>
      <w:r w:rsidR="00D06077" w:rsidRPr="00E0734A">
        <w:rPr>
          <w:rFonts w:ascii="Arial" w:hAnsi="Arial"/>
          <w:sz w:val="24"/>
          <w:szCs w:val="24"/>
        </w:rPr>
        <w:t xml:space="preserve"> (Denscombe, 2010)</w:t>
      </w:r>
      <w:r w:rsidRPr="00E0734A">
        <w:rPr>
          <w:rFonts w:ascii="Arial" w:hAnsi="Arial"/>
          <w:sz w:val="24"/>
          <w:szCs w:val="24"/>
        </w:rPr>
        <w:t>.</w:t>
      </w:r>
    </w:p>
    <w:p w14:paraId="4EC6BA4D" w14:textId="374F9E77" w:rsidR="00D32BF4" w:rsidRPr="00E0734A" w:rsidRDefault="00D32BF4" w:rsidP="000F1502">
      <w:pPr>
        <w:pStyle w:val="BodyText"/>
        <w:spacing w:line="480" w:lineRule="auto"/>
        <w:jc w:val="both"/>
        <w:rPr>
          <w:rFonts w:ascii="Arial" w:hAnsi="Arial"/>
          <w:sz w:val="24"/>
          <w:szCs w:val="24"/>
        </w:rPr>
      </w:pPr>
      <w:r w:rsidRPr="00E0734A">
        <w:rPr>
          <w:rFonts w:ascii="Arial" w:hAnsi="Arial"/>
          <w:sz w:val="24"/>
          <w:szCs w:val="24"/>
        </w:rPr>
        <w:t xml:space="preserve">The data collected in the case study also highlights the influence of external conditions, </w:t>
      </w:r>
      <w:r w:rsidR="003E79C0" w:rsidRPr="00E0734A">
        <w:rPr>
          <w:rFonts w:ascii="Arial" w:hAnsi="Arial"/>
          <w:sz w:val="24"/>
          <w:szCs w:val="24"/>
        </w:rPr>
        <w:t>particularly</w:t>
      </w:r>
      <w:r w:rsidRPr="00E0734A">
        <w:rPr>
          <w:rFonts w:ascii="Arial" w:hAnsi="Arial"/>
          <w:sz w:val="24"/>
          <w:szCs w:val="24"/>
        </w:rPr>
        <w:t xml:space="preserve"> the COVID-19 pandemic, which has led to a significant decline in the workforce in the British hospitality sector. According to the Office for National Statistics (2022), the industry has recorded a reduction of over 20% in active employees compared to the pre-pandemic period. This deficit generated additional pressure on the remaining employees, </w:t>
      </w:r>
      <w:r w:rsidR="006622BD">
        <w:rPr>
          <w:rFonts w:ascii="Arial" w:hAnsi="Arial"/>
          <w:sz w:val="24"/>
          <w:szCs w:val="24"/>
        </w:rPr>
        <w:t>favouring</w:t>
      </w:r>
      <w:r w:rsidRPr="00E0734A">
        <w:rPr>
          <w:rFonts w:ascii="Arial" w:hAnsi="Arial"/>
          <w:sz w:val="24"/>
          <w:szCs w:val="24"/>
        </w:rPr>
        <w:t xml:space="preserve"> the onset of burnout syndrome, a phenomenon also described by Gill, Flaschner and Shachar (2006) as one of the main causes of resignation among hospitality staff</w:t>
      </w:r>
      <w:r w:rsidR="007266DE">
        <w:rPr>
          <w:rFonts w:ascii="Arial" w:hAnsi="Arial"/>
          <w:sz w:val="24"/>
          <w:szCs w:val="24"/>
        </w:rPr>
        <w:t>, a</w:t>
      </w:r>
      <w:r w:rsidRPr="00E0734A">
        <w:rPr>
          <w:rFonts w:ascii="Arial" w:hAnsi="Arial"/>
          <w:sz w:val="24"/>
          <w:szCs w:val="24"/>
        </w:rPr>
        <w:t xml:space="preserve">t the same time, the results highlight a lack of effective communication between management and the team, which fuels the feeling of non-involvement and disinterest in </w:t>
      </w:r>
      <w:r w:rsidR="005F07D5">
        <w:rPr>
          <w:rFonts w:ascii="Arial" w:hAnsi="Arial"/>
          <w:sz w:val="24"/>
          <w:szCs w:val="24"/>
        </w:rPr>
        <w:t>organisational</w:t>
      </w:r>
      <w:r w:rsidRPr="00E0734A">
        <w:rPr>
          <w:rFonts w:ascii="Arial" w:hAnsi="Arial"/>
          <w:sz w:val="24"/>
          <w:szCs w:val="24"/>
        </w:rPr>
        <w:t xml:space="preserve"> objectives. In this regard, the literature confirms the importance of transformational leadership in reducing the intention to leave. The study </w:t>
      </w:r>
      <w:r w:rsidR="005F07D5">
        <w:rPr>
          <w:rFonts w:ascii="Arial" w:hAnsi="Arial"/>
          <w:sz w:val="24"/>
          <w:szCs w:val="24"/>
        </w:rPr>
        <w:t>emphasises</w:t>
      </w:r>
      <w:r w:rsidRPr="00E0734A">
        <w:rPr>
          <w:rFonts w:ascii="Arial" w:hAnsi="Arial"/>
          <w:sz w:val="24"/>
          <w:szCs w:val="24"/>
        </w:rPr>
        <w:t xml:space="preserve"> that leaders capable of inspiring, supporting and involving employees in the decision-making process contribute significantly to reducing staff turnover.</w:t>
      </w:r>
    </w:p>
    <w:p w14:paraId="4DEEBE79" w14:textId="2D9EDB3B" w:rsidR="00B27B60" w:rsidRPr="00E0734A" w:rsidRDefault="00D32BF4" w:rsidP="000F1502">
      <w:pPr>
        <w:pStyle w:val="BodyText"/>
        <w:spacing w:line="480" w:lineRule="auto"/>
        <w:jc w:val="both"/>
        <w:rPr>
          <w:rFonts w:ascii="Arial" w:hAnsi="Arial"/>
          <w:sz w:val="24"/>
          <w:szCs w:val="24"/>
        </w:rPr>
      </w:pPr>
      <w:r w:rsidRPr="00E0734A">
        <w:rPr>
          <w:rFonts w:ascii="Arial" w:hAnsi="Arial"/>
          <w:sz w:val="24"/>
          <w:szCs w:val="24"/>
        </w:rPr>
        <w:t xml:space="preserve">Also, the lack of recognition of individual efforts and professional training opportunities </w:t>
      </w:r>
      <w:r w:rsidR="000F224A">
        <w:rPr>
          <w:rFonts w:ascii="Arial" w:hAnsi="Arial"/>
          <w:sz w:val="24"/>
          <w:szCs w:val="24"/>
        </w:rPr>
        <w:t>was</w:t>
      </w:r>
      <w:r w:rsidRPr="00E0734A">
        <w:rPr>
          <w:rFonts w:ascii="Arial" w:hAnsi="Arial"/>
          <w:sz w:val="24"/>
          <w:szCs w:val="24"/>
        </w:rPr>
        <w:t xml:space="preserve"> frequently mentioned by respondents. These aspects indicate a violation of the psychological contract, defined as the totality of unwritten expectations between the </w:t>
      </w:r>
      <w:r w:rsidRPr="00E0734A">
        <w:rPr>
          <w:rFonts w:ascii="Arial" w:hAnsi="Arial"/>
          <w:sz w:val="24"/>
          <w:szCs w:val="24"/>
        </w:rPr>
        <w:lastRenderedPageBreak/>
        <w:t xml:space="preserve">employee and the employer. Such a gap, according to Rousseau (2004), reduces loyalty to the </w:t>
      </w:r>
      <w:r w:rsidR="000F224A">
        <w:rPr>
          <w:rFonts w:ascii="Arial" w:hAnsi="Arial"/>
          <w:sz w:val="24"/>
          <w:szCs w:val="24"/>
        </w:rPr>
        <w:t>organisation</w:t>
      </w:r>
      <w:r w:rsidRPr="00E0734A">
        <w:rPr>
          <w:rFonts w:ascii="Arial" w:hAnsi="Arial"/>
          <w:sz w:val="24"/>
          <w:szCs w:val="24"/>
        </w:rPr>
        <w:t xml:space="preserve"> and increases the tendency to resign, especially in industries </w:t>
      </w:r>
      <w:r w:rsidR="000F224A">
        <w:rPr>
          <w:rFonts w:ascii="Arial" w:hAnsi="Arial"/>
          <w:sz w:val="24"/>
          <w:szCs w:val="24"/>
        </w:rPr>
        <w:t>characterised</w:t>
      </w:r>
      <w:r w:rsidRPr="00E0734A">
        <w:rPr>
          <w:rFonts w:ascii="Arial" w:hAnsi="Arial"/>
          <w:sz w:val="24"/>
          <w:szCs w:val="24"/>
        </w:rPr>
        <w:t xml:space="preserve"> by intense emotional and physical work, such as hospitality.</w:t>
      </w:r>
    </w:p>
    <w:p w14:paraId="4D01C73F" w14:textId="167BDE75"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The results of this research highlight several negative consequences caused by frequent employee departures. These include delays in processing customer requests, disruptions in the daily operational flow, overwork of remaining staff and lack of continuity in </w:t>
      </w:r>
      <w:r w:rsidR="00976A40" w:rsidRPr="00E0734A">
        <w:rPr>
          <w:rFonts w:ascii="Arial" w:hAnsi="Arial"/>
          <w:sz w:val="24"/>
          <w:szCs w:val="24"/>
        </w:rPr>
        <w:t>delivery service</w:t>
      </w:r>
      <w:r w:rsidRPr="00E0734A">
        <w:rPr>
          <w:rFonts w:ascii="Arial" w:hAnsi="Arial"/>
          <w:sz w:val="24"/>
          <w:szCs w:val="24"/>
        </w:rPr>
        <w:t>, which has led to an inconsistent quality of customer experience.</w:t>
      </w:r>
      <w:r w:rsidR="00AC2DC6">
        <w:rPr>
          <w:rFonts w:ascii="Arial" w:hAnsi="Arial"/>
          <w:sz w:val="24"/>
          <w:szCs w:val="24"/>
        </w:rPr>
        <w:t xml:space="preserve"> </w:t>
      </w:r>
      <w:r w:rsidRPr="00E0734A">
        <w:rPr>
          <w:rFonts w:ascii="Arial" w:hAnsi="Arial"/>
          <w:sz w:val="24"/>
          <w:szCs w:val="24"/>
        </w:rPr>
        <w:t xml:space="preserve">A significant impact is the increase in the workload of existing employees, which often leads to stress, burnout and demotivation. This phenomenon is known in </w:t>
      </w:r>
      <w:r w:rsidR="00AC2DC6" w:rsidRPr="00E0734A">
        <w:rPr>
          <w:rFonts w:ascii="Arial" w:hAnsi="Arial"/>
          <w:sz w:val="24"/>
          <w:szCs w:val="24"/>
        </w:rPr>
        <w:t>literature</w:t>
      </w:r>
      <w:r w:rsidRPr="00E0734A">
        <w:rPr>
          <w:rFonts w:ascii="Arial" w:hAnsi="Arial"/>
          <w:sz w:val="24"/>
          <w:szCs w:val="24"/>
        </w:rPr>
        <w:t xml:space="preserve"> as a vicious cycle of fluctuation (turnover cycle), where remaining employees are forced to take over the responsibilities of departing colleagues, which accelerates their intention to leave the job (Gill, Flaschner </w:t>
      </w:r>
      <w:r w:rsidR="00AC2DC6">
        <w:rPr>
          <w:rFonts w:ascii="Arial" w:hAnsi="Arial"/>
          <w:sz w:val="24"/>
          <w:szCs w:val="24"/>
        </w:rPr>
        <w:t>and</w:t>
      </w:r>
      <w:r w:rsidRPr="00E0734A">
        <w:rPr>
          <w:rFonts w:ascii="Arial" w:hAnsi="Arial"/>
          <w:sz w:val="24"/>
          <w:szCs w:val="24"/>
        </w:rPr>
        <w:t xml:space="preserve"> Shachar, 2006). In the context of the Holiday Inn Sunderland, the data </w:t>
      </w:r>
      <w:r w:rsidR="00976A40">
        <w:rPr>
          <w:rFonts w:ascii="Arial" w:hAnsi="Arial"/>
          <w:sz w:val="24"/>
          <w:szCs w:val="24"/>
        </w:rPr>
        <w:t>analysed</w:t>
      </w:r>
      <w:r w:rsidRPr="00E0734A">
        <w:rPr>
          <w:rFonts w:ascii="Arial" w:hAnsi="Arial"/>
          <w:sz w:val="24"/>
          <w:szCs w:val="24"/>
        </w:rPr>
        <w:t xml:space="preserve"> indicate a clear association between the decrease in staff numbers and the increase in customer complaints about waiting times and lack of attention in service delivery.</w:t>
      </w:r>
    </w:p>
    <w:p w14:paraId="5845A682" w14:textId="2338B191"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Another major effect is manifested </w:t>
      </w:r>
      <w:r w:rsidR="00DE42BD">
        <w:rPr>
          <w:rFonts w:ascii="Arial" w:hAnsi="Arial"/>
          <w:sz w:val="24"/>
          <w:szCs w:val="24"/>
        </w:rPr>
        <w:t>in</w:t>
      </w:r>
      <w:r w:rsidRPr="00E0734A">
        <w:rPr>
          <w:rFonts w:ascii="Arial" w:hAnsi="Arial"/>
          <w:sz w:val="24"/>
          <w:szCs w:val="24"/>
        </w:rPr>
        <w:t xml:space="preserve"> the training and onboarding processes. According to</w:t>
      </w:r>
      <w:r w:rsidR="004C2FED">
        <w:rPr>
          <w:rFonts w:ascii="Arial" w:hAnsi="Arial"/>
          <w:sz w:val="24"/>
          <w:szCs w:val="24"/>
        </w:rPr>
        <w:t xml:space="preserve"> </w:t>
      </w:r>
      <w:r w:rsidR="004C2FED" w:rsidRPr="004C2FED">
        <w:rPr>
          <w:rFonts w:ascii="Arial" w:hAnsi="Arial"/>
          <w:sz w:val="24"/>
          <w:szCs w:val="24"/>
        </w:rPr>
        <w:t>Mirić</w:t>
      </w:r>
      <w:r w:rsidR="004C2FED">
        <w:rPr>
          <w:rFonts w:ascii="Arial" w:hAnsi="Arial"/>
          <w:sz w:val="24"/>
          <w:szCs w:val="24"/>
        </w:rPr>
        <w:t xml:space="preserve"> </w:t>
      </w:r>
      <w:r w:rsidR="004C2FED" w:rsidRPr="004C2FED">
        <w:rPr>
          <w:rFonts w:ascii="Arial" w:hAnsi="Arial"/>
          <w:sz w:val="24"/>
          <w:szCs w:val="24"/>
        </w:rPr>
        <w:t>and Slavković</w:t>
      </w:r>
      <w:r w:rsidR="004C2FED">
        <w:rPr>
          <w:rFonts w:ascii="Arial" w:hAnsi="Arial"/>
          <w:sz w:val="24"/>
          <w:szCs w:val="24"/>
        </w:rPr>
        <w:t xml:space="preserve"> </w:t>
      </w:r>
      <w:r w:rsidR="004C2FED" w:rsidRPr="004C2FED">
        <w:rPr>
          <w:rFonts w:ascii="Arial" w:hAnsi="Arial"/>
          <w:sz w:val="24"/>
          <w:szCs w:val="24"/>
        </w:rPr>
        <w:t>(2023)</w:t>
      </w:r>
      <w:r w:rsidR="004C2FED">
        <w:rPr>
          <w:rFonts w:ascii="Arial" w:hAnsi="Arial"/>
          <w:sz w:val="24"/>
          <w:szCs w:val="24"/>
        </w:rPr>
        <w:t>,</w:t>
      </w:r>
      <w:r w:rsidR="004C2FED" w:rsidRPr="004C2FED">
        <w:rPr>
          <w:rFonts w:ascii="Arial" w:hAnsi="Arial"/>
          <w:sz w:val="24"/>
          <w:szCs w:val="24"/>
        </w:rPr>
        <w:t xml:space="preserve"> </w:t>
      </w:r>
      <w:r w:rsidRPr="00E0734A">
        <w:rPr>
          <w:rFonts w:ascii="Arial" w:hAnsi="Arial"/>
          <w:sz w:val="24"/>
          <w:szCs w:val="24"/>
        </w:rPr>
        <w:t xml:space="preserve">frequent staff turnover requires continuous investment in training, which becomes ineffective in the long term due to lack of retention. In this case, staff with short </w:t>
      </w:r>
      <w:r w:rsidR="004C2FED" w:rsidRPr="00E0734A">
        <w:rPr>
          <w:rFonts w:ascii="Arial" w:hAnsi="Arial"/>
          <w:sz w:val="24"/>
          <w:szCs w:val="24"/>
        </w:rPr>
        <w:t>tenures</w:t>
      </w:r>
      <w:r w:rsidRPr="00E0734A">
        <w:rPr>
          <w:rFonts w:ascii="Arial" w:hAnsi="Arial"/>
          <w:sz w:val="24"/>
          <w:szCs w:val="24"/>
        </w:rPr>
        <w:t xml:space="preserve"> face a slow learning curve, not having enough time to understand the brand values, operational procedures and service standards. This instability also affects the </w:t>
      </w:r>
      <w:r w:rsidR="00157A09">
        <w:rPr>
          <w:rFonts w:ascii="Arial" w:hAnsi="Arial"/>
          <w:sz w:val="24"/>
          <w:szCs w:val="24"/>
        </w:rPr>
        <w:t>organisational</w:t>
      </w:r>
      <w:r w:rsidRPr="00E0734A">
        <w:rPr>
          <w:rFonts w:ascii="Arial" w:hAnsi="Arial"/>
          <w:sz w:val="24"/>
          <w:szCs w:val="24"/>
        </w:rPr>
        <w:t xml:space="preserve"> culture, creating an insecure and cohesive climate among team members.</w:t>
      </w:r>
    </w:p>
    <w:p w14:paraId="0311B547" w14:textId="6B8B9D0E"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High turnover also negatively affects the hotel’s image in the </w:t>
      </w:r>
      <w:r w:rsidR="00414F9F">
        <w:rPr>
          <w:rFonts w:ascii="Arial" w:hAnsi="Arial"/>
          <w:sz w:val="24"/>
          <w:szCs w:val="24"/>
        </w:rPr>
        <w:t>labour</w:t>
      </w:r>
      <w:r w:rsidRPr="00E0734A">
        <w:rPr>
          <w:rFonts w:ascii="Arial" w:hAnsi="Arial"/>
          <w:sz w:val="24"/>
          <w:szCs w:val="24"/>
        </w:rPr>
        <w:t xml:space="preserve"> market. An employer perceived as unstable or uncertain in terms of employee retention will encounter difficulties in attracting talent. This reality makes it even more difficult for </w:t>
      </w:r>
      <w:r w:rsidRPr="00E0734A">
        <w:rPr>
          <w:rFonts w:ascii="Arial" w:hAnsi="Arial"/>
          <w:sz w:val="24"/>
          <w:szCs w:val="24"/>
        </w:rPr>
        <w:lastRenderedPageBreak/>
        <w:t>hotels like the Holiday Inn Sunderland to ensure they have enough staff to run their daily operations under optimal conditions.</w:t>
      </w:r>
    </w:p>
    <w:p w14:paraId="5964156C" w14:textId="374580AE"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Another direct effect of this situation is the loss of </w:t>
      </w:r>
      <w:r w:rsidR="00947EAC">
        <w:rPr>
          <w:rFonts w:ascii="Arial" w:hAnsi="Arial"/>
          <w:sz w:val="24"/>
          <w:szCs w:val="24"/>
        </w:rPr>
        <w:t>organisational</w:t>
      </w:r>
      <w:r w:rsidRPr="00E0734A">
        <w:rPr>
          <w:rFonts w:ascii="Arial" w:hAnsi="Arial"/>
          <w:sz w:val="24"/>
          <w:szCs w:val="24"/>
        </w:rPr>
        <w:t xml:space="preserve"> knowledge. Experienced employees have implicit information about recurring customer needs, location specifics and how to handle unforeseen situations. Frequent replacement of employees leads to a loss of this valuable human capital, with a negative impact on the consistency and efficiency of the services delivered</w:t>
      </w:r>
      <w:r w:rsidR="005A2F70" w:rsidRPr="00E0734A">
        <w:rPr>
          <w:rFonts w:ascii="Arial" w:hAnsi="Arial"/>
          <w:sz w:val="24"/>
          <w:szCs w:val="24"/>
        </w:rPr>
        <w:t xml:space="preserve"> (Galan, 2023)</w:t>
      </w:r>
      <w:r w:rsidRPr="00E0734A">
        <w:rPr>
          <w:rFonts w:ascii="Arial" w:hAnsi="Arial"/>
          <w:sz w:val="24"/>
          <w:szCs w:val="24"/>
        </w:rPr>
        <w:t>.</w:t>
      </w:r>
    </w:p>
    <w:p w14:paraId="6F96A5A7" w14:textId="122C7F30"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In addition, high turnover can lead to a decrease in overall morale within the team. Employees who observe frequent departures of colleagues may interpret this as a sign of </w:t>
      </w:r>
      <w:r w:rsidR="00D11FB7">
        <w:rPr>
          <w:rFonts w:ascii="Arial" w:hAnsi="Arial"/>
          <w:sz w:val="24"/>
          <w:szCs w:val="24"/>
        </w:rPr>
        <w:t>organisational</w:t>
      </w:r>
      <w:r w:rsidRPr="00E0734A">
        <w:rPr>
          <w:rFonts w:ascii="Arial" w:hAnsi="Arial"/>
          <w:sz w:val="24"/>
          <w:szCs w:val="24"/>
        </w:rPr>
        <w:t xml:space="preserve"> instability, which reduces trust in management and their career prospects. According to Tews, Michel and Bartlett (2012), remaining employees become more reluctant to invest emotionally or professionally in an </w:t>
      </w:r>
      <w:r w:rsidR="00637254">
        <w:rPr>
          <w:rFonts w:ascii="Arial" w:hAnsi="Arial"/>
          <w:sz w:val="24"/>
          <w:szCs w:val="24"/>
        </w:rPr>
        <w:t>organisation</w:t>
      </w:r>
      <w:r w:rsidRPr="00E0734A">
        <w:rPr>
          <w:rFonts w:ascii="Arial" w:hAnsi="Arial"/>
          <w:sz w:val="24"/>
          <w:szCs w:val="24"/>
        </w:rPr>
        <w:t xml:space="preserve"> perceived as unstable.</w:t>
      </w:r>
    </w:p>
    <w:p w14:paraId="5CC0EC6F" w14:textId="46ED21D7" w:rsidR="00753B76"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In general, operational efficiency is affected by frequent interruptions in work processes, lack of trained staff at key moments, and </w:t>
      </w:r>
      <w:r w:rsidR="00AA5E64">
        <w:rPr>
          <w:rFonts w:ascii="Arial" w:hAnsi="Arial"/>
          <w:sz w:val="24"/>
          <w:szCs w:val="24"/>
        </w:rPr>
        <w:t>generalised</w:t>
      </w:r>
      <w:r w:rsidRPr="00E0734A">
        <w:rPr>
          <w:rFonts w:ascii="Arial" w:hAnsi="Arial"/>
          <w:sz w:val="24"/>
          <w:szCs w:val="24"/>
        </w:rPr>
        <w:t xml:space="preserve"> demotivation that can result from an </w:t>
      </w:r>
      <w:r w:rsidR="003B51E9">
        <w:rPr>
          <w:rFonts w:ascii="Arial" w:hAnsi="Arial"/>
          <w:sz w:val="24"/>
          <w:szCs w:val="24"/>
        </w:rPr>
        <w:t>organisational</w:t>
      </w:r>
      <w:r w:rsidRPr="00E0734A">
        <w:rPr>
          <w:rFonts w:ascii="Arial" w:hAnsi="Arial"/>
          <w:sz w:val="24"/>
          <w:szCs w:val="24"/>
        </w:rPr>
        <w:t xml:space="preserve"> climate marked by uncertainty. The final impact is reflected in both the customer experience and the hotel's financial performance.</w:t>
      </w:r>
      <w:r w:rsidR="005A2F70" w:rsidRPr="00E0734A">
        <w:rPr>
          <w:rFonts w:ascii="Arial" w:hAnsi="Arial"/>
          <w:sz w:val="24"/>
          <w:szCs w:val="24"/>
        </w:rPr>
        <w:t xml:space="preserve"> </w:t>
      </w:r>
      <w:r w:rsidR="00753B76" w:rsidRPr="00E0734A">
        <w:rPr>
          <w:rFonts w:ascii="Arial" w:hAnsi="Arial"/>
          <w:sz w:val="24"/>
          <w:szCs w:val="24"/>
        </w:rPr>
        <w:t>Understanding how employees perceive the work environment, leadership style, development opportunities</w:t>
      </w:r>
      <w:r w:rsidR="00B15C90">
        <w:rPr>
          <w:rFonts w:ascii="Arial" w:hAnsi="Arial"/>
          <w:sz w:val="24"/>
          <w:szCs w:val="24"/>
        </w:rPr>
        <w:t>,</w:t>
      </w:r>
      <w:r w:rsidR="00753B76" w:rsidRPr="00E0734A">
        <w:rPr>
          <w:rFonts w:ascii="Arial" w:hAnsi="Arial"/>
          <w:sz w:val="24"/>
          <w:szCs w:val="24"/>
        </w:rPr>
        <w:t xml:space="preserve"> and reward systems can provide valuable insight into the real causes of turnover intentions and can contribute to the development of targeted interventions</w:t>
      </w:r>
      <w:r w:rsidR="00E474B6" w:rsidRPr="00E0734A">
        <w:rPr>
          <w:rFonts w:ascii="Arial" w:hAnsi="Arial"/>
          <w:sz w:val="24"/>
          <w:szCs w:val="24"/>
        </w:rPr>
        <w:t xml:space="preserve"> (Shaik, 2023)</w:t>
      </w:r>
      <w:r w:rsidR="00753B76" w:rsidRPr="00E0734A">
        <w:rPr>
          <w:rFonts w:ascii="Arial" w:hAnsi="Arial"/>
          <w:sz w:val="24"/>
          <w:szCs w:val="24"/>
        </w:rPr>
        <w:t>.</w:t>
      </w:r>
    </w:p>
    <w:p w14:paraId="703B3E4E" w14:textId="2C2C64E0" w:rsidR="00753B76"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The data collected in the study show that </w:t>
      </w:r>
      <w:r w:rsidR="001457E7" w:rsidRPr="00E0734A">
        <w:rPr>
          <w:rFonts w:ascii="Arial" w:hAnsi="Arial"/>
          <w:sz w:val="24"/>
          <w:szCs w:val="24"/>
        </w:rPr>
        <w:t>most</w:t>
      </w:r>
      <w:r w:rsidRPr="00E0734A">
        <w:rPr>
          <w:rFonts w:ascii="Arial" w:hAnsi="Arial"/>
          <w:sz w:val="24"/>
          <w:szCs w:val="24"/>
        </w:rPr>
        <w:t xml:space="preserve"> respondents associated the desire to leave the </w:t>
      </w:r>
      <w:r w:rsidR="00D5309C">
        <w:rPr>
          <w:rFonts w:ascii="Arial" w:hAnsi="Arial"/>
          <w:sz w:val="24"/>
          <w:szCs w:val="24"/>
        </w:rPr>
        <w:t>organisation</w:t>
      </w:r>
      <w:r w:rsidRPr="00E0734A">
        <w:rPr>
          <w:rFonts w:ascii="Arial" w:hAnsi="Arial"/>
          <w:sz w:val="24"/>
          <w:szCs w:val="24"/>
        </w:rPr>
        <w:t xml:space="preserve"> with a lack of effective communication, insufficient recognition of performance and a perception of an imbalance between the effort put in and the benefits received. These perceptions are aligned with previous research </w:t>
      </w:r>
      <w:r w:rsidR="00CC1315">
        <w:rPr>
          <w:rFonts w:ascii="Arial" w:hAnsi="Arial"/>
          <w:sz w:val="24"/>
          <w:szCs w:val="24"/>
        </w:rPr>
        <w:t>that</w:t>
      </w:r>
      <w:r w:rsidRPr="00E0734A">
        <w:rPr>
          <w:rFonts w:ascii="Arial" w:hAnsi="Arial"/>
          <w:sz w:val="24"/>
          <w:szCs w:val="24"/>
        </w:rPr>
        <w:t xml:space="preserve"> showed </w:t>
      </w:r>
      <w:r w:rsidRPr="00E0734A">
        <w:rPr>
          <w:rFonts w:ascii="Arial" w:hAnsi="Arial"/>
          <w:sz w:val="24"/>
          <w:szCs w:val="24"/>
        </w:rPr>
        <w:lastRenderedPageBreak/>
        <w:t xml:space="preserve">that the violation of the perceived psychological contract, i.e. the gap between the </w:t>
      </w:r>
      <w:r w:rsidR="00CC1315" w:rsidRPr="00E0734A">
        <w:rPr>
          <w:rFonts w:ascii="Arial" w:hAnsi="Arial"/>
          <w:sz w:val="24"/>
          <w:szCs w:val="24"/>
        </w:rPr>
        <w:t>employees’</w:t>
      </w:r>
      <w:r w:rsidRPr="00E0734A">
        <w:rPr>
          <w:rFonts w:ascii="Arial" w:hAnsi="Arial"/>
          <w:sz w:val="24"/>
          <w:szCs w:val="24"/>
        </w:rPr>
        <w:t xml:space="preserve"> expectations and what the </w:t>
      </w:r>
      <w:r w:rsidR="009117B6">
        <w:rPr>
          <w:rFonts w:ascii="Arial" w:hAnsi="Arial"/>
          <w:sz w:val="24"/>
          <w:szCs w:val="24"/>
        </w:rPr>
        <w:t>organisation</w:t>
      </w:r>
      <w:r w:rsidRPr="00E0734A">
        <w:rPr>
          <w:rFonts w:ascii="Arial" w:hAnsi="Arial"/>
          <w:sz w:val="24"/>
          <w:szCs w:val="24"/>
        </w:rPr>
        <w:t xml:space="preserve"> </w:t>
      </w:r>
      <w:r w:rsidR="00E474B6" w:rsidRPr="00E0734A">
        <w:rPr>
          <w:rFonts w:ascii="Arial" w:hAnsi="Arial"/>
          <w:sz w:val="24"/>
          <w:szCs w:val="24"/>
        </w:rPr>
        <w:t>offers</w:t>
      </w:r>
      <w:r w:rsidRPr="00E0734A">
        <w:rPr>
          <w:rFonts w:ascii="Arial" w:hAnsi="Arial"/>
          <w:sz w:val="24"/>
          <w:szCs w:val="24"/>
        </w:rPr>
        <w:t>, is an important predictor of turnover intentions</w:t>
      </w:r>
      <w:r w:rsidR="00CC1315">
        <w:rPr>
          <w:rFonts w:ascii="Arial" w:hAnsi="Arial"/>
          <w:sz w:val="24"/>
          <w:szCs w:val="24"/>
        </w:rPr>
        <w:t xml:space="preserve"> (Ghani </w:t>
      </w:r>
      <w:r w:rsidR="00CC1315" w:rsidRPr="00CC1315">
        <w:rPr>
          <w:rFonts w:ascii="Arial" w:hAnsi="Arial"/>
          <w:i/>
          <w:iCs/>
          <w:sz w:val="24"/>
          <w:szCs w:val="24"/>
        </w:rPr>
        <w:t>et.al.,</w:t>
      </w:r>
      <w:r w:rsidR="00CC1315">
        <w:rPr>
          <w:rFonts w:ascii="Arial" w:hAnsi="Arial"/>
          <w:sz w:val="24"/>
          <w:szCs w:val="24"/>
        </w:rPr>
        <w:t xml:space="preserve"> 2022).</w:t>
      </w:r>
      <w:r w:rsidRPr="00E0734A">
        <w:rPr>
          <w:rFonts w:ascii="Arial" w:hAnsi="Arial"/>
          <w:sz w:val="24"/>
          <w:szCs w:val="24"/>
        </w:rPr>
        <w:t xml:space="preserve"> In the case of Holiday Inn Sunderland, this discrepancy is accentuated by implicit promises of advancement opportunities that do not </w:t>
      </w:r>
      <w:r w:rsidR="009F1C1B">
        <w:rPr>
          <w:rFonts w:ascii="Arial" w:hAnsi="Arial"/>
          <w:sz w:val="24"/>
          <w:szCs w:val="24"/>
        </w:rPr>
        <w:t>materialise</w:t>
      </w:r>
      <w:r w:rsidRPr="00E0734A">
        <w:rPr>
          <w:rFonts w:ascii="Arial" w:hAnsi="Arial"/>
          <w:sz w:val="24"/>
          <w:szCs w:val="24"/>
        </w:rPr>
        <w:t>, generating frustration and demotivation.</w:t>
      </w:r>
    </w:p>
    <w:p w14:paraId="2BD22A54" w14:textId="0B828998" w:rsidR="00753B76"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Furthermore, employees’ perceptions of the leadership style </w:t>
      </w:r>
      <w:r w:rsidR="005861A2">
        <w:rPr>
          <w:rFonts w:ascii="Arial" w:hAnsi="Arial"/>
          <w:sz w:val="24"/>
          <w:szCs w:val="24"/>
        </w:rPr>
        <w:t>practised</w:t>
      </w:r>
      <w:r w:rsidRPr="00E0734A">
        <w:rPr>
          <w:rFonts w:ascii="Arial" w:hAnsi="Arial"/>
          <w:sz w:val="24"/>
          <w:szCs w:val="24"/>
        </w:rPr>
        <w:t xml:space="preserve"> within the hotel significantly influence loyalty to the </w:t>
      </w:r>
      <w:r w:rsidR="005861A2">
        <w:rPr>
          <w:rFonts w:ascii="Arial" w:hAnsi="Arial"/>
          <w:sz w:val="24"/>
          <w:szCs w:val="24"/>
        </w:rPr>
        <w:t>organisation</w:t>
      </w:r>
      <w:r w:rsidRPr="00E0734A">
        <w:rPr>
          <w:rFonts w:ascii="Arial" w:hAnsi="Arial"/>
          <w:sz w:val="24"/>
          <w:szCs w:val="24"/>
        </w:rPr>
        <w:t xml:space="preserve">. Respondents </w:t>
      </w:r>
      <w:r w:rsidR="005861A2">
        <w:rPr>
          <w:rFonts w:ascii="Arial" w:hAnsi="Arial"/>
          <w:sz w:val="24"/>
          <w:szCs w:val="24"/>
        </w:rPr>
        <w:t>emphasised</w:t>
      </w:r>
      <w:r w:rsidRPr="00E0734A">
        <w:rPr>
          <w:rFonts w:ascii="Arial" w:hAnsi="Arial"/>
          <w:sz w:val="24"/>
          <w:szCs w:val="24"/>
        </w:rPr>
        <w:t xml:space="preserve"> that authoritarian leadership, lacking empathy, contributes to a rigid work climate and poor emotional involvement of employees. In contrast, the </w:t>
      </w:r>
      <w:r w:rsidR="005861A2">
        <w:rPr>
          <w:rFonts w:ascii="Arial" w:hAnsi="Arial"/>
          <w:sz w:val="24"/>
          <w:szCs w:val="24"/>
        </w:rPr>
        <w:t>specialised</w:t>
      </w:r>
      <w:r w:rsidRPr="00E0734A">
        <w:rPr>
          <w:rFonts w:ascii="Arial" w:hAnsi="Arial"/>
          <w:sz w:val="24"/>
          <w:szCs w:val="24"/>
        </w:rPr>
        <w:t xml:space="preserve"> literature claims that transformational leadership styles, which </w:t>
      </w:r>
      <w:r w:rsidR="005861A2">
        <w:rPr>
          <w:rFonts w:ascii="Arial" w:hAnsi="Arial"/>
          <w:sz w:val="24"/>
          <w:szCs w:val="24"/>
        </w:rPr>
        <w:t>emphasise</w:t>
      </w:r>
      <w:r w:rsidRPr="00E0734A">
        <w:rPr>
          <w:rFonts w:ascii="Arial" w:hAnsi="Arial"/>
          <w:sz w:val="24"/>
          <w:szCs w:val="24"/>
        </w:rPr>
        <w:t xml:space="preserve"> inspiration, motivation, and individual development, are associated with greater staff retention (Gill, Flaschner </w:t>
      </w:r>
      <w:r w:rsidR="00CC1315">
        <w:rPr>
          <w:rFonts w:ascii="Arial" w:hAnsi="Arial"/>
          <w:sz w:val="24"/>
          <w:szCs w:val="24"/>
        </w:rPr>
        <w:t>and</w:t>
      </w:r>
      <w:r w:rsidRPr="00E0734A">
        <w:rPr>
          <w:rFonts w:ascii="Arial" w:hAnsi="Arial"/>
          <w:sz w:val="24"/>
          <w:szCs w:val="24"/>
        </w:rPr>
        <w:t xml:space="preserve"> Shachar, 2006). Thus, adjusting the managerial style according to the expressed needs of the team becomes a critical condition for reducing turnover.</w:t>
      </w:r>
    </w:p>
    <w:p w14:paraId="38AE92E3" w14:textId="0C32BCDD" w:rsidR="00753B76"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t>The importance of feedback and employee participation in decision-making processes was another recurring element in the responses of the research</w:t>
      </w:r>
      <w:r w:rsidR="00E247ED">
        <w:rPr>
          <w:rFonts w:ascii="Arial" w:hAnsi="Arial"/>
          <w:sz w:val="24"/>
          <w:szCs w:val="24"/>
        </w:rPr>
        <w:t xml:space="preserve">. </w:t>
      </w:r>
      <w:r w:rsidRPr="00E0734A">
        <w:rPr>
          <w:rFonts w:ascii="Arial" w:hAnsi="Arial"/>
          <w:sz w:val="24"/>
          <w:szCs w:val="24"/>
        </w:rPr>
        <w:t xml:space="preserve">Employees who feel that their voice is heard and that they have a say in shaping internal policies develop a stronger sense of belonging and </w:t>
      </w:r>
      <w:r w:rsidR="00C05413">
        <w:rPr>
          <w:rFonts w:ascii="Arial" w:hAnsi="Arial"/>
          <w:sz w:val="24"/>
          <w:szCs w:val="24"/>
        </w:rPr>
        <w:t>organisational</w:t>
      </w:r>
      <w:r w:rsidRPr="00E0734A">
        <w:rPr>
          <w:rFonts w:ascii="Arial" w:hAnsi="Arial"/>
          <w:sz w:val="24"/>
          <w:szCs w:val="24"/>
        </w:rPr>
        <w:t xml:space="preserve"> commitment</w:t>
      </w:r>
      <w:r w:rsidR="00E247ED">
        <w:rPr>
          <w:rFonts w:ascii="Arial" w:hAnsi="Arial"/>
          <w:sz w:val="24"/>
          <w:szCs w:val="24"/>
        </w:rPr>
        <w:t xml:space="preserve"> </w:t>
      </w:r>
      <w:r w:rsidR="00E247ED" w:rsidRPr="00E0734A">
        <w:rPr>
          <w:rFonts w:ascii="Arial" w:hAnsi="Arial"/>
          <w:sz w:val="24"/>
          <w:szCs w:val="24"/>
        </w:rPr>
        <w:t>(Ogu, 2024).</w:t>
      </w:r>
      <w:r w:rsidR="00E247ED">
        <w:rPr>
          <w:rFonts w:ascii="Arial" w:hAnsi="Arial"/>
          <w:sz w:val="24"/>
          <w:szCs w:val="24"/>
        </w:rPr>
        <w:t xml:space="preserve"> </w:t>
      </w:r>
      <w:r w:rsidRPr="00E0734A">
        <w:rPr>
          <w:rFonts w:ascii="Arial" w:hAnsi="Arial"/>
          <w:sz w:val="24"/>
          <w:szCs w:val="24"/>
        </w:rPr>
        <w:t xml:space="preserve">In the case of Holiday Inn Sunderland, the responses suggest the lack of a clear mechanism for consulting staff on </w:t>
      </w:r>
      <w:r w:rsidR="00D5376A">
        <w:rPr>
          <w:rFonts w:ascii="Arial" w:hAnsi="Arial"/>
          <w:sz w:val="24"/>
          <w:szCs w:val="24"/>
        </w:rPr>
        <w:t>organisational</w:t>
      </w:r>
      <w:r w:rsidRPr="00E0734A">
        <w:rPr>
          <w:rFonts w:ascii="Arial" w:hAnsi="Arial"/>
          <w:sz w:val="24"/>
          <w:szCs w:val="24"/>
        </w:rPr>
        <w:t xml:space="preserve"> changes, which contributes to emotional distancing and decreased brand loyalty</w:t>
      </w:r>
      <w:r w:rsidR="00E247ED">
        <w:rPr>
          <w:rFonts w:ascii="Arial" w:hAnsi="Arial"/>
          <w:sz w:val="24"/>
          <w:szCs w:val="24"/>
        </w:rPr>
        <w:t>.</w:t>
      </w:r>
      <w:r w:rsidR="0023481C" w:rsidRPr="00E0734A">
        <w:rPr>
          <w:rFonts w:ascii="Arial" w:hAnsi="Arial"/>
          <w:sz w:val="24"/>
          <w:szCs w:val="24"/>
        </w:rPr>
        <w:t xml:space="preserve"> </w:t>
      </w:r>
    </w:p>
    <w:p w14:paraId="7AC182F4" w14:textId="77777777" w:rsidR="00413BC1"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Another important dimension of employee perception is related to work-life balance. Many respondents indicated that irregular working hours, weekend work requirements and long shifts without adequate compensation </w:t>
      </w:r>
      <w:r w:rsidR="00543DCF" w:rsidRPr="00E0734A">
        <w:rPr>
          <w:rFonts w:ascii="Arial" w:hAnsi="Arial"/>
          <w:sz w:val="24"/>
          <w:szCs w:val="24"/>
        </w:rPr>
        <w:t>led</w:t>
      </w:r>
      <w:r w:rsidRPr="00E0734A">
        <w:rPr>
          <w:rFonts w:ascii="Arial" w:hAnsi="Arial"/>
          <w:sz w:val="24"/>
          <w:szCs w:val="24"/>
        </w:rPr>
        <w:t xml:space="preserve"> to exhaustion and </w:t>
      </w:r>
      <w:r w:rsidR="008747FC" w:rsidRPr="00E0734A">
        <w:rPr>
          <w:rFonts w:ascii="Arial" w:hAnsi="Arial"/>
          <w:sz w:val="24"/>
          <w:szCs w:val="24"/>
        </w:rPr>
        <w:t>affected</w:t>
      </w:r>
      <w:r w:rsidRPr="00E0734A">
        <w:rPr>
          <w:rFonts w:ascii="Arial" w:hAnsi="Arial"/>
          <w:sz w:val="24"/>
          <w:szCs w:val="24"/>
        </w:rPr>
        <w:t xml:space="preserve"> personal life. This issue is frequently mentioned in studies on hospitality, an area where seasonal pressure and continuous demand can lead to burnout (Karatepe, 2013).</w:t>
      </w:r>
    </w:p>
    <w:p w14:paraId="1C45D50D" w14:textId="726729F5" w:rsidR="00753B76"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 In the absence of clear compensatory measures, such as additional days off, flexible work options or mental health support, employees develop a negative perception of </w:t>
      </w:r>
      <w:r w:rsidR="00A451BF">
        <w:rPr>
          <w:rFonts w:ascii="Arial" w:hAnsi="Arial"/>
          <w:sz w:val="24"/>
          <w:szCs w:val="24"/>
        </w:rPr>
        <w:t>organisational</w:t>
      </w:r>
      <w:r w:rsidRPr="00E0734A">
        <w:rPr>
          <w:rFonts w:ascii="Arial" w:hAnsi="Arial"/>
          <w:sz w:val="24"/>
          <w:szCs w:val="24"/>
        </w:rPr>
        <w:t xml:space="preserve"> equity</w:t>
      </w:r>
      <w:r w:rsidR="00BD4A2E" w:rsidRPr="00E0734A">
        <w:rPr>
          <w:rFonts w:ascii="Arial" w:hAnsi="Arial"/>
          <w:sz w:val="24"/>
          <w:szCs w:val="24"/>
        </w:rPr>
        <w:t xml:space="preserve"> (Ajaya Anchan and Pinto, 2013)</w:t>
      </w:r>
      <w:r w:rsidRPr="00E0734A">
        <w:rPr>
          <w:rFonts w:ascii="Arial" w:hAnsi="Arial"/>
          <w:sz w:val="24"/>
          <w:szCs w:val="24"/>
        </w:rPr>
        <w:t>.</w:t>
      </w:r>
    </w:p>
    <w:p w14:paraId="21F30E60" w14:textId="1EA66CDE" w:rsidR="007C3171"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In addition, the perception of job stability and career prospects was another essential element in assessing the intention to stay or leave the </w:t>
      </w:r>
      <w:r w:rsidR="00182D0D">
        <w:rPr>
          <w:rFonts w:ascii="Arial" w:hAnsi="Arial"/>
          <w:sz w:val="24"/>
          <w:szCs w:val="24"/>
        </w:rPr>
        <w:t>organisation</w:t>
      </w:r>
      <w:r w:rsidRPr="00E0734A">
        <w:rPr>
          <w:rFonts w:ascii="Arial" w:hAnsi="Arial"/>
          <w:sz w:val="24"/>
          <w:szCs w:val="24"/>
        </w:rPr>
        <w:t xml:space="preserve">. The lack of professional development plans or clear advancement paths contributes to a climate of stagnation, which can accelerate the desire for change. Thus, retention policies must not only be reactive but </w:t>
      </w:r>
      <w:r w:rsidR="00DC41B2">
        <w:rPr>
          <w:rFonts w:ascii="Arial" w:hAnsi="Arial"/>
          <w:sz w:val="24"/>
          <w:szCs w:val="24"/>
        </w:rPr>
        <w:t xml:space="preserve">also </w:t>
      </w:r>
      <w:r w:rsidRPr="00E0734A">
        <w:rPr>
          <w:rFonts w:ascii="Arial" w:hAnsi="Arial"/>
          <w:sz w:val="24"/>
          <w:szCs w:val="24"/>
        </w:rPr>
        <w:t xml:space="preserve">proactive, built </w:t>
      </w:r>
      <w:r w:rsidR="001457E7" w:rsidRPr="00E0734A">
        <w:rPr>
          <w:rFonts w:ascii="Arial" w:hAnsi="Arial"/>
          <w:sz w:val="24"/>
          <w:szCs w:val="24"/>
        </w:rPr>
        <w:t>based on</w:t>
      </w:r>
      <w:r w:rsidRPr="00E0734A">
        <w:rPr>
          <w:rFonts w:ascii="Arial" w:hAnsi="Arial"/>
          <w:sz w:val="24"/>
          <w:szCs w:val="24"/>
        </w:rPr>
        <w:t xml:space="preserve"> employees' real expectations and their perceptions of personal growth potential within the </w:t>
      </w:r>
      <w:r w:rsidR="00DC41B2">
        <w:rPr>
          <w:rFonts w:ascii="Arial" w:hAnsi="Arial"/>
          <w:sz w:val="24"/>
          <w:szCs w:val="24"/>
        </w:rPr>
        <w:t>organisation</w:t>
      </w:r>
      <w:r w:rsidRPr="00E0734A">
        <w:rPr>
          <w:rFonts w:ascii="Arial" w:hAnsi="Arial"/>
          <w:sz w:val="24"/>
          <w:szCs w:val="24"/>
        </w:rPr>
        <w:t>. Based on all these aspects, it is evident that employee perceptions should not be treated as subjective elements without practical relevance, but as an essential barometer for the formulation of effective retention policies</w:t>
      </w:r>
      <w:r w:rsidR="0036350F" w:rsidRPr="00E0734A">
        <w:rPr>
          <w:rFonts w:ascii="Arial" w:hAnsi="Arial"/>
          <w:sz w:val="24"/>
          <w:szCs w:val="24"/>
        </w:rPr>
        <w:t xml:space="preserve"> (Shahid, 2018)</w:t>
      </w:r>
      <w:r w:rsidRPr="00E0734A">
        <w:rPr>
          <w:rFonts w:ascii="Arial" w:hAnsi="Arial"/>
          <w:sz w:val="24"/>
          <w:szCs w:val="24"/>
        </w:rPr>
        <w:t>.</w:t>
      </w:r>
    </w:p>
    <w:p w14:paraId="5EA644A0" w14:textId="1A9759A8"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Any research approach involves certain limitations that may influence the generalizability or applicability of the results. The present study, although it provides a detailed picture of the causes and implications of staff turnover within the Holiday Inn Sunderland, presents several methodological and contextual constraints that must be </w:t>
      </w:r>
      <w:r w:rsidR="00BD4A2E" w:rsidRPr="00E0734A">
        <w:rPr>
          <w:rFonts w:ascii="Arial" w:hAnsi="Arial"/>
          <w:sz w:val="24"/>
          <w:szCs w:val="24"/>
        </w:rPr>
        <w:t>considered</w:t>
      </w:r>
      <w:r w:rsidRPr="00E0734A">
        <w:rPr>
          <w:rFonts w:ascii="Arial" w:hAnsi="Arial"/>
          <w:sz w:val="24"/>
          <w:szCs w:val="24"/>
        </w:rPr>
        <w:t xml:space="preserve"> when interpreting the results.</w:t>
      </w:r>
    </w:p>
    <w:p w14:paraId="05892633" w14:textId="77777777" w:rsidR="002C4223"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Firstly, the case study nature of the research limits the possibility of extrapolating the conclusions to the entire hotel industry in the United Kingdom. Although the Holiday Inn Sunderland is part of </w:t>
      </w:r>
      <w:r w:rsidR="00E247ED">
        <w:rPr>
          <w:rFonts w:ascii="Arial" w:hAnsi="Arial"/>
          <w:sz w:val="24"/>
          <w:szCs w:val="24"/>
        </w:rPr>
        <w:t>a franchised,</w:t>
      </w:r>
      <w:r w:rsidRPr="00E0734A">
        <w:rPr>
          <w:rFonts w:ascii="Arial" w:hAnsi="Arial"/>
          <w:sz w:val="24"/>
          <w:szCs w:val="24"/>
        </w:rPr>
        <w:t xml:space="preserve"> international</w:t>
      </w:r>
      <w:r w:rsidR="00E247ED">
        <w:rPr>
          <w:rFonts w:ascii="Arial" w:hAnsi="Arial"/>
          <w:sz w:val="24"/>
          <w:szCs w:val="24"/>
        </w:rPr>
        <w:t xml:space="preserve"> IHG</w:t>
      </w:r>
      <w:r w:rsidRPr="00E0734A">
        <w:rPr>
          <w:rFonts w:ascii="Arial" w:hAnsi="Arial"/>
          <w:sz w:val="24"/>
          <w:szCs w:val="24"/>
        </w:rPr>
        <w:t xml:space="preserve"> chain</w:t>
      </w:r>
      <w:r w:rsidR="005E0A2C">
        <w:rPr>
          <w:rFonts w:ascii="Arial" w:hAnsi="Arial"/>
          <w:sz w:val="24"/>
          <w:szCs w:val="24"/>
        </w:rPr>
        <w:t xml:space="preserve"> that has</w:t>
      </w:r>
      <w:r w:rsidRPr="00E0734A">
        <w:rPr>
          <w:rFonts w:ascii="Arial" w:hAnsi="Arial"/>
          <w:sz w:val="24"/>
          <w:szCs w:val="24"/>
        </w:rPr>
        <w:t xml:space="preserve"> well-defined standards, the local context, specific management and socio-economic characteristics of the region may uniquely influence staff dynamics. Thus, the results cannot be considered representative of other locations of the same brand or for other hotels, even if they operate in the same market segment. </w:t>
      </w:r>
    </w:p>
    <w:p w14:paraId="2BA38545" w14:textId="0679B108"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According to Yin (2018), case studies provide depth and detail, but do not aim at statistical </w:t>
      </w:r>
      <w:r w:rsidR="00A65500">
        <w:rPr>
          <w:rFonts w:ascii="Arial" w:hAnsi="Arial"/>
          <w:sz w:val="24"/>
          <w:szCs w:val="24"/>
        </w:rPr>
        <w:t>generalisation</w:t>
      </w:r>
      <w:r w:rsidRPr="00E0734A">
        <w:rPr>
          <w:rFonts w:ascii="Arial" w:hAnsi="Arial"/>
          <w:sz w:val="24"/>
          <w:szCs w:val="24"/>
        </w:rPr>
        <w:t>, but rather at developing a deep understanding of the phenomenon in a concrete context.</w:t>
      </w:r>
    </w:p>
    <w:p w14:paraId="3B3C650F" w14:textId="75C684F5"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Another important limitation concerns the source of the data, which mainly comes from qualitative observations and netnographic analysis. Although these methods provide an authentic and </w:t>
      </w:r>
      <w:r w:rsidR="00A65500">
        <w:rPr>
          <w:rFonts w:ascii="Arial" w:hAnsi="Arial"/>
          <w:sz w:val="24"/>
          <w:szCs w:val="24"/>
        </w:rPr>
        <w:t>contextualised</w:t>
      </w:r>
      <w:r w:rsidRPr="00E0734A">
        <w:rPr>
          <w:rFonts w:ascii="Arial" w:hAnsi="Arial"/>
          <w:sz w:val="24"/>
          <w:szCs w:val="24"/>
        </w:rPr>
        <w:t xml:space="preserve"> perspective, they are more exposed to the risk of subjectivity in interpretation. Even though the research was conducted within a period of professional practice and not as an employee of the </w:t>
      </w:r>
      <w:r w:rsidR="00A65500">
        <w:rPr>
          <w:rFonts w:ascii="Arial" w:hAnsi="Arial"/>
          <w:sz w:val="24"/>
          <w:szCs w:val="24"/>
        </w:rPr>
        <w:t>organisation</w:t>
      </w:r>
      <w:r w:rsidRPr="00E0734A">
        <w:rPr>
          <w:rFonts w:ascii="Arial" w:hAnsi="Arial"/>
          <w:sz w:val="24"/>
          <w:szCs w:val="24"/>
        </w:rPr>
        <w:t>, there is still the possibility that some perceptions were influenced by the limited duration of the observation or the informal nature of the interactions</w:t>
      </w:r>
      <w:r w:rsidR="00722086" w:rsidRPr="00E0734A">
        <w:rPr>
          <w:rFonts w:ascii="Arial" w:hAnsi="Arial"/>
          <w:sz w:val="24"/>
          <w:szCs w:val="24"/>
        </w:rPr>
        <w:t xml:space="preserve"> (Hassan, 2023)</w:t>
      </w:r>
      <w:r w:rsidRPr="00E0734A">
        <w:rPr>
          <w:rFonts w:ascii="Arial" w:hAnsi="Arial"/>
          <w:sz w:val="24"/>
          <w:szCs w:val="24"/>
        </w:rPr>
        <w:t xml:space="preserve">. Furthermore, the lack of a structured interview or a quantitative survey reduces the possibility of comparing employees' opinions based on </w:t>
      </w:r>
      <w:r w:rsidR="00A65500">
        <w:rPr>
          <w:rFonts w:ascii="Arial" w:hAnsi="Arial"/>
          <w:sz w:val="24"/>
          <w:szCs w:val="24"/>
        </w:rPr>
        <w:t>standardised</w:t>
      </w:r>
      <w:r w:rsidRPr="00E0734A">
        <w:rPr>
          <w:rFonts w:ascii="Arial" w:hAnsi="Arial"/>
          <w:sz w:val="24"/>
          <w:szCs w:val="24"/>
        </w:rPr>
        <w:t xml:space="preserve"> indicators. Also, the period in which the research was conducted did not cover the significant seasonal fluctuations of </w:t>
      </w:r>
      <w:r w:rsidR="00330E3E" w:rsidRPr="00E0734A">
        <w:rPr>
          <w:rFonts w:ascii="Arial" w:hAnsi="Arial"/>
          <w:sz w:val="24"/>
          <w:szCs w:val="24"/>
        </w:rPr>
        <w:t>staff</w:t>
      </w:r>
      <w:r w:rsidRPr="00E0734A">
        <w:rPr>
          <w:rFonts w:ascii="Arial" w:hAnsi="Arial"/>
          <w:sz w:val="24"/>
          <w:szCs w:val="24"/>
        </w:rPr>
        <w:t xml:space="preserve"> frequently encountered in the hospitality industry. This temporal aspect may affect the validity of the results </w:t>
      </w:r>
      <w:r w:rsidR="00330E3E">
        <w:rPr>
          <w:rFonts w:ascii="Arial" w:hAnsi="Arial"/>
          <w:sz w:val="24"/>
          <w:szCs w:val="24"/>
        </w:rPr>
        <w:t>concerning</w:t>
      </w:r>
      <w:r w:rsidRPr="00E0734A">
        <w:rPr>
          <w:rFonts w:ascii="Arial" w:hAnsi="Arial"/>
          <w:sz w:val="24"/>
          <w:szCs w:val="24"/>
        </w:rPr>
        <w:t xml:space="preserve"> peak months (e.g., the holiday or summer vacation period), when the pressure on staff is much </w:t>
      </w:r>
      <w:r w:rsidR="001457E7" w:rsidRPr="00E0734A">
        <w:rPr>
          <w:rFonts w:ascii="Arial" w:hAnsi="Arial"/>
          <w:sz w:val="24"/>
          <w:szCs w:val="24"/>
        </w:rPr>
        <w:t>greater,</w:t>
      </w:r>
      <w:r w:rsidRPr="00E0734A">
        <w:rPr>
          <w:rFonts w:ascii="Arial" w:hAnsi="Arial"/>
          <w:sz w:val="24"/>
          <w:szCs w:val="24"/>
        </w:rPr>
        <w:t xml:space="preserve"> and retention or departure </w:t>
      </w:r>
      <w:r w:rsidR="00A65500">
        <w:rPr>
          <w:rFonts w:ascii="Arial" w:hAnsi="Arial"/>
          <w:sz w:val="24"/>
          <w:szCs w:val="24"/>
        </w:rPr>
        <w:t>behaviours</w:t>
      </w:r>
      <w:r w:rsidRPr="00E0734A">
        <w:rPr>
          <w:rFonts w:ascii="Arial" w:hAnsi="Arial"/>
          <w:sz w:val="24"/>
          <w:szCs w:val="24"/>
        </w:rPr>
        <w:t xml:space="preserve"> may be different. Future research could cover longer periods and compare the dynamics of turnover at different times of the year, providing a </w:t>
      </w:r>
      <w:r w:rsidR="00A65500">
        <w:rPr>
          <w:rFonts w:ascii="Arial" w:hAnsi="Arial"/>
          <w:sz w:val="24"/>
          <w:szCs w:val="24"/>
        </w:rPr>
        <w:t>complete</w:t>
      </w:r>
      <w:r w:rsidR="001457E7" w:rsidRPr="00E0734A">
        <w:rPr>
          <w:rFonts w:ascii="Arial" w:hAnsi="Arial"/>
          <w:sz w:val="24"/>
          <w:szCs w:val="24"/>
        </w:rPr>
        <w:t xml:space="preserve"> and more predictive</w:t>
      </w:r>
      <w:r w:rsidRPr="00E0734A">
        <w:rPr>
          <w:rFonts w:ascii="Arial" w:hAnsi="Arial"/>
          <w:sz w:val="24"/>
          <w:szCs w:val="24"/>
        </w:rPr>
        <w:t xml:space="preserve"> picture.</w:t>
      </w:r>
    </w:p>
    <w:p w14:paraId="6932720F" w14:textId="77777777" w:rsidR="002C4223"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Another limitation is the absence of the perspective of the hotel’s senior management. The analysis focused predominantly on the perceptions and </w:t>
      </w:r>
      <w:r w:rsidR="00A65500">
        <w:rPr>
          <w:rFonts w:ascii="Arial" w:hAnsi="Arial"/>
          <w:sz w:val="24"/>
          <w:szCs w:val="24"/>
        </w:rPr>
        <w:t>behaviours</w:t>
      </w:r>
      <w:r w:rsidRPr="00E0734A">
        <w:rPr>
          <w:rFonts w:ascii="Arial" w:hAnsi="Arial"/>
          <w:sz w:val="24"/>
          <w:szCs w:val="24"/>
        </w:rPr>
        <w:t xml:space="preserve"> of operational employees, without directly including the leaders’ vision of retention challenges. Integrating the point of view of the human resources department or the general manager could add interpretive value and balance the analysis, allowing for a bidirectional understanding of the causes and possible solutions. </w:t>
      </w:r>
    </w:p>
    <w:p w14:paraId="16FDC4BF" w14:textId="798B1F08"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lastRenderedPageBreak/>
        <w:t>In future research, the recommendation is to include semi-structured interviews with members of the management team for a more robust triangulation of the data</w:t>
      </w:r>
      <w:r w:rsidR="00F8129A" w:rsidRPr="00E0734A">
        <w:rPr>
          <w:rFonts w:ascii="Arial" w:hAnsi="Arial"/>
          <w:sz w:val="24"/>
          <w:szCs w:val="24"/>
        </w:rPr>
        <w:t xml:space="preserve"> (Sandstrom and Reynolds, 2019)</w:t>
      </w:r>
      <w:r w:rsidRPr="00E0734A">
        <w:rPr>
          <w:rFonts w:ascii="Arial" w:hAnsi="Arial"/>
          <w:sz w:val="24"/>
          <w:szCs w:val="24"/>
        </w:rPr>
        <w:t>.</w:t>
      </w:r>
    </w:p>
    <w:p w14:paraId="404C6711" w14:textId="0629E762"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At the same time, the research did not include the dimension of workforce diversity in terms of age, gender, nationality or education level, aspects that can significantly influence both the perception of the workplace and the motivation to stay or leave the </w:t>
      </w:r>
      <w:r w:rsidR="00A65500">
        <w:rPr>
          <w:rFonts w:ascii="Arial" w:hAnsi="Arial"/>
          <w:sz w:val="24"/>
          <w:szCs w:val="24"/>
        </w:rPr>
        <w:t>organisation</w:t>
      </w:r>
      <w:r w:rsidRPr="00E0734A">
        <w:rPr>
          <w:rFonts w:ascii="Arial" w:hAnsi="Arial"/>
          <w:sz w:val="24"/>
          <w:szCs w:val="24"/>
        </w:rPr>
        <w:t>. Recent literature</w:t>
      </w:r>
      <w:r w:rsidR="0090525A" w:rsidRPr="00E0734A">
        <w:rPr>
          <w:rFonts w:ascii="Arial" w:hAnsi="Arial"/>
          <w:sz w:val="24"/>
          <w:szCs w:val="24"/>
        </w:rPr>
        <w:t xml:space="preserve"> </w:t>
      </w:r>
      <w:r w:rsidRPr="00E0734A">
        <w:rPr>
          <w:rFonts w:ascii="Arial" w:hAnsi="Arial"/>
          <w:sz w:val="24"/>
          <w:szCs w:val="24"/>
        </w:rPr>
        <w:t>suggests that demographic factors influence how employees respond to retention policies, and neglecting this variable may lead to an incomplete picture</w:t>
      </w:r>
      <w:r w:rsidR="00330E3E">
        <w:rPr>
          <w:rFonts w:ascii="Arial" w:hAnsi="Arial"/>
          <w:sz w:val="24"/>
          <w:szCs w:val="24"/>
        </w:rPr>
        <w:t xml:space="preserve"> (</w:t>
      </w:r>
      <w:r w:rsidR="00330E3E" w:rsidRPr="007C17B3">
        <w:rPr>
          <w:rFonts w:ascii="Arial" w:hAnsi="Arial"/>
          <w:sz w:val="24"/>
          <w:szCs w:val="24"/>
          <w:lang w:val="en-GB"/>
        </w:rPr>
        <w:t>Allen</w:t>
      </w:r>
      <w:r w:rsidR="00330E3E">
        <w:rPr>
          <w:rFonts w:ascii="Arial" w:hAnsi="Arial"/>
          <w:sz w:val="24"/>
          <w:szCs w:val="24"/>
          <w:lang w:val="en-GB"/>
        </w:rPr>
        <w:t xml:space="preserve"> </w:t>
      </w:r>
      <w:r w:rsidR="00330E3E" w:rsidRPr="007C17B3">
        <w:rPr>
          <w:rFonts w:ascii="Arial" w:hAnsi="Arial"/>
          <w:sz w:val="24"/>
          <w:szCs w:val="24"/>
          <w:lang w:val="en-GB"/>
        </w:rPr>
        <w:t>and Bryant,</w:t>
      </w:r>
      <w:r w:rsidR="00330E3E">
        <w:rPr>
          <w:rFonts w:ascii="Arial" w:hAnsi="Arial"/>
          <w:sz w:val="24"/>
          <w:szCs w:val="24"/>
          <w:lang w:val="en-GB"/>
        </w:rPr>
        <w:t xml:space="preserve"> </w:t>
      </w:r>
      <w:r w:rsidR="00330E3E" w:rsidRPr="007C17B3">
        <w:rPr>
          <w:rFonts w:ascii="Arial" w:hAnsi="Arial"/>
          <w:sz w:val="24"/>
          <w:szCs w:val="24"/>
          <w:lang w:val="en-GB"/>
        </w:rPr>
        <w:t>2012)</w:t>
      </w:r>
      <w:r w:rsidR="00330E3E">
        <w:rPr>
          <w:rFonts w:ascii="Arial" w:hAnsi="Arial"/>
          <w:sz w:val="24"/>
          <w:szCs w:val="24"/>
          <w:lang w:val="en-GB"/>
        </w:rPr>
        <w:t>.</w:t>
      </w:r>
    </w:p>
    <w:p w14:paraId="7097AED1" w14:textId="363D8EED" w:rsidR="00753B76"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In terms of future directions, research can be expanded by adopting a mixed approach (quantitative and qualitative methodology) to validate the results obtained and to formulate </w:t>
      </w:r>
      <w:r w:rsidR="00A65500">
        <w:rPr>
          <w:rFonts w:ascii="Arial" w:hAnsi="Arial"/>
          <w:sz w:val="24"/>
          <w:szCs w:val="24"/>
        </w:rPr>
        <w:t>personalised</w:t>
      </w:r>
      <w:r w:rsidRPr="00E0734A">
        <w:rPr>
          <w:rFonts w:ascii="Arial" w:hAnsi="Arial"/>
          <w:sz w:val="24"/>
          <w:szCs w:val="24"/>
        </w:rPr>
        <w:t xml:space="preserve"> recommendations by staff categories. Moreover, including a larger sample from several units of the same hotel chain would allow for the comparison of practices and the identification of effective retention models at the </w:t>
      </w:r>
      <w:r w:rsidR="00A65500">
        <w:rPr>
          <w:rFonts w:ascii="Arial" w:hAnsi="Arial"/>
          <w:sz w:val="24"/>
          <w:szCs w:val="24"/>
        </w:rPr>
        <w:t>organisational</w:t>
      </w:r>
      <w:r w:rsidRPr="00E0734A">
        <w:rPr>
          <w:rFonts w:ascii="Arial" w:hAnsi="Arial"/>
          <w:sz w:val="24"/>
          <w:szCs w:val="24"/>
        </w:rPr>
        <w:t xml:space="preserve"> level. Also, the integration of a robust theoretical framework in the data interpretation phase could lead to the development of a model applicable to other similar </w:t>
      </w:r>
      <w:r w:rsidR="00A65500">
        <w:rPr>
          <w:rFonts w:ascii="Arial" w:hAnsi="Arial"/>
          <w:sz w:val="24"/>
          <w:szCs w:val="24"/>
        </w:rPr>
        <w:t>organisations</w:t>
      </w:r>
      <w:r w:rsidRPr="00E0734A">
        <w:rPr>
          <w:rFonts w:ascii="Arial" w:hAnsi="Arial"/>
          <w:sz w:val="24"/>
          <w:szCs w:val="24"/>
        </w:rPr>
        <w:t xml:space="preserve"> in the hospitality sector</w:t>
      </w:r>
      <w:r w:rsidR="00A372B2" w:rsidRPr="00E0734A">
        <w:rPr>
          <w:rFonts w:ascii="Arial" w:hAnsi="Arial"/>
          <w:sz w:val="24"/>
          <w:szCs w:val="24"/>
        </w:rPr>
        <w:t xml:space="preserve"> (Amer Research Taqa, 2025)</w:t>
      </w:r>
      <w:r w:rsidRPr="00E0734A">
        <w:rPr>
          <w:rFonts w:ascii="Arial" w:hAnsi="Arial"/>
          <w:sz w:val="24"/>
          <w:szCs w:val="24"/>
        </w:rPr>
        <w:t>.</w:t>
      </w:r>
    </w:p>
    <w:p w14:paraId="2DF97DA2" w14:textId="77777777" w:rsidR="008524F9" w:rsidRDefault="008524F9" w:rsidP="000F1502">
      <w:pPr>
        <w:pStyle w:val="BodyText"/>
        <w:spacing w:line="480" w:lineRule="auto"/>
        <w:jc w:val="both"/>
        <w:rPr>
          <w:rFonts w:ascii="Arial" w:hAnsi="Arial"/>
          <w:sz w:val="24"/>
          <w:szCs w:val="24"/>
        </w:rPr>
      </w:pPr>
    </w:p>
    <w:p w14:paraId="02D8D34B" w14:textId="77777777" w:rsidR="008524F9" w:rsidRDefault="008524F9" w:rsidP="000F1502">
      <w:pPr>
        <w:pStyle w:val="BodyText"/>
        <w:spacing w:line="480" w:lineRule="auto"/>
        <w:jc w:val="both"/>
        <w:rPr>
          <w:rFonts w:ascii="Arial" w:hAnsi="Arial"/>
          <w:sz w:val="24"/>
          <w:szCs w:val="24"/>
        </w:rPr>
      </w:pPr>
    </w:p>
    <w:p w14:paraId="3E1A9EE6" w14:textId="77777777" w:rsidR="008524F9" w:rsidRDefault="008524F9" w:rsidP="000F1502">
      <w:pPr>
        <w:pStyle w:val="BodyText"/>
        <w:spacing w:line="480" w:lineRule="auto"/>
        <w:jc w:val="both"/>
        <w:rPr>
          <w:rFonts w:ascii="Arial" w:hAnsi="Arial"/>
          <w:sz w:val="24"/>
          <w:szCs w:val="24"/>
        </w:rPr>
      </w:pPr>
    </w:p>
    <w:p w14:paraId="4BA51D76" w14:textId="77777777" w:rsidR="008524F9" w:rsidRDefault="008524F9" w:rsidP="000F1502">
      <w:pPr>
        <w:pStyle w:val="BodyText"/>
        <w:spacing w:line="480" w:lineRule="auto"/>
        <w:jc w:val="both"/>
        <w:rPr>
          <w:rFonts w:ascii="Arial" w:hAnsi="Arial"/>
          <w:sz w:val="24"/>
          <w:szCs w:val="24"/>
        </w:rPr>
      </w:pPr>
    </w:p>
    <w:p w14:paraId="420A819E" w14:textId="77777777" w:rsidR="00444D07" w:rsidRDefault="00444D07" w:rsidP="000F1502">
      <w:pPr>
        <w:pStyle w:val="BodyText"/>
        <w:spacing w:line="480" w:lineRule="auto"/>
        <w:jc w:val="both"/>
        <w:rPr>
          <w:rFonts w:ascii="Arial" w:hAnsi="Arial"/>
          <w:sz w:val="24"/>
          <w:szCs w:val="24"/>
        </w:rPr>
      </w:pPr>
    </w:p>
    <w:p w14:paraId="38996AA7" w14:textId="77777777" w:rsidR="00444D07" w:rsidRPr="00E0734A" w:rsidRDefault="00444D07" w:rsidP="000F1502">
      <w:pPr>
        <w:pStyle w:val="BodyText"/>
        <w:spacing w:line="480" w:lineRule="auto"/>
        <w:jc w:val="both"/>
        <w:rPr>
          <w:rFonts w:ascii="Arial" w:hAnsi="Arial"/>
          <w:sz w:val="24"/>
          <w:szCs w:val="24"/>
        </w:rPr>
      </w:pPr>
    </w:p>
    <w:p w14:paraId="3D5DDBE6" w14:textId="523A2B51" w:rsidR="00A21670" w:rsidRPr="00444D07" w:rsidRDefault="000B5217" w:rsidP="000B5217">
      <w:pPr>
        <w:pStyle w:val="Heading1"/>
        <w:rPr>
          <w:sz w:val="28"/>
        </w:rPr>
      </w:pPr>
      <w:bookmarkStart w:id="26" w:name="_Toc199633496"/>
      <w:r>
        <w:lastRenderedPageBreak/>
        <w:t xml:space="preserve"> </w:t>
      </w:r>
      <w:bookmarkStart w:id="27" w:name="_Toc200461597"/>
      <w:r w:rsidRPr="00444D07">
        <w:rPr>
          <w:sz w:val="28"/>
        </w:rPr>
        <w:t xml:space="preserve">Chapter 5. </w:t>
      </w:r>
      <w:r w:rsidR="00F51DD7" w:rsidRPr="00444D07">
        <w:rPr>
          <w:sz w:val="28"/>
        </w:rPr>
        <w:t>Conclusion</w:t>
      </w:r>
      <w:bookmarkEnd w:id="26"/>
      <w:r w:rsidRPr="00444D07">
        <w:rPr>
          <w:sz w:val="28"/>
        </w:rPr>
        <w:t xml:space="preserve"> and Recommendations</w:t>
      </w:r>
      <w:bookmarkEnd w:id="27"/>
    </w:p>
    <w:p w14:paraId="43CBA093" w14:textId="77777777" w:rsidR="000B5217" w:rsidRPr="000B5217" w:rsidRDefault="000B5217" w:rsidP="000B5217">
      <w:pPr>
        <w:pStyle w:val="BodyText"/>
      </w:pPr>
    </w:p>
    <w:p w14:paraId="2AF837FB" w14:textId="0EACEC21" w:rsidR="00BF6DA5" w:rsidRPr="00E0734A" w:rsidRDefault="00BF6DA5" w:rsidP="000F1502">
      <w:pPr>
        <w:pStyle w:val="BodyText"/>
        <w:spacing w:line="480" w:lineRule="auto"/>
        <w:jc w:val="both"/>
        <w:rPr>
          <w:rFonts w:ascii="Arial" w:hAnsi="Arial"/>
          <w:sz w:val="24"/>
          <w:szCs w:val="24"/>
        </w:rPr>
      </w:pPr>
      <w:r w:rsidRPr="00E0734A">
        <w:rPr>
          <w:rFonts w:ascii="Arial" w:hAnsi="Arial"/>
          <w:sz w:val="24"/>
          <w:szCs w:val="24"/>
        </w:rPr>
        <w:t>Th</w:t>
      </w:r>
      <w:r w:rsidR="00253442">
        <w:rPr>
          <w:rFonts w:ascii="Arial" w:hAnsi="Arial"/>
          <w:sz w:val="24"/>
          <w:szCs w:val="24"/>
        </w:rPr>
        <w:t xml:space="preserve">e hotel placement research project </w:t>
      </w:r>
      <w:r w:rsidRPr="00E0734A">
        <w:rPr>
          <w:rFonts w:ascii="Arial" w:hAnsi="Arial"/>
          <w:sz w:val="24"/>
          <w:szCs w:val="24"/>
        </w:rPr>
        <w:t xml:space="preserve">critically and systematically </w:t>
      </w:r>
      <w:r w:rsidR="00B30872" w:rsidRPr="00E0734A">
        <w:rPr>
          <w:rFonts w:ascii="Arial" w:hAnsi="Arial"/>
          <w:sz w:val="24"/>
          <w:szCs w:val="24"/>
        </w:rPr>
        <w:t>explored</w:t>
      </w:r>
      <w:r w:rsidRPr="00E0734A">
        <w:rPr>
          <w:rFonts w:ascii="Arial" w:hAnsi="Arial"/>
          <w:sz w:val="24"/>
          <w:szCs w:val="24"/>
        </w:rPr>
        <w:t xml:space="preserve"> one of the most persistent challenges facing the hospitality industry: staff turnover. The specific case study</w:t>
      </w:r>
      <w:r w:rsidR="00AA529B" w:rsidRPr="00E0734A">
        <w:rPr>
          <w:rFonts w:ascii="Arial" w:hAnsi="Arial"/>
          <w:sz w:val="24"/>
          <w:szCs w:val="24"/>
        </w:rPr>
        <w:t>,</w:t>
      </w:r>
      <w:r w:rsidRPr="00E0734A">
        <w:rPr>
          <w:rFonts w:ascii="Arial" w:hAnsi="Arial"/>
          <w:sz w:val="24"/>
          <w:szCs w:val="24"/>
        </w:rPr>
        <w:t xml:space="preserve"> the Holiday Inn hotel in Sunderland</w:t>
      </w:r>
      <w:r w:rsidR="00A372B2" w:rsidRPr="00E0734A">
        <w:rPr>
          <w:rFonts w:ascii="Arial" w:hAnsi="Arial"/>
          <w:sz w:val="24"/>
          <w:szCs w:val="24"/>
        </w:rPr>
        <w:t xml:space="preserve">, </w:t>
      </w:r>
      <w:r w:rsidRPr="00E0734A">
        <w:rPr>
          <w:rFonts w:ascii="Arial" w:hAnsi="Arial"/>
          <w:sz w:val="24"/>
          <w:szCs w:val="24"/>
        </w:rPr>
        <w:t xml:space="preserve">provided a realistic and applied framework for understanding the causes, effects and possible strategies to mitigate this phenomenon, both from an operational and human perspective. The conclusions presented in this section </w:t>
      </w:r>
      <w:r w:rsidR="00A65500">
        <w:rPr>
          <w:rFonts w:ascii="Arial" w:hAnsi="Arial"/>
          <w:sz w:val="24"/>
          <w:szCs w:val="24"/>
        </w:rPr>
        <w:t>summarise</w:t>
      </w:r>
      <w:r w:rsidRPr="00E0734A">
        <w:rPr>
          <w:rFonts w:ascii="Arial" w:hAnsi="Arial"/>
          <w:sz w:val="24"/>
          <w:szCs w:val="24"/>
        </w:rPr>
        <w:t xml:space="preserve"> the most relevant aspects identified from the research and are based on empirical data collected during the </w:t>
      </w:r>
      <w:r w:rsidR="00E560D3">
        <w:rPr>
          <w:rFonts w:ascii="Arial" w:hAnsi="Arial"/>
          <w:sz w:val="24"/>
          <w:szCs w:val="24"/>
        </w:rPr>
        <w:t>placement</w:t>
      </w:r>
      <w:r w:rsidRPr="00E0734A">
        <w:rPr>
          <w:rFonts w:ascii="Arial" w:hAnsi="Arial"/>
          <w:sz w:val="24"/>
          <w:szCs w:val="24"/>
        </w:rPr>
        <w:t xml:space="preserve"> period, </w:t>
      </w:r>
      <w:r w:rsidR="00A65500">
        <w:rPr>
          <w:rFonts w:ascii="Arial" w:hAnsi="Arial"/>
          <w:sz w:val="24"/>
          <w:szCs w:val="24"/>
        </w:rPr>
        <w:t>analysed</w:t>
      </w:r>
      <w:r w:rsidRPr="00E0734A">
        <w:rPr>
          <w:rFonts w:ascii="Arial" w:hAnsi="Arial"/>
          <w:sz w:val="24"/>
          <w:szCs w:val="24"/>
        </w:rPr>
        <w:t xml:space="preserve"> </w:t>
      </w:r>
      <w:r w:rsidR="00E560D3">
        <w:rPr>
          <w:rFonts w:ascii="Arial" w:hAnsi="Arial"/>
          <w:sz w:val="24"/>
          <w:szCs w:val="24"/>
        </w:rPr>
        <w:t>with</w:t>
      </w:r>
      <w:r w:rsidRPr="00E0734A">
        <w:rPr>
          <w:rFonts w:ascii="Arial" w:hAnsi="Arial"/>
          <w:sz w:val="24"/>
          <w:szCs w:val="24"/>
        </w:rPr>
        <w:t xml:space="preserve"> the </w:t>
      </w:r>
      <w:r w:rsidR="00A65500">
        <w:rPr>
          <w:rFonts w:ascii="Arial" w:hAnsi="Arial"/>
          <w:sz w:val="24"/>
          <w:szCs w:val="24"/>
        </w:rPr>
        <w:t>specialised</w:t>
      </w:r>
      <w:r w:rsidRPr="00E0734A">
        <w:rPr>
          <w:rFonts w:ascii="Arial" w:hAnsi="Arial"/>
          <w:sz w:val="24"/>
          <w:szCs w:val="24"/>
        </w:rPr>
        <w:t xml:space="preserve"> literature.</w:t>
      </w:r>
    </w:p>
    <w:p w14:paraId="48FE2663" w14:textId="2E9DBE0F" w:rsidR="00CE0556" w:rsidRPr="00E0734A" w:rsidRDefault="00BF6DA5" w:rsidP="000F1502">
      <w:pPr>
        <w:pStyle w:val="BodyText"/>
        <w:spacing w:line="480" w:lineRule="auto"/>
        <w:jc w:val="both"/>
        <w:rPr>
          <w:rFonts w:ascii="Arial" w:hAnsi="Arial"/>
          <w:sz w:val="24"/>
          <w:szCs w:val="24"/>
        </w:rPr>
      </w:pPr>
      <w:r w:rsidRPr="00E0734A">
        <w:rPr>
          <w:rFonts w:ascii="Arial" w:hAnsi="Arial"/>
          <w:sz w:val="24"/>
          <w:szCs w:val="24"/>
        </w:rPr>
        <w:t xml:space="preserve">A first fundamental aspect identified was related to the complexity of the factors that determine the departure of employees from the </w:t>
      </w:r>
      <w:r w:rsidR="00E560D3">
        <w:rPr>
          <w:rFonts w:ascii="Arial" w:hAnsi="Arial"/>
          <w:sz w:val="24"/>
          <w:szCs w:val="24"/>
        </w:rPr>
        <w:t>hotel analysed</w:t>
      </w:r>
      <w:r w:rsidRPr="00E0734A">
        <w:rPr>
          <w:rFonts w:ascii="Arial" w:hAnsi="Arial"/>
          <w:sz w:val="24"/>
          <w:szCs w:val="24"/>
        </w:rPr>
        <w:t xml:space="preserve">. The data showed that there is no single cause, but rather a combination of </w:t>
      </w:r>
      <w:r w:rsidR="00A65500">
        <w:rPr>
          <w:rFonts w:ascii="Arial" w:hAnsi="Arial"/>
          <w:sz w:val="24"/>
          <w:szCs w:val="24"/>
        </w:rPr>
        <w:t>organisational</w:t>
      </w:r>
      <w:r w:rsidRPr="00E0734A">
        <w:rPr>
          <w:rFonts w:ascii="Arial" w:hAnsi="Arial"/>
          <w:sz w:val="24"/>
          <w:szCs w:val="24"/>
        </w:rPr>
        <w:t>, individual and contextual factors</w:t>
      </w:r>
      <w:r w:rsidR="00E560D3">
        <w:rPr>
          <w:rFonts w:ascii="Arial" w:hAnsi="Arial"/>
          <w:sz w:val="24"/>
          <w:szCs w:val="24"/>
        </w:rPr>
        <w:t xml:space="preserve">. </w:t>
      </w:r>
      <w:r w:rsidRPr="00E0734A">
        <w:rPr>
          <w:rFonts w:ascii="Arial" w:hAnsi="Arial"/>
          <w:sz w:val="24"/>
          <w:szCs w:val="24"/>
        </w:rPr>
        <w:t xml:space="preserve">Among the most frequently mentioned factors were the low level of salaries </w:t>
      </w:r>
      <w:r w:rsidR="00A65500">
        <w:rPr>
          <w:rFonts w:ascii="Arial" w:hAnsi="Arial"/>
          <w:sz w:val="24"/>
          <w:szCs w:val="24"/>
        </w:rPr>
        <w:t>concerning</w:t>
      </w:r>
      <w:r w:rsidRPr="00E0734A">
        <w:rPr>
          <w:rFonts w:ascii="Arial" w:hAnsi="Arial"/>
          <w:sz w:val="24"/>
          <w:szCs w:val="24"/>
        </w:rPr>
        <w:t xml:space="preserve"> the effort made, the lack of clear professional development opportunities, the high level of stress generated by the lack of staff and the lack of adequate recognition from management. These results are consistent with Deery and Jago’s (2015) studies, which highlight that in the hospitality industry, employee retention is often affected by poor working conditions and a lack of a healthy work-life balance</w:t>
      </w:r>
      <w:r w:rsidR="00F03FE1">
        <w:rPr>
          <w:rFonts w:ascii="Arial" w:hAnsi="Arial"/>
          <w:sz w:val="24"/>
          <w:szCs w:val="24"/>
        </w:rPr>
        <w:t>.</w:t>
      </w:r>
    </w:p>
    <w:p w14:paraId="0A57FC8E" w14:textId="25F1D17B" w:rsidR="00F51DD7" w:rsidRPr="00E0734A" w:rsidRDefault="00BF6DA5" w:rsidP="000F1502">
      <w:pPr>
        <w:pStyle w:val="BodyText"/>
        <w:spacing w:line="480" w:lineRule="auto"/>
        <w:jc w:val="both"/>
        <w:rPr>
          <w:rFonts w:ascii="Arial" w:hAnsi="Arial"/>
          <w:sz w:val="24"/>
          <w:szCs w:val="24"/>
        </w:rPr>
      </w:pPr>
      <w:r w:rsidRPr="00E0734A">
        <w:rPr>
          <w:rFonts w:ascii="Arial" w:hAnsi="Arial"/>
          <w:sz w:val="24"/>
          <w:szCs w:val="24"/>
        </w:rPr>
        <w:t xml:space="preserve">A second important finding is the significant impact of staff turnover on operational efficiency and service quality. During the period under review, staff shortages led to disproportionate task distribution, employee burnout, and low team morale. These imbalances were reflected in lower levels of customer satisfaction and delays or errors in the delivery of basic services. </w:t>
      </w:r>
    </w:p>
    <w:p w14:paraId="7238B9CC" w14:textId="5527573A"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Regarding employees’ perceptions of their workplace and the hotel as an employer, the data collected indicate a moderate level of dissatisfaction and uncertainty. Although some respondents appreciated the material benefits offered (such as temporary accommodation or free meals), most mentioned a lack of effective communication, a feeling of non-involvement in the decision-making process, and a lack of transparency regarding advancement prospects. This state of mind is problematic, since employee engagement is closely linked to their loyalty to the </w:t>
      </w:r>
      <w:r w:rsidR="00176F8D">
        <w:rPr>
          <w:rFonts w:ascii="Arial" w:hAnsi="Arial"/>
          <w:sz w:val="24"/>
          <w:szCs w:val="24"/>
        </w:rPr>
        <w:t>organisation</w:t>
      </w:r>
      <w:r w:rsidRPr="00E0734A">
        <w:rPr>
          <w:rFonts w:ascii="Arial" w:hAnsi="Arial"/>
          <w:sz w:val="24"/>
          <w:szCs w:val="24"/>
        </w:rPr>
        <w:t xml:space="preserve"> (Macey </w:t>
      </w:r>
      <w:r w:rsidR="00E21C6B">
        <w:rPr>
          <w:rFonts w:ascii="Arial" w:hAnsi="Arial"/>
          <w:sz w:val="24"/>
          <w:szCs w:val="24"/>
        </w:rPr>
        <w:t>and</w:t>
      </w:r>
      <w:r w:rsidRPr="00E0734A">
        <w:rPr>
          <w:rFonts w:ascii="Arial" w:hAnsi="Arial"/>
          <w:sz w:val="24"/>
          <w:szCs w:val="24"/>
        </w:rPr>
        <w:t xml:space="preserve"> Schneider, 2008).</w:t>
      </w:r>
    </w:p>
    <w:p w14:paraId="053CAEE4" w14:textId="3BBFCD46"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On the other hand, in the analysis of current staff retention practices, a reactive approach was observed </w:t>
      </w:r>
      <w:r w:rsidR="00F03FE1">
        <w:rPr>
          <w:rFonts w:ascii="Arial" w:hAnsi="Arial"/>
          <w:sz w:val="24"/>
          <w:szCs w:val="24"/>
        </w:rPr>
        <w:t>from</w:t>
      </w:r>
      <w:r w:rsidRPr="00E0734A">
        <w:rPr>
          <w:rFonts w:ascii="Arial" w:hAnsi="Arial"/>
          <w:sz w:val="24"/>
          <w:szCs w:val="24"/>
        </w:rPr>
        <w:t xml:space="preserve"> the hotel management. Although some measures have been implemented</w:t>
      </w:r>
      <w:r w:rsidR="00A138EC" w:rsidRPr="00E0734A">
        <w:rPr>
          <w:rFonts w:ascii="Arial" w:hAnsi="Arial"/>
          <w:sz w:val="24"/>
          <w:szCs w:val="24"/>
        </w:rPr>
        <w:t>,</w:t>
      </w:r>
      <w:r w:rsidRPr="00E0734A">
        <w:rPr>
          <w:rFonts w:ascii="Arial" w:hAnsi="Arial"/>
          <w:sz w:val="24"/>
          <w:szCs w:val="24"/>
        </w:rPr>
        <w:t xml:space="preserve"> such as introductory training sessions and </w:t>
      </w:r>
      <w:r w:rsidR="009017F8" w:rsidRPr="00E0734A">
        <w:rPr>
          <w:rFonts w:ascii="Arial" w:hAnsi="Arial"/>
          <w:sz w:val="24"/>
          <w:szCs w:val="24"/>
        </w:rPr>
        <w:t>employee-of-the-month</w:t>
      </w:r>
      <w:r w:rsidRPr="00E0734A">
        <w:rPr>
          <w:rFonts w:ascii="Arial" w:hAnsi="Arial"/>
          <w:sz w:val="24"/>
          <w:szCs w:val="24"/>
        </w:rPr>
        <w:t xml:space="preserve"> awards</w:t>
      </w:r>
      <w:r w:rsidR="00A138EC" w:rsidRPr="00E0734A">
        <w:rPr>
          <w:rFonts w:ascii="Arial" w:hAnsi="Arial"/>
          <w:sz w:val="24"/>
          <w:szCs w:val="24"/>
        </w:rPr>
        <w:t>, t</w:t>
      </w:r>
      <w:r w:rsidRPr="00E0734A">
        <w:rPr>
          <w:rFonts w:ascii="Arial" w:hAnsi="Arial"/>
          <w:sz w:val="24"/>
          <w:szCs w:val="24"/>
        </w:rPr>
        <w:t xml:space="preserve">hese do not seem to be sufficient to address in depth the causes of departures. Many of these initiatives are not supported by a coherent strategy or periodic employee satisfaction assessments. This points to a clear need to </w:t>
      </w:r>
      <w:r w:rsidR="00DF1E95">
        <w:rPr>
          <w:rFonts w:ascii="Arial" w:hAnsi="Arial"/>
          <w:sz w:val="24"/>
          <w:szCs w:val="24"/>
        </w:rPr>
        <w:t>professionalise</w:t>
      </w:r>
      <w:r w:rsidRPr="00E0734A">
        <w:rPr>
          <w:rFonts w:ascii="Arial" w:hAnsi="Arial"/>
          <w:sz w:val="24"/>
          <w:szCs w:val="24"/>
        </w:rPr>
        <w:t xml:space="preserve"> human resource management and integrate industry best practices</w:t>
      </w:r>
      <w:r w:rsidR="00C942F5" w:rsidRPr="00E0734A">
        <w:rPr>
          <w:rFonts w:ascii="Arial" w:hAnsi="Arial"/>
          <w:sz w:val="24"/>
          <w:szCs w:val="24"/>
        </w:rPr>
        <w:t xml:space="preserve"> (Fahim, 2018)</w:t>
      </w:r>
      <w:r w:rsidRPr="00E0734A">
        <w:rPr>
          <w:rFonts w:ascii="Arial" w:hAnsi="Arial"/>
          <w:sz w:val="24"/>
          <w:szCs w:val="24"/>
        </w:rPr>
        <w:t>.</w:t>
      </w:r>
    </w:p>
    <w:p w14:paraId="040E03F9" w14:textId="77D38EEC"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Another important point to emerge from the research is that the COVID-19 pandemic has exacerbated pre-existing vulnerabilities in the hotel </w:t>
      </w:r>
      <w:r w:rsidR="008D6CC0" w:rsidRPr="00E0734A">
        <w:rPr>
          <w:rFonts w:ascii="Arial" w:hAnsi="Arial"/>
          <w:sz w:val="24"/>
          <w:szCs w:val="24"/>
        </w:rPr>
        <w:t>workforce</w:t>
      </w:r>
      <w:r w:rsidR="008D6CC0">
        <w:rPr>
          <w:rFonts w:ascii="Arial" w:hAnsi="Arial"/>
          <w:sz w:val="24"/>
          <w:szCs w:val="24"/>
        </w:rPr>
        <w:t xml:space="preserve"> but</w:t>
      </w:r>
      <w:r w:rsidRPr="00E0734A">
        <w:rPr>
          <w:rFonts w:ascii="Arial" w:hAnsi="Arial"/>
          <w:sz w:val="24"/>
          <w:szCs w:val="24"/>
        </w:rPr>
        <w:t xml:space="preserve"> has not directly caused them. Chronic staff shortages and high turnover were already present, but the pandemic has created an even more volatile environment, with many employees reassessing the stability and attractiveness of the sector. </w:t>
      </w:r>
      <w:r w:rsidR="00F03FE1">
        <w:rPr>
          <w:rFonts w:ascii="Arial" w:hAnsi="Arial"/>
          <w:sz w:val="24"/>
          <w:szCs w:val="24"/>
        </w:rPr>
        <w:t>S</w:t>
      </w:r>
      <w:r w:rsidRPr="00E0734A">
        <w:rPr>
          <w:rFonts w:ascii="Arial" w:hAnsi="Arial"/>
          <w:sz w:val="24"/>
          <w:szCs w:val="24"/>
        </w:rPr>
        <w:t>tudies confirm this trend, reporting a decline of over 20% in the hospitality workforce compared to pre-pandemic levels.</w:t>
      </w:r>
    </w:p>
    <w:p w14:paraId="28BB2234" w14:textId="142EE569"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The research also identified certain managerial dysfunctions, particularly in terms of communication, resource allocation and long-term planning. For example, the lack of </w:t>
      </w:r>
      <w:r w:rsidRPr="00E0734A">
        <w:rPr>
          <w:rFonts w:ascii="Arial" w:hAnsi="Arial"/>
          <w:sz w:val="24"/>
          <w:szCs w:val="24"/>
        </w:rPr>
        <w:lastRenderedPageBreak/>
        <w:t>clear onboarding and integration processes for new employees was cited as a source of confusion and stress among newly recruited staff. At the same time, there is no formal mentoring or interdepartmental support strategy, which makes the professional transition more difficult for temporary or young employees</w:t>
      </w:r>
      <w:r w:rsidR="00886D5A" w:rsidRPr="00E0734A">
        <w:rPr>
          <w:rFonts w:ascii="Arial" w:hAnsi="Arial"/>
          <w:sz w:val="24"/>
          <w:szCs w:val="24"/>
        </w:rPr>
        <w:t xml:space="preserve"> (Mazzetti and Schaufeli, 2022)</w:t>
      </w:r>
      <w:r w:rsidRPr="00E0734A">
        <w:rPr>
          <w:rFonts w:ascii="Arial" w:hAnsi="Arial"/>
          <w:sz w:val="24"/>
          <w:szCs w:val="24"/>
        </w:rPr>
        <w:t>.</w:t>
      </w:r>
    </w:p>
    <w:p w14:paraId="2E1BE7F4" w14:textId="3F87DF74"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More broadly, the data </w:t>
      </w:r>
      <w:r w:rsidR="00126DC2">
        <w:rPr>
          <w:rFonts w:ascii="Arial" w:hAnsi="Arial"/>
          <w:sz w:val="24"/>
          <w:szCs w:val="24"/>
        </w:rPr>
        <w:t>suggests</w:t>
      </w:r>
      <w:r w:rsidRPr="00E0734A">
        <w:rPr>
          <w:rFonts w:ascii="Arial" w:hAnsi="Arial"/>
          <w:sz w:val="24"/>
          <w:szCs w:val="24"/>
        </w:rPr>
        <w:t xml:space="preserve"> that current retention strategies are limited and fragmented, based on reaction rather than prevention. The lack of an </w:t>
      </w:r>
      <w:r w:rsidR="00A65500">
        <w:rPr>
          <w:rFonts w:ascii="Arial" w:hAnsi="Arial"/>
          <w:sz w:val="24"/>
          <w:szCs w:val="24"/>
        </w:rPr>
        <w:t>organisational</w:t>
      </w:r>
      <w:r w:rsidRPr="00E0734A">
        <w:rPr>
          <w:rFonts w:ascii="Arial" w:hAnsi="Arial"/>
          <w:sz w:val="24"/>
          <w:szCs w:val="24"/>
        </w:rPr>
        <w:t xml:space="preserve"> culture oriented towards learning, recognition and individual development contributes to an atmosphere of instability and insecurity. The results support the conclusions of Gill </w:t>
      </w:r>
      <w:r w:rsidRPr="00B03349">
        <w:rPr>
          <w:rFonts w:ascii="Arial" w:hAnsi="Arial"/>
          <w:i/>
          <w:iCs/>
          <w:sz w:val="24"/>
          <w:szCs w:val="24"/>
        </w:rPr>
        <w:t>et al.</w:t>
      </w:r>
      <w:r w:rsidRPr="00E0734A">
        <w:rPr>
          <w:rFonts w:ascii="Arial" w:hAnsi="Arial"/>
          <w:sz w:val="24"/>
          <w:szCs w:val="24"/>
        </w:rPr>
        <w:t xml:space="preserve"> (2006), according to which the lack of transformational leadership reduces employee loyalty and increases the rate of voluntary departures.</w:t>
      </w:r>
    </w:p>
    <w:p w14:paraId="183C2E84" w14:textId="5AC1CE74" w:rsidR="00252710"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Against the background of all these observations, the need for a strategic commitment from the hotel management is emerging, aimed at a deep understanding of the needs of employees, making internal policies more flexible and adapting to contemporary trends in human resource management. One-off interventions and occasional bonuses are no longer enough; a holistic approach is needed that combines motivational strategies, </w:t>
      </w:r>
      <w:r w:rsidR="00B03349">
        <w:rPr>
          <w:rFonts w:ascii="Arial" w:hAnsi="Arial"/>
          <w:sz w:val="24"/>
          <w:szCs w:val="24"/>
        </w:rPr>
        <w:t>personalised</w:t>
      </w:r>
      <w:r w:rsidRPr="00E0734A">
        <w:rPr>
          <w:rFonts w:ascii="Arial" w:hAnsi="Arial"/>
          <w:sz w:val="24"/>
          <w:szCs w:val="24"/>
        </w:rPr>
        <w:t xml:space="preserve"> training, creating a positive work environment and real development opportunities</w:t>
      </w:r>
      <w:r w:rsidR="00252710" w:rsidRPr="00E0734A">
        <w:rPr>
          <w:rFonts w:ascii="Arial" w:hAnsi="Arial"/>
          <w:sz w:val="24"/>
          <w:szCs w:val="24"/>
        </w:rPr>
        <w:t xml:space="preserve"> (Pettit, Balogun and Bennett, 2023)</w:t>
      </w:r>
      <w:r w:rsidRPr="00E0734A">
        <w:rPr>
          <w:rFonts w:ascii="Arial" w:hAnsi="Arial"/>
          <w:sz w:val="24"/>
          <w:szCs w:val="24"/>
        </w:rPr>
        <w:t>.</w:t>
      </w:r>
    </w:p>
    <w:p w14:paraId="75C6DDEF" w14:textId="6A31EC1E"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Ultimately, the research was able to answer the three major questions initially formulated:</w:t>
      </w:r>
    </w:p>
    <w:p w14:paraId="693D0FAF" w14:textId="3691D321" w:rsidR="00BA180D" w:rsidRPr="00E0734A" w:rsidRDefault="00BA180D" w:rsidP="000F1502">
      <w:pPr>
        <w:pStyle w:val="BodyText"/>
        <w:numPr>
          <w:ilvl w:val="0"/>
          <w:numId w:val="32"/>
        </w:numPr>
        <w:spacing w:line="480" w:lineRule="auto"/>
        <w:jc w:val="both"/>
        <w:rPr>
          <w:rFonts w:ascii="Arial" w:hAnsi="Arial"/>
          <w:sz w:val="24"/>
          <w:szCs w:val="24"/>
        </w:rPr>
      </w:pPr>
      <w:r w:rsidRPr="00E0734A">
        <w:rPr>
          <w:rFonts w:ascii="Arial" w:hAnsi="Arial"/>
          <w:sz w:val="24"/>
          <w:szCs w:val="24"/>
        </w:rPr>
        <w:t xml:space="preserve">The main causes of staff turnover </w:t>
      </w:r>
      <w:r w:rsidR="00C461FA" w:rsidRPr="00E0734A">
        <w:rPr>
          <w:rFonts w:ascii="Arial" w:hAnsi="Arial"/>
          <w:sz w:val="24"/>
          <w:szCs w:val="24"/>
        </w:rPr>
        <w:t>at</w:t>
      </w:r>
      <w:r w:rsidRPr="00E0734A">
        <w:rPr>
          <w:rFonts w:ascii="Arial" w:hAnsi="Arial"/>
          <w:sz w:val="24"/>
          <w:szCs w:val="24"/>
        </w:rPr>
        <w:t xml:space="preserve"> Holiday Inn Sunderland were identified, which include salary, </w:t>
      </w:r>
      <w:r w:rsidR="009209B4">
        <w:rPr>
          <w:rFonts w:ascii="Arial" w:hAnsi="Arial"/>
          <w:sz w:val="24"/>
          <w:szCs w:val="24"/>
        </w:rPr>
        <w:t>organisational</w:t>
      </w:r>
      <w:r w:rsidRPr="00E0734A">
        <w:rPr>
          <w:rFonts w:ascii="Arial" w:hAnsi="Arial"/>
          <w:sz w:val="24"/>
          <w:szCs w:val="24"/>
        </w:rPr>
        <w:t xml:space="preserve"> and psychosocial factors.</w:t>
      </w:r>
    </w:p>
    <w:p w14:paraId="668FA222" w14:textId="735A7BA2" w:rsidR="00BA180D" w:rsidRPr="00E0734A" w:rsidRDefault="00BA180D" w:rsidP="000F1502">
      <w:pPr>
        <w:pStyle w:val="BodyText"/>
        <w:numPr>
          <w:ilvl w:val="0"/>
          <w:numId w:val="32"/>
        </w:numPr>
        <w:spacing w:line="480" w:lineRule="auto"/>
        <w:jc w:val="both"/>
        <w:rPr>
          <w:rFonts w:ascii="Arial" w:hAnsi="Arial"/>
          <w:sz w:val="24"/>
          <w:szCs w:val="24"/>
        </w:rPr>
      </w:pPr>
      <w:r w:rsidRPr="00E0734A">
        <w:rPr>
          <w:rFonts w:ascii="Arial" w:hAnsi="Arial"/>
          <w:sz w:val="24"/>
          <w:szCs w:val="24"/>
        </w:rPr>
        <w:t>The negative impact of this phenomenon on operational efficiency and service quality was documented and supported by field data.</w:t>
      </w:r>
    </w:p>
    <w:p w14:paraId="7B3A1C4C" w14:textId="2F4BF255" w:rsidR="00BF6DA5" w:rsidRPr="00E0734A" w:rsidRDefault="00BA180D" w:rsidP="000F1502">
      <w:pPr>
        <w:pStyle w:val="BodyText"/>
        <w:numPr>
          <w:ilvl w:val="0"/>
          <w:numId w:val="32"/>
        </w:numPr>
        <w:spacing w:line="480" w:lineRule="auto"/>
        <w:jc w:val="both"/>
        <w:rPr>
          <w:rFonts w:ascii="Arial" w:hAnsi="Arial"/>
          <w:sz w:val="24"/>
          <w:szCs w:val="24"/>
        </w:rPr>
      </w:pPr>
      <w:r w:rsidRPr="00E0734A">
        <w:rPr>
          <w:rFonts w:ascii="Arial" w:hAnsi="Arial"/>
          <w:sz w:val="24"/>
          <w:szCs w:val="24"/>
        </w:rPr>
        <w:lastRenderedPageBreak/>
        <w:t>Current retention strategies were evaluated, their limitations were identified, and based on this information, practical and applicable recommendations will be formulated in the following section.</w:t>
      </w:r>
    </w:p>
    <w:p w14:paraId="2CA8DD7D" w14:textId="49D1B98A" w:rsidR="009447AD" w:rsidRPr="00B60136" w:rsidRDefault="00B32619" w:rsidP="00B60136">
      <w:pPr>
        <w:pStyle w:val="BodyText"/>
        <w:spacing w:line="480" w:lineRule="auto"/>
        <w:jc w:val="both"/>
        <w:rPr>
          <w:rFonts w:ascii="Arial" w:hAnsi="Arial"/>
          <w:sz w:val="24"/>
          <w:szCs w:val="24"/>
          <w:lang w:val="en"/>
        </w:rPr>
      </w:pPr>
      <w:r w:rsidRPr="00E0734A">
        <w:rPr>
          <w:rFonts w:ascii="Arial" w:hAnsi="Arial"/>
          <w:sz w:val="24"/>
          <w:szCs w:val="24"/>
          <w:lang w:val="en"/>
        </w:rPr>
        <w:t xml:space="preserve">Therefore, this research provides a comprehensive and </w:t>
      </w:r>
      <w:r w:rsidR="00C461FA">
        <w:rPr>
          <w:rFonts w:ascii="Arial" w:hAnsi="Arial"/>
          <w:sz w:val="24"/>
          <w:szCs w:val="24"/>
          <w:lang w:val="en"/>
        </w:rPr>
        <w:t>actualised</w:t>
      </w:r>
      <w:r w:rsidR="008E1FB5" w:rsidRPr="00E0734A">
        <w:rPr>
          <w:rFonts w:ascii="Arial" w:hAnsi="Arial"/>
          <w:sz w:val="24"/>
          <w:szCs w:val="24"/>
          <w:lang w:val="en"/>
        </w:rPr>
        <w:t xml:space="preserve"> picture</w:t>
      </w:r>
      <w:r w:rsidRPr="00E0734A">
        <w:rPr>
          <w:rFonts w:ascii="Arial" w:hAnsi="Arial"/>
          <w:sz w:val="24"/>
          <w:szCs w:val="24"/>
          <w:lang w:val="en"/>
        </w:rPr>
        <w:t xml:space="preserve"> of human resource dynamics within an international hotel operating in the UK, providing solid starting points for concrete actions and improvement strategies.</w:t>
      </w:r>
    </w:p>
    <w:p w14:paraId="3EB2128B" w14:textId="48517955" w:rsidR="00C828BE" w:rsidRPr="00E0734A" w:rsidRDefault="00252710" w:rsidP="000F1502">
      <w:pPr>
        <w:pStyle w:val="BodyText"/>
        <w:spacing w:line="480" w:lineRule="auto"/>
        <w:jc w:val="both"/>
        <w:rPr>
          <w:rFonts w:ascii="Arial" w:hAnsi="Arial"/>
          <w:sz w:val="24"/>
          <w:szCs w:val="24"/>
        </w:rPr>
      </w:pPr>
      <w:r w:rsidRPr="00E0734A">
        <w:rPr>
          <w:rFonts w:ascii="Arial" w:hAnsi="Arial"/>
          <w:sz w:val="24"/>
          <w:szCs w:val="24"/>
        </w:rPr>
        <w:t>Considering</w:t>
      </w:r>
      <w:r w:rsidR="00C828BE" w:rsidRPr="00E0734A">
        <w:rPr>
          <w:rFonts w:ascii="Arial" w:hAnsi="Arial"/>
          <w:sz w:val="24"/>
          <w:szCs w:val="24"/>
        </w:rPr>
        <w:t xml:space="preserve"> the research findings, </w:t>
      </w:r>
      <w:r w:rsidR="000F1502">
        <w:rPr>
          <w:rFonts w:ascii="Arial" w:hAnsi="Arial"/>
          <w:sz w:val="24"/>
          <w:szCs w:val="24"/>
        </w:rPr>
        <w:t>Holiday Inn Sunderland must adopt</w:t>
      </w:r>
      <w:r w:rsidR="00C828BE" w:rsidRPr="00E0734A">
        <w:rPr>
          <w:rFonts w:ascii="Arial" w:hAnsi="Arial"/>
          <w:sz w:val="24"/>
          <w:szCs w:val="24"/>
        </w:rPr>
        <w:t xml:space="preserve"> an integrated strategic approach to reduce staff turnover, improve retention and </w:t>
      </w:r>
      <w:r w:rsidR="000F1502">
        <w:rPr>
          <w:rFonts w:ascii="Arial" w:hAnsi="Arial"/>
          <w:sz w:val="24"/>
          <w:szCs w:val="24"/>
        </w:rPr>
        <w:t>optimise organisational</w:t>
      </w:r>
      <w:r w:rsidR="00C828BE" w:rsidRPr="00E0734A">
        <w:rPr>
          <w:rFonts w:ascii="Arial" w:hAnsi="Arial"/>
          <w:sz w:val="24"/>
          <w:szCs w:val="24"/>
        </w:rPr>
        <w:t xml:space="preserve"> performance. The following recommendations provide concrete and actionable directions, divided into key intervention areas, each supported by evidence from the data collected and the specialist literature.</w:t>
      </w:r>
    </w:p>
    <w:p w14:paraId="507E3F87" w14:textId="77777777" w:rsidR="00C828BE" w:rsidRPr="00E0734A" w:rsidRDefault="00C828BE" w:rsidP="000F1502">
      <w:pPr>
        <w:pStyle w:val="BodyText"/>
        <w:spacing w:line="480" w:lineRule="auto"/>
        <w:jc w:val="both"/>
        <w:rPr>
          <w:rFonts w:ascii="Arial" w:hAnsi="Arial"/>
          <w:i/>
          <w:iCs/>
          <w:sz w:val="24"/>
          <w:szCs w:val="24"/>
        </w:rPr>
      </w:pPr>
      <w:r w:rsidRPr="00E0734A">
        <w:rPr>
          <w:rFonts w:ascii="Arial" w:hAnsi="Arial"/>
          <w:i/>
          <w:iCs/>
          <w:sz w:val="24"/>
          <w:szCs w:val="24"/>
        </w:rPr>
        <w:t>1. Improve pay and benefits policies</w:t>
      </w:r>
    </w:p>
    <w:p w14:paraId="4917FBE7" w14:textId="75568BE6" w:rsidR="00C828BE" w:rsidRPr="00E0734A" w:rsidRDefault="00C828BE" w:rsidP="000F1502">
      <w:pPr>
        <w:pStyle w:val="BodyText"/>
        <w:spacing w:line="480" w:lineRule="auto"/>
        <w:jc w:val="both"/>
        <w:rPr>
          <w:rFonts w:ascii="Arial" w:hAnsi="Arial"/>
          <w:sz w:val="24"/>
          <w:szCs w:val="24"/>
        </w:rPr>
      </w:pPr>
      <w:r w:rsidRPr="00E0734A">
        <w:rPr>
          <w:rFonts w:ascii="Arial" w:hAnsi="Arial"/>
          <w:sz w:val="24"/>
          <w:szCs w:val="24"/>
        </w:rPr>
        <w:t>One of the most common reasons identified for employee departure was related to the low level of pay in relation to the work done. Although the hotel complies with the legal minimum wage, this does not reflect the complexity and volume of daily activities, especially during periods of reduced staffing</w:t>
      </w:r>
      <w:r w:rsidR="005F500A" w:rsidRPr="00E0734A">
        <w:rPr>
          <w:rFonts w:ascii="Arial" w:hAnsi="Arial"/>
          <w:sz w:val="24"/>
          <w:szCs w:val="24"/>
        </w:rPr>
        <w:t xml:space="preserve"> (Peek, 2020)</w:t>
      </w:r>
      <w:r w:rsidRPr="00E0734A">
        <w:rPr>
          <w:rFonts w:ascii="Arial" w:hAnsi="Arial"/>
          <w:sz w:val="24"/>
          <w:szCs w:val="24"/>
        </w:rPr>
        <w:t>.</w:t>
      </w:r>
    </w:p>
    <w:p w14:paraId="382798BF" w14:textId="77777777" w:rsidR="00C828BE" w:rsidRPr="00E0734A" w:rsidRDefault="00C828BE" w:rsidP="000F1502">
      <w:pPr>
        <w:pStyle w:val="BodyText"/>
        <w:spacing w:line="480" w:lineRule="auto"/>
        <w:jc w:val="both"/>
        <w:rPr>
          <w:rFonts w:ascii="Arial" w:hAnsi="Arial"/>
          <w:i/>
          <w:iCs/>
          <w:sz w:val="24"/>
          <w:szCs w:val="24"/>
        </w:rPr>
      </w:pPr>
      <w:r w:rsidRPr="00E0734A">
        <w:rPr>
          <w:rFonts w:ascii="Arial" w:hAnsi="Arial"/>
          <w:i/>
          <w:iCs/>
          <w:sz w:val="24"/>
          <w:szCs w:val="24"/>
        </w:rPr>
        <w:t>Recommendations:</w:t>
      </w:r>
    </w:p>
    <w:p w14:paraId="621BAA55" w14:textId="77777777" w:rsidR="00C828BE" w:rsidRPr="00E0734A" w:rsidRDefault="00C828BE" w:rsidP="000F1502">
      <w:pPr>
        <w:pStyle w:val="BodyText"/>
        <w:numPr>
          <w:ilvl w:val="0"/>
          <w:numId w:val="33"/>
        </w:numPr>
        <w:spacing w:line="480" w:lineRule="auto"/>
        <w:jc w:val="both"/>
        <w:rPr>
          <w:rFonts w:ascii="Arial" w:hAnsi="Arial"/>
          <w:sz w:val="24"/>
          <w:szCs w:val="24"/>
        </w:rPr>
      </w:pPr>
      <w:r w:rsidRPr="00E0734A">
        <w:rPr>
          <w:rFonts w:ascii="Arial" w:hAnsi="Arial"/>
          <w:sz w:val="24"/>
          <w:szCs w:val="24"/>
        </w:rPr>
        <w:t>Conduct an internal pay audit and compare it with the local industry average.</w:t>
      </w:r>
    </w:p>
    <w:p w14:paraId="5A625BA4" w14:textId="77777777" w:rsidR="00C828BE" w:rsidRPr="00E0734A" w:rsidRDefault="00C828BE" w:rsidP="000F1502">
      <w:pPr>
        <w:pStyle w:val="BodyText"/>
        <w:numPr>
          <w:ilvl w:val="0"/>
          <w:numId w:val="33"/>
        </w:numPr>
        <w:spacing w:line="480" w:lineRule="auto"/>
        <w:jc w:val="both"/>
        <w:rPr>
          <w:rFonts w:ascii="Arial" w:hAnsi="Arial"/>
          <w:sz w:val="24"/>
          <w:szCs w:val="24"/>
        </w:rPr>
      </w:pPr>
      <w:r w:rsidRPr="00E0734A">
        <w:rPr>
          <w:rFonts w:ascii="Arial" w:hAnsi="Arial"/>
          <w:sz w:val="24"/>
          <w:szCs w:val="24"/>
        </w:rPr>
        <w:t>Offer monthly or quarterly performance bonuses, linked to clear objectives.</w:t>
      </w:r>
    </w:p>
    <w:p w14:paraId="0A62777A" w14:textId="77777777" w:rsidR="00C828BE" w:rsidRPr="00E0734A" w:rsidRDefault="00C828BE" w:rsidP="000F1502">
      <w:pPr>
        <w:pStyle w:val="BodyText"/>
        <w:numPr>
          <w:ilvl w:val="0"/>
          <w:numId w:val="33"/>
        </w:numPr>
        <w:spacing w:line="480" w:lineRule="auto"/>
        <w:jc w:val="both"/>
        <w:rPr>
          <w:rFonts w:ascii="Arial" w:hAnsi="Arial"/>
          <w:sz w:val="24"/>
          <w:szCs w:val="24"/>
        </w:rPr>
      </w:pPr>
      <w:r w:rsidRPr="00E0734A">
        <w:rPr>
          <w:rFonts w:ascii="Arial" w:hAnsi="Arial"/>
          <w:sz w:val="24"/>
          <w:szCs w:val="24"/>
        </w:rPr>
        <w:t>Introduce a flexible benefits system (cafeteria plan), allowing employees to choose relevant rewards (e.g. meal vouchers, fitness subscriptions, private health insurance).</w:t>
      </w:r>
    </w:p>
    <w:p w14:paraId="62C8CBFB" w14:textId="7E8E2F13" w:rsidR="00BA180D" w:rsidRPr="00E0734A" w:rsidRDefault="00C828BE" w:rsidP="000F1502">
      <w:pPr>
        <w:pStyle w:val="BodyText"/>
        <w:numPr>
          <w:ilvl w:val="0"/>
          <w:numId w:val="33"/>
        </w:numPr>
        <w:spacing w:line="480" w:lineRule="auto"/>
        <w:jc w:val="both"/>
        <w:rPr>
          <w:rFonts w:ascii="Arial" w:hAnsi="Arial"/>
          <w:sz w:val="24"/>
          <w:szCs w:val="24"/>
        </w:rPr>
      </w:pPr>
      <w:r w:rsidRPr="00E0734A">
        <w:rPr>
          <w:rFonts w:ascii="Arial" w:hAnsi="Arial"/>
          <w:sz w:val="24"/>
          <w:szCs w:val="24"/>
        </w:rPr>
        <w:lastRenderedPageBreak/>
        <w:t>Covering transportation costs for night or morning shifts, especially for staff without easy access to public transportation.</w:t>
      </w:r>
    </w:p>
    <w:p w14:paraId="353FF58E" w14:textId="77777777" w:rsidR="000A6FE8" w:rsidRPr="00E0734A" w:rsidRDefault="000A6FE8" w:rsidP="000F1502">
      <w:pPr>
        <w:pStyle w:val="BodyText"/>
        <w:spacing w:line="480" w:lineRule="auto"/>
        <w:jc w:val="both"/>
        <w:rPr>
          <w:rFonts w:ascii="Arial" w:hAnsi="Arial"/>
          <w:i/>
          <w:iCs/>
          <w:sz w:val="24"/>
          <w:szCs w:val="24"/>
        </w:rPr>
      </w:pPr>
      <w:r w:rsidRPr="00E0734A">
        <w:rPr>
          <w:rFonts w:ascii="Arial" w:hAnsi="Arial"/>
          <w:i/>
          <w:iCs/>
          <w:sz w:val="24"/>
          <w:szCs w:val="24"/>
        </w:rPr>
        <w:t>2. Strengthen an effective onboarding program</w:t>
      </w:r>
    </w:p>
    <w:p w14:paraId="56CCC070" w14:textId="2EE97D50" w:rsidR="000A6FE8" w:rsidRPr="00E0734A" w:rsidRDefault="000A6FE8" w:rsidP="000F1502">
      <w:pPr>
        <w:pStyle w:val="BodyText"/>
        <w:spacing w:line="480" w:lineRule="auto"/>
        <w:jc w:val="both"/>
        <w:rPr>
          <w:rFonts w:ascii="Arial" w:hAnsi="Arial"/>
          <w:sz w:val="24"/>
          <w:szCs w:val="24"/>
        </w:rPr>
      </w:pPr>
      <w:r w:rsidRPr="00E0734A">
        <w:rPr>
          <w:rFonts w:ascii="Arial" w:hAnsi="Arial"/>
          <w:sz w:val="24"/>
          <w:szCs w:val="24"/>
        </w:rPr>
        <w:t>Field data indicated that new employees do not benefit from a structured integration, which leads to stress, confusion and demotivation from the first weeks</w:t>
      </w:r>
      <w:r w:rsidR="00826F80" w:rsidRPr="00E0734A">
        <w:rPr>
          <w:rFonts w:ascii="Arial" w:hAnsi="Arial"/>
          <w:sz w:val="24"/>
          <w:szCs w:val="24"/>
        </w:rPr>
        <w:t xml:space="preserve"> (Frögéli, Jenner and Gustavsson, 2023)</w:t>
      </w:r>
      <w:r w:rsidRPr="00E0734A">
        <w:rPr>
          <w:rFonts w:ascii="Arial" w:hAnsi="Arial"/>
          <w:sz w:val="24"/>
          <w:szCs w:val="24"/>
        </w:rPr>
        <w:t>.</w:t>
      </w:r>
    </w:p>
    <w:p w14:paraId="07FF5DE2" w14:textId="77777777" w:rsidR="000A6FE8" w:rsidRPr="00E0734A" w:rsidRDefault="000A6FE8"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6AC16EBB" w14:textId="77777777"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Create a formal onboarding program of at least 7 days, which should include:</w:t>
      </w:r>
    </w:p>
    <w:p w14:paraId="19C1EEA7" w14:textId="0BEDC0D3"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 xml:space="preserve">Presentation </w:t>
      </w:r>
      <w:r w:rsidR="00352A5F" w:rsidRPr="00E0734A">
        <w:rPr>
          <w:rFonts w:ascii="Arial" w:hAnsi="Arial"/>
          <w:sz w:val="24"/>
          <w:szCs w:val="24"/>
        </w:rPr>
        <w:t>on</w:t>
      </w:r>
      <w:r w:rsidRPr="00E0734A">
        <w:rPr>
          <w:rFonts w:ascii="Arial" w:hAnsi="Arial"/>
          <w:sz w:val="24"/>
          <w:szCs w:val="24"/>
        </w:rPr>
        <w:t xml:space="preserve"> </w:t>
      </w:r>
      <w:r w:rsidR="00D12281">
        <w:rPr>
          <w:rFonts w:ascii="Arial" w:hAnsi="Arial"/>
          <w:sz w:val="24"/>
          <w:szCs w:val="24"/>
        </w:rPr>
        <w:t>organisational</w:t>
      </w:r>
      <w:r w:rsidRPr="00E0734A">
        <w:rPr>
          <w:rFonts w:ascii="Arial" w:hAnsi="Arial"/>
          <w:sz w:val="24"/>
          <w:szCs w:val="24"/>
        </w:rPr>
        <w:t xml:space="preserve"> </w:t>
      </w:r>
      <w:r w:rsidR="00352A5F" w:rsidRPr="00E0734A">
        <w:rPr>
          <w:rFonts w:ascii="Arial" w:hAnsi="Arial"/>
          <w:sz w:val="24"/>
          <w:szCs w:val="24"/>
        </w:rPr>
        <w:t>values</w:t>
      </w:r>
      <w:r w:rsidR="00352A5F">
        <w:rPr>
          <w:rFonts w:ascii="Arial" w:hAnsi="Arial"/>
          <w:sz w:val="24"/>
          <w:szCs w:val="24"/>
        </w:rPr>
        <w:t>,</w:t>
      </w:r>
    </w:p>
    <w:p w14:paraId="3FED33AA" w14:textId="5795EFA6"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 xml:space="preserve">Guided tour and </w:t>
      </w:r>
      <w:r w:rsidR="00EF6557">
        <w:rPr>
          <w:rFonts w:ascii="Arial" w:hAnsi="Arial"/>
          <w:sz w:val="24"/>
          <w:szCs w:val="24"/>
        </w:rPr>
        <w:t>familiarisation</w:t>
      </w:r>
      <w:r w:rsidRPr="00E0734A">
        <w:rPr>
          <w:rFonts w:ascii="Arial" w:hAnsi="Arial"/>
          <w:sz w:val="24"/>
          <w:szCs w:val="24"/>
        </w:rPr>
        <w:t xml:space="preserve"> with departments;</w:t>
      </w:r>
    </w:p>
    <w:p w14:paraId="09E3E70A" w14:textId="77777777"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Practical training (shadowing) with an experienced employee;</w:t>
      </w:r>
    </w:p>
    <w:p w14:paraId="07231BCA" w14:textId="77777777"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Written guide to common operational procedures.</w:t>
      </w:r>
    </w:p>
    <w:p w14:paraId="68EDCDDA" w14:textId="77777777" w:rsidR="000A6FE8" w:rsidRPr="00E0734A" w:rsidRDefault="000A6FE8" w:rsidP="000F1502">
      <w:pPr>
        <w:pStyle w:val="BodyText"/>
        <w:spacing w:line="480" w:lineRule="auto"/>
        <w:jc w:val="both"/>
        <w:rPr>
          <w:rFonts w:ascii="Arial" w:hAnsi="Arial"/>
          <w:sz w:val="24"/>
          <w:szCs w:val="24"/>
        </w:rPr>
      </w:pPr>
      <w:r w:rsidRPr="00E0734A">
        <w:rPr>
          <w:rFonts w:ascii="Arial" w:hAnsi="Arial"/>
          <w:sz w:val="24"/>
          <w:szCs w:val="24"/>
        </w:rPr>
        <w:t>Assign a mentor to each new employee in the first 30 days.</w:t>
      </w:r>
    </w:p>
    <w:p w14:paraId="4C03570F" w14:textId="05FF0A40" w:rsidR="00C828BE" w:rsidRPr="00E0734A" w:rsidRDefault="000A6FE8" w:rsidP="000F1502">
      <w:pPr>
        <w:pStyle w:val="BodyText"/>
        <w:spacing w:line="480" w:lineRule="auto"/>
        <w:jc w:val="both"/>
        <w:rPr>
          <w:rFonts w:ascii="Arial" w:hAnsi="Arial"/>
          <w:sz w:val="24"/>
          <w:szCs w:val="24"/>
        </w:rPr>
      </w:pPr>
      <w:r w:rsidRPr="00E0734A">
        <w:rPr>
          <w:rFonts w:ascii="Arial" w:hAnsi="Arial"/>
          <w:sz w:val="24"/>
          <w:szCs w:val="24"/>
        </w:rPr>
        <w:t>Perform a satisfaction assessment after the first month to adjust interventions.</w:t>
      </w:r>
    </w:p>
    <w:p w14:paraId="471CBC89" w14:textId="77777777" w:rsidR="00DD66A1" w:rsidRPr="00E0734A" w:rsidRDefault="00DD66A1" w:rsidP="000F1502">
      <w:pPr>
        <w:pStyle w:val="BodyText"/>
        <w:spacing w:line="480" w:lineRule="auto"/>
        <w:jc w:val="both"/>
        <w:rPr>
          <w:rFonts w:ascii="Arial" w:hAnsi="Arial"/>
          <w:i/>
          <w:iCs/>
          <w:sz w:val="24"/>
          <w:szCs w:val="24"/>
        </w:rPr>
      </w:pPr>
      <w:r w:rsidRPr="00E0734A">
        <w:rPr>
          <w:rFonts w:ascii="Arial" w:hAnsi="Arial"/>
          <w:i/>
          <w:iCs/>
          <w:sz w:val="24"/>
          <w:szCs w:val="24"/>
        </w:rPr>
        <w:t>3. Professional development and career paths</w:t>
      </w:r>
    </w:p>
    <w:p w14:paraId="38514A83" w14:textId="0152B69D" w:rsidR="00DD66A1" w:rsidRPr="00E0734A" w:rsidRDefault="00DD66A1" w:rsidP="000F1502">
      <w:pPr>
        <w:pStyle w:val="BodyText"/>
        <w:spacing w:line="480" w:lineRule="auto"/>
        <w:jc w:val="both"/>
        <w:rPr>
          <w:rFonts w:ascii="Arial" w:hAnsi="Arial"/>
          <w:sz w:val="24"/>
          <w:szCs w:val="24"/>
        </w:rPr>
      </w:pPr>
      <w:r w:rsidRPr="00E0734A">
        <w:rPr>
          <w:rFonts w:ascii="Arial" w:hAnsi="Arial"/>
          <w:sz w:val="24"/>
          <w:szCs w:val="24"/>
        </w:rPr>
        <w:t>Many voluntary departures were caused by the lack of professional development opportunities, especially for young employees or staff in operational roles (e.g. maids, receptionists, waiters)</w:t>
      </w:r>
      <w:r w:rsidR="002D3551" w:rsidRPr="00E0734A">
        <w:rPr>
          <w:rFonts w:ascii="Arial" w:hAnsi="Arial"/>
          <w:sz w:val="24"/>
          <w:szCs w:val="24"/>
        </w:rPr>
        <w:t xml:space="preserve"> (Maurer, 2024)</w:t>
      </w:r>
      <w:r w:rsidRPr="00E0734A">
        <w:rPr>
          <w:rFonts w:ascii="Arial" w:hAnsi="Arial"/>
          <w:sz w:val="24"/>
          <w:szCs w:val="24"/>
        </w:rPr>
        <w:t>.</w:t>
      </w:r>
    </w:p>
    <w:p w14:paraId="21A458B6" w14:textId="77777777" w:rsidR="00DD66A1" w:rsidRPr="00E0734A" w:rsidRDefault="00DD66A1"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38EBFEC8" w14:textId="77777777" w:rsidR="00DD66A1" w:rsidRPr="00E0734A" w:rsidRDefault="00DD66A1" w:rsidP="000F1502">
      <w:pPr>
        <w:pStyle w:val="BodyText"/>
        <w:numPr>
          <w:ilvl w:val="0"/>
          <w:numId w:val="35"/>
        </w:numPr>
        <w:spacing w:line="480" w:lineRule="auto"/>
        <w:jc w:val="both"/>
        <w:rPr>
          <w:rFonts w:ascii="Arial" w:hAnsi="Arial"/>
          <w:sz w:val="24"/>
          <w:szCs w:val="24"/>
        </w:rPr>
      </w:pPr>
      <w:r w:rsidRPr="00E0734A">
        <w:rPr>
          <w:rFonts w:ascii="Arial" w:hAnsi="Arial"/>
          <w:sz w:val="24"/>
          <w:szCs w:val="24"/>
        </w:rPr>
        <w:t>Implement an annual training plan, adapted to each department.</w:t>
      </w:r>
    </w:p>
    <w:p w14:paraId="509A0F21" w14:textId="77777777" w:rsidR="00DD66A1" w:rsidRPr="00E0734A" w:rsidRDefault="00DD66A1" w:rsidP="000F1502">
      <w:pPr>
        <w:pStyle w:val="BodyText"/>
        <w:numPr>
          <w:ilvl w:val="0"/>
          <w:numId w:val="35"/>
        </w:numPr>
        <w:spacing w:line="480" w:lineRule="auto"/>
        <w:jc w:val="both"/>
        <w:rPr>
          <w:rFonts w:ascii="Arial" w:hAnsi="Arial"/>
          <w:sz w:val="24"/>
          <w:szCs w:val="24"/>
        </w:rPr>
      </w:pPr>
      <w:r w:rsidRPr="00E0734A">
        <w:rPr>
          <w:rFonts w:ascii="Arial" w:hAnsi="Arial"/>
          <w:sz w:val="24"/>
          <w:szCs w:val="24"/>
        </w:rPr>
        <w:t>Create a system of visible “career paths”, with clear steps for promotion (e.g. from maid to floor supervisor, then housekeeping manager).</w:t>
      </w:r>
    </w:p>
    <w:p w14:paraId="414341F9" w14:textId="42116ABB" w:rsidR="00DD66A1" w:rsidRPr="00E0734A" w:rsidRDefault="00DD66A1" w:rsidP="000F1502">
      <w:pPr>
        <w:pStyle w:val="BodyText"/>
        <w:numPr>
          <w:ilvl w:val="0"/>
          <w:numId w:val="35"/>
        </w:numPr>
        <w:spacing w:line="480" w:lineRule="auto"/>
        <w:jc w:val="both"/>
        <w:rPr>
          <w:rFonts w:ascii="Arial" w:hAnsi="Arial"/>
          <w:sz w:val="24"/>
          <w:szCs w:val="24"/>
        </w:rPr>
      </w:pPr>
      <w:r w:rsidRPr="00E0734A">
        <w:rPr>
          <w:rFonts w:ascii="Arial" w:hAnsi="Arial"/>
          <w:sz w:val="24"/>
          <w:szCs w:val="24"/>
        </w:rPr>
        <w:lastRenderedPageBreak/>
        <w:t>Collaborate with local institutions (colleges, universities) to offer free courses or certifications to employees</w:t>
      </w:r>
      <w:r w:rsidR="00126DC2">
        <w:rPr>
          <w:rFonts w:ascii="Arial" w:hAnsi="Arial"/>
          <w:sz w:val="24"/>
          <w:szCs w:val="24"/>
        </w:rPr>
        <w:t>.</w:t>
      </w:r>
    </w:p>
    <w:p w14:paraId="63BFFA4D" w14:textId="6E8C39E4" w:rsidR="000A6FE8" w:rsidRPr="00E0734A" w:rsidRDefault="00DD66A1" w:rsidP="000F1502">
      <w:pPr>
        <w:pStyle w:val="BodyText"/>
        <w:numPr>
          <w:ilvl w:val="0"/>
          <w:numId w:val="35"/>
        </w:numPr>
        <w:spacing w:line="480" w:lineRule="auto"/>
        <w:jc w:val="both"/>
        <w:rPr>
          <w:rFonts w:ascii="Arial" w:hAnsi="Arial"/>
          <w:sz w:val="24"/>
          <w:szCs w:val="24"/>
        </w:rPr>
      </w:pPr>
      <w:r w:rsidRPr="00E0734A">
        <w:rPr>
          <w:rFonts w:ascii="Arial" w:hAnsi="Arial"/>
          <w:sz w:val="24"/>
          <w:szCs w:val="24"/>
        </w:rPr>
        <w:t>Provide paid time off to attend relevant professional courses</w:t>
      </w:r>
      <w:r w:rsidR="00B14482">
        <w:rPr>
          <w:rFonts w:ascii="Arial" w:hAnsi="Arial"/>
          <w:sz w:val="24"/>
          <w:szCs w:val="24"/>
        </w:rPr>
        <w:t>, and introduce talent management</w:t>
      </w:r>
      <w:r w:rsidR="00FD188B">
        <w:rPr>
          <w:rFonts w:ascii="Arial" w:hAnsi="Arial"/>
          <w:sz w:val="24"/>
          <w:szCs w:val="24"/>
        </w:rPr>
        <w:t xml:space="preserve"> (CIPD, 2024).</w:t>
      </w:r>
    </w:p>
    <w:p w14:paraId="5ADCDDD9" w14:textId="77777777" w:rsidR="00DD66A1" w:rsidRPr="00E0734A" w:rsidRDefault="00DD66A1" w:rsidP="000F1502">
      <w:pPr>
        <w:pStyle w:val="BodyText"/>
        <w:spacing w:line="480" w:lineRule="auto"/>
        <w:jc w:val="both"/>
        <w:rPr>
          <w:rFonts w:ascii="Arial" w:hAnsi="Arial"/>
          <w:i/>
          <w:iCs/>
          <w:sz w:val="24"/>
          <w:szCs w:val="24"/>
        </w:rPr>
      </w:pPr>
      <w:r w:rsidRPr="00E0734A">
        <w:rPr>
          <w:rFonts w:ascii="Arial" w:hAnsi="Arial"/>
          <w:i/>
          <w:iCs/>
          <w:sz w:val="24"/>
          <w:szCs w:val="24"/>
        </w:rPr>
        <w:t>4. Transforming Leadership Style</w:t>
      </w:r>
    </w:p>
    <w:p w14:paraId="011118AF" w14:textId="325EB230" w:rsidR="00DD66A1" w:rsidRPr="00E0734A" w:rsidRDefault="00DD66A1" w:rsidP="000F1502">
      <w:pPr>
        <w:pStyle w:val="BodyText"/>
        <w:spacing w:line="480" w:lineRule="auto"/>
        <w:jc w:val="both"/>
        <w:rPr>
          <w:rFonts w:ascii="Arial" w:hAnsi="Arial"/>
          <w:sz w:val="24"/>
          <w:szCs w:val="24"/>
        </w:rPr>
      </w:pPr>
      <w:r w:rsidRPr="00E0734A">
        <w:rPr>
          <w:rFonts w:ascii="Arial" w:hAnsi="Arial"/>
          <w:sz w:val="24"/>
          <w:szCs w:val="24"/>
        </w:rPr>
        <w:t xml:space="preserve">Lack of effective communication and the perception that management is not involved or empathetic have significantly contributed to employee demotivation. Transformational leadership can play a crucial role in changing </w:t>
      </w:r>
      <w:r w:rsidR="00352A5F">
        <w:rPr>
          <w:rFonts w:ascii="Arial" w:hAnsi="Arial"/>
          <w:sz w:val="24"/>
          <w:szCs w:val="24"/>
        </w:rPr>
        <w:t>organisational</w:t>
      </w:r>
      <w:r w:rsidRPr="00E0734A">
        <w:rPr>
          <w:rFonts w:ascii="Arial" w:hAnsi="Arial"/>
          <w:sz w:val="24"/>
          <w:szCs w:val="24"/>
        </w:rPr>
        <w:t xml:space="preserve"> culture</w:t>
      </w:r>
      <w:r w:rsidR="00000D90" w:rsidRPr="00E0734A">
        <w:rPr>
          <w:rFonts w:ascii="Arial" w:hAnsi="Arial"/>
          <w:sz w:val="24"/>
          <w:szCs w:val="24"/>
        </w:rPr>
        <w:t xml:space="preserve"> (Campbell, Campbell-Phillips and Phillips, 2020)</w:t>
      </w:r>
      <w:r w:rsidRPr="00E0734A">
        <w:rPr>
          <w:rFonts w:ascii="Arial" w:hAnsi="Arial"/>
          <w:sz w:val="24"/>
          <w:szCs w:val="24"/>
        </w:rPr>
        <w:t>.</w:t>
      </w:r>
    </w:p>
    <w:p w14:paraId="07ECB011" w14:textId="77777777" w:rsidR="00DD66A1" w:rsidRPr="00E0734A" w:rsidRDefault="00DD66A1"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1E2B4263" w14:textId="77777777" w:rsidR="00DD66A1" w:rsidRPr="00E0734A" w:rsidRDefault="00DD66A1" w:rsidP="000F1502">
      <w:pPr>
        <w:pStyle w:val="BodyText"/>
        <w:numPr>
          <w:ilvl w:val="0"/>
          <w:numId w:val="36"/>
        </w:numPr>
        <w:spacing w:line="480" w:lineRule="auto"/>
        <w:jc w:val="both"/>
        <w:rPr>
          <w:rFonts w:ascii="Arial" w:hAnsi="Arial"/>
          <w:sz w:val="24"/>
          <w:szCs w:val="24"/>
        </w:rPr>
      </w:pPr>
      <w:r w:rsidRPr="00E0734A">
        <w:rPr>
          <w:rFonts w:ascii="Arial" w:hAnsi="Arial"/>
          <w:sz w:val="24"/>
          <w:szCs w:val="24"/>
        </w:rPr>
        <w:t xml:space="preserve">Train managers and supervisors in transformational leadership and team management (Gill </w:t>
      </w:r>
      <w:r w:rsidRPr="00045E87">
        <w:rPr>
          <w:rFonts w:ascii="Arial" w:hAnsi="Arial"/>
          <w:i/>
          <w:iCs/>
          <w:sz w:val="24"/>
          <w:szCs w:val="24"/>
        </w:rPr>
        <w:t>et al</w:t>
      </w:r>
      <w:r w:rsidRPr="00E0734A">
        <w:rPr>
          <w:rFonts w:ascii="Arial" w:hAnsi="Arial"/>
          <w:sz w:val="24"/>
          <w:szCs w:val="24"/>
        </w:rPr>
        <w:t>., 2006).</w:t>
      </w:r>
    </w:p>
    <w:p w14:paraId="7C9E9682" w14:textId="7C4F7D4E" w:rsidR="00DD66A1" w:rsidRPr="00E0734A" w:rsidRDefault="00045E87" w:rsidP="000F1502">
      <w:pPr>
        <w:pStyle w:val="BodyText"/>
        <w:numPr>
          <w:ilvl w:val="0"/>
          <w:numId w:val="36"/>
        </w:numPr>
        <w:spacing w:line="480" w:lineRule="auto"/>
        <w:jc w:val="both"/>
        <w:rPr>
          <w:rFonts w:ascii="Arial" w:hAnsi="Arial"/>
          <w:sz w:val="24"/>
          <w:szCs w:val="24"/>
        </w:rPr>
      </w:pPr>
      <w:r>
        <w:rPr>
          <w:rFonts w:ascii="Arial" w:hAnsi="Arial"/>
          <w:sz w:val="24"/>
          <w:szCs w:val="24"/>
        </w:rPr>
        <w:t>Organise</w:t>
      </w:r>
      <w:r w:rsidR="00DD66A1" w:rsidRPr="00E0734A">
        <w:rPr>
          <w:rFonts w:ascii="Arial" w:hAnsi="Arial"/>
          <w:sz w:val="24"/>
          <w:szCs w:val="24"/>
        </w:rPr>
        <w:t xml:space="preserve"> monthly “active listening” sessions between management and operational teams.</w:t>
      </w:r>
    </w:p>
    <w:p w14:paraId="6B00E6CF" w14:textId="77777777" w:rsidR="00DD66A1" w:rsidRPr="00E0734A" w:rsidRDefault="00DD66A1" w:rsidP="000F1502">
      <w:pPr>
        <w:pStyle w:val="BodyText"/>
        <w:numPr>
          <w:ilvl w:val="0"/>
          <w:numId w:val="36"/>
        </w:numPr>
        <w:spacing w:line="480" w:lineRule="auto"/>
        <w:jc w:val="both"/>
        <w:rPr>
          <w:rFonts w:ascii="Arial" w:hAnsi="Arial"/>
          <w:sz w:val="24"/>
          <w:szCs w:val="24"/>
        </w:rPr>
      </w:pPr>
      <w:r w:rsidRPr="00E0734A">
        <w:rPr>
          <w:rFonts w:ascii="Arial" w:hAnsi="Arial"/>
          <w:sz w:val="24"/>
          <w:szCs w:val="24"/>
        </w:rPr>
        <w:t>Implement a monthly anonymous feedback system, with concrete actions derived from suggestions.</w:t>
      </w:r>
    </w:p>
    <w:p w14:paraId="412EE039" w14:textId="1A8FFA9A" w:rsidR="00DD66A1" w:rsidRPr="00E0734A" w:rsidRDefault="00DD66A1" w:rsidP="000F1502">
      <w:pPr>
        <w:pStyle w:val="BodyText"/>
        <w:numPr>
          <w:ilvl w:val="0"/>
          <w:numId w:val="36"/>
        </w:numPr>
        <w:spacing w:line="480" w:lineRule="auto"/>
        <w:jc w:val="both"/>
        <w:rPr>
          <w:rFonts w:ascii="Arial" w:hAnsi="Arial"/>
          <w:sz w:val="24"/>
          <w:szCs w:val="24"/>
        </w:rPr>
      </w:pPr>
      <w:r w:rsidRPr="00E0734A">
        <w:rPr>
          <w:rFonts w:ascii="Arial" w:hAnsi="Arial"/>
          <w:sz w:val="24"/>
          <w:szCs w:val="24"/>
        </w:rPr>
        <w:t xml:space="preserve">Publicly </w:t>
      </w:r>
      <w:r w:rsidR="00052CFF">
        <w:rPr>
          <w:rFonts w:ascii="Arial" w:hAnsi="Arial"/>
          <w:sz w:val="24"/>
          <w:szCs w:val="24"/>
        </w:rPr>
        <w:t>recognise</w:t>
      </w:r>
      <w:r w:rsidRPr="00E0734A">
        <w:rPr>
          <w:rFonts w:ascii="Arial" w:hAnsi="Arial"/>
          <w:sz w:val="24"/>
          <w:szCs w:val="24"/>
        </w:rPr>
        <w:t xml:space="preserve"> employees who contribute positively (e.g., “Employee of the Month”).</w:t>
      </w:r>
    </w:p>
    <w:p w14:paraId="10B78EF5" w14:textId="77777777" w:rsidR="001964F1" w:rsidRPr="00E0734A" w:rsidRDefault="001964F1" w:rsidP="000F1502">
      <w:pPr>
        <w:pStyle w:val="BodyText"/>
        <w:spacing w:line="480" w:lineRule="auto"/>
        <w:jc w:val="both"/>
        <w:rPr>
          <w:rFonts w:ascii="Arial" w:hAnsi="Arial"/>
          <w:i/>
          <w:iCs/>
          <w:sz w:val="24"/>
          <w:szCs w:val="24"/>
        </w:rPr>
      </w:pPr>
      <w:r w:rsidRPr="00E0734A">
        <w:rPr>
          <w:rFonts w:ascii="Arial" w:hAnsi="Arial"/>
          <w:i/>
          <w:iCs/>
          <w:sz w:val="24"/>
          <w:szCs w:val="24"/>
        </w:rPr>
        <w:t>5. Creating a healthy and balanced work environment</w:t>
      </w:r>
    </w:p>
    <w:p w14:paraId="68F3F2A5" w14:textId="57C3833D" w:rsidR="001964F1" w:rsidRPr="00E0734A" w:rsidRDefault="001964F1" w:rsidP="000F1502">
      <w:pPr>
        <w:pStyle w:val="BodyText"/>
        <w:spacing w:line="480" w:lineRule="auto"/>
        <w:jc w:val="both"/>
        <w:rPr>
          <w:rFonts w:ascii="Arial" w:hAnsi="Arial"/>
          <w:sz w:val="24"/>
          <w:szCs w:val="24"/>
        </w:rPr>
      </w:pPr>
      <w:r w:rsidRPr="00E0734A">
        <w:rPr>
          <w:rFonts w:ascii="Arial" w:hAnsi="Arial"/>
          <w:sz w:val="24"/>
          <w:szCs w:val="24"/>
        </w:rPr>
        <w:t>Overwork and lack of work-life balance were frequently mentioned as reasons for stress and intention to leave.</w:t>
      </w:r>
    </w:p>
    <w:p w14:paraId="71B094DB" w14:textId="77777777" w:rsidR="001964F1" w:rsidRPr="00E0734A" w:rsidRDefault="001964F1"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1E4B8B80" w14:textId="77777777" w:rsidR="001964F1" w:rsidRPr="00E0734A" w:rsidRDefault="001964F1" w:rsidP="000F1502">
      <w:pPr>
        <w:pStyle w:val="BodyText"/>
        <w:numPr>
          <w:ilvl w:val="0"/>
          <w:numId w:val="37"/>
        </w:numPr>
        <w:spacing w:line="480" w:lineRule="auto"/>
        <w:jc w:val="both"/>
        <w:rPr>
          <w:rFonts w:ascii="Arial" w:hAnsi="Arial"/>
          <w:sz w:val="24"/>
          <w:szCs w:val="24"/>
        </w:rPr>
      </w:pPr>
      <w:r w:rsidRPr="00E0734A">
        <w:rPr>
          <w:rFonts w:ascii="Arial" w:hAnsi="Arial"/>
          <w:sz w:val="24"/>
          <w:szCs w:val="24"/>
        </w:rPr>
        <w:t>Introducing a fair shift scheduling system that respects guaranteed days off.</w:t>
      </w:r>
    </w:p>
    <w:p w14:paraId="53335D61" w14:textId="77777777" w:rsidR="001964F1" w:rsidRPr="00E0734A" w:rsidRDefault="001964F1" w:rsidP="000F1502">
      <w:pPr>
        <w:pStyle w:val="BodyText"/>
        <w:numPr>
          <w:ilvl w:val="0"/>
          <w:numId w:val="37"/>
        </w:numPr>
        <w:spacing w:line="480" w:lineRule="auto"/>
        <w:jc w:val="both"/>
        <w:rPr>
          <w:rFonts w:ascii="Arial" w:hAnsi="Arial"/>
          <w:sz w:val="24"/>
          <w:szCs w:val="24"/>
        </w:rPr>
      </w:pPr>
      <w:r w:rsidRPr="00E0734A">
        <w:rPr>
          <w:rFonts w:ascii="Arial" w:hAnsi="Arial"/>
          <w:sz w:val="24"/>
          <w:szCs w:val="24"/>
        </w:rPr>
        <w:lastRenderedPageBreak/>
        <w:t>Limiting the number of mandatory overtime hours and monitoring rest time.</w:t>
      </w:r>
    </w:p>
    <w:p w14:paraId="74922EB2" w14:textId="77777777" w:rsidR="001964F1" w:rsidRPr="00E0734A" w:rsidRDefault="001964F1" w:rsidP="000F1502">
      <w:pPr>
        <w:pStyle w:val="BodyText"/>
        <w:numPr>
          <w:ilvl w:val="0"/>
          <w:numId w:val="37"/>
        </w:numPr>
        <w:spacing w:line="480" w:lineRule="auto"/>
        <w:jc w:val="both"/>
        <w:rPr>
          <w:rFonts w:ascii="Arial" w:hAnsi="Arial"/>
          <w:sz w:val="24"/>
          <w:szCs w:val="24"/>
        </w:rPr>
      </w:pPr>
      <w:r w:rsidRPr="00E0734A">
        <w:rPr>
          <w:rFonts w:ascii="Arial" w:hAnsi="Arial"/>
          <w:sz w:val="24"/>
          <w:szCs w:val="24"/>
        </w:rPr>
        <w:t>Setting up a relaxation area for employees (with tea, coffee, WiFi, information materials).</w:t>
      </w:r>
    </w:p>
    <w:p w14:paraId="33F2ED05" w14:textId="038C6D39" w:rsidR="00DD66A1" w:rsidRPr="00E0734A" w:rsidRDefault="002144B9" w:rsidP="000F1502">
      <w:pPr>
        <w:pStyle w:val="BodyText"/>
        <w:numPr>
          <w:ilvl w:val="0"/>
          <w:numId w:val="37"/>
        </w:numPr>
        <w:spacing w:line="480" w:lineRule="auto"/>
        <w:jc w:val="both"/>
        <w:rPr>
          <w:rFonts w:ascii="Arial" w:hAnsi="Arial"/>
          <w:sz w:val="24"/>
          <w:szCs w:val="24"/>
        </w:rPr>
      </w:pPr>
      <w:r>
        <w:rPr>
          <w:rFonts w:ascii="Arial" w:hAnsi="Arial"/>
          <w:sz w:val="24"/>
          <w:szCs w:val="24"/>
        </w:rPr>
        <w:t>Organising</w:t>
      </w:r>
      <w:r w:rsidR="001964F1" w:rsidRPr="00E0734A">
        <w:rPr>
          <w:rFonts w:ascii="Arial" w:hAnsi="Arial"/>
          <w:sz w:val="24"/>
          <w:szCs w:val="24"/>
        </w:rPr>
        <w:t xml:space="preserve"> team events, quarterly teambuildings or interdepartmental </w:t>
      </w:r>
      <w:r w:rsidR="00DF798D">
        <w:rPr>
          <w:rFonts w:ascii="Arial" w:hAnsi="Arial"/>
          <w:sz w:val="24"/>
          <w:szCs w:val="24"/>
        </w:rPr>
        <w:t>socialising</w:t>
      </w:r>
      <w:r w:rsidR="001964F1" w:rsidRPr="00E0734A">
        <w:rPr>
          <w:rFonts w:ascii="Arial" w:hAnsi="Arial"/>
          <w:sz w:val="24"/>
          <w:szCs w:val="24"/>
        </w:rPr>
        <w:t xml:space="preserve"> activities</w:t>
      </w:r>
      <w:r w:rsidR="00C12151" w:rsidRPr="00E0734A">
        <w:rPr>
          <w:rFonts w:ascii="Arial" w:hAnsi="Arial"/>
          <w:sz w:val="24"/>
          <w:szCs w:val="24"/>
        </w:rPr>
        <w:t xml:space="preserve"> (Brough </w:t>
      </w:r>
      <w:r w:rsidR="00C12151" w:rsidRPr="00753ABA">
        <w:rPr>
          <w:rFonts w:ascii="Arial" w:hAnsi="Arial"/>
          <w:i/>
          <w:iCs/>
          <w:sz w:val="24"/>
          <w:szCs w:val="24"/>
        </w:rPr>
        <w:t>et al</w:t>
      </w:r>
      <w:r w:rsidR="00C12151" w:rsidRPr="00E0734A">
        <w:rPr>
          <w:rFonts w:ascii="Arial" w:hAnsi="Arial"/>
          <w:sz w:val="24"/>
          <w:szCs w:val="24"/>
        </w:rPr>
        <w:t>., 2020)</w:t>
      </w:r>
      <w:r w:rsidR="001964F1" w:rsidRPr="00E0734A">
        <w:rPr>
          <w:rFonts w:ascii="Arial" w:hAnsi="Arial"/>
          <w:sz w:val="24"/>
          <w:szCs w:val="24"/>
        </w:rPr>
        <w:t>.</w:t>
      </w:r>
    </w:p>
    <w:p w14:paraId="49F03AC3" w14:textId="0BA36725" w:rsidR="001964F1" w:rsidRPr="00E0734A" w:rsidRDefault="001964F1" w:rsidP="000F1502">
      <w:pPr>
        <w:pStyle w:val="BodyText"/>
        <w:spacing w:line="480" w:lineRule="auto"/>
        <w:jc w:val="both"/>
        <w:rPr>
          <w:rFonts w:ascii="Arial" w:hAnsi="Arial"/>
          <w:i/>
          <w:iCs/>
          <w:sz w:val="24"/>
          <w:szCs w:val="24"/>
        </w:rPr>
      </w:pPr>
      <w:r w:rsidRPr="00E0734A">
        <w:rPr>
          <w:rFonts w:ascii="Arial" w:hAnsi="Arial"/>
          <w:i/>
          <w:iCs/>
          <w:sz w:val="24"/>
          <w:szCs w:val="24"/>
        </w:rPr>
        <w:t xml:space="preserve">6. </w:t>
      </w:r>
      <w:r w:rsidR="00207E53">
        <w:rPr>
          <w:rFonts w:ascii="Arial" w:hAnsi="Arial"/>
          <w:i/>
          <w:iCs/>
          <w:sz w:val="24"/>
          <w:szCs w:val="24"/>
        </w:rPr>
        <w:t>Digitise</w:t>
      </w:r>
      <w:r w:rsidRPr="00E0734A">
        <w:rPr>
          <w:rFonts w:ascii="Arial" w:hAnsi="Arial"/>
          <w:i/>
          <w:iCs/>
          <w:sz w:val="24"/>
          <w:szCs w:val="24"/>
        </w:rPr>
        <w:t xml:space="preserve"> and automate processes</w:t>
      </w:r>
    </w:p>
    <w:p w14:paraId="66C4764B" w14:textId="1B7B9331" w:rsidR="001964F1" w:rsidRPr="00E0734A" w:rsidRDefault="001964F1" w:rsidP="000F1502">
      <w:pPr>
        <w:pStyle w:val="BodyText"/>
        <w:spacing w:line="480" w:lineRule="auto"/>
        <w:jc w:val="both"/>
        <w:rPr>
          <w:rFonts w:ascii="Arial" w:hAnsi="Arial"/>
          <w:sz w:val="24"/>
          <w:szCs w:val="24"/>
        </w:rPr>
      </w:pPr>
      <w:r w:rsidRPr="00E0734A">
        <w:rPr>
          <w:rFonts w:ascii="Arial" w:hAnsi="Arial"/>
          <w:sz w:val="24"/>
          <w:szCs w:val="24"/>
        </w:rPr>
        <w:t>Some administrative or routine tasks (reporting, scheduling) can be simplified through technology, reducing pressure on staff and creating time for value-added tasks.</w:t>
      </w:r>
    </w:p>
    <w:p w14:paraId="19FB154F" w14:textId="77777777" w:rsidR="001964F1" w:rsidRPr="00E0734A" w:rsidRDefault="001964F1"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506D270E" w14:textId="1F0AD1BA" w:rsidR="001964F1" w:rsidRPr="00E0734A" w:rsidRDefault="001964F1" w:rsidP="000F1502">
      <w:pPr>
        <w:pStyle w:val="BodyText"/>
        <w:numPr>
          <w:ilvl w:val="0"/>
          <w:numId w:val="38"/>
        </w:numPr>
        <w:spacing w:line="480" w:lineRule="auto"/>
        <w:jc w:val="both"/>
        <w:rPr>
          <w:rFonts w:ascii="Arial" w:hAnsi="Arial"/>
          <w:sz w:val="24"/>
          <w:szCs w:val="24"/>
        </w:rPr>
      </w:pPr>
      <w:r w:rsidRPr="00E0734A">
        <w:rPr>
          <w:rFonts w:ascii="Arial" w:hAnsi="Arial"/>
          <w:sz w:val="24"/>
          <w:szCs w:val="24"/>
        </w:rPr>
        <w:t xml:space="preserve">Use applications for shift planning and internal communication (e.g. Deputy, </w:t>
      </w:r>
      <w:r w:rsidR="009D417B" w:rsidRPr="00E0734A">
        <w:rPr>
          <w:rFonts w:ascii="Arial" w:hAnsi="Arial"/>
          <w:sz w:val="24"/>
          <w:szCs w:val="24"/>
        </w:rPr>
        <w:t>Plan</w:t>
      </w:r>
      <w:r w:rsidR="009D417B">
        <w:rPr>
          <w:rFonts w:ascii="Arial" w:hAnsi="Arial"/>
          <w:sz w:val="24"/>
          <w:szCs w:val="24"/>
        </w:rPr>
        <w:t xml:space="preserve"> </w:t>
      </w:r>
      <w:r w:rsidR="009D417B" w:rsidRPr="00E0734A">
        <w:rPr>
          <w:rFonts w:ascii="Arial" w:hAnsi="Arial"/>
          <w:sz w:val="24"/>
          <w:szCs w:val="24"/>
        </w:rPr>
        <w:t>Day</w:t>
      </w:r>
      <w:r w:rsidRPr="00E0734A">
        <w:rPr>
          <w:rFonts w:ascii="Arial" w:hAnsi="Arial"/>
          <w:sz w:val="24"/>
          <w:szCs w:val="24"/>
        </w:rPr>
        <w:t>).</w:t>
      </w:r>
    </w:p>
    <w:p w14:paraId="06801623" w14:textId="77777777" w:rsidR="001964F1" w:rsidRPr="00E0734A" w:rsidRDefault="001964F1" w:rsidP="000F1502">
      <w:pPr>
        <w:pStyle w:val="BodyText"/>
        <w:numPr>
          <w:ilvl w:val="0"/>
          <w:numId w:val="38"/>
        </w:numPr>
        <w:spacing w:line="480" w:lineRule="auto"/>
        <w:jc w:val="both"/>
        <w:rPr>
          <w:rFonts w:ascii="Arial" w:hAnsi="Arial"/>
          <w:sz w:val="24"/>
          <w:szCs w:val="24"/>
        </w:rPr>
      </w:pPr>
      <w:r w:rsidRPr="00E0734A">
        <w:rPr>
          <w:rFonts w:ascii="Arial" w:hAnsi="Arial"/>
          <w:sz w:val="24"/>
          <w:szCs w:val="24"/>
        </w:rPr>
        <w:t>Automate customer feedback to understand the impact of team performance on services.</w:t>
      </w:r>
    </w:p>
    <w:p w14:paraId="211553C3" w14:textId="0DA09B0F" w:rsidR="001964F1" w:rsidRPr="00E0734A" w:rsidRDefault="00013B38" w:rsidP="000F1502">
      <w:pPr>
        <w:pStyle w:val="BodyText"/>
        <w:numPr>
          <w:ilvl w:val="0"/>
          <w:numId w:val="38"/>
        </w:numPr>
        <w:spacing w:line="480" w:lineRule="auto"/>
        <w:jc w:val="both"/>
        <w:rPr>
          <w:rFonts w:ascii="Arial" w:hAnsi="Arial"/>
          <w:sz w:val="24"/>
          <w:szCs w:val="24"/>
        </w:rPr>
      </w:pPr>
      <w:r>
        <w:rPr>
          <w:rFonts w:ascii="Arial" w:hAnsi="Arial"/>
          <w:sz w:val="24"/>
          <w:szCs w:val="24"/>
        </w:rPr>
        <w:t>Digitise</w:t>
      </w:r>
      <w:r w:rsidR="001964F1" w:rsidRPr="00E0734A">
        <w:rPr>
          <w:rFonts w:ascii="Arial" w:hAnsi="Arial"/>
          <w:sz w:val="24"/>
          <w:szCs w:val="24"/>
        </w:rPr>
        <w:t xml:space="preserve"> onboarding forms, evaluations</w:t>
      </w:r>
      <w:r w:rsidR="00753ABA">
        <w:rPr>
          <w:rFonts w:ascii="Arial" w:hAnsi="Arial"/>
          <w:sz w:val="24"/>
          <w:szCs w:val="24"/>
        </w:rPr>
        <w:t>,</w:t>
      </w:r>
      <w:r w:rsidR="001964F1" w:rsidRPr="00E0734A">
        <w:rPr>
          <w:rFonts w:ascii="Arial" w:hAnsi="Arial"/>
          <w:sz w:val="24"/>
          <w:szCs w:val="24"/>
        </w:rPr>
        <w:t xml:space="preserve"> and leave requests</w:t>
      </w:r>
      <w:r w:rsidR="000D50D4" w:rsidRPr="00E0734A">
        <w:rPr>
          <w:rFonts w:ascii="Arial" w:hAnsi="Arial"/>
          <w:sz w:val="24"/>
          <w:szCs w:val="24"/>
        </w:rPr>
        <w:t xml:space="preserve"> (Tank, 2023)</w:t>
      </w:r>
      <w:r w:rsidR="001964F1" w:rsidRPr="00E0734A">
        <w:rPr>
          <w:rFonts w:ascii="Arial" w:hAnsi="Arial"/>
          <w:sz w:val="24"/>
          <w:szCs w:val="24"/>
        </w:rPr>
        <w:t>.</w:t>
      </w:r>
    </w:p>
    <w:p w14:paraId="1F74E12D" w14:textId="4A54D36D" w:rsidR="00455E2E" w:rsidRPr="00E0734A" w:rsidRDefault="00455E2E" w:rsidP="000F1502">
      <w:pPr>
        <w:pStyle w:val="BodyText"/>
        <w:spacing w:line="480" w:lineRule="auto"/>
        <w:jc w:val="both"/>
        <w:rPr>
          <w:rFonts w:ascii="Arial" w:hAnsi="Arial"/>
          <w:i/>
          <w:iCs/>
          <w:sz w:val="24"/>
          <w:szCs w:val="24"/>
        </w:rPr>
      </w:pPr>
      <w:r w:rsidRPr="00E0734A">
        <w:rPr>
          <w:rFonts w:ascii="Arial" w:hAnsi="Arial"/>
          <w:i/>
          <w:iCs/>
          <w:sz w:val="24"/>
          <w:szCs w:val="24"/>
        </w:rPr>
        <w:t xml:space="preserve">7. Introducing an </w:t>
      </w:r>
      <w:r w:rsidR="009D417B">
        <w:rPr>
          <w:rFonts w:ascii="Arial" w:hAnsi="Arial"/>
          <w:i/>
          <w:iCs/>
          <w:sz w:val="24"/>
          <w:szCs w:val="24"/>
        </w:rPr>
        <w:t>organisational</w:t>
      </w:r>
      <w:r w:rsidRPr="00E0734A">
        <w:rPr>
          <w:rFonts w:ascii="Arial" w:hAnsi="Arial"/>
          <w:i/>
          <w:iCs/>
          <w:sz w:val="24"/>
          <w:szCs w:val="24"/>
        </w:rPr>
        <w:t xml:space="preserve"> culture based on inclusion and belonging</w:t>
      </w:r>
    </w:p>
    <w:p w14:paraId="327388D7" w14:textId="44AF7F41" w:rsidR="00455E2E" w:rsidRPr="00E0734A" w:rsidRDefault="00455E2E" w:rsidP="000F1502">
      <w:pPr>
        <w:pStyle w:val="BodyText"/>
        <w:spacing w:line="480" w:lineRule="auto"/>
        <w:jc w:val="both"/>
        <w:rPr>
          <w:rFonts w:ascii="Arial" w:hAnsi="Arial"/>
          <w:sz w:val="24"/>
          <w:szCs w:val="24"/>
        </w:rPr>
      </w:pPr>
      <w:r w:rsidRPr="00E0734A">
        <w:rPr>
          <w:rFonts w:ascii="Arial" w:hAnsi="Arial"/>
          <w:sz w:val="24"/>
          <w:szCs w:val="24"/>
        </w:rPr>
        <w:t xml:space="preserve">Employees stay in </w:t>
      </w:r>
      <w:r w:rsidR="00EC3148">
        <w:rPr>
          <w:rFonts w:ascii="Arial" w:hAnsi="Arial"/>
          <w:sz w:val="24"/>
          <w:szCs w:val="24"/>
        </w:rPr>
        <w:t>organisations</w:t>
      </w:r>
      <w:r w:rsidRPr="00E0734A">
        <w:rPr>
          <w:rFonts w:ascii="Arial" w:hAnsi="Arial"/>
          <w:sz w:val="24"/>
          <w:szCs w:val="24"/>
        </w:rPr>
        <w:t xml:space="preserve"> where they feel valued </w:t>
      </w:r>
      <w:r w:rsidR="00CC3D0E" w:rsidRPr="00E0734A">
        <w:rPr>
          <w:rFonts w:ascii="Arial" w:hAnsi="Arial"/>
          <w:sz w:val="24"/>
          <w:szCs w:val="24"/>
        </w:rPr>
        <w:t>and</w:t>
      </w:r>
      <w:r w:rsidRPr="00E0734A">
        <w:rPr>
          <w:rFonts w:ascii="Arial" w:hAnsi="Arial"/>
          <w:sz w:val="24"/>
          <w:szCs w:val="24"/>
        </w:rPr>
        <w:t xml:space="preserve"> they belong to a united team. The feeling of belonging is essential for motivation and retention.</w:t>
      </w:r>
    </w:p>
    <w:p w14:paraId="084E6BF5" w14:textId="6B23FBCD" w:rsidR="00455E2E" w:rsidRDefault="00455E2E"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77FDBF75" w14:textId="1F1FDFA6" w:rsidR="0085391C" w:rsidRPr="00E0734A" w:rsidRDefault="0085391C" w:rsidP="0085391C">
      <w:pPr>
        <w:pStyle w:val="BodyText"/>
        <w:numPr>
          <w:ilvl w:val="0"/>
          <w:numId w:val="45"/>
        </w:numPr>
        <w:spacing w:line="480" w:lineRule="auto"/>
        <w:jc w:val="both"/>
        <w:rPr>
          <w:rFonts w:ascii="Arial" w:hAnsi="Arial"/>
          <w:sz w:val="24"/>
          <w:szCs w:val="24"/>
        </w:rPr>
      </w:pPr>
      <w:r>
        <w:rPr>
          <w:rFonts w:ascii="Arial" w:hAnsi="Arial"/>
          <w:sz w:val="24"/>
          <w:szCs w:val="24"/>
        </w:rPr>
        <w:t>Implement emotional intelligence (</w:t>
      </w:r>
      <w:r w:rsidRPr="008134E1">
        <w:rPr>
          <w:rFonts w:ascii="Arial" w:hAnsi="Arial"/>
          <w:sz w:val="24"/>
          <w:szCs w:val="24"/>
          <w:lang w:val="en-GB"/>
        </w:rPr>
        <w:t>MIR</w:t>
      </w:r>
      <w:r>
        <w:rPr>
          <w:rFonts w:ascii="Arial" w:hAnsi="Arial"/>
          <w:sz w:val="24"/>
          <w:szCs w:val="24"/>
          <w:lang w:val="en-GB"/>
        </w:rPr>
        <w:t xml:space="preserve"> </w:t>
      </w:r>
      <w:r w:rsidRPr="008134E1">
        <w:rPr>
          <w:rFonts w:ascii="Arial" w:hAnsi="Arial"/>
          <w:sz w:val="24"/>
          <w:szCs w:val="24"/>
          <w:lang w:val="en-GB"/>
        </w:rPr>
        <w:t xml:space="preserve"> and RASTOGI,</w:t>
      </w:r>
      <w:r>
        <w:rPr>
          <w:rFonts w:ascii="Arial" w:hAnsi="Arial"/>
          <w:sz w:val="24"/>
          <w:szCs w:val="24"/>
          <w:lang w:val="en-GB"/>
        </w:rPr>
        <w:t xml:space="preserve"> </w:t>
      </w:r>
      <w:r w:rsidRPr="008134E1">
        <w:rPr>
          <w:rFonts w:ascii="Arial" w:hAnsi="Arial"/>
          <w:sz w:val="24"/>
          <w:szCs w:val="24"/>
          <w:lang w:val="en-GB"/>
        </w:rPr>
        <w:t>2025)</w:t>
      </w:r>
      <w:r>
        <w:rPr>
          <w:rFonts w:ascii="Arial" w:hAnsi="Arial"/>
          <w:sz w:val="24"/>
          <w:szCs w:val="24"/>
          <w:lang w:val="en-GB"/>
        </w:rPr>
        <w:t>.</w:t>
      </w:r>
    </w:p>
    <w:p w14:paraId="43903E17" w14:textId="77777777" w:rsidR="00455E2E" w:rsidRPr="00E0734A" w:rsidRDefault="00455E2E" w:rsidP="000F1502">
      <w:pPr>
        <w:pStyle w:val="BodyText"/>
        <w:numPr>
          <w:ilvl w:val="0"/>
          <w:numId w:val="39"/>
        </w:numPr>
        <w:spacing w:line="480" w:lineRule="auto"/>
        <w:jc w:val="both"/>
        <w:rPr>
          <w:rFonts w:ascii="Arial" w:hAnsi="Arial"/>
          <w:sz w:val="24"/>
          <w:szCs w:val="24"/>
        </w:rPr>
      </w:pPr>
      <w:r w:rsidRPr="00E0734A">
        <w:rPr>
          <w:rFonts w:ascii="Arial" w:hAnsi="Arial"/>
          <w:sz w:val="24"/>
          <w:szCs w:val="24"/>
        </w:rPr>
        <w:t>Creating an internal “Chart of Values” signed by each employee at the beginning of employment.</w:t>
      </w:r>
    </w:p>
    <w:p w14:paraId="0FAAD904" w14:textId="77777777" w:rsidR="00455E2E" w:rsidRPr="00E0734A" w:rsidRDefault="00455E2E" w:rsidP="000F1502">
      <w:pPr>
        <w:pStyle w:val="BodyText"/>
        <w:numPr>
          <w:ilvl w:val="0"/>
          <w:numId w:val="39"/>
        </w:numPr>
        <w:spacing w:line="480" w:lineRule="auto"/>
        <w:jc w:val="both"/>
        <w:rPr>
          <w:rFonts w:ascii="Arial" w:hAnsi="Arial"/>
          <w:sz w:val="24"/>
          <w:szCs w:val="24"/>
        </w:rPr>
      </w:pPr>
      <w:r w:rsidRPr="00E0734A">
        <w:rPr>
          <w:rFonts w:ascii="Arial" w:hAnsi="Arial"/>
          <w:sz w:val="24"/>
          <w:szCs w:val="24"/>
        </w:rPr>
        <w:lastRenderedPageBreak/>
        <w:t>Involving employees in decisions that directly concern them (e.g.: changing the restaurant menu, ideas for holiday decorations).</w:t>
      </w:r>
    </w:p>
    <w:p w14:paraId="7BEC03BC" w14:textId="65303D76" w:rsidR="001964F1" w:rsidRPr="00E0734A" w:rsidRDefault="00455E2E" w:rsidP="000F1502">
      <w:pPr>
        <w:pStyle w:val="BodyText"/>
        <w:numPr>
          <w:ilvl w:val="0"/>
          <w:numId w:val="39"/>
        </w:numPr>
        <w:spacing w:line="480" w:lineRule="auto"/>
        <w:jc w:val="both"/>
        <w:rPr>
          <w:rFonts w:ascii="Arial" w:hAnsi="Arial"/>
          <w:sz w:val="24"/>
          <w:szCs w:val="24"/>
        </w:rPr>
      </w:pPr>
      <w:r w:rsidRPr="00E0734A">
        <w:rPr>
          <w:rFonts w:ascii="Arial" w:hAnsi="Arial"/>
          <w:sz w:val="24"/>
          <w:szCs w:val="24"/>
        </w:rPr>
        <w:t>Promoting cultural diversity and inclusion through internal campaigns (</w:t>
      </w:r>
      <w:r w:rsidR="00B34A13" w:rsidRPr="00E0734A">
        <w:rPr>
          <w:rFonts w:ascii="Arial" w:hAnsi="Arial"/>
          <w:sz w:val="24"/>
          <w:szCs w:val="24"/>
        </w:rPr>
        <w:t>e.g.</w:t>
      </w:r>
      <w:r w:rsidR="00B34A13">
        <w:rPr>
          <w:rFonts w:ascii="Arial" w:hAnsi="Arial"/>
          <w:sz w:val="24"/>
          <w:szCs w:val="24"/>
        </w:rPr>
        <w:t>,</w:t>
      </w:r>
      <w:r w:rsidRPr="00E0734A">
        <w:rPr>
          <w:rFonts w:ascii="Arial" w:hAnsi="Arial"/>
          <w:sz w:val="24"/>
          <w:szCs w:val="24"/>
        </w:rPr>
        <w:t xml:space="preserve"> “International Team Day”)</w:t>
      </w:r>
      <w:r w:rsidR="00885EBB" w:rsidRPr="00E0734A">
        <w:rPr>
          <w:rFonts w:ascii="Arial" w:hAnsi="Arial"/>
          <w:sz w:val="24"/>
          <w:szCs w:val="24"/>
        </w:rPr>
        <w:t xml:space="preserve"> (Perna, 2024)</w:t>
      </w:r>
      <w:r w:rsidRPr="00E0734A">
        <w:rPr>
          <w:rFonts w:ascii="Arial" w:hAnsi="Arial"/>
          <w:sz w:val="24"/>
          <w:szCs w:val="24"/>
        </w:rPr>
        <w:t>.</w:t>
      </w:r>
    </w:p>
    <w:p w14:paraId="2F5A077F" w14:textId="77777777" w:rsidR="00455E2E" w:rsidRPr="00E0734A" w:rsidRDefault="00455E2E" w:rsidP="000F1502">
      <w:pPr>
        <w:pStyle w:val="BodyText"/>
        <w:spacing w:line="480" w:lineRule="auto"/>
        <w:jc w:val="both"/>
        <w:rPr>
          <w:rFonts w:ascii="Arial" w:hAnsi="Arial"/>
          <w:i/>
          <w:iCs/>
          <w:sz w:val="24"/>
          <w:szCs w:val="24"/>
        </w:rPr>
      </w:pPr>
      <w:r w:rsidRPr="00E0734A">
        <w:rPr>
          <w:rFonts w:ascii="Arial" w:hAnsi="Arial"/>
          <w:i/>
          <w:iCs/>
          <w:sz w:val="24"/>
          <w:szCs w:val="24"/>
        </w:rPr>
        <w:t>8. Periodic evaluation and progress monitoring</w:t>
      </w:r>
    </w:p>
    <w:p w14:paraId="0C612304" w14:textId="5AF255C0" w:rsidR="00455E2E" w:rsidRPr="00E0734A" w:rsidRDefault="00455E2E" w:rsidP="000F1502">
      <w:pPr>
        <w:pStyle w:val="BodyText"/>
        <w:spacing w:line="480" w:lineRule="auto"/>
        <w:jc w:val="both"/>
        <w:rPr>
          <w:rFonts w:ascii="Arial" w:hAnsi="Arial"/>
          <w:sz w:val="24"/>
          <w:szCs w:val="24"/>
        </w:rPr>
      </w:pPr>
      <w:r w:rsidRPr="00E0734A">
        <w:rPr>
          <w:rFonts w:ascii="Arial" w:hAnsi="Arial"/>
          <w:sz w:val="24"/>
          <w:szCs w:val="24"/>
        </w:rPr>
        <w:t>Any implemented strategy must be accompanied by evaluation and correction tools. Without a progress tracking system, the risk is that initiatives will be abandoned or will not generate results.</w:t>
      </w:r>
    </w:p>
    <w:p w14:paraId="058910F8" w14:textId="77777777" w:rsidR="00455E2E" w:rsidRPr="00E0734A" w:rsidRDefault="00455E2E"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765CBCA1" w14:textId="77777777" w:rsidR="00455E2E" w:rsidRPr="00E0734A" w:rsidRDefault="00455E2E" w:rsidP="000F1502">
      <w:pPr>
        <w:pStyle w:val="BodyText"/>
        <w:numPr>
          <w:ilvl w:val="0"/>
          <w:numId w:val="40"/>
        </w:numPr>
        <w:spacing w:line="480" w:lineRule="auto"/>
        <w:jc w:val="both"/>
        <w:rPr>
          <w:rFonts w:ascii="Arial" w:hAnsi="Arial"/>
          <w:sz w:val="24"/>
          <w:szCs w:val="24"/>
        </w:rPr>
      </w:pPr>
      <w:r w:rsidRPr="00E0734A">
        <w:rPr>
          <w:rFonts w:ascii="Arial" w:hAnsi="Arial"/>
          <w:sz w:val="24"/>
          <w:szCs w:val="24"/>
        </w:rPr>
        <w:t>Establish key performance indicators (KPIs) for retention: voluntary departure rate, internal satisfaction score, average length of employment.</w:t>
      </w:r>
    </w:p>
    <w:p w14:paraId="5EBD51B7" w14:textId="77777777" w:rsidR="00455E2E" w:rsidRPr="00E0734A" w:rsidRDefault="00455E2E" w:rsidP="000F1502">
      <w:pPr>
        <w:pStyle w:val="BodyText"/>
        <w:numPr>
          <w:ilvl w:val="0"/>
          <w:numId w:val="40"/>
        </w:numPr>
        <w:spacing w:line="480" w:lineRule="auto"/>
        <w:jc w:val="both"/>
        <w:rPr>
          <w:rFonts w:ascii="Arial" w:hAnsi="Arial"/>
          <w:sz w:val="24"/>
          <w:szCs w:val="24"/>
        </w:rPr>
      </w:pPr>
      <w:r w:rsidRPr="00E0734A">
        <w:rPr>
          <w:rFonts w:ascii="Arial" w:hAnsi="Arial"/>
          <w:sz w:val="24"/>
          <w:szCs w:val="24"/>
        </w:rPr>
        <w:t>Monthly progress reporting and adjustment of the action plan based on results.</w:t>
      </w:r>
    </w:p>
    <w:p w14:paraId="77042AC0" w14:textId="4B8AE174" w:rsidR="00455E2E" w:rsidRPr="00E0734A" w:rsidRDefault="00455E2E" w:rsidP="000F1502">
      <w:pPr>
        <w:pStyle w:val="BodyText"/>
        <w:numPr>
          <w:ilvl w:val="0"/>
          <w:numId w:val="40"/>
        </w:numPr>
        <w:spacing w:line="480" w:lineRule="auto"/>
        <w:jc w:val="both"/>
        <w:rPr>
          <w:rFonts w:ascii="Arial" w:hAnsi="Arial"/>
          <w:sz w:val="24"/>
          <w:szCs w:val="24"/>
        </w:rPr>
      </w:pPr>
      <w:r w:rsidRPr="00E0734A">
        <w:rPr>
          <w:rFonts w:ascii="Arial" w:hAnsi="Arial"/>
          <w:sz w:val="24"/>
          <w:szCs w:val="24"/>
        </w:rPr>
        <w:t xml:space="preserve">Create a “Human Resources and </w:t>
      </w:r>
      <w:r w:rsidR="0050321F">
        <w:rPr>
          <w:rFonts w:ascii="Arial" w:hAnsi="Arial"/>
          <w:sz w:val="24"/>
          <w:szCs w:val="24"/>
        </w:rPr>
        <w:t>Organisational</w:t>
      </w:r>
      <w:r w:rsidRPr="00E0734A">
        <w:rPr>
          <w:rFonts w:ascii="Arial" w:hAnsi="Arial"/>
          <w:sz w:val="24"/>
          <w:szCs w:val="24"/>
        </w:rPr>
        <w:t xml:space="preserve"> Culture Committee” made up of members from all departments</w:t>
      </w:r>
      <w:r w:rsidR="002975BF" w:rsidRPr="00E0734A">
        <w:rPr>
          <w:rFonts w:ascii="Arial" w:hAnsi="Arial"/>
          <w:sz w:val="24"/>
          <w:szCs w:val="24"/>
        </w:rPr>
        <w:t xml:space="preserve"> (The Strategy Story, 2023)</w:t>
      </w:r>
      <w:r w:rsidRPr="00E0734A">
        <w:rPr>
          <w:rFonts w:ascii="Arial" w:hAnsi="Arial"/>
          <w:sz w:val="24"/>
          <w:szCs w:val="24"/>
        </w:rPr>
        <w:t>.</w:t>
      </w:r>
    </w:p>
    <w:p w14:paraId="273DF9AF" w14:textId="773B0522" w:rsidR="00455E2E" w:rsidRPr="00E0734A" w:rsidRDefault="002863B8" w:rsidP="000F1502">
      <w:pPr>
        <w:pStyle w:val="BodyText"/>
        <w:spacing w:line="480" w:lineRule="auto"/>
        <w:jc w:val="both"/>
        <w:rPr>
          <w:rFonts w:ascii="Arial" w:hAnsi="Arial"/>
          <w:sz w:val="24"/>
          <w:szCs w:val="24"/>
        </w:rPr>
      </w:pPr>
      <w:r w:rsidRPr="00E0734A">
        <w:rPr>
          <w:rFonts w:ascii="Arial" w:hAnsi="Arial"/>
          <w:sz w:val="24"/>
          <w:szCs w:val="24"/>
        </w:rPr>
        <w:t xml:space="preserve">The recommendations presented are based on the data collected during the research and can be implemented progressively to bring real improvements. The approach must be systemic, not punctual, with a focus on people, empathetic leadership, continuous development and transparent communication. If Holiday Inn Sunderland manages to combine these directions, it will be able not only to reduce staff turnover, but also to create a strong internal brand, </w:t>
      </w:r>
      <w:r w:rsidR="00F34AB5">
        <w:rPr>
          <w:rFonts w:ascii="Arial" w:hAnsi="Arial"/>
          <w:sz w:val="24"/>
          <w:szCs w:val="24"/>
        </w:rPr>
        <w:t>recognised</w:t>
      </w:r>
      <w:r w:rsidRPr="00E0734A">
        <w:rPr>
          <w:rFonts w:ascii="Arial" w:hAnsi="Arial"/>
          <w:sz w:val="24"/>
          <w:szCs w:val="24"/>
        </w:rPr>
        <w:t xml:space="preserve"> for its positive </w:t>
      </w:r>
      <w:r w:rsidR="00F34AB5">
        <w:rPr>
          <w:rFonts w:ascii="Arial" w:hAnsi="Arial"/>
          <w:sz w:val="24"/>
          <w:szCs w:val="24"/>
        </w:rPr>
        <w:t>organisational</w:t>
      </w:r>
      <w:r w:rsidRPr="00E0734A">
        <w:rPr>
          <w:rFonts w:ascii="Arial" w:hAnsi="Arial"/>
          <w:sz w:val="24"/>
          <w:szCs w:val="24"/>
        </w:rPr>
        <w:t xml:space="preserve"> culture.</w:t>
      </w:r>
    </w:p>
    <w:p w14:paraId="17026491" w14:textId="77777777" w:rsidR="004B62FE" w:rsidRDefault="004B62FE" w:rsidP="007B5666">
      <w:pPr>
        <w:pStyle w:val="BodyText"/>
        <w:spacing w:line="360" w:lineRule="auto"/>
        <w:jc w:val="both"/>
        <w:rPr>
          <w:rFonts w:ascii="Times New Roman" w:hAnsi="Times New Roman" w:cs="Times New Roman"/>
          <w:sz w:val="24"/>
          <w:szCs w:val="24"/>
        </w:rPr>
      </w:pPr>
    </w:p>
    <w:p w14:paraId="4006DE8B" w14:textId="77777777" w:rsidR="00F6110C" w:rsidRPr="007B5666" w:rsidRDefault="00F6110C" w:rsidP="007B5666">
      <w:pPr>
        <w:pStyle w:val="BodyText"/>
        <w:spacing w:line="360" w:lineRule="auto"/>
        <w:jc w:val="both"/>
        <w:rPr>
          <w:rFonts w:ascii="Times New Roman" w:hAnsi="Times New Roman" w:cs="Times New Roman"/>
          <w:sz w:val="24"/>
          <w:szCs w:val="24"/>
        </w:rPr>
      </w:pPr>
    </w:p>
    <w:p w14:paraId="68D43E41" w14:textId="6DD45B0D" w:rsidR="00DD66A1" w:rsidRDefault="00F425C8" w:rsidP="004B62FE">
      <w:pPr>
        <w:pStyle w:val="Heading1"/>
        <w:rPr>
          <w:sz w:val="28"/>
        </w:rPr>
      </w:pPr>
      <w:bookmarkStart w:id="28" w:name="_Toc199633498"/>
      <w:bookmarkStart w:id="29" w:name="_Toc200461598"/>
      <w:r w:rsidRPr="00F6110C">
        <w:rPr>
          <w:sz w:val="28"/>
        </w:rPr>
        <w:lastRenderedPageBreak/>
        <w:t>References</w:t>
      </w:r>
      <w:bookmarkEnd w:id="28"/>
      <w:bookmarkEnd w:id="29"/>
    </w:p>
    <w:p w14:paraId="29A821BE" w14:textId="77777777" w:rsidR="00811B16" w:rsidRPr="00811B16" w:rsidRDefault="00811B16" w:rsidP="00811B16">
      <w:pPr>
        <w:pStyle w:val="BodyText"/>
      </w:pPr>
    </w:p>
    <w:p w14:paraId="1F66A087" w14:textId="77777777" w:rsidR="00811B16" w:rsidRPr="001E06EE" w:rsidRDefault="00811B16" w:rsidP="00811B16">
      <w:pPr>
        <w:pStyle w:val="BodyText"/>
        <w:spacing w:line="480" w:lineRule="auto"/>
        <w:jc w:val="both"/>
        <w:rPr>
          <w:rFonts w:ascii="Arial" w:hAnsi="Arial"/>
          <w:sz w:val="24"/>
          <w:szCs w:val="24"/>
        </w:rPr>
      </w:pPr>
      <w:r w:rsidRPr="001E06EE">
        <w:rPr>
          <w:rFonts w:ascii="Arial" w:hAnsi="Arial"/>
          <w:sz w:val="24"/>
          <w:szCs w:val="24"/>
        </w:rPr>
        <w:t xml:space="preserve">Ajaya Anchan and Pinto, P. (2013) </w:t>
      </w:r>
      <w:r w:rsidRPr="00E247ED">
        <w:rPr>
          <w:rFonts w:ascii="Arial" w:hAnsi="Arial"/>
          <w:i/>
          <w:iCs/>
          <w:sz w:val="24"/>
          <w:szCs w:val="24"/>
        </w:rPr>
        <w:t>Work-life Balance: The Conceptual Framework and Review of Corporate Best Practices</w:t>
      </w:r>
      <w:r w:rsidRPr="001E06EE">
        <w:rPr>
          <w:rFonts w:ascii="Arial" w:hAnsi="Arial"/>
          <w:sz w:val="24"/>
          <w:szCs w:val="24"/>
        </w:rPr>
        <w:t xml:space="preserve">. 37(2), pp.27–39. Available at: </w:t>
      </w:r>
      <w:hyperlink r:id="rId12" w:history="1">
        <w:r w:rsidRPr="00D111D1">
          <w:rPr>
            <w:rStyle w:val="Hyperlink"/>
            <w:rFonts w:ascii="Arial" w:hAnsi="Arial"/>
            <w:sz w:val="24"/>
            <w:szCs w:val="24"/>
          </w:rPr>
          <w:t>https://www.researchgate.net/publication/360474212_Work-life_Balance_The_Conceptual_Framework_and_Review_of_Corporate_Best_Practices</w:t>
        </w:r>
      </w:hyperlink>
      <w:r>
        <w:rPr>
          <w:rFonts w:ascii="Arial" w:hAnsi="Arial"/>
          <w:sz w:val="24"/>
          <w:szCs w:val="24"/>
        </w:rPr>
        <w:t xml:space="preserve"> (Accessed: 1 June 2025).</w:t>
      </w:r>
    </w:p>
    <w:p w14:paraId="5D8523EE" w14:textId="77777777" w:rsidR="00811B16" w:rsidRPr="001E06EE" w:rsidRDefault="00811B16" w:rsidP="00811B16">
      <w:pPr>
        <w:pStyle w:val="BodyText"/>
        <w:spacing w:line="480" w:lineRule="auto"/>
        <w:jc w:val="both"/>
        <w:rPr>
          <w:rFonts w:ascii="Arial" w:hAnsi="Arial"/>
          <w:sz w:val="24"/>
          <w:szCs w:val="24"/>
        </w:rPr>
      </w:pPr>
      <w:r w:rsidRPr="001E06EE">
        <w:rPr>
          <w:rFonts w:ascii="Arial" w:hAnsi="Arial"/>
          <w:sz w:val="24"/>
          <w:szCs w:val="24"/>
        </w:rPr>
        <w:t xml:space="preserve">AKTUtheintactone (2019) </w:t>
      </w:r>
      <w:r w:rsidRPr="001E06EE">
        <w:rPr>
          <w:rFonts w:ascii="Arial" w:hAnsi="Arial"/>
          <w:i/>
          <w:iCs/>
          <w:sz w:val="24"/>
          <w:szCs w:val="24"/>
        </w:rPr>
        <w:t>Factors affecting Employee Compensation</w:t>
      </w:r>
      <w:r w:rsidRPr="001E06EE">
        <w:rPr>
          <w:rFonts w:ascii="Arial" w:hAnsi="Arial"/>
          <w:sz w:val="24"/>
          <w:szCs w:val="24"/>
        </w:rPr>
        <w:t>.</w:t>
      </w:r>
      <w:r>
        <w:rPr>
          <w:rFonts w:ascii="Arial" w:hAnsi="Arial"/>
          <w:sz w:val="24"/>
          <w:szCs w:val="24"/>
        </w:rPr>
        <w:t xml:space="preserve"> </w:t>
      </w:r>
      <w:r w:rsidRPr="001E06EE">
        <w:rPr>
          <w:rFonts w:ascii="Arial" w:hAnsi="Arial"/>
          <w:sz w:val="24"/>
          <w:szCs w:val="24"/>
        </w:rPr>
        <w:t xml:space="preserve">Available at: </w:t>
      </w:r>
      <w:hyperlink r:id="rId13" w:history="1">
        <w:r w:rsidRPr="00E57075">
          <w:rPr>
            <w:rStyle w:val="Hyperlink"/>
            <w:rFonts w:ascii="Arial" w:hAnsi="Arial"/>
            <w:sz w:val="24"/>
            <w:szCs w:val="24"/>
          </w:rPr>
          <w:t>https://theintactone.com/2019/03/01/hrm-u4-topic-2-factors-affecting-employee-compensation/</w:t>
        </w:r>
      </w:hyperlink>
      <w:r>
        <w:rPr>
          <w:rFonts w:ascii="Arial" w:hAnsi="Arial"/>
          <w:sz w:val="24"/>
          <w:szCs w:val="24"/>
        </w:rPr>
        <w:t xml:space="preserve"> (Accessed: 19 May 2025).</w:t>
      </w:r>
    </w:p>
    <w:p w14:paraId="6C9B9BB7" w14:textId="77777777" w:rsidR="00811B16" w:rsidRDefault="00811B16" w:rsidP="00811B16">
      <w:pPr>
        <w:pStyle w:val="BodyText"/>
        <w:spacing w:line="480" w:lineRule="auto"/>
        <w:jc w:val="both"/>
        <w:rPr>
          <w:rFonts w:ascii="Arial" w:hAnsi="Arial"/>
          <w:sz w:val="24"/>
          <w:szCs w:val="24"/>
        </w:rPr>
      </w:pPr>
      <w:r w:rsidRPr="001E06EE">
        <w:rPr>
          <w:rFonts w:ascii="Arial" w:hAnsi="Arial"/>
          <w:sz w:val="24"/>
          <w:szCs w:val="24"/>
        </w:rPr>
        <w:t>AL-Jabari, B. and Ghazzawi, I. (2023)</w:t>
      </w:r>
      <w:r>
        <w:rPr>
          <w:rFonts w:ascii="Arial" w:hAnsi="Arial"/>
          <w:sz w:val="24"/>
          <w:szCs w:val="24"/>
        </w:rPr>
        <w:t xml:space="preserve"> </w:t>
      </w:r>
      <w:r w:rsidRPr="001E06EE">
        <w:rPr>
          <w:rFonts w:ascii="Arial" w:hAnsi="Arial"/>
          <w:i/>
          <w:iCs/>
          <w:sz w:val="24"/>
          <w:szCs w:val="24"/>
        </w:rPr>
        <w:t xml:space="preserve">(PDF) </w:t>
      </w:r>
      <w:r>
        <w:rPr>
          <w:rFonts w:ascii="Arial" w:hAnsi="Arial"/>
          <w:i/>
          <w:iCs/>
          <w:sz w:val="24"/>
          <w:szCs w:val="24"/>
        </w:rPr>
        <w:t>Organisational</w:t>
      </w:r>
      <w:r w:rsidRPr="001E06EE">
        <w:rPr>
          <w:rFonts w:ascii="Arial" w:hAnsi="Arial"/>
          <w:i/>
          <w:iCs/>
          <w:sz w:val="24"/>
          <w:szCs w:val="24"/>
        </w:rPr>
        <w:t xml:space="preserve"> Commitment: A Review of the Conceptual and Empirical Literature and a Research Agenda</w:t>
      </w:r>
      <w:r w:rsidRPr="001E06EE">
        <w:rPr>
          <w:rFonts w:ascii="Arial" w:hAnsi="Arial"/>
          <w:sz w:val="24"/>
          <w:szCs w:val="24"/>
        </w:rPr>
        <w:t>.</w:t>
      </w:r>
      <w:r>
        <w:rPr>
          <w:rFonts w:ascii="Arial" w:hAnsi="Arial"/>
          <w:sz w:val="24"/>
          <w:szCs w:val="24"/>
        </w:rPr>
        <w:t xml:space="preserve"> </w:t>
      </w:r>
      <w:r w:rsidRPr="001E06EE">
        <w:rPr>
          <w:rFonts w:ascii="Arial" w:hAnsi="Arial"/>
          <w:sz w:val="24"/>
          <w:szCs w:val="24"/>
        </w:rPr>
        <w:t xml:space="preserve">Available at: </w:t>
      </w:r>
      <w:hyperlink r:id="rId14" w:history="1">
        <w:r w:rsidRPr="00D111D1">
          <w:rPr>
            <w:rStyle w:val="Hyperlink"/>
            <w:rFonts w:ascii="Arial" w:hAnsi="Arial"/>
            <w:sz w:val="24"/>
            <w:szCs w:val="24"/>
          </w:rPr>
          <w:t>https://www.researchgate.net/publication/331635975_Organizational_Commitment_A_Review_of_the_Conceptual_and_Empirical_Literature_and_a_Research_Agenda</w:t>
        </w:r>
      </w:hyperlink>
      <w:r w:rsidRPr="001E06EE">
        <w:rPr>
          <w:rFonts w:ascii="Arial" w:hAnsi="Arial"/>
          <w:sz w:val="24"/>
          <w:szCs w:val="24"/>
        </w:rPr>
        <w:t>.</w:t>
      </w:r>
    </w:p>
    <w:p w14:paraId="251F11C5" w14:textId="52E4CA1D" w:rsidR="004B62FE" w:rsidRPr="00811B16" w:rsidRDefault="00811B16" w:rsidP="00811B16">
      <w:pPr>
        <w:pStyle w:val="BodyText"/>
        <w:spacing w:line="480" w:lineRule="auto"/>
        <w:jc w:val="both"/>
        <w:rPr>
          <w:rFonts w:ascii="Arial" w:hAnsi="Arial"/>
          <w:sz w:val="24"/>
          <w:szCs w:val="24"/>
          <w:lang w:val="en-GB"/>
        </w:rPr>
      </w:pPr>
      <w:bookmarkStart w:id="30" w:name="_Hlk200456295"/>
      <w:bookmarkStart w:id="31" w:name="_Hlk200446247"/>
      <w:r w:rsidRPr="007C17B3">
        <w:rPr>
          <w:rFonts w:ascii="Arial" w:hAnsi="Arial"/>
          <w:sz w:val="24"/>
          <w:szCs w:val="24"/>
          <w:lang w:val="en-GB"/>
        </w:rPr>
        <w:t>Allen, D.G. and Bryant, P.C. (2012)</w:t>
      </w:r>
      <w:bookmarkEnd w:id="30"/>
      <w:r w:rsidRPr="007C17B3">
        <w:rPr>
          <w:rFonts w:ascii="Arial" w:hAnsi="Arial"/>
          <w:sz w:val="24"/>
          <w:szCs w:val="24"/>
          <w:lang w:val="en-GB"/>
        </w:rPr>
        <w:t xml:space="preserve"> </w:t>
      </w:r>
      <w:bookmarkEnd w:id="31"/>
      <w:r w:rsidRPr="007C17B3">
        <w:rPr>
          <w:rFonts w:ascii="Arial" w:hAnsi="Arial"/>
          <w:i/>
          <w:iCs/>
          <w:sz w:val="24"/>
          <w:szCs w:val="24"/>
          <w:lang w:val="en-GB"/>
        </w:rPr>
        <w:t>Managing employee turnover: dispelling myths and fostering evidence-based retention strategies</w:t>
      </w:r>
      <w:r>
        <w:rPr>
          <w:rFonts w:ascii="Arial" w:hAnsi="Arial"/>
          <w:sz w:val="24"/>
          <w:szCs w:val="24"/>
          <w:lang w:val="en-GB"/>
        </w:rPr>
        <w:t xml:space="preserve">. </w:t>
      </w:r>
      <w:r w:rsidRPr="007C17B3">
        <w:rPr>
          <w:rFonts w:ascii="Arial" w:hAnsi="Arial"/>
          <w:sz w:val="24"/>
          <w:szCs w:val="24"/>
          <w:lang w:val="en-GB"/>
        </w:rPr>
        <w:t xml:space="preserve">1st ed. New York, N.Y. (222 East 46th Street, New York, NY 10017): Business Expert Press. Available at: </w:t>
      </w:r>
      <w:hyperlink r:id="rId15" w:history="1">
        <w:r w:rsidRPr="007C17B3">
          <w:rPr>
            <w:rStyle w:val="Hyperlink"/>
            <w:rFonts w:ascii="Arial" w:hAnsi="Arial"/>
            <w:sz w:val="24"/>
            <w:szCs w:val="24"/>
            <w:lang w:val="en-GB"/>
          </w:rPr>
          <w:t>https://doi.org/10.4128/9781606493410</w:t>
        </w:r>
      </w:hyperlink>
      <w:r w:rsidRPr="007C17B3">
        <w:rPr>
          <w:rFonts w:ascii="Arial" w:hAnsi="Arial"/>
          <w:sz w:val="24"/>
          <w:szCs w:val="24"/>
          <w:lang w:val="en-GB"/>
        </w:rPr>
        <w:t>.</w:t>
      </w:r>
    </w:p>
    <w:p w14:paraId="23458628" w14:textId="5A23C514"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Al-Suraihi, W.A., Samikon, S.A., Al-Suraihi, A.-H.A. and Ibrahim, I. (2021)</w:t>
      </w:r>
      <w:r w:rsidR="00A65500">
        <w:rPr>
          <w:rFonts w:ascii="Arial" w:hAnsi="Arial"/>
          <w:sz w:val="24"/>
          <w:szCs w:val="24"/>
        </w:rPr>
        <w:t xml:space="preserve"> ‘</w:t>
      </w:r>
      <w:r w:rsidRPr="001E06EE">
        <w:rPr>
          <w:rFonts w:ascii="Arial" w:hAnsi="Arial"/>
          <w:sz w:val="24"/>
          <w:szCs w:val="24"/>
        </w:rPr>
        <w:t>Employee turnover: Causes, Importance and Retention Strategies</w:t>
      </w:r>
      <w:r w:rsidR="00A65500">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European Journal of Business and Management Research</w:t>
      </w:r>
      <w:r w:rsidRPr="001E06EE">
        <w:rPr>
          <w:rFonts w:ascii="Arial" w:hAnsi="Arial"/>
          <w:sz w:val="24"/>
          <w:szCs w:val="24"/>
        </w:rPr>
        <w:t>,</w:t>
      </w:r>
      <w:r w:rsidR="00A65500">
        <w:rPr>
          <w:rFonts w:ascii="Arial" w:hAnsi="Arial"/>
          <w:sz w:val="24"/>
          <w:szCs w:val="24"/>
        </w:rPr>
        <w:t xml:space="preserve"> </w:t>
      </w:r>
      <w:r w:rsidRPr="001E06EE">
        <w:rPr>
          <w:rFonts w:ascii="Arial" w:hAnsi="Arial"/>
          <w:sz w:val="24"/>
          <w:szCs w:val="24"/>
        </w:rPr>
        <w:t>6(3), pp.1–10.</w:t>
      </w:r>
      <w:r w:rsidR="00A65500">
        <w:rPr>
          <w:rFonts w:ascii="Arial" w:hAnsi="Arial"/>
          <w:sz w:val="24"/>
          <w:szCs w:val="24"/>
        </w:rPr>
        <w:t xml:space="preserve"> </w:t>
      </w:r>
      <w:r w:rsidRPr="001E06EE">
        <w:rPr>
          <w:rFonts w:ascii="Arial" w:hAnsi="Arial"/>
          <w:sz w:val="24"/>
          <w:szCs w:val="24"/>
        </w:rPr>
        <w:t>https://doi.org/10.24018/ejbmr.2021.6.3.893.</w:t>
      </w:r>
    </w:p>
    <w:p w14:paraId="3D3860D5" w14:textId="3A0F344D"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Amer Research Taqa (2025)</w:t>
      </w:r>
      <w:r w:rsidR="00A65500">
        <w:rPr>
          <w:rFonts w:ascii="Arial" w:hAnsi="Arial"/>
          <w:sz w:val="24"/>
          <w:szCs w:val="24"/>
        </w:rPr>
        <w:t xml:space="preserve"> </w:t>
      </w:r>
      <w:r w:rsidRPr="001E06EE">
        <w:rPr>
          <w:rFonts w:ascii="Arial" w:hAnsi="Arial"/>
          <w:i/>
          <w:iCs/>
          <w:sz w:val="24"/>
          <w:szCs w:val="24"/>
        </w:rPr>
        <w:t>Future Directions in Research Methodologies: A Multidisciplinary Approach</w:t>
      </w:r>
      <w:r w:rsidRPr="001E06EE">
        <w:rPr>
          <w:rFonts w:ascii="Arial" w:hAnsi="Arial"/>
          <w:sz w:val="24"/>
          <w:szCs w:val="24"/>
        </w:rPr>
        <w:t>.</w:t>
      </w:r>
      <w:r w:rsidR="00B063B7">
        <w:rPr>
          <w:rFonts w:ascii="Arial" w:hAnsi="Arial"/>
          <w:sz w:val="24"/>
          <w:szCs w:val="24"/>
        </w:rPr>
        <w:t xml:space="preserve"> </w:t>
      </w:r>
      <w:r w:rsidRPr="001E06EE">
        <w:rPr>
          <w:rFonts w:ascii="Arial" w:hAnsi="Arial"/>
          <w:sz w:val="24"/>
          <w:szCs w:val="24"/>
        </w:rPr>
        <w:t xml:space="preserve">Available at: </w:t>
      </w:r>
      <w:hyperlink r:id="rId16" w:history="1">
        <w:r w:rsidR="008524F9" w:rsidRPr="00D111D1">
          <w:rPr>
            <w:rStyle w:val="Hyperlink"/>
            <w:rFonts w:ascii="Arial" w:hAnsi="Arial"/>
            <w:sz w:val="24"/>
            <w:szCs w:val="24"/>
          </w:rPr>
          <w:t>https://www.researchgate.net/publication/388739739_Future_Directions_in_Research_Methodologies_A_Multidisciplinary_Approach</w:t>
        </w:r>
      </w:hyperlink>
      <w:r w:rsidR="008524F9">
        <w:rPr>
          <w:rFonts w:ascii="Arial" w:hAnsi="Arial"/>
          <w:sz w:val="24"/>
          <w:szCs w:val="24"/>
        </w:rPr>
        <w:t xml:space="preserve"> (Accessed: 1 June 2025).</w:t>
      </w:r>
    </w:p>
    <w:p w14:paraId="36E79CFA" w14:textId="59A8BB2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ANNAMALAH, S. (</w:t>
      </w:r>
      <w:r w:rsidR="001853EC" w:rsidRPr="001E06EE">
        <w:rPr>
          <w:rFonts w:ascii="Arial" w:hAnsi="Arial"/>
          <w:sz w:val="24"/>
          <w:szCs w:val="24"/>
        </w:rPr>
        <w:t>2024)</w:t>
      </w:r>
      <w:r w:rsidR="001853EC">
        <w:rPr>
          <w:rFonts w:ascii="Arial" w:hAnsi="Arial"/>
          <w:sz w:val="24"/>
          <w:szCs w:val="24"/>
        </w:rPr>
        <w:t xml:space="preserve"> ‘</w:t>
      </w:r>
      <w:r w:rsidRPr="001E06EE">
        <w:rPr>
          <w:rFonts w:ascii="Arial" w:hAnsi="Arial"/>
          <w:sz w:val="24"/>
          <w:szCs w:val="24"/>
        </w:rPr>
        <w:t>The Value of Case Study Research in Practice: A Methodological Review with Practical Insights from Organisational Studies</w:t>
      </w:r>
      <w:r w:rsidR="00A65500">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Applied Economic Sciences</w:t>
      </w:r>
      <w:r w:rsidRPr="001E06EE">
        <w:rPr>
          <w:rFonts w:ascii="Arial" w:hAnsi="Arial"/>
          <w:sz w:val="24"/>
          <w:szCs w:val="24"/>
        </w:rPr>
        <w:t>, 19(16), p.485.</w:t>
      </w:r>
      <w:r w:rsidR="00A65500">
        <w:rPr>
          <w:rFonts w:ascii="Arial" w:hAnsi="Arial"/>
          <w:sz w:val="24"/>
          <w:szCs w:val="24"/>
        </w:rPr>
        <w:t xml:space="preserve"> </w:t>
      </w:r>
      <w:r w:rsidRPr="001E06EE">
        <w:rPr>
          <w:rFonts w:ascii="Arial" w:hAnsi="Arial"/>
          <w:sz w:val="24"/>
          <w:szCs w:val="24"/>
        </w:rPr>
        <w:t>https://doi.org/10.57017/jaes.v19.4(86).11.</w:t>
      </w:r>
    </w:p>
    <w:p w14:paraId="2E608F8A" w14:textId="77777777" w:rsidR="00811B16" w:rsidRDefault="00E14E9B" w:rsidP="00811B16">
      <w:pPr>
        <w:pStyle w:val="BodyText"/>
        <w:spacing w:line="480" w:lineRule="auto"/>
        <w:jc w:val="both"/>
        <w:rPr>
          <w:rFonts w:ascii="Arial" w:hAnsi="Arial"/>
          <w:sz w:val="24"/>
          <w:szCs w:val="24"/>
        </w:rPr>
      </w:pPr>
      <w:bookmarkStart w:id="32" w:name="_Hlk200460002"/>
      <w:r w:rsidRPr="001E06EE">
        <w:rPr>
          <w:rFonts w:ascii="Arial" w:hAnsi="Arial"/>
          <w:sz w:val="24"/>
          <w:szCs w:val="24"/>
        </w:rPr>
        <w:t>Arachchillage, G. and Senevirathna, E. (2017)</w:t>
      </w:r>
      <w:r w:rsidRPr="001E06EE">
        <w:rPr>
          <w:rFonts w:ascii="Arial" w:hAnsi="Arial"/>
          <w:i/>
          <w:iCs/>
          <w:sz w:val="24"/>
          <w:szCs w:val="24"/>
        </w:rPr>
        <w:t xml:space="preserve"> </w:t>
      </w:r>
      <w:bookmarkEnd w:id="32"/>
      <w:r w:rsidRPr="001E06EE">
        <w:rPr>
          <w:rFonts w:ascii="Arial" w:hAnsi="Arial"/>
          <w:i/>
          <w:iCs/>
          <w:sz w:val="24"/>
          <w:szCs w:val="24"/>
        </w:rPr>
        <w:t>Factors Affecting Employee Retention</w:t>
      </w:r>
      <w:r w:rsidRPr="001E06EE">
        <w:rPr>
          <w:rFonts w:ascii="Arial" w:hAnsi="Arial"/>
          <w:sz w:val="24"/>
          <w:szCs w:val="24"/>
        </w:rPr>
        <w:t>.</w:t>
      </w:r>
      <w:r w:rsidR="00A65500">
        <w:rPr>
          <w:rFonts w:ascii="Arial" w:hAnsi="Arial"/>
          <w:sz w:val="24"/>
          <w:szCs w:val="24"/>
        </w:rPr>
        <w:t xml:space="preserve"> </w:t>
      </w:r>
      <w:r w:rsidRPr="001E06EE">
        <w:rPr>
          <w:rFonts w:ascii="Arial" w:hAnsi="Arial"/>
          <w:sz w:val="24"/>
          <w:szCs w:val="24"/>
        </w:rPr>
        <w:t xml:space="preserve">Available at: </w:t>
      </w:r>
      <w:hyperlink r:id="rId17" w:history="1">
        <w:r w:rsidR="00101245" w:rsidRPr="00D111D1">
          <w:rPr>
            <w:rStyle w:val="Hyperlink"/>
            <w:rFonts w:ascii="Arial" w:hAnsi="Arial"/>
            <w:sz w:val="24"/>
            <w:szCs w:val="24"/>
          </w:rPr>
          <w:t>https://www.researchgate.net/publication/318920807_Factors_Affecting_Employee_Retention</w:t>
        </w:r>
      </w:hyperlink>
      <w:r w:rsidR="00101245">
        <w:rPr>
          <w:rFonts w:ascii="Arial" w:hAnsi="Arial"/>
          <w:sz w:val="24"/>
          <w:szCs w:val="24"/>
        </w:rPr>
        <w:t xml:space="preserve"> (Accessed: 20 May 2025).</w:t>
      </w:r>
      <w:bookmarkStart w:id="33" w:name="_Hlk200443996"/>
    </w:p>
    <w:p w14:paraId="6E7DF53D" w14:textId="496F6E3C" w:rsidR="00E14E9B" w:rsidRPr="00811B16" w:rsidRDefault="00811B16" w:rsidP="00986280">
      <w:pPr>
        <w:pStyle w:val="BodyText"/>
        <w:spacing w:line="480" w:lineRule="auto"/>
        <w:jc w:val="both"/>
        <w:rPr>
          <w:rFonts w:ascii="Arial" w:hAnsi="Arial"/>
          <w:sz w:val="24"/>
          <w:szCs w:val="24"/>
          <w:lang w:val="en-GB"/>
        </w:rPr>
      </w:pPr>
      <w:r w:rsidRPr="007C17B3">
        <w:rPr>
          <w:rFonts w:ascii="Arial" w:hAnsi="Arial"/>
          <w:sz w:val="24"/>
          <w:szCs w:val="24"/>
          <w:lang w:val="en-GB"/>
        </w:rPr>
        <w:t xml:space="preserve">Aydin, S. (2020) </w:t>
      </w:r>
      <w:bookmarkEnd w:id="33"/>
      <w:r>
        <w:rPr>
          <w:rFonts w:ascii="Arial" w:hAnsi="Arial"/>
          <w:i/>
          <w:iCs/>
          <w:sz w:val="24"/>
          <w:szCs w:val="24"/>
          <w:lang w:val="en-GB"/>
        </w:rPr>
        <w:t>Organisational behaviour</w:t>
      </w:r>
      <w:r w:rsidRPr="007C17B3">
        <w:rPr>
          <w:rFonts w:ascii="Arial" w:hAnsi="Arial"/>
          <w:i/>
          <w:iCs/>
          <w:sz w:val="24"/>
          <w:szCs w:val="24"/>
          <w:lang w:val="en-GB"/>
        </w:rPr>
        <w:t xml:space="preserve"> challenges in the tourism industry</w:t>
      </w:r>
      <w:r w:rsidRPr="007C17B3">
        <w:rPr>
          <w:rFonts w:ascii="Arial" w:hAnsi="Arial"/>
          <w:sz w:val="24"/>
          <w:szCs w:val="24"/>
          <w:lang w:val="en-GB"/>
        </w:rPr>
        <w:t xml:space="preserve">. Edited by S. Aydin, B.B. Dedeoglu, and O. Çoban. Hershey, Pennsylvania: IGI Global. Available at: </w:t>
      </w:r>
      <w:hyperlink r:id="rId18" w:history="1">
        <w:r w:rsidRPr="007C17B3">
          <w:rPr>
            <w:rStyle w:val="Hyperlink"/>
            <w:rFonts w:ascii="Arial" w:hAnsi="Arial"/>
            <w:sz w:val="24"/>
            <w:szCs w:val="24"/>
            <w:lang w:val="en-GB"/>
          </w:rPr>
          <w:t>https://doi.org/10.4018/978-1-7998-1474-0</w:t>
        </w:r>
      </w:hyperlink>
      <w:r w:rsidRPr="007C17B3">
        <w:rPr>
          <w:rFonts w:ascii="Arial" w:hAnsi="Arial"/>
          <w:sz w:val="24"/>
          <w:szCs w:val="24"/>
          <w:lang w:val="en-GB"/>
        </w:rPr>
        <w:t>.</w:t>
      </w:r>
    </w:p>
    <w:p w14:paraId="71361DDE" w14:textId="77ADA72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Baum, T. (2015)</w:t>
      </w:r>
      <w:r w:rsidR="00A65500">
        <w:rPr>
          <w:rFonts w:ascii="Arial" w:hAnsi="Arial"/>
          <w:sz w:val="24"/>
          <w:szCs w:val="24"/>
        </w:rPr>
        <w:t xml:space="preserve"> </w:t>
      </w:r>
      <w:r w:rsidRPr="001E06EE">
        <w:rPr>
          <w:rFonts w:ascii="Arial" w:hAnsi="Arial"/>
          <w:sz w:val="24"/>
          <w:szCs w:val="24"/>
        </w:rPr>
        <w:t xml:space="preserve"> </w:t>
      </w:r>
      <w:r w:rsidRPr="001E06EE">
        <w:rPr>
          <w:rFonts w:ascii="Arial" w:hAnsi="Arial"/>
          <w:i/>
          <w:iCs/>
          <w:sz w:val="24"/>
          <w:szCs w:val="24"/>
        </w:rPr>
        <w:t>Human resource management for tourism, hospitality and leisure: an International perspective</w:t>
      </w:r>
      <w:r w:rsidRPr="001E06EE">
        <w:rPr>
          <w:rFonts w:ascii="Arial" w:hAnsi="Arial"/>
          <w:sz w:val="24"/>
          <w:szCs w:val="24"/>
        </w:rPr>
        <w:t>. London: Thomson Learning.</w:t>
      </w:r>
    </w:p>
    <w:p w14:paraId="4424BF77" w14:textId="1E09A0C0" w:rsidR="00E14E9B" w:rsidRPr="001E06EE" w:rsidRDefault="00E14E9B" w:rsidP="00E73682">
      <w:pPr>
        <w:pStyle w:val="BodyText"/>
        <w:spacing w:line="480" w:lineRule="auto"/>
        <w:jc w:val="both"/>
        <w:rPr>
          <w:rFonts w:ascii="Arial" w:hAnsi="Arial"/>
          <w:sz w:val="24"/>
          <w:szCs w:val="24"/>
        </w:rPr>
      </w:pPr>
      <w:r w:rsidRPr="001E06EE">
        <w:rPr>
          <w:rFonts w:ascii="Arial" w:hAnsi="Arial"/>
          <w:sz w:val="24"/>
          <w:szCs w:val="24"/>
        </w:rPr>
        <w:t>Brough, P., Timms, C., Chan, X.W. (Carys) and Hawkes, A. (2020</w:t>
      </w:r>
      <w:r w:rsidR="00A65500" w:rsidRPr="001E06EE">
        <w:rPr>
          <w:rFonts w:ascii="Arial" w:hAnsi="Arial"/>
          <w:sz w:val="24"/>
          <w:szCs w:val="24"/>
        </w:rPr>
        <w:t>)</w:t>
      </w:r>
      <w:r w:rsidR="00A65500">
        <w:rPr>
          <w:rFonts w:ascii="Arial" w:hAnsi="Arial"/>
          <w:sz w:val="24"/>
          <w:szCs w:val="24"/>
        </w:rPr>
        <w:t xml:space="preserve"> </w:t>
      </w:r>
      <w:r w:rsidRPr="001E06EE">
        <w:rPr>
          <w:rFonts w:ascii="Arial" w:hAnsi="Arial"/>
          <w:i/>
          <w:iCs/>
          <w:sz w:val="24"/>
          <w:szCs w:val="24"/>
        </w:rPr>
        <w:t>Work-Life Balance: Definitions, Causes, and Consequences</w:t>
      </w:r>
      <w:r w:rsidRPr="001E06EE">
        <w:rPr>
          <w:rFonts w:ascii="Arial" w:hAnsi="Arial"/>
          <w:sz w:val="24"/>
          <w:szCs w:val="24"/>
        </w:rPr>
        <w:t>.</w:t>
      </w:r>
      <w:r w:rsidR="00A65500">
        <w:rPr>
          <w:rFonts w:ascii="Arial" w:hAnsi="Arial"/>
          <w:sz w:val="24"/>
          <w:szCs w:val="24"/>
        </w:rPr>
        <w:t xml:space="preserve"> </w:t>
      </w:r>
      <w:r w:rsidRPr="001E06EE">
        <w:rPr>
          <w:rFonts w:ascii="Arial" w:hAnsi="Arial"/>
          <w:sz w:val="24"/>
          <w:szCs w:val="24"/>
        </w:rPr>
        <w:t xml:space="preserve">Available at: </w:t>
      </w:r>
      <w:hyperlink r:id="rId19" w:history="1">
        <w:r w:rsidR="00E73682" w:rsidRPr="00D111D1">
          <w:rPr>
            <w:rStyle w:val="Hyperlink"/>
            <w:rFonts w:ascii="Arial" w:hAnsi="Arial"/>
            <w:sz w:val="24"/>
            <w:szCs w:val="24"/>
          </w:rPr>
          <w:t>https://www.researchgate.net/publication/340224627_Work-Life_Balance_Definitions_Causes_and_Consequences</w:t>
        </w:r>
      </w:hyperlink>
      <w:r w:rsidR="00E73682">
        <w:rPr>
          <w:rFonts w:ascii="Arial" w:hAnsi="Arial"/>
          <w:sz w:val="24"/>
          <w:szCs w:val="24"/>
        </w:rPr>
        <w:t xml:space="preserve"> (Accessed: 1 June 2025).</w:t>
      </w:r>
    </w:p>
    <w:p w14:paraId="50D20EC6" w14:textId="7CB84421"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Bryman, A. (2008)</w:t>
      </w:r>
      <w:r w:rsidR="00A65500">
        <w:rPr>
          <w:rFonts w:ascii="Arial" w:hAnsi="Arial"/>
          <w:sz w:val="24"/>
          <w:szCs w:val="24"/>
        </w:rPr>
        <w:t xml:space="preserve"> </w:t>
      </w:r>
      <w:r w:rsidRPr="001E06EE">
        <w:rPr>
          <w:rFonts w:ascii="Arial" w:hAnsi="Arial"/>
          <w:i/>
          <w:iCs/>
          <w:sz w:val="24"/>
          <w:szCs w:val="24"/>
        </w:rPr>
        <w:t>Social research methods</w:t>
      </w:r>
      <w:r w:rsidRPr="001E06EE">
        <w:rPr>
          <w:rFonts w:ascii="Arial" w:hAnsi="Arial"/>
          <w:sz w:val="24"/>
          <w:szCs w:val="24"/>
        </w:rPr>
        <w:t>. 2nd ed. Oxford; New York: Oxford University Press.</w:t>
      </w:r>
    </w:p>
    <w:p w14:paraId="258D93E7" w14:textId="2878F516"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Campbell, S., Campbell-Phillips, S. and Phillips, D. (2020) </w:t>
      </w:r>
      <w:r w:rsidRPr="001E06EE">
        <w:rPr>
          <w:rFonts w:ascii="Arial" w:hAnsi="Arial"/>
          <w:i/>
          <w:iCs/>
          <w:sz w:val="24"/>
          <w:szCs w:val="24"/>
        </w:rPr>
        <w:t>Lack of communication between management and employees</w:t>
      </w:r>
      <w:r w:rsidRPr="001E06EE">
        <w:rPr>
          <w:rFonts w:ascii="Arial" w:hAnsi="Arial"/>
          <w:sz w:val="24"/>
          <w:szCs w:val="24"/>
        </w:rPr>
        <w:t>.</w:t>
      </w:r>
      <w:r w:rsidR="007577EB">
        <w:rPr>
          <w:rFonts w:ascii="Arial" w:hAnsi="Arial"/>
          <w:sz w:val="24"/>
          <w:szCs w:val="24"/>
        </w:rPr>
        <w:t xml:space="preserve"> </w:t>
      </w:r>
      <w:r w:rsidRPr="001E06EE">
        <w:rPr>
          <w:rFonts w:ascii="Arial" w:hAnsi="Arial"/>
          <w:sz w:val="24"/>
          <w:szCs w:val="24"/>
        </w:rPr>
        <w:t xml:space="preserve">Available at: </w:t>
      </w:r>
      <w:hyperlink r:id="rId20" w:history="1">
        <w:r w:rsidR="00076F60" w:rsidRPr="00AE31FF">
          <w:rPr>
            <w:rStyle w:val="Hyperlink"/>
            <w:rFonts w:ascii="Arial" w:hAnsi="Arial"/>
            <w:sz w:val="24"/>
            <w:szCs w:val="24"/>
          </w:rPr>
          <w:t>https://www.researchgate.net/publication/342796387_Lack_of_Communication_between_Management_and_Employees</w:t>
        </w:r>
      </w:hyperlink>
      <w:r w:rsidR="00B65C10">
        <w:rPr>
          <w:rFonts w:ascii="Arial" w:hAnsi="Arial"/>
          <w:sz w:val="24"/>
          <w:szCs w:val="24"/>
        </w:rPr>
        <w:t xml:space="preserve"> (Accessed: 30 May 2025).</w:t>
      </w:r>
    </w:p>
    <w:p w14:paraId="67357DB1" w14:textId="77777777" w:rsidR="00302F02" w:rsidRPr="001E06EE" w:rsidRDefault="00302F02" w:rsidP="00302F02">
      <w:pPr>
        <w:pStyle w:val="BodyText"/>
        <w:spacing w:line="480" w:lineRule="auto"/>
        <w:jc w:val="both"/>
        <w:rPr>
          <w:rFonts w:ascii="Arial" w:hAnsi="Arial"/>
          <w:sz w:val="24"/>
          <w:szCs w:val="24"/>
        </w:rPr>
      </w:pPr>
      <w:r w:rsidRPr="001E06EE">
        <w:rPr>
          <w:rFonts w:ascii="Arial" w:hAnsi="Arial"/>
          <w:sz w:val="24"/>
          <w:szCs w:val="24"/>
        </w:rPr>
        <w:lastRenderedPageBreak/>
        <w:t xml:space="preserve">Choi, Y. and Dickson, D.R. (2009) </w:t>
      </w:r>
      <w:r>
        <w:rPr>
          <w:rFonts w:ascii="Arial" w:hAnsi="Arial"/>
          <w:sz w:val="24"/>
          <w:szCs w:val="24"/>
        </w:rPr>
        <w:t>‘</w:t>
      </w:r>
      <w:r w:rsidRPr="001E06EE">
        <w:rPr>
          <w:rFonts w:ascii="Arial" w:hAnsi="Arial"/>
          <w:sz w:val="24"/>
          <w:szCs w:val="24"/>
        </w:rPr>
        <w:t>A Case Study into the Benefits of Management Training Programs: Impacts on Hotel Employee Turnover and Satisfaction Level</w:t>
      </w:r>
      <w:r>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Human Resources in Hospitality &amp; Tourism</w:t>
      </w:r>
      <w:r w:rsidRPr="001E06EE">
        <w:rPr>
          <w:rFonts w:ascii="Arial" w:hAnsi="Arial"/>
          <w:sz w:val="24"/>
          <w:szCs w:val="24"/>
        </w:rPr>
        <w:t>, 9(1), pp.103–116. https://doi.org/10.1080/15332840903336499.</w:t>
      </w:r>
    </w:p>
    <w:p w14:paraId="64816B93" w14:textId="53C3C1E2" w:rsidR="00B65C10" w:rsidRPr="00B65C10" w:rsidRDefault="00B65C10" w:rsidP="00986280">
      <w:pPr>
        <w:pStyle w:val="BodyText"/>
        <w:spacing w:line="480" w:lineRule="auto"/>
        <w:jc w:val="both"/>
        <w:rPr>
          <w:rFonts w:ascii="Arial" w:hAnsi="Arial"/>
          <w:sz w:val="24"/>
          <w:szCs w:val="24"/>
          <w:lang w:val="en-GB"/>
        </w:rPr>
      </w:pPr>
      <w:r>
        <w:rPr>
          <w:rFonts w:ascii="Arial" w:hAnsi="Arial"/>
          <w:sz w:val="24"/>
          <w:szCs w:val="24"/>
        </w:rPr>
        <w:t xml:space="preserve">CIPD (2024) </w:t>
      </w:r>
      <w:r w:rsidRPr="008F3942">
        <w:rPr>
          <w:rFonts w:ascii="Arial" w:hAnsi="Arial"/>
          <w:i/>
          <w:iCs/>
          <w:sz w:val="24"/>
          <w:szCs w:val="24"/>
        </w:rPr>
        <w:t>Resourcing and talent planning report 2024.</w:t>
      </w:r>
      <w:r w:rsidRPr="008F3942">
        <w:rPr>
          <w:rFonts w:ascii="Arial" w:hAnsi="Arial"/>
          <w:sz w:val="24"/>
          <w:szCs w:val="24"/>
        </w:rPr>
        <w:t xml:space="preserve"> </w:t>
      </w:r>
      <w:r>
        <w:rPr>
          <w:rFonts w:ascii="Arial" w:hAnsi="Arial"/>
          <w:sz w:val="24"/>
          <w:szCs w:val="24"/>
        </w:rPr>
        <w:t xml:space="preserve">Available at: </w:t>
      </w:r>
      <w:hyperlink r:id="rId21" w:history="1">
        <w:r w:rsidRPr="003724B4">
          <w:rPr>
            <w:rStyle w:val="Hyperlink"/>
            <w:rFonts w:ascii="Arial" w:hAnsi="Arial"/>
            <w:sz w:val="24"/>
            <w:szCs w:val="24"/>
            <w:lang w:val="en-GB"/>
          </w:rPr>
          <w:t>https://www.cipd.org/globalassets/media/knowledge/knowledge-hub/reports/2024-pdfs/8662-resource-and-talent-planning-2024-report-web.pdf</w:t>
        </w:r>
      </w:hyperlink>
      <w:r>
        <w:rPr>
          <w:rFonts w:ascii="Arial" w:hAnsi="Arial"/>
          <w:sz w:val="24"/>
          <w:szCs w:val="24"/>
          <w:lang w:val="en-GB"/>
        </w:rPr>
        <w:t xml:space="preserve"> (Accessed: 15 May 2025).</w:t>
      </w:r>
    </w:p>
    <w:p w14:paraId="397332EA" w14:textId="17F1ED98" w:rsidR="00076F60" w:rsidRPr="00B65C10" w:rsidRDefault="00076F60" w:rsidP="00986280">
      <w:pPr>
        <w:pStyle w:val="BodyText"/>
        <w:spacing w:line="480" w:lineRule="auto"/>
        <w:jc w:val="both"/>
        <w:rPr>
          <w:rFonts w:ascii="Arial" w:hAnsi="Arial"/>
          <w:sz w:val="24"/>
          <w:szCs w:val="24"/>
          <w:lang w:val="en-GB"/>
        </w:rPr>
      </w:pPr>
      <w:r w:rsidRPr="00076F60">
        <w:rPr>
          <w:rFonts w:ascii="Arial" w:hAnsi="Arial"/>
          <w:sz w:val="24"/>
          <w:szCs w:val="24"/>
          <w:lang w:val="en-GB"/>
        </w:rPr>
        <w:t xml:space="preserve">CIPD (2025) </w:t>
      </w:r>
      <w:r w:rsidRPr="00076F60">
        <w:rPr>
          <w:rFonts w:ascii="Arial" w:hAnsi="Arial"/>
          <w:i/>
          <w:iCs/>
          <w:sz w:val="24"/>
          <w:szCs w:val="24"/>
          <w:lang w:val="en-GB"/>
        </w:rPr>
        <w:t>Benchmarking employee turnover: What are the latest trends and insights?</w:t>
      </w:r>
      <w:r w:rsidRPr="00076F60">
        <w:rPr>
          <w:rFonts w:ascii="Arial" w:hAnsi="Arial"/>
          <w:sz w:val="24"/>
          <w:szCs w:val="24"/>
          <w:lang w:val="en-GB"/>
        </w:rPr>
        <w:t xml:space="preserve"> Available at: </w:t>
      </w:r>
      <w:hyperlink r:id="rId22" w:history="1">
        <w:r w:rsidRPr="00076F60">
          <w:rPr>
            <w:rStyle w:val="Hyperlink"/>
            <w:rFonts w:ascii="Arial" w:hAnsi="Arial"/>
            <w:sz w:val="24"/>
            <w:szCs w:val="24"/>
            <w:lang w:val="en-GB"/>
          </w:rPr>
          <w:t>https://www.cipd.org/uk/views-and-insights/thought-leadership/cipd-voice/benchmarking-employee-turnover/</w:t>
        </w:r>
      </w:hyperlink>
      <w:r w:rsidRPr="00076F60">
        <w:rPr>
          <w:rFonts w:ascii="Arial" w:hAnsi="Arial"/>
          <w:sz w:val="24"/>
          <w:szCs w:val="24"/>
          <w:lang w:val="en-GB"/>
        </w:rPr>
        <w:t xml:space="preserve"> (Accessed: 20 May 2025).</w:t>
      </w:r>
    </w:p>
    <w:p w14:paraId="341DDD08" w14:textId="0600E339"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Collis, J. and Hussey, R. (2014) </w:t>
      </w:r>
      <w:r w:rsidRPr="001E06EE">
        <w:rPr>
          <w:rFonts w:ascii="Arial" w:hAnsi="Arial"/>
          <w:i/>
          <w:iCs/>
          <w:sz w:val="24"/>
          <w:szCs w:val="24"/>
        </w:rPr>
        <w:t>Business Research: a Practical Guide for Undergraduate and Postgraduate Students</w:t>
      </w:r>
      <w:r w:rsidRPr="001E06EE">
        <w:rPr>
          <w:rFonts w:ascii="Arial" w:hAnsi="Arial"/>
          <w:sz w:val="24"/>
          <w:szCs w:val="24"/>
        </w:rPr>
        <w:t>. 4th ed. Basingstoke: Hampshire.</w:t>
      </w:r>
    </w:p>
    <w:p w14:paraId="78B54927" w14:textId="391ED35D"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Cottrell, S. (2011)</w:t>
      </w:r>
      <w:r w:rsidR="007577EB">
        <w:rPr>
          <w:rFonts w:ascii="Arial" w:hAnsi="Arial"/>
          <w:sz w:val="24"/>
          <w:szCs w:val="24"/>
        </w:rPr>
        <w:t xml:space="preserve"> </w:t>
      </w:r>
      <w:r w:rsidRPr="001E06EE">
        <w:rPr>
          <w:rFonts w:ascii="Arial" w:hAnsi="Arial"/>
          <w:i/>
          <w:iCs/>
          <w:sz w:val="24"/>
          <w:szCs w:val="24"/>
        </w:rPr>
        <w:t>Critical Thinking Skills: Developing Effective Analysis and Argument</w:t>
      </w:r>
      <w:r w:rsidRPr="001E06EE">
        <w:rPr>
          <w:rFonts w:ascii="Arial" w:hAnsi="Arial"/>
          <w:sz w:val="24"/>
          <w:szCs w:val="24"/>
        </w:rPr>
        <w:t xml:space="preserve">. London Macmillan Education </w:t>
      </w:r>
      <w:r w:rsidR="007577EB">
        <w:rPr>
          <w:rFonts w:ascii="Arial" w:hAnsi="Arial"/>
          <w:sz w:val="24"/>
          <w:szCs w:val="24"/>
        </w:rPr>
        <w:t>UK</w:t>
      </w:r>
      <w:r w:rsidRPr="001E06EE">
        <w:rPr>
          <w:rFonts w:ascii="Arial" w:hAnsi="Arial"/>
          <w:sz w:val="24"/>
          <w:szCs w:val="24"/>
        </w:rPr>
        <w:t>.</w:t>
      </w:r>
    </w:p>
    <w:p w14:paraId="5DC467C9" w14:textId="78D8C28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Cottrell, S. (2014)</w:t>
      </w:r>
      <w:r w:rsidR="007577EB">
        <w:rPr>
          <w:rFonts w:ascii="Arial" w:hAnsi="Arial"/>
          <w:sz w:val="24"/>
          <w:szCs w:val="24"/>
        </w:rPr>
        <w:t xml:space="preserve"> </w:t>
      </w:r>
      <w:r w:rsidRPr="001E06EE">
        <w:rPr>
          <w:rFonts w:ascii="Arial" w:hAnsi="Arial"/>
          <w:i/>
          <w:iCs/>
          <w:sz w:val="24"/>
          <w:szCs w:val="24"/>
        </w:rPr>
        <w:t xml:space="preserve">Dissertations and Project Reports: </w:t>
      </w:r>
      <w:r w:rsidR="007577EB">
        <w:rPr>
          <w:rFonts w:ascii="Arial" w:hAnsi="Arial"/>
          <w:i/>
          <w:iCs/>
          <w:sz w:val="24"/>
          <w:szCs w:val="24"/>
        </w:rPr>
        <w:t>A Step-by-Step</w:t>
      </w:r>
      <w:r w:rsidRPr="001E06EE">
        <w:rPr>
          <w:rFonts w:ascii="Arial" w:hAnsi="Arial"/>
          <w:i/>
          <w:iCs/>
          <w:sz w:val="24"/>
          <w:szCs w:val="24"/>
        </w:rPr>
        <w:t xml:space="preserve"> Guide</w:t>
      </w:r>
      <w:r w:rsidRPr="001E06EE">
        <w:rPr>
          <w:rFonts w:ascii="Arial" w:hAnsi="Arial"/>
          <w:sz w:val="24"/>
          <w:szCs w:val="24"/>
        </w:rPr>
        <w:t>. New York: Pallgrave Macmillan, p.123.</w:t>
      </w:r>
    </w:p>
    <w:p w14:paraId="52CE655B" w14:textId="55B46F1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Crail, C. and Watts, R. (2024) </w:t>
      </w:r>
      <w:r w:rsidRPr="001E06EE">
        <w:rPr>
          <w:rFonts w:ascii="Arial" w:hAnsi="Arial"/>
          <w:i/>
          <w:iCs/>
          <w:sz w:val="24"/>
          <w:szCs w:val="24"/>
        </w:rPr>
        <w:t>15 Effective Employee Retention Strategies In 2022 – Forbes Advisor</w:t>
      </w:r>
      <w:r w:rsidRPr="001E06EE">
        <w:rPr>
          <w:rFonts w:ascii="Arial" w:hAnsi="Arial"/>
          <w:sz w:val="24"/>
          <w:szCs w:val="24"/>
        </w:rPr>
        <w:t xml:space="preserve">. Available at: </w:t>
      </w:r>
      <w:hyperlink r:id="rId23" w:history="1">
        <w:r w:rsidR="007577EB" w:rsidRPr="004E3809">
          <w:rPr>
            <w:rStyle w:val="Hyperlink"/>
            <w:rFonts w:ascii="Arial" w:hAnsi="Arial"/>
            <w:sz w:val="24"/>
            <w:szCs w:val="24"/>
          </w:rPr>
          <w:t>https://www.forbes.com/advisor/business/employee-retention-strategies/</w:t>
        </w:r>
      </w:hyperlink>
      <w:r w:rsidR="007577EB">
        <w:rPr>
          <w:rFonts w:ascii="Arial" w:hAnsi="Arial"/>
          <w:sz w:val="24"/>
          <w:szCs w:val="24"/>
        </w:rPr>
        <w:t xml:space="preserve"> (Accessed: 1 June 2025).</w:t>
      </w:r>
    </w:p>
    <w:p w14:paraId="53133E02" w14:textId="1C8A6BDC"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DeCarbo, B. (2024)</w:t>
      </w:r>
      <w:r w:rsidR="007577EB">
        <w:rPr>
          <w:rFonts w:ascii="Arial" w:hAnsi="Arial"/>
          <w:sz w:val="24"/>
          <w:szCs w:val="24"/>
        </w:rPr>
        <w:t xml:space="preserve"> </w:t>
      </w:r>
      <w:r w:rsidRPr="001E06EE">
        <w:rPr>
          <w:rFonts w:ascii="Arial" w:hAnsi="Arial"/>
          <w:i/>
          <w:iCs/>
          <w:sz w:val="24"/>
          <w:szCs w:val="24"/>
        </w:rPr>
        <w:t>Lack of growth opportunities is a big reason why employees leave jobs. Here’s how to change that</w:t>
      </w:r>
      <w:r w:rsidRPr="001E06EE">
        <w:rPr>
          <w:rFonts w:ascii="Arial" w:hAnsi="Arial"/>
          <w:sz w:val="24"/>
          <w:szCs w:val="24"/>
        </w:rPr>
        <w:t xml:space="preserve">. Available at: </w:t>
      </w:r>
      <w:hyperlink r:id="rId24" w:history="1">
        <w:r w:rsidR="007577EB" w:rsidRPr="004E3809">
          <w:rPr>
            <w:rStyle w:val="Hyperlink"/>
            <w:rFonts w:ascii="Arial" w:hAnsi="Arial"/>
            <w:sz w:val="24"/>
            <w:szCs w:val="24"/>
          </w:rPr>
          <w:t>https://www.apa.org/topics/healthy-workplaces/growth-opportunities</w:t>
        </w:r>
      </w:hyperlink>
      <w:r w:rsidR="007577EB">
        <w:rPr>
          <w:rFonts w:ascii="Arial" w:hAnsi="Arial"/>
          <w:sz w:val="24"/>
          <w:szCs w:val="24"/>
        </w:rPr>
        <w:t xml:space="preserve"> (Accessed: 25 May 2025).</w:t>
      </w:r>
    </w:p>
    <w:p w14:paraId="243EA66C" w14:textId="5112B52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Deery, M. and Jago, L. (2015)</w:t>
      </w:r>
      <w:r w:rsidR="007577EB">
        <w:rPr>
          <w:rFonts w:ascii="Arial" w:hAnsi="Arial"/>
          <w:sz w:val="24"/>
          <w:szCs w:val="24"/>
        </w:rPr>
        <w:t xml:space="preserve"> ‘</w:t>
      </w:r>
      <w:r w:rsidRPr="001E06EE">
        <w:rPr>
          <w:rFonts w:ascii="Arial" w:hAnsi="Arial"/>
          <w:sz w:val="24"/>
          <w:szCs w:val="24"/>
        </w:rPr>
        <w:t>Revisiting Talent management, work-life Balance and Retention Strategies</w:t>
      </w:r>
      <w:r w:rsidR="007577EB">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International Journal of Contemporary Hospitality Management</w:t>
      </w:r>
      <w:r w:rsidRPr="001E06EE">
        <w:rPr>
          <w:rFonts w:ascii="Arial" w:hAnsi="Arial"/>
          <w:sz w:val="24"/>
          <w:szCs w:val="24"/>
        </w:rPr>
        <w:t>, 27(3), pp.453–472. Available at: https://www.emerald.com/insight/content/doi/10.1108/IJCHM-12-2013-0538/full/html.</w:t>
      </w:r>
    </w:p>
    <w:p w14:paraId="128352F5" w14:textId="59D2C264"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Denscombe, M. (2010) </w:t>
      </w:r>
      <w:r w:rsidRPr="001E06EE">
        <w:rPr>
          <w:rFonts w:ascii="Arial" w:hAnsi="Arial"/>
          <w:i/>
          <w:iCs/>
          <w:sz w:val="24"/>
          <w:szCs w:val="24"/>
        </w:rPr>
        <w:t>Ground Rules for Social Research</w:t>
      </w:r>
      <w:r w:rsidR="007577EB">
        <w:rPr>
          <w:rFonts w:ascii="Arial" w:hAnsi="Arial"/>
          <w:i/>
          <w:iCs/>
          <w:sz w:val="24"/>
          <w:szCs w:val="24"/>
        </w:rPr>
        <w:t xml:space="preserve"> </w:t>
      </w:r>
      <w:r w:rsidRPr="001E06EE">
        <w:rPr>
          <w:rFonts w:ascii="Arial" w:hAnsi="Arial"/>
          <w:i/>
          <w:iCs/>
          <w:sz w:val="24"/>
          <w:szCs w:val="24"/>
        </w:rPr>
        <w:t>Guidelines for Good Practice</w:t>
      </w:r>
      <w:r w:rsidRPr="001E06EE">
        <w:rPr>
          <w:rFonts w:ascii="Arial" w:hAnsi="Arial"/>
          <w:sz w:val="24"/>
          <w:szCs w:val="24"/>
        </w:rPr>
        <w:t>. 2nd ed. Maidenhead Open University Press.</w:t>
      </w:r>
    </w:p>
    <w:p w14:paraId="08E79B49" w14:textId="4C80A690" w:rsidR="00834693" w:rsidRPr="00101245" w:rsidRDefault="00834693" w:rsidP="00986280">
      <w:pPr>
        <w:pStyle w:val="BodyText"/>
        <w:spacing w:line="480" w:lineRule="auto"/>
        <w:jc w:val="both"/>
        <w:rPr>
          <w:rFonts w:ascii="Arial" w:hAnsi="Arial"/>
          <w:sz w:val="24"/>
          <w:szCs w:val="24"/>
          <w:lang w:val="en-GB"/>
        </w:rPr>
      </w:pPr>
      <w:bookmarkStart w:id="34" w:name="_Hlk200442731"/>
      <w:r w:rsidRPr="00834693">
        <w:rPr>
          <w:rFonts w:ascii="Arial" w:hAnsi="Arial"/>
          <w:sz w:val="24"/>
          <w:szCs w:val="24"/>
          <w:lang w:val="en-GB"/>
        </w:rPr>
        <w:t xml:space="preserve">Dogru, T. </w:t>
      </w:r>
      <w:r w:rsidRPr="00834693">
        <w:rPr>
          <w:rFonts w:ascii="Arial" w:hAnsi="Arial"/>
          <w:i/>
          <w:iCs/>
          <w:sz w:val="24"/>
          <w:szCs w:val="24"/>
          <w:lang w:val="en-GB"/>
        </w:rPr>
        <w:t>et al.</w:t>
      </w:r>
      <w:r w:rsidRPr="00834693">
        <w:rPr>
          <w:rFonts w:ascii="Arial" w:hAnsi="Arial"/>
          <w:sz w:val="24"/>
          <w:szCs w:val="24"/>
          <w:lang w:val="en-GB"/>
        </w:rPr>
        <w:t xml:space="preserve"> (2023) ‘</w:t>
      </w:r>
      <w:bookmarkEnd w:id="34"/>
      <w:r w:rsidRPr="00834693">
        <w:rPr>
          <w:rFonts w:ascii="Arial" w:hAnsi="Arial"/>
          <w:sz w:val="24"/>
          <w:szCs w:val="24"/>
          <w:lang w:val="en-GB"/>
        </w:rPr>
        <w:t xml:space="preserve">Employee turnover dynamics in the hospitality industry vs. the overall economy’, </w:t>
      </w:r>
      <w:r w:rsidRPr="00834693">
        <w:rPr>
          <w:rFonts w:ascii="Arial" w:hAnsi="Arial"/>
          <w:i/>
          <w:iCs/>
          <w:sz w:val="24"/>
          <w:szCs w:val="24"/>
          <w:lang w:val="en-GB"/>
        </w:rPr>
        <w:t>Tourism management (1982)</w:t>
      </w:r>
      <w:r w:rsidRPr="00834693">
        <w:rPr>
          <w:rFonts w:ascii="Arial" w:hAnsi="Arial"/>
          <w:sz w:val="24"/>
          <w:szCs w:val="24"/>
          <w:lang w:val="en-GB"/>
        </w:rPr>
        <w:t xml:space="preserve">, 99. Available at: </w:t>
      </w:r>
      <w:hyperlink r:id="rId25" w:history="1">
        <w:r w:rsidRPr="00834693">
          <w:rPr>
            <w:rStyle w:val="Hyperlink"/>
            <w:rFonts w:ascii="Arial" w:hAnsi="Arial"/>
            <w:sz w:val="24"/>
            <w:szCs w:val="24"/>
            <w:lang w:val="en-GB"/>
          </w:rPr>
          <w:t>https://doi.org/10.1016/j.tourman.2023.104783</w:t>
        </w:r>
      </w:hyperlink>
      <w:r w:rsidRPr="00834693">
        <w:rPr>
          <w:rFonts w:ascii="Arial" w:hAnsi="Arial"/>
          <w:sz w:val="24"/>
          <w:szCs w:val="24"/>
          <w:lang w:val="en-GB"/>
        </w:rPr>
        <w:t>.</w:t>
      </w:r>
    </w:p>
    <w:p w14:paraId="53122CB0" w14:textId="7C841CE9"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Ehrler, M. (2018) </w:t>
      </w:r>
      <w:r w:rsidRPr="001E06EE">
        <w:rPr>
          <w:rFonts w:ascii="Arial" w:hAnsi="Arial"/>
          <w:i/>
          <w:iCs/>
          <w:sz w:val="24"/>
          <w:szCs w:val="24"/>
        </w:rPr>
        <w:t>Using Job Embeddedness Theory to Improve Employee Turnover</w:t>
      </w:r>
      <w:r w:rsidRPr="001E06EE">
        <w:rPr>
          <w:rFonts w:ascii="Arial" w:hAnsi="Arial"/>
          <w:sz w:val="24"/>
          <w:szCs w:val="24"/>
        </w:rPr>
        <w:t xml:space="preserve">. Available at: https://www.ere.net/articles/using-job-embeddedness-theory-to-improve-employee-turnover </w:t>
      </w:r>
      <w:r w:rsidR="007577EB">
        <w:rPr>
          <w:rFonts w:ascii="Arial" w:hAnsi="Arial"/>
          <w:sz w:val="24"/>
          <w:szCs w:val="24"/>
        </w:rPr>
        <w:t>(A</w:t>
      </w:r>
      <w:r w:rsidRPr="001E06EE">
        <w:rPr>
          <w:rFonts w:ascii="Arial" w:hAnsi="Arial"/>
          <w:sz w:val="24"/>
          <w:szCs w:val="24"/>
        </w:rPr>
        <w:t>ccessed</w:t>
      </w:r>
      <w:r w:rsidR="007577EB">
        <w:rPr>
          <w:rFonts w:ascii="Arial" w:hAnsi="Arial"/>
          <w:sz w:val="24"/>
          <w:szCs w:val="24"/>
        </w:rPr>
        <w:t>:</w:t>
      </w:r>
      <w:r w:rsidRPr="001E06EE">
        <w:rPr>
          <w:rFonts w:ascii="Arial" w:hAnsi="Arial"/>
          <w:sz w:val="24"/>
          <w:szCs w:val="24"/>
        </w:rPr>
        <w:t xml:space="preserve"> 25 May 2025</w:t>
      </w:r>
      <w:r w:rsidR="007577EB">
        <w:rPr>
          <w:rFonts w:ascii="Arial" w:hAnsi="Arial"/>
          <w:sz w:val="24"/>
          <w:szCs w:val="24"/>
        </w:rPr>
        <w:t>)</w:t>
      </w:r>
      <w:r w:rsidRPr="001E06EE">
        <w:rPr>
          <w:rFonts w:ascii="Arial" w:hAnsi="Arial"/>
          <w:sz w:val="24"/>
          <w:szCs w:val="24"/>
        </w:rPr>
        <w:t>.</w:t>
      </w:r>
    </w:p>
    <w:p w14:paraId="7B4931CD" w14:textId="61A39CF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Fahim, M.G.A. (2018) </w:t>
      </w:r>
      <w:r w:rsidR="007577EB">
        <w:rPr>
          <w:rFonts w:ascii="Arial" w:hAnsi="Arial"/>
          <w:sz w:val="24"/>
          <w:szCs w:val="24"/>
        </w:rPr>
        <w:t>‘</w:t>
      </w:r>
      <w:r w:rsidRPr="001E06EE">
        <w:rPr>
          <w:rFonts w:ascii="Arial" w:hAnsi="Arial"/>
          <w:sz w:val="24"/>
          <w:szCs w:val="24"/>
        </w:rPr>
        <w:t>Strategic human resource management and public employee retention</w:t>
      </w:r>
      <w:r w:rsidR="007577EB">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Review of Economics and Political Science</w:t>
      </w:r>
      <w:r w:rsidRPr="001E06EE">
        <w:rPr>
          <w:rFonts w:ascii="Arial" w:hAnsi="Arial"/>
          <w:sz w:val="24"/>
          <w:szCs w:val="24"/>
        </w:rPr>
        <w:t>,</w:t>
      </w:r>
      <w:r w:rsidR="00101245">
        <w:rPr>
          <w:rFonts w:ascii="Arial" w:hAnsi="Arial"/>
          <w:sz w:val="24"/>
          <w:szCs w:val="24"/>
        </w:rPr>
        <w:t xml:space="preserve"> </w:t>
      </w:r>
      <w:r w:rsidRPr="001E06EE">
        <w:rPr>
          <w:rFonts w:ascii="Arial" w:hAnsi="Arial"/>
          <w:sz w:val="24"/>
          <w:szCs w:val="24"/>
        </w:rPr>
        <w:t>3(2), pp.20–39. https://doi.org/10.1108/reps-07-2018-002.</w:t>
      </w:r>
    </w:p>
    <w:p w14:paraId="42088BD2" w14:textId="57BC318E"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Frögéli, E., Jenner, B. and Gustavsson, P. (2023) </w:t>
      </w:r>
      <w:r w:rsidR="007577EB">
        <w:rPr>
          <w:rFonts w:ascii="Arial" w:hAnsi="Arial"/>
          <w:sz w:val="24"/>
          <w:szCs w:val="24"/>
        </w:rPr>
        <w:t>‘</w:t>
      </w:r>
      <w:r w:rsidRPr="001E06EE">
        <w:rPr>
          <w:rFonts w:ascii="Arial" w:hAnsi="Arial"/>
          <w:sz w:val="24"/>
          <w:szCs w:val="24"/>
        </w:rPr>
        <w:t xml:space="preserve">Effectiveness of formal onboarding for facilitating </w:t>
      </w:r>
      <w:r w:rsidR="007577EB">
        <w:rPr>
          <w:rFonts w:ascii="Arial" w:hAnsi="Arial"/>
          <w:sz w:val="24"/>
          <w:szCs w:val="24"/>
        </w:rPr>
        <w:t>organisational socialisation</w:t>
      </w:r>
      <w:r w:rsidRPr="001E06EE">
        <w:rPr>
          <w:rFonts w:ascii="Arial" w:hAnsi="Arial"/>
          <w:sz w:val="24"/>
          <w:szCs w:val="24"/>
        </w:rPr>
        <w:t>: A systematic review</w:t>
      </w:r>
      <w:r w:rsidR="007577EB">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PLOS ONE</w:t>
      </w:r>
      <w:r w:rsidRPr="001E06EE">
        <w:rPr>
          <w:rFonts w:ascii="Arial" w:hAnsi="Arial"/>
          <w:sz w:val="24"/>
          <w:szCs w:val="24"/>
        </w:rPr>
        <w:t>,</w:t>
      </w:r>
      <w:r w:rsidR="007577EB">
        <w:rPr>
          <w:rFonts w:ascii="Arial" w:hAnsi="Arial"/>
          <w:sz w:val="24"/>
          <w:szCs w:val="24"/>
        </w:rPr>
        <w:t xml:space="preserve"> </w:t>
      </w:r>
      <w:r w:rsidRPr="001E06EE">
        <w:rPr>
          <w:rFonts w:ascii="Arial" w:hAnsi="Arial"/>
          <w:sz w:val="24"/>
          <w:szCs w:val="24"/>
        </w:rPr>
        <w:t>18(2).</w:t>
      </w:r>
      <w:r w:rsidR="007577EB">
        <w:rPr>
          <w:rFonts w:ascii="Arial" w:hAnsi="Arial"/>
          <w:sz w:val="24"/>
          <w:szCs w:val="24"/>
        </w:rPr>
        <w:t xml:space="preserve"> </w:t>
      </w:r>
      <w:r w:rsidRPr="001E06EE">
        <w:rPr>
          <w:rFonts w:ascii="Arial" w:hAnsi="Arial"/>
          <w:sz w:val="24"/>
          <w:szCs w:val="24"/>
        </w:rPr>
        <w:t>https://doi.org/10.1371/journal.pone.0281823.</w:t>
      </w:r>
    </w:p>
    <w:p w14:paraId="5CE8C4FD" w14:textId="4A85EF2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Gabriella, M. (2021) </w:t>
      </w:r>
      <w:r w:rsidRPr="001E06EE">
        <w:rPr>
          <w:rFonts w:ascii="Arial" w:hAnsi="Arial"/>
          <w:i/>
          <w:iCs/>
          <w:sz w:val="24"/>
          <w:szCs w:val="24"/>
        </w:rPr>
        <w:t>Expressing Gratitude in a Meeting: Formal and Informal Ways - How To Say Guide</w:t>
      </w:r>
      <w:r w:rsidRPr="001E06EE">
        <w:rPr>
          <w:rFonts w:ascii="Arial" w:hAnsi="Arial"/>
          <w:sz w:val="24"/>
          <w:szCs w:val="24"/>
        </w:rPr>
        <w:t>.</w:t>
      </w:r>
      <w:r w:rsidR="00174ACC">
        <w:rPr>
          <w:rFonts w:ascii="Arial" w:hAnsi="Arial"/>
          <w:sz w:val="24"/>
          <w:szCs w:val="24"/>
        </w:rPr>
        <w:t xml:space="preserve"> </w:t>
      </w:r>
      <w:r w:rsidRPr="001E06EE">
        <w:rPr>
          <w:rFonts w:ascii="Arial" w:hAnsi="Arial"/>
          <w:sz w:val="24"/>
          <w:szCs w:val="24"/>
        </w:rPr>
        <w:t xml:space="preserve">Available at: https://howtosayguide.com/how-to-say-thanks-in-a-meeting/ </w:t>
      </w:r>
      <w:r w:rsidR="007577EB">
        <w:rPr>
          <w:rFonts w:ascii="Arial" w:hAnsi="Arial"/>
          <w:sz w:val="24"/>
          <w:szCs w:val="24"/>
        </w:rPr>
        <w:t>(</w:t>
      </w:r>
      <w:r w:rsidRPr="001E06EE">
        <w:rPr>
          <w:rFonts w:ascii="Arial" w:hAnsi="Arial"/>
          <w:sz w:val="24"/>
          <w:szCs w:val="24"/>
        </w:rPr>
        <w:t>Accessed</w:t>
      </w:r>
      <w:r w:rsidR="007577EB">
        <w:rPr>
          <w:rFonts w:ascii="Arial" w:hAnsi="Arial"/>
          <w:sz w:val="24"/>
          <w:szCs w:val="24"/>
        </w:rPr>
        <w:t>:</w:t>
      </w:r>
      <w:r w:rsidRPr="001E06EE">
        <w:rPr>
          <w:rFonts w:ascii="Arial" w:hAnsi="Arial"/>
          <w:sz w:val="24"/>
          <w:szCs w:val="24"/>
        </w:rPr>
        <w:t xml:space="preserve"> 31 May 202</w:t>
      </w:r>
      <w:r w:rsidR="007577EB">
        <w:rPr>
          <w:rFonts w:ascii="Arial" w:hAnsi="Arial"/>
          <w:sz w:val="24"/>
          <w:szCs w:val="24"/>
        </w:rPr>
        <w:t>5)</w:t>
      </w:r>
      <w:r w:rsidRPr="001E06EE">
        <w:rPr>
          <w:rFonts w:ascii="Arial" w:hAnsi="Arial"/>
          <w:sz w:val="24"/>
          <w:szCs w:val="24"/>
        </w:rPr>
        <w:t>.</w:t>
      </w:r>
    </w:p>
    <w:p w14:paraId="68DA059C" w14:textId="7F57CDC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Galan, N. (2023)</w:t>
      </w:r>
      <w:r w:rsidR="00567DC1">
        <w:rPr>
          <w:rFonts w:ascii="Arial" w:hAnsi="Arial"/>
          <w:sz w:val="24"/>
          <w:szCs w:val="24"/>
        </w:rPr>
        <w:t xml:space="preserve"> ‘</w:t>
      </w:r>
      <w:r w:rsidRPr="001E06EE">
        <w:rPr>
          <w:rFonts w:ascii="Arial" w:hAnsi="Arial"/>
          <w:sz w:val="24"/>
          <w:szCs w:val="24"/>
        </w:rPr>
        <w:t>Knowledge loss induced by organizational member turnover: a review of empirical literature, synthesis and future research directions (Part I)</w:t>
      </w:r>
      <w:r w:rsidR="00567DC1">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The Learning Organization</w:t>
      </w:r>
      <w:r w:rsidRPr="001E06EE">
        <w:rPr>
          <w:rFonts w:ascii="Arial" w:hAnsi="Arial"/>
          <w:sz w:val="24"/>
          <w:szCs w:val="24"/>
        </w:rPr>
        <w:t>, 30(2)</w:t>
      </w:r>
      <w:r w:rsidR="00732F5E">
        <w:rPr>
          <w:rFonts w:ascii="Arial" w:hAnsi="Arial"/>
          <w:sz w:val="24"/>
          <w:szCs w:val="24"/>
        </w:rPr>
        <w:t xml:space="preserve"> </w:t>
      </w:r>
      <w:r w:rsidRPr="001E06EE">
        <w:rPr>
          <w:rFonts w:ascii="Arial" w:hAnsi="Arial"/>
          <w:sz w:val="24"/>
          <w:szCs w:val="24"/>
        </w:rPr>
        <w:t>https://doi.org/10.1108/tlo-09-2022-0107.</w:t>
      </w:r>
    </w:p>
    <w:p w14:paraId="0F161A80" w14:textId="159EBE33"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Gallup (2024) </w:t>
      </w:r>
      <w:r w:rsidRPr="001E06EE">
        <w:rPr>
          <w:rFonts w:ascii="Arial" w:hAnsi="Arial"/>
          <w:i/>
          <w:iCs/>
          <w:sz w:val="24"/>
          <w:szCs w:val="24"/>
        </w:rPr>
        <w:t>Employee Recognition: Low Cost, High Impact</w:t>
      </w:r>
      <w:r w:rsidRPr="001E06EE">
        <w:rPr>
          <w:rFonts w:ascii="Arial" w:hAnsi="Arial"/>
          <w:sz w:val="24"/>
          <w:szCs w:val="24"/>
        </w:rPr>
        <w:t xml:space="preserve">. Available at: </w:t>
      </w:r>
      <w:hyperlink r:id="rId26" w:history="1">
        <w:r w:rsidR="00567DC1" w:rsidRPr="004E3809">
          <w:rPr>
            <w:rStyle w:val="Hyperlink"/>
            <w:rFonts w:ascii="Arial" w:hAnsi="Arial"/>
            <w:sz w:val="24"/>
            <w:szCs w:val="24"/>
          </w:rPr>
          <w:t>https://www.gallup.com/workplace/236441/employee-recognition-low-cost-high-impact.aspx</w:t>
        </w:r>
      </w:hyperlink>
      <w:r w:rsidRPr="001E06EE">
        <w:rPr>
          <w:rFonts w:ascii="Arial" w:hAnsi="Arial"/>
          <w:sz w:val="24"/>
          <w:szCs w:val="24"/>
        </w:rPr>
        <w:t>.</w:t>
      </w:r>
      <w:r w:rsidR="00567DC1">
        <w:rPr>
          <w:rFonts w:ascii="Arial" w:hAnsi="Arial"/>
          <w:sz w:val="24"/>
          <w:szCs w:val="24"/>
        </w:rPr>
        <w:t xml:space="preserve"> (Accessed: 1 June 2025).</w:t>
      </w:r>
    </w:p>
    <w:p w14:paraId="003D9518" w14:textId="2F161D4E" w:rsidR="003B59F5" w:rsidRPr="001E06EE" w:rsidRDefault="003B59F5" w:rsidP="00986280">
      <w:pPr>
        <w:pStyle w:val="BodyText"/>
        <w:spacing w:line="480" w:lineRule="auto"/>
        <w:jc w:val="both"/>
        <w:rPr>
          <w:rFonts w:ascii="Arial" w:hAnsi="Arial"/>
          <w:sz w:val="24"/>
          <w:szCs w:val="24"/>
        </w:rPr>
      </w:pPr>
      <w:r w:rsidRPr="003B59F5">
        <w:rPr>
          <w:rFonts w:ascii="Arial" w:hAnsi="Arial"/>
          <w:sz w:val="24"/>
          <w:szCs w:val="24"/>
        </w:rPr>
        <w:t>Ghani, B., Zada, M., Memon, K. R., Ullah, R., Khattak, A., Han, H., Ariza-Montes, A., &amp; Araya-Castillo, L. (2022)</w:t>
      </w:r>
      <w:r w:rsidR="00101245">
        <w:rPr>
          <w:rFonts w:ascii="Arial" w:hAnsi="Arial"/>
          <w:sz w:val="24"/>
          <w:szCs w:val="24"/>
        </w:rPr>
        <w:t xml:space="preserve"> </w:t>
      </w:r>
      <w:r>
        <w:rPr>
          <w:rFonts w:ascii="Arial" w:hAnsi="Arial"/>
          <w:sz w:val="24"/>
          <w:szCs w:val="24"/>
        </w:rPr>
        <w:t>‘</w:t>
      </w:r>
      <w:r w:rsidRPr="003B59F5">
        <w:rPr>
          <w:rFonts w:ascii="Arial" w:hAnsi="Arial"/>
          <w:sz w:val="24"/>
          <w:szCs w:val="24"/>
        </w:rPr>
        <w:t>Challenges and Strategies for Employee Retention in the Hospitality Industry: A Review</w:t>
      </w:r>
      <w:r>
        <w:rPr>
          <w:rFonts w:ascii="Arial" w:hAnsi="Arial"/>
          <w:sz w:val="24"/>
          <w:szCs w:val="24"/>
        </w:rPr>
        <w:t>’,</w:t>
      </w:r>
      <w:r w:rsidRPr="003B59F5">
        <w:rPr>
          <w:rFonts w:ascii="Arial" w:hAnsi="Arial"/>
          <w:sz w:val="24"/>
          <w:szCs w:val="24"/>
        </w:rPr>
        <w:t> </w:t>
      </w:r>
      <w:r w:rsidRPr="003B59F5">
        <w:rPr>
          <w:rFonts w:ascii="Arial" w:hAnsi="Arial"/>
          <w:i/>
          <w:iCs/>
          <w:sz w:val="24"/>
          <w:szCs w:val="24"/>
        </w:rPr>
        <w:t>Sustainability</w:t>
      </w:r>
      <w:r w:rsidRPr="003B59F5">
        <w:rPr>
          <w:rFonts w:ascii="Arial" w:hAnsi="Arial"/>
          <w:sz w:val="24"/>
          <w:szCs w:val="24"/>
        </w:rPr>
        <w:t>, </w:t>
      </w:r>
      <w:r w:rsidRPr="003B59F5">
        <w:rPr>
          <w:rFonts w:ascii="Arial" w:hAnsi="Arial"/>
          <w:i/>
          <w:iCs/>
          <w:sz w:val="24"/>
          <w:szCs w:val="24"/>
        </w:rPr>
        <w:t>14</w:t>
      </w:r>
      <w:r w:rsidRPr="003B59F5">
        <w:rPr>
          <w:rFonts w:ascii="Arial" w:hAnsi="Arial"/>
          <w:sz w:val="24"/>
          <w:szCs w:val="24"/>
        </w:rPr>
        <w:t>(5), 2885. https://doi.org/10.3390/su14052885</w:t>
      </w:r>
    </w:p>
    <w:p w14:paraId="5E035865" w14:textId="357A1C52"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Gill, A.S., Flaschner, A.B. and Shachar, M. (2006)</w:t>
      </w:r>
      <w:r w:rsidR="00567DC1">
        <w:rPr>
          <w:rFonts w:ascii="Arial" w:hAnsi="Arial"/>
          <w:sz w:val="24"/>
          <w:szCs w:val="24"/>
        </w:rPr>
        <w:t xml:space="preserve"> ‘</w:t>
      </w:r>
      <w:r w:rsidRPr="001E06EE">
        <w:rPr>
          <w:rFonts w:ascii="Arial" w:hAnsi="Arial"/>
          <w:sz w:val="24"/>
          <w:szCs w:val="24"/>
        </w:rPr>
        <w:t xml:space="preserve">Mitigating stress and burnout by implementing </w:t>
      </w:r>
      <w:r w:rsidR="00567DC1">
        <w:rPr>
          <w:rFonts w:ascii="Arial" w:hAnsi="Arial"/>
          <w:sz w:val="24"/>
          <w:szCs w:val="24"/>
        </w:rPr>
        <w:t>transformational leadership’,</w:t>
      </w:r>
      <w:r w:rsidRPr="001E06EE">
        <w:rPr>
          <w:rFonts w:ascii="Arial" w:hAnsi="Arial"/>
          <w:sz w:val="24"/>
          <w:szCs w:val="24"/>
        </w:rPr>
        <w:t xml:space="preserve"> </w:t>
      </w:r>
      <w:r w:rsidRPr="001E06EE">
        <w:rPr>
          <w:rFonts w:ascii="Arial" w:hAnsi="Arial"/>
          <w:i/>
          <w:iCs/>
          <w:sz w:val="24"/>
          <w:szCs w:val="24"/>
        </w:rPr>
        <w:t>International Journal of Contemporary Hospitality Management</w:t>
      </w:r>
      <w:r w:rsidRPr="001E06EE">
        <w:rPr>
          <w:rFonts w:ascii="Arial" w:hAnsi="Arial"/>
          <w:sz w:val="24"/>
          <w:szCs w:val="24"/>
        </w:rPr>
        <w:t>, 18(6), pp.469–481.</w:t>
      </w:r>
      <w:r w:rsidR="00567DC1">
        <w:rPr>
          <w:rFonts w:ascii="Arial" w:hAnsi="Arial"/>
          <w:sz w:val="24"/>
          <w:szCs w:val="24"/>
        </w:rPr>
        <w:t xml:space="preserve"> </w:t>
      </w:r>
      <w:hyperlink r:id="rId27" w:history="1">
        <w:r w:rsidR="00E446FE" w:rsidRPr="00D111D1">
          <w:rPr>
            <w:rStyle w:val="Hyperlink"/>
            <w:rFonts w:ascii="Arial" w:hAnsi="Arial"/>
            <w:sz w:val="24"/>
            <w:szCs w:val="24"/>
          </w:rPr>
          <w:t>https://doi.org/10.1108/09596110610681511</w:t>
        </w:r>
      </w:hyperlink>
      <w:r w:rsidRPr="001E06EE">
        <w:rPr>
          <w:rFonts w:ascii="Arial" w:hAnsi="Arial"/>
          <w:sz w:val="24"/>
          <w:szCs w:val="24"/>
        </w:rPr>
        <w:t>.</w:t>
      </w:r>
    </w:p>
    <w:p w14:paraId="095B5F4E" w14:textId="7A0CF150" w:rsidR="00E446FE" w:rsidRPr="00E446FE" w:rsidRDefault="00E446FE" w:rsidP="00986280">
      <w:pPr>
        <w:pStyle w:val="BodyText"/>
        <w:spacing w:line="480" w:lineRule="auto"/>
        <w:jc w:val="both"/>
        <w:rPr>
          <w:rFonts w:ascii="Arial" w:hAnsi="Arial"/>
          <w:sz w:val="24"/>
          <w:szCs w:val="24"/>
          <w:lang w:val="en-GB"/>
        </w:rPr>
      </w:pPr>
      <w:bookmarkStart w:id="35" w:name="_Hlk200450354"/>
      <w:r w:rsidRPr="00381F3B">
        <w:rPr>
          <w:rFonts w:ascii="Arial" w:hAnsi="Arial"/>
          <w:sz w:val="24"/>
          <w:szCs w:val="24"/>
          <w:lang w:val="en-GB"/>
        </w:rPr>
        <w:t xml:space="preserve">Giousmpasoglou, C. and Marinakou, E. (2024) </w:t>
      </w:r>
      <w:bookmarkEnd w:id="35"/>
      <w:r w:rsidRPr="00381F3B">
        <w:rPr>
          <w:rFonts w:ascii="Arial" w:hAnsi="Arial"/>
          <w:i/>
          <w:iCs/>
          <w:sz w:val="24"/>
          <w:szCs w:val="24"/>
          <w:lang w:val="en-GB"/>
        </w:rPr>
        <w:t>The Contemporary Hotel Industry: A People Management Perspective</w:t>
      </w:r>
      <w:r w:rsidRPr="00381F3B">
        <w:rPr>
          <w:rFonts w:ascii="Arial" w:hAnsi="Arial"/>
          <w:sz w:val="24"/>
          <w:szCs w:val="24"/>
          <w:lang w:val="en-GB"/>
        </w:rPr>
        <w:t xml:space="preserve">. 1st ed. 2024. Cham: Springer International Publishing. Available at: </w:t>
      </w:r>
      <w:hyperlink r:id="rId28" w:history="1">
        <w:r w:rsidRPr="00381F3B">
          <w:rPr>
            <w:rStyle w:val="Hyperlink"/>
            <w:rFonts w:ascii="Arial" w:hAnsi="Arial"/>
            <w:sz w:val="24"/>
            <w:szCs w:val="24"/>
            <w:lang w:val="en-GB"/>
          </w:rPr>
          <w:t>https://doi.org/10.1007/978-3-031-52803-3</w:t>
        </w:r>
      </w:hyperlink>
      <w:r w:rsidRPr="00381F3B">
        <w:rPr>
          <w:rFonts w:ascii="Arial" w:hAnsi="Arial"/>
          <w:sz w:val="24"/>
          <w:szCs w:val="24"/>
          <w:lang w:val="en-GB"/>
        </w:rPr>
        <w:t>.</w:t>
      </w:r>
    </w:p>
    <w:p w14:paraId="416307DD" w14:textId="4788592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Grbich, C. (2006) </w:t>
      </w:r>
      <w:r w:rsidRPr="001E06EE">
        <w:rPr>
          <w:rFonts w:ascii="Arial" w:hAnsi="Arial"/>
          <w:i/>
          <w:iCs/>
          <w:sz w:val="24"/>
          <w:szCs w:val="24"/>
        </w:rPr>
        <w:t>Qualitative Data Analysis</w:t>
      </w:r>
      <w:r w:rsidRPr="001E06EE">
        <w:rPr>
          <w:rFonts w:ascii="Arial" w:hAnsi="Arial"/>
          <w:sz w:val="24"/>
          <w:szCs w:val="24"/>
        </w:rPr>
        <w:t>. Sage Publications (CA).</w:t>
      </w:r>
    </w:p>
    <w:p w14:paraId="0F3175B7" w14:textId="54D052F4"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Greetham, B. (2014) </w:t>
      </w:r>
      <w:r w:rsidRPr="001E06EE">
        <w:rPr>
          <w:rFonts w:ascii="Arial" w:hAnsi="Arial"/>
          <w:i/>
          <w:iCs/>
          <w:sz w:val="24"/>
          <w:szCs w:val="24"/>
        </w:rPr>
        <w:t>How to Write Your Undergraduate Dissertation</w:t>
      </w:r>
      <w:r w:rsidRPr="001E06EE">
        <w:rPr>
          <w:rFonts w:ascii="Arial" w:hAnsi="Arial"/>
          <w:sz w:val="24"/>
          <w:szCs w:val="24"/>
        </w:rPr>
        <w:t>. London: Bloomsbury Publishing Plc.</w:t>
      </w:r>
    </w:p>
    <w:p w14:paraId="777DAB71" w14:textId="195D993F"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Gursoy, D. and Chi, C.G. (2020)</w:t>
      </w:r>
      <w:r w:rsidR="00B532F4">
        <w:rPr>
          <w:rFonts w:ascii="Arial" w:hAnsi="Arial"/>
          <w:sz w:val="24"/>
          <w:szCs w:val="24"/>
        </w:rPr>
        <w:t xml:space="preserve"> </w:t>
      </w:r>
      <w:r w:rsidR="00506A93">
        <w:rPr>
          <w:rFonts w:ascii="Arial" w:hAnsi="Arial"/>
          <w:sz w:val="24"/>
          <w:szCs w:val="24"/>
        </w:rPr>
        <w:t>‘</w:t>
      </w:r>
      <w:r w:rsidRPr="001E06EE">
        <w:rPr>
          <w:rFonts w:ascii="Arial" w:hAnsi="Arial"/>
          <w:sz w:val="24"/>
          <w:szCs w:val="24"/>
        </w:rPr>
        <w:t>Effects of COVID-19 pandemic on hospitality industry: review of the current situations and a research agenda</w:t>
      </w:r>
      <w:r w:rsidR="00506A93">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Hospitality Marketing &amp; Management</w:t>
      </w:r>
      <w:r w:rsidRPr="001E06EE">
        <w:rPr>
          <w:rFonts w:ascii="Arial" w:hAnsi="Arial"/>
          <w:sz w:val="24"/>
          <w:szCs w:val="24"/>
        </w:rPr>
        <w:t>, 29(5), pp.527–529. https://doi.org/10.1080/19368623.2020.1788231.</w:t>
      </w:r>
    </w:p>
    <w:p w14:paraId="2B271692" w14:textId="3CFC024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Hassan, M. (2023)</w:t>
      </w:r>
      <w:r w:rsidR="00F04C41">
        <w:rPr>
          <w:rFonts w:ascii="Arial" w:hAnsi="Arial"/>
          <w:sz w:val="24"/>
          <w:szCs w:val="24"/>
        </w:rPr>
        <w:t xml:space="preserve"> </w:t>
      </w:r>
      <w:r w:rsidRPr="001E06EE">
        <w:rPr>
          <w:rFonts w:ascii="Arial" w:hAnsi="Arial"/>
          <w:i/>
          <w:iCs/>
          <w:sz w:val="24"/>
          <w:szCs w:val="24"/>
        </w:rPr>
        <w:t>Limitations in Research - Types, Examples and Writing Guide</w:t>
      </w:r>
      <w:r w:rsidRPr="001E06EE">
        <w:rPr>
          <w:rFonts w:ascii="Arial" w:hAnsi="Arial"/>
          <w:sz w:val="24"/>
          <w:szCs w:val="24"/>
        </w:rPr>
        <w:t xml:space="preserve">. Available at: </w:t>
      </w:r>
      <w:hyperlink r:id="rId29" w:history="1">
        <w:r w:rsidR="00F04C41" w:rsidRPr="004E3809">
          <w:rPr>
            <w:rStyle w:val="Hyperlink"/>
            <w:rFonts w:ascii="Arial" w:hAnsi="Arial"/>
            <w:sz w:val="24"/>
            <w:szCs w:val="24"/>
          </w:rPr>
          <w:t>https://researchmethod.net/limitations-in-research/</w:t>
        </w:r>
      </w:hyperlink>
      <w:r w:rsidRPr="001E06EE">
        <w:rPr>
          <w:rFonts w:ascii="Arial" w:hAnsi="Arial"/>
          <w:sz w:val="24"/>
          <w:szCs w:val="24"/>
        </w:rPr>
        <w:t>.</w:t>
      </w:r>
      <w:r w:rsidR="00F04C41">
        <w:rPr>
          <w:rFonts w:ascii="Arial" w:hAnsi="Arial"/>
          <w:sz w:val="24"/>
          <w:szCs w:val="24"/>
        </w:rPr>
        <w:t xml:space="preserve"> (Accessed: 1 June 2025).</w:t>
      </w:r>
    </w:p>
    <w:p w14:paraId="1599B715" w14:textId="45DA9574"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Herzberg, F. (1959) </w:t>
      </w:r>
      <w:r w:rsidRPr="001E06EE">
        <w:rPr>
          <w:rFonts w:ascii="Arial" w:hAnsi="Arial"/>
          <w:i/>
          <w:iCs/>
          <w:sz w:val="24"/>
          <w:szCs w:val="24"/>
        </w:rPr>
        <w:t>The motivation to work</w:t>
      </w:r>
      <w:r w:rsidRPr="001E06EE">
        <w:rPr>
          <w:rFonts w:ascii="Arial" w:hAnsi="Arial"/>
          <w:sz w:val="24"/>
          <w:szCs w:val="24"/>
        </w:rPr>
        <w:t>. New York: Wiley.</w:t>
      </w:r>
    </w:p>
    <w:p w14:paraId="70A25934" w14:textId="789CA5C0" w:rsidR="00B75CEC" w:rsidRPr="00B75CEC" w:rsidRDefault="00B75CEC" w:rsidP="00B75CEC">
      <w:pPr>
        <w:pStyle w:val="BodyText"/>
        <w:spacing w:line="480" w:lineRule="auto"/>
        <w:jc w:val="both"/>
        <w:rPr>
          <w:rFonts w:ascii="Arial" w:hAnsi="Arial"/>
          <w:i/>
          <w:iCs/>
          <w:sz w:val="24"/>
          <w:szCs w:val="24"/>
        </w:rPr>
      </w:pPr>
      <w:r>
        <w:rPr>
          <w:rFonts w:ascii="Arial" w:hAnsi="Arial"/>
          <w:sz w:val="24"/>
          <w:szCs w:val="24"/>
        </w:rPr>
        <w:t>Holiday Inn (2025)</w:t>
      </w:r>
      <w:r w:rsidRPr="00B75CEC">
        <w:t xml:space="preserve"> </w:t>
      </w:r>
      <w:r w:rsidRPr="00B75CEC">
        <w:rPr>
          <w:rFonts w:ascii="Arial" w:hAnsi="Arial"/>
          <w:i/>
          <w:iCs/>
          <w:sz w:val="24"/>
          <w:szCs w:val="24"/>
        </w:rPr>
        <w:t>Holiday Inn Sunderland City Centre</w:t>
      </w:r>
      <w:r>
        <w:rPr>
          <w:rFonts w:ascii="Arial" w:hAnsi="Arial"/>
          <w:i/>
          <w:iCs/>
          <w:sz w:val="24"/>
          <w:szCs w:val="24"/>
        </w:rPr>
        <w:t>. Reviews.</w:t>
      </w:r>
      <w:r>
        <w:rPr>
          <w:rFonts w:ascii="Arial" w:hAnsi="Arial"/>
          <w:sz w:val="24"/>
          <w:szCs w:val="24"/>
        </w:rPr>
        <w:t xml:space="preserve"> Available at: </w:t>
      </w:r>
      <w:hyperlink r:id="rId30" w:history="1">
        <w:r w:rsidRPr="00D111D1">
          <w:rPr>
            <w:rStyle w:val="Hyperlink"/>
            <w:rFonts w:ascii="Arial" w:hAnsi="Arial"/>
            <w:sz w:val="24"/>
            <w:szCs w:val="24"/>
          </w:rPr>
          <w:t>https://www.ihg.com/holidayinn/hotels/gb/en/sunderland/snduk/hoteldetail/hotel-reviews?msockid=09b8012af9c26b2f02ee134ff8226ad4</w:t>
        </w:r>
      </w:hyperlink>
      <w:r>
        <w:rPr>
          <w:rFonts w:ascii="Arial" w:hAnsi="Arial"/>
          <w:sz w:val="24"/>
          <w:szCs w:val="24"/>
        </w:rPr>
        <w:t xml:space="preserve"> (Accessed: 1 June 2025).</w:t>
      </w:r>
    </w:p>
    <w:p w14:paraId="45116484" w14:textId="1CD9B3F7"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Hollar, N., Kuchinka, D. and Feinberg, J. (2022) </w:t>
      </w:r>
      <w:r w:rsidR="00D84755">
        <w:rPr>
          <w:rFonts w:ascii="Arial" w:hAnsi="Arial"/>
          <w:sz w:val="24"/>
          <w:szCs w:val="24"/>
        </w:rPr>
        <w:t>‘</w:t>
      </w:r>
      <w:r w:rsidRPr="001E06EE">
        <w:rPr>
          <w:rFonts w:ascii="Arial" w:hAnsi="Arial"/>
          <w:sz w:val="24"/>
          <w:szCs w:val="24"/>
        </w:rPr>
        <w:t>PROFESSIONAL DEVELOPMENT OPPORTUNITIES AND JOB SATISFACTION: A SYSTEMATIC REVIEW OF RESEARCH</w:t>
      </w:r>
      <w:r w:rsidR="00D84755">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International Management Studies</w:t>
      </w:r>
      <w:r w:rsidRPr="001E06EE">
        <w:rPr>
          <w:rFonts w:ascii="Arial" w:hAnsi="Arial"/>
          <w:sz w:val="24"/>
          <w:szCs w:val="24"/>
        </w:rPr>
        <w:t>,</w:t>
      </w:r>
      <w:r w:rsidR="00B063B7">
        <w:rPr>
          <w:rFonts w:ascii="Arial" w:hAnsi="Arial"/>
          <w:sz w:val="24"/>
          <w:szCs w:val="24"/>
        </w:rPr>
        <w:t xml:space="preserve"> </w:t>
      </w:r>
      <w:r w:rsidRPr="001E06EE">
        <w:rPr>
          <w:rFonts w:ascii="Arial" w:hAnsi="Arial"/>
          <w:sz w:val="24"/>
          <w:szCs w:val="24"/>
        </w:rPr>
        <w:t>22(1), pp.10–19. https://doi.org/10.18374/jims-22-1.2.</w:t>
      </w:r>
    </w:p>
    <w:p w14:paraId="4749E528" w14:textId="7E810C06"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IHG (202</w:t>
      </w:r>
      <w:r w:rsidR="00E446FE">
        <w:rPr>
          <w:rFonts w:ascii="Arial" w:hAnsi="Arial"/>
          <w:sz w:val="24"/>
          <w:szCs w:val="24"/>
        </w:rPr>
        <w:t>5</w:t>
      </w:r>
      <w:r w:rsidRPr="001E06EE">
        <w:rPr>
          <w:rFonts w:ascii="Arial" w:hAnsi="Arial"/>
          <w:sz w:val="24"/>
          <w:szCs w:val="24"/>
        </w:rPr>
        <w:t xml:space="preserve">) </w:t>
      </w:r>
      <w:r w:rsidRPr="001E06EE">
        <w:rPr>
          <w:rFonts w:ascii="Arial" w:hAnsi="Arial"/>
          <w:i/>
          <w:iCs/>
          <w:sz w:val="24"/>
          <w:szCs w:val="24"/>
        </w:rPr>
        <w:t>Our brands</w:t>
      </w:r>
      <w:r w:rsidRPr="001E06EE">
        <w:rPr>
          <w:rFonts w:ascii="Arial" w:hAnsi="Arial"/>
          <w:sz w:val="24"/>
          <w:szCs w:val="24"/>
        </w:rPr>
        <w:t xml:space="preserve">. InterContinental Hotels Group PLC. Available at: </w:t>
      </w:r>
      <w:hyperlink r:id="rId31" w:history="1">
        <w:r w:rsidR="007A71C8" w:rsidRPr="004E3809">
          <w:rPr>
            <w:rStyle w:val="Hyperlink"/>
            <w:rFonts w:ascii="Arial" w:hAnsi="Arial"/>
            <w:sz w:val="24"/>
            <w:szCs w:val="24"/>
          </w:rPr>
          <w:t>https://www.ihgplc.com/en/our-brands</w:t>
        </w:r>
      </w:hyperlink>
      <w:r w:rsidR="007A71C8">
        <w:rPr>
          <w:rFonts w:ascii="Arial" w:hAnsi="Arial"/>
          <w:sz w:val="24"/>
          <w:szCs w:val="24"/>
        </w:rPr>
        <w:t xml:space="preserve"> (Accessed: 20 May 2025).</w:t>
      </w:r>
    </w:p>
    <w:p w14:paraId="78E91B20" w14:textId="4DB69CC8"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Klapproth, F. (2021) </w:t>
      </w:r>
      <w:r w:rsidRPr="00A27DC9">
        <w:rPr>
          <w:rFonts w:ascii="Arial" w:hAnsi="Arial"/>
          <w:i/>
          <w:iCs/>
          <w:sz w:val="24"/>
          <w:szCs w:val="24"/>
        </w:rPr>
        <w:t>DECISION MAKING UNDER PRESSURE (A BEHAVIORAL SCIENCE PERSPECTIVE).</w:t>
      </w:r>
      <w:r w:rsidR="00E22531">
        <w:rPr>
          <w:rFonts w:ascii="Arial" w:hAnsi="Arial"/>
          <w:sz w:val="24"/>
          <w:szCs w:val="24"/>
        </w:rPr>
        <w:t xml:space="preserve"> </w:t>
      </w:r>
      <w:r w:rsidRPr="001E06EE">
        <w:rPr>
          <w:rFonts w:ascii="Arial" w:hAnsi="Arial"/>
          <w:sz w:val="24"/>
          <w:szCs w:val="24"/>
        </w:rPr>
        <w:t xml:space="preserve">53, pp.24–31. Available at: </w:t>
      </w:r>
      <w:hyperlink r:id="rId32" w:history="1">
        <w:r w:rsidR="00A27DC9" w:rsidRPr="00D111D1">
          <w:rPr>
            <w:rStyle w:val="Hyperlink"/>
            <w:rFonts w:ascii="Arial" w:hAnsi="Arial"/>
            <w:sz w:val="24"/>
            <w:szCs w:val="24"/>
          </w:rPr>
          <w:t>https://www.researchgate.net/publication/353260680_DECISION_MAKING_UNDER_PRESSURE_A_BEHAVIORAL_SCIENCE_PERSPECTIVE</w:t>
        </w:r>
      </w:hyperlink>
      <w:r w:rsidR="00A27DC9">
        <w:rPr>
          <w:rFonts w:ascii="Arial" w:hAnsi="Arial"/>
          <w:sz w:val="24"/>
          <w:szCs w:val="24"/>
        </w:rPr>
        <w:t xml:space="preserve"> (Accessed: 30May 2025).</w:t>
      </w:r>
    </w:p>
    <w:p w14:paraId="21C29489" w14:textId="1523EF86"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Kozinets, R. (2015) </w:t>
      </w:r>
      <w:r w:rsidRPr="001E06EE">
        <w:rPr>
          <w:rFonts w:ascii="Arial" w:hAnsi="Arial"/>
          <w:i/>
          <w:iCs/>
          <w:sz w:val="24"/>
          <w:szCs w:val="24"/>
        </w:rPr>
        <w:t>Netnography</w:t>
      </w:r>
      <w:r w:rsidRPr="001E06EE">
        <w:rPr>
          <w:rFonts w:ascii="Arial" w:hAnsi="Arial"/>
          <w:sz w:val="24"/>
          <w:szCs w:val="24"/>
        </w:rPr>
        <w:t xml:space="preserve">. Available at: </w:t>
      </w:r>
      <w:hyperlink r:id="rId33" w:history="1">
        <w:r w:rsidR="00E22531" w:rsidRPr="004E3809">
          <w:rPr>
            <w:rStyle w:val="Hyperlink"/>
            <w:rFonts w:ascii="Arial" w:hAnsi="Arial"/>
            <w:sz w:val="24"/>
            <w:szCs w:val="24"/>
          </w:rPr>
          <w:t>https://www.researchgate.net/publication/319613944_Netnography</w:t>
        </w:r>
      </w:hyperlink>
      <w:r w:rsidR="00E22531">
        <w:rPr>
          <w:rFonts w:ascii="Arial" w:hAnsi="Arial"/>
          <w:sz w:val="24"/>
          <w:szCs w:val="24"/>
        </w:rPr>
        <w:t xml:space="preserve"> (Accessed: 20 May 2025).</w:t>
      </w:r>
    </w:p>
    <w:p w14:paraId="40C913A0" w14:textId="1DED9A6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Kusluvan, S., Kusluvan, Z., Ilhan, I. and Buyruk, L. (2010) </w:t>
      </w:r>
      <w:r w:rsidRPr="001E06EE">
        <w:rPr>
          <w:rFonts w:ascii="Arial" w:hAnsi="Arial"/>
          <w:i/>
          <w:iCs/>
          <w:sz w:val="24"/>
          <w:szCs w:val="24"/>
        </w:rPr>
        <w:t xml:space="preserve">The Human Dimension: A Review of Human </w:t>
      </w:r>
      <w:r w:rsidR="00302F02">
        <w:rPr>
          <w:rFonts w:ascii="Arial" w:hAnsi="Arial"/>
          <w:i/>
          <w:iCs/>
          <w:sz w:val="24"/>
          <w:szCs w:val="24"/>
        </w:rPr>
        <w:t>Resources Management</w:t>
      </w:r>
      <w:r w:rsidRPr="001E06EE">
        <w:rPr>
          <w:rFonts w:ascii="Arial" w:hAnsi="Arial"/>
          <w:i/>
          <w:iCs/>
          <w:sz w:val="24"/>
          <w:szCs w:val="24"/>
        </w:rPr>
        <w:t xml:space="preserve"> Issues in the </w:t>
      </w:r>
      <w:r w:rsidR="00302F02">
        <w:rPr>
          <w:rFonts w:ascii="Arial" w:hAnsi="Arial"/>
          <w:i/>
          <w:iCs/>
          <w:sz w:val="24"/>
          <w:szCs w:val="24"/>
        </w:rPr>
        <w:t>Tourism and</w:t>
      </w:r>
      <w:r w:rsidRPr="001E06EE">
        <w:rPr>
          <w:rFonts w:ascii="Arial" w:hAnsi="Arial"/>
          <w:i/>
          <w:iCs/>
          <w:sz w:val="24"/>
          <w:szCs w:val="24"/>
        </w:rPr>
        <w:t xml:space="preserve"> Hospitality Industry</w:t>
      </w:r>
      <w:r w:rsidRPr="001E06EE">
        <w:rPr>
          <w:rFonts w:ascii="Arial" w:hAnsi="Arial"/>
          <w:sz w:val="24"/>
          <w:szCs w:val="24"/>
        </w:rPr>
        <w:t>.</w:t>
      </w:r>
      <w:r w:rsidR="00E22531">
        <w:rPr>
          <w:rFonts w:ascii="Arial" w:hAnsi="Arial"/>
          <w:sz w:val="24"/>
          <w:szCs w:val="24"/>
        </w:rPr>
        <w:t xml:space="preserve"> </w:t>
      </w:r>
      <w:r w:rsidRPr="001E06EE">
        <w:rPr>
          <w:rFonts w:ascii="Arial" w:hAnsi="Arial"/>
          <w:sz w:val="24"/>
          <w:szCs w:val="24"/>
        </w:rPr>
        <w:t>Available at: https://www.researchgate.net/publication/247785059_The_Human_Dimension_A_Review_of_Human_ResourcesManagement_Issues_in_the_Tourismand_Hospitality_Industry.</w:t>
      </w:r>
    </w:p>
    <w:p w14:paraId="7D02C261" w14:textId="59F34C41"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Landry, L. (2020)</w:t>
      </w:r>
      <w:r w:rsidR="00E22531">
        <w:rPr>
          <w:rFonts w:ascii="Arial" w:hAnsi="Arial"/>
          <w:sz w:val="24"/>
          <w:szCs w:val="24"/>
        </w:rPr>
        <w:t xml:space="preserve"> </w:t>
      </w:r>
      <w:r w:rsidRPr="001E06EE">
        <w:rPr>
          <w:rFonts w:ascii="Arial" w:hAnsi="Arial"/>
          <w:i/>
          <w:iCs/>
          <w:sz w:val="24"/>
          <w:szCs w:val="24"/>
        </w:rPr>
        <w:t>Why managers should involve their team in decision-making</w:t>
      </w:r>
      <w:r w:rsidRPr="001E06EE">
        <w:rPr>
          <w:rFonts w:ascii="Arial" w:hAnsi="Arial"/>
          <w:sz w:val="24"/>
          <w:szCs w:val="24"/>
        </w:rPr>
        <w:t>. Harvard Business School Online. Available at: https://online.hbs.edu/blog/post/team-decision-making.</w:t>
      </w:r>
    </w:p>
    <w:p w14:paraId="6DE7FA99" w14:textId="4E481C9A"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Macey, W. and Schneider, B. (2008</w:t>
      </w:r>
      <w:r w:rsidR="00E22531" w:rsidRPr="001E06EE">
        <w:rPr>
          <w:rFonts w:ascii="Arial" w:hAnsi="Arial"/>
          <w:sz w:val="24"/>
          <w:szCs w:val="24"/>
        </w:rPr>
        <w:t>)</w:t>
      </w:r>
      <w:r w:rsidR="00302F02">
        <w:rPr>
          <w:rFonts w:ascii="Arial" w:hAnsi="Arial"/>
          <w:sz w:val="24"/>
          <w:szCs w:val="24"/>
        </w:rPr>
        <w:t xml:space="preserve"> </w:t>
      </w:r>
      <w:r w:rsidRPr="001E06EE">
        <w:rPr>
          <w:rFonts w:ascii="Arial" w:hAnsi="Arial"/>
          <w:i/>
          <w:iCs/>
          <w:sz w:val="24"/>
          <w:szCs w:val="24"/>
        </w:rPr>
        <w:t>The Meaning of Employee Engagement</w:t>
      </w:r>
      <w:r w:rsidRPr="001E06EE">
        <w:rPr>
          <w:rFonts w:ascii="Arial" w:hAnsi="Arial"/>
          <w:sz w:val="24"/>
          <w:szCs w:val="24"/>
        </w:rPr>
        <w:t xml:space="preserve">. </w:t>
      </w:r>
      <w:r w:rsidR="00302F02">
        <w:rPr>
          <w:rFonts w:ascii="Arial" w:hAnsi="Arial"/>
          <w:sz w:val="24"/>
          <w:szCs w:val="24"/>
        </w:rPr>
        <w:t xml:space="preserve"> </w:t>
      </w:r>
      <w:r w:rsidRPr="001E06EE">
        <w:rPr>
          <w:rFonts w:ascii="Arial" w:hAnsi="Arial"/>
          <w:sz w:val="24"/>
          <w:szCs w:val="24"/>
        </w:rPr>
        <w:t xml:space="preserve">Available at: </w:t>
      </w:r>
      <w:hyperlink r:id="rId34" w:history="1">
        <w:r w:rsidR="008C4813" w:rsidRPr="00E57075">
          <w:rPr>
            <w:rStyle w:val="Hyperlink"/>
            <w:rFonts w:ascii="Arial" w:hAnsi="Arial"/>
            <w:sz w:val="24"/>
            <w:szCs w:val="24"/>
          </w:rPr>
          <w:t>https://www.researchgate.net/publication/255593558_The_Meaning_of_Employee_Engagement</w:t>
        </w:r>
      </w:hyperlink>
      <w:r w:rsidR="00302F02">
        <w:rPr>
          <w:rFonts w:ascii="Arial" w:hAnsi="Arial"/>
          <w:sz w:val="24"/>
          <w:szCs w:val="24"/>
        </w:rPr>
        <w:t xml:space="preserve"> (Accessed: 29 May 2025).</w:t>
      </w:r>
    </w:p>
    <w:p w14:paraId="23A2F263" w14:textId="25B55839" w:rsidR="008C4813" w:rsidRPr="001E06EE" w:rsidRDefault="008C4813" w:rsidP="00986280">
      <w:pPr>
        <w:pStyle w:val="BodyText"/>
        <w:spacing w:line="480" w:lineRule="auto"/>
        <w:jc w:val="both"/>
        <w:rPr>
          <w:rFonts w:ascii="Arial" w:hAnsi="Arial"/>
          <w:sz w:val="24"/>
          <w:szCs w:val="24"/>
        </w:rPr>
      </w:pPr>
      <w:r w:rsidRPr="008C4813">
        <w:rPr>
          <w:rFonts w:ascii="Arial" w:hAnsi="Arial"/>
          <w:sz w:val="24"/>
          <w:szCs w:val="24"/>
          <w:lang w:val="en-GB"/>
        </w:rPr>
        <w:t xml:space="preserve">Madison Cairn (2022) </w:t>
      </w:r>
      <w:r w:rsidRPr="008C4813">
        <w:rPr>
          <w:rFonts w:ascii="Arial" w:hAnsi="Arial"/>
          <w:i/>
          <w:iCs/>
          <w:sz w:val="24"/>
          <w:szCs w:val="24"/>
          <w:lang w:val="en-GB"/>
        </w:rPr>
        <w:t>HOLIDAY INN SUNDERLAND OFFICIALLY OPENS AS PART OF SUNDERLAND’S HUGE REGENERATION PROJECT</w:t>
      </w:r>
      <w:r w:rsidRPr="008C4813">
        <w:rPr>
          <w:rFonts w:ascii="Arial" w:hAnsi="Arial"/>
          <w:sz w:val="24"/>
          <w:szCs w:val="24"/>
          <w:lang w:val="en-GB"/>
        </w:rPr>
        <w:t xml:space="preserve">. Available at:  https://madison-group.co.uk/2022/12/holiday-inn-sunderland-officially-opens-as-part-of-sunderlands-huge-regeneration-project/ (Accessed: 20 </w:t>
      </w:r>
      <w:r>
        <w:rPr>
          <w:rFonts w:ascii="Arial" w:hAnsi="Arial"/>
          <w:sz w:val="24"/>
          <w:szCs w:val="24"/>
          <w:lang w:val="en-GB"/>
        </w:rPr>
        <w:t>May</w:t>
      </w:r>
      <w:r w:rsidRPr="008C4813">
        <w:rPr>
          <w:rFonts w:ascii="Arial" w:hAnsi="Arial"/>
          <w:sz w:val="24"/>
          <w:szCs w:val="24"/>
          <w:lang w:val="en-GB"/>
        </w:rPr>
        <w:t xml:space="preserve"> 2025).</w:t>
      </w:r>
    </w:p>
    <w:p w14:paraId="7785A70E" w14:textId="38A4036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Mar, E. (2024) </w:t>
      </w:r>
      <w:r w:rsidRPr="001E06EE">
        <w:rPr>
          <w:rFonts w:ascii="Arial" w:hAnsi="Arial"/>
          <w:i/>
          <w:iCs/>
          <w:sz w:val="24"/>
          <w:szCs w:val="24"/>
        </w:rPr>
        <w:t>Training Strategies: A Comprehensive Guide</w:t>
      </w:r>
      <w:r w:rsidR="00235C61">
        <w:rPr>
          <w:rFonts w:ascii="Arial" w:hAnsi="Arial"/>
          <w:i/>
          <w:iCs/>
          <w:sz w:val="24"/>
          <w:szCs w:val="24"/>
        </w:rPr>
        <w:t>.</w:t>
      </w:r>
      <w:r w:rsidR="00235C61">
        <w:rPr>
          <w:rFonts w:ascii="Arial" w:hAnsi="Arial"/>
          <w:sz w:val="24"/>
          <w:szCs w:val="24"/>
        </w:rPr>
        <w:t xml:space="preserve"> </w:t>
      </w:r>
      <w:r w:rsidRPr="001E06EE">
        <w:rPr>
          <w:rFonts w:ascii="Arial" w:hAnsi="Arial"/>
          <w:sz w:val="24"/>
          <w:szCs w:val="24"/>
        </w:rPr>
        <w:t xml:space="preserve">Available at: </w:t>
      </w:r>
      <w:hyperlink r:id="rId35" w:history="1">
        <w:r w:rsidR="00235C61" w:rsidRPr="00D111D1">
          <w:rPr>
            <w:rStyle w:val="Hyperlink"/>
            <w:rFonts w:ascii="Arial" w:hAnsi="Arial"/>
            <w:sz w:val="24"/>
            <w:szCs w:val="24"/>
          </w:rPr>
          <w:t>https://safetyculture.com/topics/training-strategies/</w:t>
        </w:r>
      </w:hyperlink>
      <w:r w:rsidR="00235C61">
        <w:rPr>
          <w:rFonts w:ascii="Arial" w:hAnsi="Arial"/>
          <w:sz w:val="24"/>
          <w:szCs w:val="24"/>
        </w:rPr>
        <w:t xml:space="preserve"> (Accessed: 1 June 2025).</w:t>
      </w:r>
    </w:p>
    <w:p w14:paraId="5D66BE71" w14:textId="66F36DDE"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Marshall, C. and Rossman, G.B. (2015) </w:t>
      </w:r>
      <w:r w:rsidRPr="001E06EE">
        <w:rPr>
          <w:rFonts w:ascii="Arial" w:hAnsi="Arial"/>
          <w:i/>
          <w:iCs/>
          <w:sz w:val="24"/>
          <w:szCs w:val="24"/>
        </w:rPr>
        <w:t>Designing Qualitative Research</w:t>
      </w:r>
      <w:r w:rsidRPr="001E06EE">
        <w:rPr>
          <w:rFonts w:ascii="Arial" w:hAnsi="Arial"/>
          <w:sz w:val="24"/>
          <w:szCs w:val="24"/>
        </w:rPr>
        <w:t>. 6th ed. Thousand Oaks (Cal.) Etc.: Sage.</w:t>
      </w:r>
    </w:p>
    <w:p w14:paraId="49A4E6B7" w14:textId="049F04A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Maurer, R. (2024) </w:t>
      </w:r>
      <w:r w:rsidRPr="001E06EE">
        <w:rPr>
          <w:rFonts w:ascii="Arial" w:hAnsi="Arial"/>
          <w:i/>
          <w:iCs/>
          <w:sz w:val="24"/>
          <w:szCs w:val="24"/>
        </w:rPr>
        <w:t>Workers Are Quitting Because of Work/Life Imbalance, Lack of Career Development</w:t>
      </w:r>
      <w:r w:rsidRPr="001E06EE">
        <w:rPr>
          <w:rFonts w:ascii="Arial" w:hAnsi="Arial"/>
          <w:sz w:val="24"/>
          <w:szCs w:val="24"/>
        </w:rPr>
        <w:t>.</w:t>
      </w:r>
      <w:r w:rsidR="00E22531">
        <w:rPr>
          <w:rFonts w:ascii="Arial" w:hAnsi="Arial"/>
          <w:sz w:val="24"/>
          <w:szCs w:val="24"/>
        </w:rPr>
        <w:t xml:space="preserve"> </w:t>
      </w:r>
      <w:r w:rsidRPr="001E06EE">
        <w:rPr>
          <w:rFonts w:ascii="Arial" w:hAnsi="Arial"/>
          <w:sz w:val="24"/>
          <w:szCs w:val="24"/>
        </w:rPr>
        <w:t xml:space="preserve">Available at: </w:t>
      </w:r>
      <w:hyperlink r:id="rId36" w:history="1">
        <w:r w:rsidR="00773537" w:rsidRPr="00D111D1">
          <w:rPr>
            <w:rStyle w:val="Hyperlink"/>
            <w:rFonts w:ascii="Arial" w:hAnsi="Arial"/>
            <w:sz w:val="24"/>
            <w:szCs w:val="24"/>
          </w:rPr>
          <w:t>https://www.shrm.org/topics-tools/news/talent-acquisition/workers-are-quitting-because-work-life-balance-career-development</w:t>
        </w:r>
      </w:hyperlink>
      <w:r w:rsidR="00773537">
        <w:rPr>
          <w:rFonts w:ascii="Arial" w:hAnsi="Arial"/>
          <w:sz w:val="24"/>
          <w:szCs w:val="24"/>
        </w:rPr>
        <w:t xml:space="preserve"> (Accessed: 25 May 2025).</w:t>
      </w:r>
    </w:p>
    <w:p w14:paraId="5633E960" w14:textId="42609E39"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Mazzetti, G. and Schaufeli, W.B. (2022) </w:t>
      </w:r>
      <w:r w:rsidR="00E22531">
        <w:rPr>
          <w:rFonts w:ascii="Arial" w:hAnsi="Arial"/>
          <w:sz w:val="24"/>
          <w:szCs w:val="24"/>
        </w:rPr>
        <w:t>‘</w:t>
      </w:r>
      <w:r w:rsidRPr="001E06EE">
        <w:rPr>
          <w:rFonts w:ascii="Arial" w:hAnsi="Arial"/>
          <w:sz w:val="24"/>
          <w:szCs w:val="24"/>
        </w:rPr>
        <w:t>The Impact of Engaging Leadership on Employee Engagement and Team effectiveness: a longitudinal, multi-level Study on the Mediating Role of personal- and Team Resources</w:t>
      </w:r>
      <w:r w:rsidR="00E22531">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PLOS ONE</w:t>
      </w:r>
      <w:r w:rsidRPr="001E06EE">
        <w:rPr>
          <w:rFonts w:ascii="Arial" w:hAnsi="Arial"/>
          <w:sz w:val="24"/>
          <w:szCs w:val="24"/>
        </w:rPr>
        <w:t>, 17(6), pp.1–25.</w:t>
      </w:r>
    </w:p>
    <w:p w14:paraId="208CDB1F" w14:textId="7574952E"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Mcgivern, Y. (2006) </w:t>
      </w:r>
      <w:r w:rsidRPr="001E06EE">
        <w:rPr>
          <w:rFonts w:ascii="Arial" w:hAnsi="Arial"/>
          <w:i/>
          <w:iCs/>
          <w:sz w:val="24"/>
          <w:szCs w:val="24"/>
        </w:rPr>
        <w:t>The practice of market and social research: an introduction</w:t>
      </w:r>
      <w:r w:rsidRPr="001E06EE">
        <w:rPr>
          <w:rFonts w:ascii="Arial" w:hAnsi="Arial"/>
          <w:sz w:val="24"/>
          <w:szCs w:val="24"/>
        </w:rPr>
        <w:t>. Harlow, England ; New York: Prentice Hall/Financial Times.</w:t>
      </w:r>
    </w:p>
    <w:p w14:paraId="64132C4C" w14:textId="77777777" w:rsidR="003D2F25" w:rsidRDefault="003D2F25" w:rsidP="003D2F25">
      <w:pPr>
        <w:pStyle w:val="BodyText"/>
        <w:spacing w:line="480" w:lineRule="auto"/>
        <w:jc w:val="both"/>
        <w:rPr>
          <w:rFonts w:ascii="Arial" w:hAnsi="Arial"/>
          <w:sz w:val="24"/>
          <w:szCs w:val="24"/>
          <w:lang w:val="en-GB"/>
        </w:rPr>
      </w:pPr>
      <w:bookmarkStart w:id="36" w:name="_Hlk200443397"/>
      <w:r w:rsidRPr="003D2F25">
        <w:rPr>
          <w:rFonts w:ascii="Arial" w:hAnsi="Arial"/>
          <w:sz w:val="24"/>
          <w:szCs w:val="24"/>
          <w:lang w:val="en-GB"/>
        </w:rPr>
        <w:lastRenderedPageBreak/>
        <w:t>Ming, H.C.G., Ming, W.W.P. and Harun, M.Z.M.B. (2021)</w:t>
      </w:r>
      <w:bookmarkEnd w:id="36"/>
      <w:r w:rsidRPr="003D2F25">
        <w:rPr>
          <w:rFonts w:ascii="Arial" w:hAnsi="Arial"/>
          <w:sz w:val="24"/>
          <w:szCs w:val="24"/>
          <w:lang w:val="en-GB"/>
        </w:rPr>
        <w:t xml:space="preserve"> ‘LEADERSHIP STYLES TOWARDS EMPLOYEE RETENTION IN HOTEL INDUSTRY: A STUDY IN SIBU TOWN, SARAWAK’, </w:t>
      </w:r>
      <w:r w:rsidRPr="003D2F25">
        <w:rPr>
          <w:rFonts w:ascii="Arial" w:hAnsi="Arial"/>
          <w:i/>
          <w:iCs/>
          <w:sz w:val="24"/>
          <w:szCs w:val="24"/>
          <w:lang w:val="en-GB"/>
        </w:rPr>
        <w:t>e-Bangi : journal of social sciences and humanities</w:t>
      </w:r>
      <w:r w:rsidRPr="003D2F25">
        <w:rPr>
          <w:rFonts w:ascii="Arial" w:hAnsi="Arial"/>
          <w:sz w:val="24"/>
          <w:szCs w:val="24"/>
          <w:lang w:val="en-GB"/>
        </w:rPr>
        <w:t>, 18(3), pp. 159–177.</w:t>
      </w:r>
    </w:p>
    <w:p w14:paraId="25C4B145" w14:textId="2E7B2C8B" w:rsidR="0085391C" w:rsidRDefault="0085391C" w:rsidP="003D2F25">
      <w:pPr>
        <w:pStyle w:val="BodyText"/>
        <w:spacing w:line="480" w:lineRule="auto"/>
        <w:jc w:val="both"/>
        <w:rPr>
          <w:rFonts w:ascii="Arial" w:hAnsi="Arial"/>
          <w:sz w:val="24"/>
          <w:szCs w:val="24"/>
          <w:lang w:val="en-GB"/>
        </w:rPr>
      </w:pPr>
      <w:bookmarkStart w:id="37" w:name="_Hlk200459316"/>
      <w:r w:rsidRPr="008134E1">
        <w:rPr>
          <w:rFonts w:ascii="Arial" w:hAnsi="Arial"/>
          <w:sz w:val="24"/>
          <w:szCs w:val="24"/>
          <w:lang w:val="en-GB"/>
        </w:rPr>
        <w:t>MIR, R.A. and RASTOGI, E. (2025)</w:t>
      </w:r>
      <w:bookmarkEnd w:id="37"/>
      <w:r w:rsidRPr="008134E1">
        <w:rPr>
          <w:rFonts w:ascii="Arial" w:hAnsi="Arial"/>
          <w:sz w:val="24"/>
          <w:szCs w:val="24"/>
          <w:lang w:val="en-GB"/>
        </w:rPr>
        <w:t xml:space="preserve"> ‘MITIGATING EMPLOYEE TURNOVER IN HOSPITALITY INDUSTRY THROUGH EMOTIONAL INTELLIGENCE: EVIDENCE FROM KASHMIR INDIA’, </w:t>
      </w:r>
      <w:r w:rsidRPr="008134E1">
        <w:rPr>
          <w:rFonts w:ascii="Arial" w:hAnsi="Arial"/>
          <w:i/>
          <w:iCs/>
          <w:sz w:val="24"/>
          <w:szCs w:val="24"/>
          <w:lang w:val="en-GB"/>
        </w:rPr>
        <w:t>GeoJournal of tourism and geosites</w:t>
      </w:r>
      <w:r w:rsidRPr="008134E1">
        <w:rPr>
          <w:rFonts w:ascii="Arial" w:hAnsi="Arial"/>
          <w:sz w:val="24"/>
          <w:szCs w:val="24"/>
          <w:lang w:val="en-GB"/>
        </w:rPr>
        <w:t xml:space="preserve">, 58(1), pp. 475–483. Available at: </w:t>
      </w:r>
      <w:hyperlink r:id="rId37" w:history="1">
        <w:r w:rsidRPr="003724B4">
          <w:rPr>
            <w:rStyle w:val="Hyperlink"/>
            <w:rFonts w:ascii="Arial" w:hAnsi="Arial"/>
            <w:sz w:val="24"/>
            <w:szCs w:val="24"/>
            <w:lang w:val="en-GB"/>
          </w:rPr>
          <w:t>https://doi.org/10.30892/gtg.58144-1429</w:t>
        </w:r>
      </w:hyperlink>
      <w:r w:rsidRPr="008134E1">
        <w:rPr>
          <w:rFonts w:ascii="Arial" w:hAnsi="Arial"/>
          <w:sz w:val="24"/>
          <w:szCs w:val="24"/>
          <w:lang w:val="en-GB"/>
        </w:rPr>
        <w:t>.</w:t>
      </w:r>
    </w:p>
    <w:p w14:paraId="4FA282D5" w14:textId="091E52AD" w:rsidR="003D2F25" w:rsidRPr="001E06EE" w:rsidRDefault="00D46F0D" w:rsidP="00986280">
      <w:pPr>
        <w:pStyle w:val="BodyText"/>
        <w:spacing w:line="480" w:lineRule="auto"/>
        <w:jc w:val="both"/>
        <w:rPr>
          <w:rFonts w:ascii="Arial" w:hAnsi="Arial"/>
          <w:sz w:val="24"/>
          <w:szCs w:val="24"/>
        </w:rPr>
      </w:pPr>
      <w:bookmarkStart w:id="38" w:name="_Hlk200448379"/>
      <w:r w:rsidRPr="00340C01">
        <w:rPr>
          <w:rFonts w:ascii="Arial" w:hAnsi="Arial"/>
          <w:sz w:val="24"/>
          <w:szCs w:val="24"/>
        </w:rPr>
        <w:t xml:space="preserve">Mirić, M. and Slavković, M. (2023) </w:t>
      </w:r>
      <w:bookmarkEnd w:id="38"/>
      <w:r w:rsidRPr="00340C01">
        <w:rPr>
          <w:rFonts w:ascii="Arial" w:hAnsi="Arial"/>
          <w:sz w:val="24"/>
          <w:szCs w:val="24"/>
        </w:rPr>
        <w:t>‘Does training and development affect employee retention in the hotel industry? The mediator role of organizational commitment’, </w:t>
      </w:r>
      <w:r w:rsidRPr="00340C01">
        <w:rPr>
          <w:rFonts w:ascii="Arial" w:hAnsi="Arial"/>
          <w:i/>
          <w:iCs/>
          <w:sz w:val="24"/>
          <w:szCs w:val="24"/>
        </w:rPr>
        <w:t>Menadžment u hotelijerstvu i turizmu</w:t>
      </w:r>
      <w:r w:rsidRPr="00340C01">
        <w:rPr>
          <w:rFonts w:ascii="Arial" w:hAnsi="Arial"/>
          <w:sz w:val="24"/>
          <w:szCs w:val="24"/>
        </w:rPr>
        <w:t xml:space="preserve">, 11(1), pp. 51–65. Available at: </w:t>
      </w:r>
      <w:hyperlink r:id="rId38" w:history="1">
        <w:r w:rsidRPr="00A5197C">
          <w:rPr>
            <w:rStyle w:val="Hyperlink"/>
            <w:rFonts w:ascii="Arial" w:hAnsi="Arial"/>
            <w:sz w:val="24"/>
            <w:szCs w:val="24"/>
          </w:rPr>
          <w:t>https://doi.org/10.5937/menhottur2301051M</w:t>
        </w:r>
      </w:hyperlink>
      <w:r w:rsidRPr="00340C01">
        <w:rPr>
          <w:rFonts w:ascii="Arial" w:hAnsi="Arial"/>
          <w:sz w:val="24"/>
          <w:szCs w:val="24"/>
        </w:rPr>
        <w:t>.</w:t>
      </w:r>
    </w:p>
    <w:p w14:paraId="796A7A2D" w14:textId="0A580837"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Mohammed, R. and Hussein, A. (2013)</w:t>
      </w:r>
      <w:r w:rsidRPr="001E06EE">
        <w:rPr>
          <w:rFonts w:ascii="Arial" w:hAnsi="Arial"/>
          <w:i/>
          <w:iCs/>
          <w:sz w:val="24"/>
          <w:szCs w:val="24"/>
        </w:rPr>
        <w:t xml:space="preserve"> Communication Climate and Organizational Performances</w:t>
      </w:r>
      <w:r w:rsidRPr="001E06EE">
        <w:rPr>
          <w:rFonts w:ascii="Arial" w:hAnsi="Arial"/>
          <w:sz w:val="24"/>
          <w:szCs w:val="24"/>
        </w:rPr>
        <w:t>.</w:t>
      </w:r>
      <w:r w:rsidR="008D2E59">
        <w:rPr>
          <w:rFonts w:ascii="Arial" w:hAnsi="Arial"/>
          <w:sz w:val="24"/>
          <w:szCs w:val="24"/>
        </w:rPr>
        <w:t xml:space="preserve"> </w:t>
      </w:r>
      <w:r w:rsidRPr="001E06EE">
        <w:rPr>
          <w:rFonts w:ascii="Arial" w:hAnsi="Arial"/>
          <w:sz w:val="24"/>
          <w:szCs w:val="24"/>
        </w:rPr>
        <w:t xml:space="preserve">Available at: </w:t>
      </w:r>
      <w:hyperlink r:id="rId39" w:history="1">
        <w:r w:rsidR="00001BCB" w:rsidRPr="00E57075">
          <w:rPr>
            <w:rStyle w:val="Hyperlink"/>
            <w:rFonts w:ascii="Arial" w:hAnsi="Arial"/>
            <w:sz w:val="24"/>
            <w:szCs w:val="24"/>
          </w:rPr>
          <w:t>https://www.researchgate.net/publication/236133199_Communication_Climate_and_Organizational_Performances</w:t>
        </w:r>
      </w:hyperlink>
      <w:r w:rsidR="002174E9">
        <w:rPr>
          <w:rFonts w:ascii="Arial" w:hAnsi="Arial"/>
          <w:sz w:val="24"/>
          <w:szCs w:val="24"/>
        </w:rPr>
        <w:t xml:space="preserve"> (Accessed: 29 May 2025).</w:t>
      </w:r>
    </w:p>
    <w:p w14:paraId="71E741D7" w14:textId="5747FDFE" w:rsidR="00001BCB" w:rsidRPr="00001BCB" w:rsidRDefault="00001BCB" w:rsidP="00773537">
      <w:pPr>
        <w:pStyle w:val="BodyText"/>
        <w:spacing w:line="480" w:lineRule="auto"/>
        <w:jc w:val="both"/>
        <w:rPr>
          <w:rFonts w:ascii="Arial" w:hAnsi="Arial"/>
          <w:sz w:val="24"/>
          <w:szCs w:val="24"/>
          <w:lang w:val="en-GB"/>
        </w:rPr>
      </w:pPr>
      <w:r w:rsidRPr="00001BCB">
        <w:rPr>
          <w:rFonts w:ascii="Arial" w:hAnsi="Arial"/>
          <w:sz w:val="24"/>
          <w:szCs w:val="24"/>
          <w:lang w:val="en-GB"/>
        </w:rPr>
        <w:t xml:space="preserve">Mullins, L.J. and Dossor, P. (2013) </w:t>
      </w:r>
      <w:r w:rsidRPr="00001BCB">
        <w:rPr>
          <w:rFonts w:ascii="Arial" w:hAnsi="Arial"/>
          <w:i/>
          <w:iCs/>
          <w:sz w:val="24"/>
          <w:szCs w:val="24"/>
          <w:lang w:val="en-GB"/>
        </w:rPr>
        <w:t>Hospitality management and organisational behaviour</w:t>
      </w:r>
      <w:r w:rsidRPr="00001BCB">
        <w:rPr>
          <w:rFonts w:ascii="Arial" w:hAnsi="Arial"/>
          <w:sz w:val="24"/>
          <w:szCs w:val="24"/>
          <w:lang w:val="en-GB"/>
        </w:rPr>
        <w:t>. Fifth edition. Harlow, England: Pearson.</w:t>
      </w:r>
    </w:p>
    <w:p w14:paraId="04DE0A56" w14:textId="67D0915E"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Newman, A., Ferrer, J., Andresen, M. and Zhang, Y. (</w:t>
      </w:r>
      <w:r w:rsidR="002F5278" w:rsidRPr="001E06EE">
        <w:rPr>
          <w:rFonts w:ascii="Arial" w:hAnsi="Arial"/>
          <w:sz w:val="24"/>
          <w:szCs w:val="24"/>
        </w:rPr>
        <w:t>2023)</w:t>
      </w:r>
      <w:r w:rsidR="002F5278">
        <w:rPr>
          <w:rFonts w:ascii="Arial" w:hAnsi="Arial"/>
          <w:sz w:val="24"/>
          <w:szCs w:val="24"/>
        </w:rPr>
        <w:t xml:space="preserve"> ‘</w:t>
      </w:r>
      <w:r w:rsidRPr="001E06EE">
        <w:rPr>
          <w:rFonts w:ascii="Arial" w:hAnsi="Arial"/>
          <w:sz w:val="24"/>
          <w:szCs w:val="24"/>
        </w:rPr>
        <w:t>Human resource management in times of crisis: what have we learnt from the recent pandemic?</w:t>
      </w:r>
      <w:r w:rsidR="002F5278">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The International Journal of Human Resource Management</w:t>
      </w:r>
      <w:r w:rsidRPr="001E06EE">
        <w:rPr>
          <w:rFonts w:ascii="Arial" w:hAnsi="Arial"/>
          <w:sz w:val="24"/>
          <w:szCs w:val="24"/>
        </w:rPr>
        <w:t>, 34(15), pp.1–19. https://doi.org/10.1080/09585192.2023.2229100.</w:t>
      </w:r>
    </w:p>
    <w:p w14:paraId="553F2DA1" w14:textId="3A8FC114"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Nickerson, C. (2025) </w:t>
      </w:r>
      <w:r w:rsidRPr="001E06EE">
        <w:rPr>
          <w:rFonts w:ascii="Arial" w:hAnsi="Arial"/>
          <w:i/>
          <w:iCs/>
          <w:sz w:val="24"/>
          <w:szCs w:val="24"/>
        </w:rPr>
        <w:t>Herzberg’s two-factor Theory of motivation-hygiene</w:t>
      </w:r>
      <w:r w:rsidRPr="001E06EE">
        <w:rPr>
          <w:rFonts w:ascii="Arial" w:hAnsi="Arial"/>
          <w:sz w:val="24"/>
          <w:szCs w:val="24"/>
        </w:rPr>
        <w:t>.</w:t>
      </w:r>
      <w:r w:rsidR="00CE0704">
        <w:rPr>
          <w:rFonts w:ascii="Arial" w:hAnsi="Arial"/>
          <w:sz w:val="24"/>
          <w:szCs w:val="24"/>
        </w:rPr>
        <w:t xml:space="preserve"> </w:t>
      </w:r>
      <w:r w:rsidRPr="001E06EE">
        <w:rPr>
          <w:rFonts w:ascii="Arial" w:hAnsi="Arial"/>
          <w:sz w:val="24"/>
          <w:szCs w:val="24"/>
        </w:rPr>
        <w:t xml:space="preserve"> Available at: </w:t>
      </w:r>
      <w:hyperlink r:id="rId40" w:history="1">
        <w:r w:rsidR="00CE0704" w:rsidRPr="00D111D1">
          <w:rPr>
            <w:rStyle w:val="Hyperlink"/>
            <w:rFonts w:ascii="Arial" w:hAnsi="Arial"/>
            <w:sz w:val="24"/>
            <w:szCs w:val="24"/>
          </w:rPr>
          <w:t>https://www.simplypsychology.org/herzbergs-two-factor-theory.html</w:t>
        </w:r>
      </w:hyperlink>
      <w:r w:rsidR="00CE0704">
        <w:rPr>
          <w:rFonts w:ascii="Arial" w:hAnsi="Arial"/>
          <w:sz w:val="24"/>
          <w:szCs w:val="24"/>
        </w:rPr>
        <w:t xml:space="preserve"> (Accessed: 28 May 2025).</w:t>
      </w:r>
    </w:p>
    <w:p w14:paraId="73C64FA7" w14:textId="678A676E"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Office for National Statistics (2024) </w:t>
      </w:r>
      <w:r w:rsidRPr="001E06EE">
        <w:rPr>
          <w:rFonts w:ascii="Arial" w:hAnsi="Arial"/>
          <w:i/>
          <w:iCs/>
          <w:sz w:val="24"/>
          <w:szCs w:val="24"/>
        </w:rPr>
        <w:t>ONS Local: Jobs in the hospitality industry in London and all other regions of the UK, 2010 to 2023</w:t>
      </w:r>
      <w:r w:rsidRPr="001E06EE">
        <w:rPr>
          <w:rFonts w:ascii="Arial" w:hAnsi="Arial"/>
          <w:sz w:val="24"/>
          <w:szCs w:val="24"/>
        </w:rPr>
        <w:t>.</w:t>
      </w:r>
      <w:r w:rsidR="00001BCB">
        <w:rPr>
          <w:rFonts w:ascii="Arial" w:hAnsi="Arial"/>
          <w:sz w:val="24"/>
          <w:szCs w:val="24"/>
        </w:rPr>
        <w:t xml:space="preserve"> </w:t>
      </w:r>
      <w:r w:rsidRPr="001E06EE">
        <w:rPr>
          <w:rFonts w:ascii="Arial" w:hAnsi="Arial"/>
          <w:sz w:val="24"/>
          <w:szCs w:val="24"/>
        </w:rPr>
        <w:t xml:space="preserve">Available at: </w:t>
      </w:r>
      <w:hyperlink r:id="rId41" w:history="1">
        <w:r w:rsidR="0039458A" w:rsidRPr="00E57075">
          <w:rPr>
            <w:rStyle w:val="Hyperlink"/>
            <w:rFonts w:ascii="Arial" w:hAnsi="Arial"/>
            <w:sz w:val="24"/>
            <w:szCs w:val="24"/>
          </w:rPr>
          <w:t>https://www.ons.gov.uk/employmentandlabourmarket/peopleinwork/employmentandemployeetypes/adhocs/2327onslocaljobsinthehospitalityindustryinlondonandallotherregionsoftheuk2010to2023</w:t>
        </w:r>
      </w:hyperlink>
      <w:r w:rsidR="0039458A">
        <w:rPr>
          <w:rFonts w:ascii="Arial" w:hAnsi="Arial"/>
          <w:sz w:val="24"/>
          <w:szCs w:val="24"/>
        </w:rPr>
        <w:t xml:space="preserve"> (Accessed: 15 May 2025). </w:t>
      </w:r>
    </w:p>
    <w:p w14:paraId="19EAB587" w14:textId="69241976"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Ogu, S.J. (2024) </w:t>
      </w:r>
      <w:r w:rsidR="002F5278">
        <w:rPr>
          <w:rFonts w:ascii="Arial" w:hAnsi="Arial"/>
          <w:sz w:val="24"/>
          <w:szCs w:val="24"/>
        </w:rPr>
        <w:t>‘</w:t>
      </w:r>
      <w:r w:rsidRPr="001E06EE">
        <w:rPr>
          <w:rFonts w:ascii="Arial" w:hAnsi="Arial"/>
          <w:sz w:val="24"/>
          <w:szCs w:val="24"/>
        </w:rPr>
        <w:t>Employee participation in decision-making and organizational commitment: A study of modern organizations</w:t>
      </w:r>
      <w:r w:rsidR="002F5278">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Commerce Management and Tourism Studies</w:t>
      </w:r>
      <w:r w:rsidRPr="001E06EE">
        <w:rPr>
          <w:rFonts w:ascii="Arial" w:hAnsi="Arial"/>
          <w:sz w:val="24"/>
          <w:szCs w:val="24"/>
        </w:rPr>
        <w:t>,</w:t>
      </w:r>
      <w:r w:rsidR="004D5C97">
        <w:rPr>
          <w:rFonts w:ascii="Arial" w:hAnsi="Arial"/>
          <w:sz w:val="24"/>
          <w:szCs w:val="24"/>
        </w:rPr>
        <w:t xml:space="preserve"> </w:t>
      </w:r>
      <w:r w:rsidRPr="001E06EE">
        <w:rPr>
          <w:rFonts w:ascii="Arial" w:hAnsi="Arial"/>
          <w:sz w:val="24"/>
          <w:szCs w:val="24"/>
        </w:rPr>
        <w:t xml:space="preserve">3(1), pp.55–64. Available at: </w:t>
      </w:r>
      <w:hyperlink r:id="rId42" w:history="1">
        <w:r w:rsidR="001A60CF" w:rsidRPr="00D111D1">
          <w:rPr>
            <w:rStyle w:val="Hyperlink"/>
            <w:rFonts w:ascii="Arial" w:hAnsi="Arial"/>
            <w:sz w:val="24"/>
            <w:szCs w:val="24"/>
          </w:rPr>
          <w:t>https://www.researchgate.net/publication/385487184_Employee_participation_in_decision-making_and_organizational_commitment_A_study_of_modern_organizations</w:t>
        </w:r>
      </w:hyperlink>
      <w:r w:rsidRPr="001E06EE">
        <w:rPr>
          <w:rFonts w:ascii="Arial" w:hAnsi="Arial"/>
          <w:sz w:val="24"/>
          <w:szCs w:val="24"/>
        </w:rPr>
        <w:t>.</w:t>
      </w:r>
    </w:p>
    <w:p w14:paraId="57872314" w14:textId="120CCB6C" w:rsidR="001A60CF" w:rsidRPr="001A60CF" w:rsidRDefault="001A60CF" w:rsidP="00986280">
      <w:pPr>
        <w:pStyle w:val="BodyText"/>
        <w:spacing w:line="480" w:lineRule="auto"/>
        <w:jc w:val="both"/>
        <w:rPr>
          <w:rFonts w:ascii="Arial" w:hAnsi="Arial"/>
          <w:sz w:val="24"/>
          <w:szCs w:val="24"/>
          <w:lang w:val="en-GB"/>
        </w:rPr>
      </w:pPr>
      <w:bookmarkStart w:id="39" w:name="_Hlk200449961"/>
      <w:r w:rsidRPr="001A60CF">
        <w:rPr>
          <w:rFonts w:ascii="Arial" w:hAnsi="Arial"/>
          <w:sz w:val="24"/>
          <w:szCs w:val="24"/>
          <w:lang w:val="en-GB"/>
        </w:rPr>
        <w:t xml:space="preserve">Park, J. and Min, H. (Kelly) (2020) </w:t>
      </w:r>
      <w:bookmarkEnd w:id="39"/>
      <w:r w:rsidRPr="001A60CF">
        <w:rPr>
          <w:rFonts w:ascii="Arial" w:hAnsi="Arial"/>
          <w:sz w:val="24"/>
          <w:szCs w:val="24"/>
          <w:lang w:val="en-GB"/>
        </w:rPr>
        <w:t xml:space="preserve">‘Turnover intention in the hospitality industry: A meta-analysis’, </w:t>
      </w:r>
      <w:r w:rsidRPr="001A60CF">
        <w:rPr>
          <w:rFonts w:ascii="Arial" w:hAnsi="Arial"/>
          <w:i/>
          <w:iCs/>
          <w:sz w:val="24"/>
          <w:szCs w:val="24"/>
          <w:lang w:val="en-GB"/>
        </w:rPr>
        <w:t xml:space="preserve">International journal of </w:t>
      </w:r>
      <w:r w:rsidR="00C822AC">
        <w:rPr>
          <w:rFonts w:ascii="Arial" w:hAnsi="Arial"/>
          <w:i/>
          <w:iCs/>
          <w:sz w:val="24"/>
          <w:szCs w:val="24"/>
          <w:lang w:val="en-GB"/>
        </w:rPr>
        <w:t>Hospitality Management</w:t>
      </w:r>
      <w:r w:rsidRPr="001A60CF">
        <w:rPr>
          <w:rFonts w:ascii="Arial" w:hAnsi="Arial"/>
          <w:sz w:val="24"/>
          <w:szCs w:val="24"/>
          <w:lang w:val="en-GB"/>
        </w:rPr>
        <w:t xml:space="preserve">, 90. Available at: </w:t>
      </w:r>
      <w:hyperlink r:id="rId43" w:history="1">
        <w:r w:rsidRPr="001A60CF">
          <w:rPr>
            <w:rStyle w:val="Hyperlink"/>
            <w:rFonts w:ascii="Arial" w:hAnsi="Arial"/>
            <w:sz w:val="24"/>
            <w:szCs w:val="24"/>
            <w:lang w:val="en-GB"/>
          </w:rPr>
          <w:t>https://doi.org/10.1016/j.ijhm.2020.102599</w:t>
        </w:r>
      </w:hyperlink>
      <w:r w:rsidRPr="001A60CF">
        <w:rPr>
          <w:rFonts w:ascii="Arial" w:hAnsi="Arial"/>
          <w:sz w:val="24"/>
          <w:szCs w:val="24"/>
          <w:lang w:val="en-GB"/>
        </w:rPr>
        <w:t>.</w:t>
      </w:r>
    </w:p>
    <w:p w14:paraId="5C42B942" w14:textId="798DF75F"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Peek, S. (2020) </w:t>
      </w:r>
      <w:r w:rsidRPr="001E06EE">
        <w:rPr>
          <w:rFonts w:ascii="Arial" w:hAnsi="Arial"/>
          <w:i/>
          <w:iCs/>
          <w:sz w:val="24"/>
          <w:szCs w:val="24"/>
        </w:rPr>
        <w:t>Why Employees Quit (and How to Reduce Turnover Rates)</w:t>
      </w:r>
      <w:r w:rsidRPr="001E06EE">
        <w:rPr>
          <w:rFonts w:ascii="Arial" w:hAnsi="Arial"/>
          <w:sz w:val="24"/>
          <w:szCs w:val="24"/>
        </w:rPr>
        <w:t xml:space="preserve">. Available at: </w:t>
      </w:r>
      <w:hyperlink r:id="rId44" w:history="1">
        <w:r w:rsidR="004D5C97" w:rsidRPr="00E57075">
          <w:rPr>
            <w:rStyle w:val="Hyperlink"/>
            <w:rFonts w:ascii="Arial" w:hAnsi="Arial"/>
            <w:sz w:val="24"/>
            <w:szCs w:val="24"/>
          </w:rPr>
          <w:t>https://www.business.com/articles/reasons-employees-quit/</w:t>
        </w:r>
      </w:hyperlink>
      <w:r w:rsidR="004D5C97">
        <w:rPr>
          <w:rFonts w:ascii="Arial" w:hAnsi="Arial"/>
          <w:sz w:val="24"/>
          <w:szCs w:val="24"/>
        </w:rPr>
        <w:t xml:space="preserve"> (Accessed: 15 May 2025).</w:t>
      </w:r>
    </w:p>
    <w:p w14:paraId="06CA022E" w14:textId="4BE0F47C"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Perna, M.C. (</w:t>
      </w:r>
      <w:r w:rsidR="00B2038F" w:rsidRPr="001E06EE">
        <w:rPr>
          <w:rFonts w:ascii="Arial" w:hAnsi="Arial"/>
          <w:sz w:val="24"/>
          <w:szCs w:val="24"/>
        </w:rPr>
        <w:t xml:space="preserve">2024) </w:t>
      </w:r>
      <w:r w:rsidR="00B2038F">
        <w:rPr>
          <w:rFonts w:ascii="Arial" w:hAnsi="Arial"/>
          <w:sz w:val="24"/>
          <w:szCs w:val="24"/>
        </w:rPr>
        <w:t>‘</w:t>
      </w:r>
      <w:r w:rsidRPr="00B2038F">
        <w:rPr>
          <w:rFonts w:ascii="Arial" w:hAnsi="Arial"/>
          <w:i/>
          <w:iCs/>
          <w:sz w:val="24"/>
          <w:szCs w:val="24"/>
        </w:rPr>
        <w:t>Valued And Seen’: Why Belonging Is The Most Essential Feeling At Work.</w:t>
      </w:r>
      <w:r w:rsidR="00B2038F">
        <w:rPr>
          <w:rFonts w:ascii="Arial" w:hAnsi="Arial"/>
          <w:sz w:val="24"/>
          <w:szCs w:val="24"/>
        </w:rPr>
        <w:t xml:space="preserve"> </w:t>
      </w:r>
      <w:r w:rsidRPr="001E06EE">
        <w:rPr>
          <w:rFonts w:ascii="Arial" w:hAnsi="Arial"/>
          <w:sz w:val="24"/>
          <w:szCs w:val="24"/>
        </w:rPr>
        <w:t xml:space="preserve">Available at: </w:t>
      </w:r>
      <w:hyperlink r:id="rId45" w:history="1">
        <w:r w:rsidR="00B2038F" w:rsidRPr="00E57075">
          <w:rPr>
            <w:rStyle w:val="Hyperlink"/>
            <w:rFonts w:ascii="Arial" w:hAnsi="Arial"/>
            <w:sz w:val="24"/>
            <w:szCs w:val="24"/>
          </w:rPr>
          <w:t>https://www.forbes.com/sites/markcperna/2021/06/15/valued-and-seen-why-belonging-is-the-most-essential-feeling-at-work/</w:t>
        </w:r>
      </w:hyperlink>
      <w:r w:rsidR="00B2038F">
        <w:rPr>
          <w:rFonts w:ascii="Arial" w:hAnsi="Arial"/>
          <w:sz w:val="24"/>
          <w:szCs w:val="24"/>
        </w:rPr>
        <w:t xml:space="preserve"> (Accessed: 14 May 2025).</w:t>
      </w:r>
    </w:p>
    <w:p w14:paraId="0EC25317" w14:textId="1BFFDF38"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Pettit, K., Balogun, J. and Bennett, M. (</w:t>
      </w:r>
      <w:r w:rsidR="00A7086B" w:rsidRPr="001E06EE">
        <w:rPr>
          <w:rFonts w:ascii="Arial" w:hAnsi="Arial"/>
          <w:sz w:val="24"/>
          <w:szCs w:val="24"/>
        </w:rPr>
        <w:t>2023)</w:t>
      </w:r>
      <w:r w:rsidR="00361CA4">
        <w:rPr>
          <w:rFonts w:ascii="Arial" w:hAnsi="Arial"/>
          <w:sz w:val="24"/>
          <w:szCs w:val="24"/>
        </w:rPr>
        <w:t xml:space="preserve"> </w:t>
      </w:r>
      <w:r w:rsidR="00A7086B">
        <w:rPr>
          <w:rFonts w:ascii="Arial" w:hAnsi="Arial"/>
          <w:sz w:val="24"/>
          <w:szCs w:val="24"/>
        </w:rPr>
        <w:t>‘</w:t>
      </w:r>
      <w:r w:rsidRPr="001E06EE">
        <w:rPr>
          <w:rFonts w:ascii="Arial" w:hAnsi="Arial"/>
          <w:sz w:val="24"/>
          <w:szCs w:val="24"/>
        </w:rPr>
        <w:t>Transforming Visions into Actions: Strategic change as a future-making process</w:t>
      </w:r>
      <w:r w:rsidR="002F274F">
        <w:rPr>
          <w:rFonts w:ascii="Arial" w:hAnsi="Arial"/>
          <w:sz w:val="24"/>
          <w:szCs w:val="24"/>
        </w:rPr>
        <w:t>’,</w:t>
      </w:r>
      <w:r w:rsidRPr="001E06EE">
        <w:rPr>
          <w:rFonts w:ascii="Arial" w:hAnsi="Arial"/>
          <w:sz w:val="24"/>
          <w:szCs w:val="24"/>
        </w:rPr>
        <w:t xml:space="preserve"> </w:t>
      </w:r>
      <w:r w:rsidR="00AC7B77">
        <w:rPr>
          <w:rFonts w:ascii="Arial" w:hAnsi="Arial"/>
          <w:i/>
          <w:iCs/>
          <w:sz w:val="24"/>
          <w:szCs w:val="24"/>
        </w:rPr>
        <w:t>Organisation</w:t>
      </w:r>
      <w:r w:rsidRPr="001E06EE">
        <w:rPr>
          <w:rFonts w:ascii="Arial" w:hAnsi="Arial"/>
          <w:i/>
          <w:iCs/>
          <w:sz w:val="24"/>
          <w:szCs w:val="24"/>
        </w:rPr>
        <w:t xml:space="preserve"> Studies</w:t>
      </w:r>
      <w:r w:rsidRPr="001E06EE">
        <w:rPr>
          <w:rFonts w:ascii="Arial" w:hAnsi="Arial"/>
          <w:sz w:val="24"/>
          <w:szCs w:val="24"/>
        </w:rPr>
        <w:t>, 44(11), p.017084062311718-017084062311718.https://doi.org/10.1177/01708406231171889.</w:t>
      </w:r>
    </w:p>
    <w:p w14:paraId="4FFA4B8F" w14:textId="4E6C591D"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Prevue (2024) </w:t>
      </w:r>
      <w:r w:rsidRPr="001E06EE">
        <w:rPr>
          <w:rFonts w:ascii="Arial" w:hAnsi="Arial"/>
          <w:i/>
          <w:iCs/>
          <w:sz w:val="24"/>
          <w:szCs w:val="24"/>
        </w:rPr>
        <w:t xml:space="preserve">The impact of </w:t>
      </w:r>
      <w:r w:rsidR="00AC7B77">
        <w:rPr>
          <w:rFonts w:ascii="Arial" w:hAnsi="Arial"/>
          <w:i/>
          <w:iCs/>
          <w:sz w:val="24"/>
          <w:szCs w:val="24"/>
        </w:rPr>
        <w:t>organisational</w:t>
      </w:r>
      <w:r w:rsidRPr="001E06EE">
        <w:rPr>
          <w:rFonts w:ascii="Arial" w:hAnsi="Arial"/>
          <w:i/>
          <w:iCs/>
          <w:sz w:val="24"/>
          <w:szCs w:val="24"/>
        </w:rPr>
        <w:t xml:space="preserve"> culture: fostering collaboration, engagement, and company success</w:t>
      </w:r>
      <w:r w:rsidR="006022B5">
        <w:rPr>
          <w:rFonts w:ascii="Arial" w:hAnsi="Arial"/>
          <w:sz w:val="24"/>
          <w:szCs w:val="24"/>
        </w:rPr>
        <w:t xml:space="preserve">. </w:t>
      </w:r>
      <w:r w:rsidRPr="001E06EE">
        <w:rPr>
          <w:rFonts w:ascii="Arial" w:hAnsi="Arial"/>
          <w:sz w:val="24"/>
          <w:szCs w:val="24"/>
        </w:rPr>
        <w:t xml:space="preserve">Available at: </w:t>
      </w:r>
      <w:hyperlink r:id="rId46" w:history="1">
        <w:r w:rsidR="006022B5" w:rsidRPr="00E57075">
          <w:rPr>
            <w:rStyle w:val="Hyperlink"/>
            <w:rFonts w:ascii="Arial" w:hAnsi="Arial"/>
            <w:sz w:val="24"/>
            <w:szCs w:val="24"/>
          </w:rPr>
          <w:t>https://prevuehr.com/resources/insights/impact-organizational-culture-fostering-collaboration-engagement-company-success/</w:t>
        </w:r>
      </w:hyperlink>
      <w:r w:rsidR="006022B5">
        <w:rPr>
          <w:rFonts w:ascii="Arial" w:hAnsi="Arial"/>
          <w:sz w:val="24"/>
          <w:szCs w:val="24"/>
        </w:rPr>
        <w:t xml:space="preserve"> (Accessed: 1 June 2025).</w:t>
      </w:r>
    </w:p>
    <w:p w14:paraId="50317B40" w14:textId="339CA970"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Ramuni, L. (2021) </w:t>
      </w:r>
      <w:r w:rsidRPr="001E06EE">
        <w:rPr>
          <w:rFonts w:ascii="Arial" w:hAnsi="Arial"/>
          <w:i/>
          <w:iCs/>
          <w:sz w:val="24"/>
          <w:szCs w:val="24"/>
        </w:rPr>
        <w:t>Coronavirus and its impact on UK hospitality - Office for National Statistics</w:t>
      </w:r>
      <w:r w:rsidRPr="001E06EE">
        <w:rPr>
          <w:rFonts w:ascii="Arial" w:hAnsi="Arial"/>
          <w:sz w:val="24"/>
          <w:szCs w:val="24"/>
        </w:rPr>
        <w:t>.</w:t>
      </w:r>
      <w:r w:rsidR="00B97D99">
        <w:rPr>
          <w:rFonts w:ascii="Arial" w:hAnsi="Arial"/>
          <w:sz w:val="24"/>
          <w:szCs w:val="24"/>
        </w:rPr>
        <w:t xml:space="preserve"> </w:t>
      </w:r>
      <w:r w:rsidRPr="001E06EE">
        <w:rPr>
          <w:rFonts w:ascii="Arial" w:hAnsi="Arial"/>
          <w:sz w:val="24"/>
          <w:szCs w:val="24"/>
        </w:rPr>
        <w:t xml:space="preserve">Available at: </w:t>
      </w:r>
      <w:hyperlink r:id="rId47" w:history="1">
        <w:r w:rsidR="001E6336" w:rsidRPr="00E57075">
          <w:rPr>
            <w:rStyle w:val="Hyperlink"/>
            <w:rFonts w:ascii="Arial" w:hAnsi="Arial"/>
            <w:sz w:val="24"/>
            <w:szCs w:val="24"/>
          </w:rPr>
          <w:t>https://www.ons.gov.uk/businessindustryandtrade/business/activitysizeandlocation/articles/coronavirusanditsimpactonukhospitality/january2020tojune2021</w:t>
        </w:r>
      </w:hyperlink>
      <w:r w:rsidR="00B97D99">
        <w:rPr>
          <w:rFonts w:ascii="Arial" w:hAnsi="Arial"/>
          <w:sz w:val="24"/>
          <w:szCs w:val="24"/>
        </w:rPr>
        <w:t xml:space="preserve"> (Accessed: 20 May 2025).</w:t>
      </w:r>
    </w:p>
    <w:p w14:paraId="7E32FD0C" w14:textId="6127ACBD" w:rsidR="001E6336" w:rsidRPr="001E6336" w:rsidRDefault="001E6336" w:rsidP="00986280">
      <w:pPr>
        <w:pStyle w:val="BodyText"/>
        <w:spacing w:line="480" w:lineRule="auto"/>
        <w:jc w:val="both"/>
        <w:rPr>
          <w:rFonts w:ascii="Arial" w:hAnsi="Arial"/>
          <w:sz w:val="24"/>
          <w:szCs w:val="24"/>
          <w:lang w:val="en-GB"/>
        </w:rPr>
      </w:pPr>
      <w:r w:rsidRPr="001E6336">
        <w:rPr>
          <w:rFonts w:ascii="Arial" w:hAnsi="Arial"/>
          <w:sz w:val="24"/>
          <w:szCs w:val="24"/>
          <w:lang w:val="en-GB"/>
        </w:rPr>
        <w:t xml:space="preserve">Robinson, R.N.S. </w:t>
      </w:r>
      <w:r w:rsidRPr="001E6336">
        <w:rPr>
          <w:rFonts w:ascii="Arial" w:hAnsi="Arial"/>
          <w:i/>
          <w:iCs/>
          <w:sz w:val="24"/>
          <w:szCs w:val="24"/>
          <w:lang w:val="en-GB"/>
        </w:rPr>
        <w:t>et al.</w:t>
      </w:r>
      <w:r w:rsidRPr="001E6336">
        <w:rPr>
          <w:rFonts w:ascii="Arial" w:hAnsi="Arial"/>
          <w:sz w:val="24"/>
          <w:szCs w:val="24"/>
          <w:lang w:val="en-GB"/>
        </w:rPr>
        <w:t xml:space="preserve"> (2014) ‘Thinking job embeddedness not turnover: Towards a better understanding of frontline hotel worker retention’, </w:t>
      </w:r>
      <w:r w:rsidRPr="001E6336">
        <w:rPr>
          <w:rFonts w:ascii="Arial" w:hAnsi="Arial"/>
          <w:i/>
          <w:iCs/>
          <w:sz w:val="24"/>
          <w:szCs w:val="24"/>
          <w:lang w:val="en-GB"/>
        </w:rPr>
        <w:t xml:space="preserve">International </w:t>
      </w:r>
      <w:r>
        <w:rPr>
          <w:rFonts w:ascii="Arial" w:hAnsi="Arial"/>
          <w:i/>
          <w:iCs/>
          <w:sz w:val="24"/>
          <w:szCs w:val="24"/>
          <w:lang w:val="en-GB"/>
        </w:rPr>
        <w:t>Journal</w:t>
      </w:r>
      <w:r w:rsidRPr="001E6336">
        <w:rPr>
          <w:rFonts w:ascii="Arial" w:hAnsi="Arial"/>
          <w:i/>
          <w:iCs/>
          <w:sz w:val="24"/>
          <w:szCs w:val="24"/>
          <w:lang w:val="en-GB"/>
        </w:rPr>
        <w:t xml:space="preserve"> of </w:t>
      </w:r>
      <w:r>
        <w:rPr>
          <w:rFonts w:ascii="Arial" w:hAnsi="Arial"/>
          <w:i/>
          <w:iCs/>
          <w:sz w:val="24"/>
          <w:szCs w:val="24"/>
          <w:lang w:val="en-GB"/>
        </w:rPr>
        <w:t>Hospitality Management</w:t>
      </w:r>
      <w:r w:rsidRPr="001E6336">
        <w:rPr>
          <w:rFonts w:ascii="Arial" w:hAnsi="Arial"/>
          <w:sz w:val="24"/>
          <w:szCs w:val="24"/>
          <w:lang w:val="en-GB"/>
        </w:rPr>
        <w:t>, 36, pp. 101–109. Available at: https://doi.org/10.1016/j.ijhm.2013.08.008.</w:t>
      </w:r>
    </w:p>
    <w:p w14:paraId="155218F9" w14:textId="47970C58"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Robson, C. and McCartan, K. (2016)</w:t>
      </w:r>
      <w:r w:rsidR="002F274F">
        <w:rPr>
          <w:rFonts w:ascii="Arial" w:hAnsi="Arial"/>
          <w:sz w:val="24"/>
          <w:szCs w:val="24"/>
        </w:rPr>
        <w:t xml:space="preserve"> </w:t>
      </w:r>
      <w:r w:rsidRPr="001E06EE">
        <w:rPr>
          <w:rFonts w:ascii="Arial" w:hAnsi="Arial"/>
          <w:i/>
          <w:iCs/>
          <w:sz w:val="24"/>
          <w:szCs w:val="24"/>
        </w:rPr>
        <w:t>Real World Research</w:t>
      </w:r>
      <w:r w:rsidRPr="001E06EE">
        <w:rPr>
          <w:rFonts w:ascii="Arial" w:hAnsi="Arial"/>
          <w:sz w:val="24"/>
          <w:szCs w:val="24"/>
        </w:rPr>
        <w:t>. 4th ed. Chichester: Wiley.</w:t>
      </w:r>
    </w:p>
    <w:p w14:paraId="0994D051" w14:textId="66CEB4D0"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Rousseau, D.M. (2004)</w:t>
      </w:r>
      <w:r w:rsidRPr="001E06EE">
        <w:rPr>
          <w:rFonts w:ascii="Arial" w:hAnsi="Arial"/>
          <w:i/>
          <w:iCs/>
          <w:sz w:val="24"/>
          <w:szCs w:val="24"/>
        </w:rPr>
        <w:t xml:space="preserve"> Psychological Contracts in the Workplace: Understanding the Ties That Motivate</w:t>
      </w:r>
      <w:r w:rsidRPr="001E06EE">
        <w:rPr>
          <w:rFonts w:ascii="Arial" w:hAnsi="Arial"/>
          <w:sz w:val="24"/>
          <w:szCs w:val="24"/>
        </w:rPr>
        <w:t>.</w:t>
      </w:r>
      <w:r w:rsidR="0044458A">
        <w:rPr>
          <w:rFonts w:ascii="Arial" w:hAnsi="Arial"/>
          <w:sz w:val="24"/>
          <w:szCs w:val="24"/>
        </w:rPr>
        <w:t xml:space="preserve"> </w:t>
      </w:r>
      <w:r w:rsidRPr="001E06EE">
        <w:rPr>
          <w:rFonts w:ascii="Arial" w:hAnsi="Arial"/>
          <w:sz w:val="24"/>
          <w:szCs w:val="24"/>
        </w:rPr>
        <w:t xml:space="preserve">Available at: </w:t>
      </w:r>
      <w:hyperlink r:id="rId48" w:history="1">
        <w:r w:rsidR="0044458A" w:rsidRPr="00D111D1">
          <w:rPr>
            <w:rStyle w:val="Hyperlink"/>
            <w:rFonts w:ascii="Arial" w:hAnsi="Arial"/>
            <w:sz w:val="24"/>
            <w:szCs w:val="24"/>
          </w:rPr>
          <w:t>https://www.researchgate.net/publication/277673774_Psychological_Contracts_in_the_Workplace_Understanding_the_Ties_That_Motivate</w:t>
        </w:r>
      </w:hyperlink>
      <w:r w:rsidR="0044458A">
        <w:rPr>
          <w:rFonts w:ascii="Arial" w:hAnsi="Arial"/>
          <w:sz w:val="24"/>
          <w:szCs w:val="24"/>
        </w:rPr>
        <w:t xml:space="preserve"> (Accessed: 29 May 2025).</w:t>
      </w:r>
    </w:p>
    <w:p w14:paraId="2D086E52" w14:textId="1C75EE56"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Sandstrom, J.K. and Reynolds, D.E. (2019)</w:t>
      </w:r>
      <w:r w:rsidR="002F274F">
        <w:rPr>
          <w:rFonts w:ascii="Arial" w:hAnsi="Arial"/>
          <w:sz w:val="24"/>
          <w:szCs w:val="24"/>
        </w:rPr>
        <w:t xml:space="preserve"> ‘</w:t>
      </w:r>
      <w:r w:rsidRPr="001E06EE">
        <w:rPr>
          <w:rFonts w:ascii="Arial" w:hAnsi="Arial"/>
          <w:sz w:val="24"/>
          <w:szCs w:val="24"/>
        </w:rPr>
        <w:t xml:space="preserve">Leading a successful hotel: A look at the general manager’s ability to </w:t>
      </w:r>
      <w:r w:rsidR="00BB71E1">
        <w:rPr>
          <w:rFonts w:ascii="Arial" w:hAnsi="Arial"/>
          <w:sz w:val="24"/>
          <w:szCs w:val="24"/>
        </w:rPr>
        <w:t>utilise</w:t>
      </w:r>
      <w:r w:rsidRPr="001E06EE">
        <w:rPr>
          <w:rFonts w:ascii="Arial" w:hAnsi="Arial"/>
          <w:sz w:val="24"/>
          <w:szCs w:val="24"/>
        </w:rPr>
        <w:t xml:space="preserve"> multiple leadership styles</w:t>
      </w:r>
      <w:r w:rsidR="002F274F">
        <w:rPr>
          <w:rFonts w:ascii="Arial" w:hAnsi="Arial"/>
          <w:sz w:val="24"/>
          <w:szCs w:val="24"/>
        </w:rPr>
        <w:t xml:space="preserve">’, </w:t>
      </w:r>
      <w:r w:rsidRPr="001E06EE">
        <w:rPr>
          <w:rFonts w:ascii="Arial" w:hAnsi="Arial"/>
          <w:i/>
          <w:iCs/>
          <w:sz w:val="24"/>
          <w:szCs w:val="24"/>
        </w:rPr>
        <w:t>International Journal of Hospitality Management</w:t>
      </w:r>
      <w:r w:rsidRPr="001E06EE">
        <w:rPr>
          <w:rFonts w:ascii="Arial" w:hAnsi="Arial"/>
          <w:sz w:val="24"/>
          <w:szCs w:val="24"/>
        </w:rPr>
        <w:t>, 89, p.102399.</w:t>
      </w:r>
      <w:r w:rsidR="002F274F">
        <w:rPr>
          <w:rFonts w:ascii="Arial" w:hAnsi="Arial"/>
          <w:sz w:val="24"/>
          <w:szCs w:val="24"/>
        </w:rPr>
        <w:t xml:space="preserve"> </w:t>
      </w:r>
      <w:r w:rsidRPr="001E06EE">
        <w:rPr>
          <w:rFonts w:ascii="Arial" w:hAnsi="Arial"/>
          <w:sz w:val="24"/>
          <w:szCs w:val="24"/>
        </w:rPr>
        <w:t>https://doi.org/10.1016/j.ijhm.2019.102399.</w:t>
      </w:r>
    </w:p>
    <w:p w14:paraId="377D10CA" w14:textId="602E81A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Saunders, M., Lewis, P. and Thornhill, A. (2012) </w:t>
      </w:r>
      <w:r w:rsidRPr="001E06EE">
        <w:rPr>
          <w:rFonts w:ascii="Arial" w:hAnsi="Arial"/>
          <w:i/>
          <w:iCs/>
          <w:sz w:val="24"/>
          <w:szCs w:val="24"/>
        </w:rPr>
        <w:t>Research Methods for Business Students</w:t>
      </w:r>
      <w:r w:rsidRPr="001E06EE">
        <w:rPr>
          <w:rFonts w:ascii="Arial" w:hAnsi="Arial"/>
          <w:sz w:val="24"/>
          <w:szCs w:val="24"/>
        </w:rPr>
        <w:t>. 6th ed. Pearson Education Limited.</w:t>
      </w:r>
    </w:p>
    <w:p w14:paraId="53F9D66B" w14:textId="1A62B6B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Shaari, R., Sarip, A. and Ramadhinda, S. (</w:t>
      </w:r>
      <w:r w:rsidR="002F274F" w:rsidRPr="001E06EE">
        <w:rPr>
          <w:rFonts w:ascii="Arial" w:hAnsi="Arial"/>
          <w:sz w:val="24"/>
          <w:szCs w:val="24"/>
        </w:rPr>
        <w:t>2022)</w:t>
      </w:r>
      <w:r w:rsidR="002F274F">
        <w:rPr>
          <w:rFonts w:ascii="Arial" w:hAnsi="Arial"/>
          <w:sz w:val="24"/>
          <w:szCs w:val="24"/>
        </w:rPr>
        <w:t xml:space="preserve"> ‘</w:t>
      </w:r>
      <w:r w:rsidRPr="001E06EE">
        <w:rPr>
          <w:rFonts w:ascii="Arial" w:hAnsi="Arial"/>
          <w:sz w:val="24"/>
          <w:szCs w:val="24"/>
        </w:rPr>
        <w:t>A Study of The Influence of Physical Work Environments on Employee Performance</w:t>
      </w:r>
      <w:r w:rsidR="002F274F">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International Journal of Academic Research in Business and Social Sciences</w:t>
      </w:r>
      <w:r w:rsidRPr="001E06EE">
        <w:rPr>
          <w:rFonts w:ascii="Arial" w:hAnsi="Arial"/>
          <w:sz w:val="24"/>
          <w:szCs w:val="24"/>
        </w:rPr>
        <w:t>, 12(12).</w:t>
      </w:r>
      <w:r w:rsidR="002F274F">
        <w:rPr>
          <w:rFonts w:ascii="Arial" w:hAnsi="Arial"/>
          <w:sz w:val="24"/>
          <w:szCs w:val="24"/>
        </w:rPr>
        <w:t xml:space="preserve"> </w:t>
      </w:r>
      <w:r w:rsidRPr="001E06EE">
        <w:rPr>
          <w:rFonts w:ascii="Arial" w:hAnsi="Arial"/>
          <w:sz w:val="24"/>
          <w:szCs w:val="24"/>
        </w:rPr>
        <w:t>https://doi.org/10.6007/ijarbss/v12-i12/15975.</w:t>
      </w:r>
    </w:p>
    <w:p w14:paraId="32A3BA30" w14:textId="383D1BD6"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Shahid, A. (2018)</w:t>
      </w:r>
      <w:r w:rsidR="002F274F">
        <w:rPr>
          <w:rFonts w:ascii="Arial" w:hAnsi="Arial"/>
          <w:sz w:val="24"/>
          <w:szCs w:val="24"/>
        </w:rPr>
        <w:t xml:space="preserve"> ‘</w:t>
      </w:r>
      <w:r w:rsidRPr="001E06EE">
        <w:rPr>
          <w:rFonts w:ascii="Arial" w:hAnsi="Arial"/>
          <w:sz w:val="24"/>
          <w:szCs w:val="24"/>
        </w:rPr>
        <w:t>Employee Intention to Stay: An Environment Based on Trust and Motivation</w:t>
      </w:r>
      <w:r w:rsidR="002F274F">
        <w:rPr>
          <w:rFonts w:ascii="Arial" w:hAnsi="Arial"/>
          <w:sz w:val="24"/>
          <w:szCs w:val="24"/>
        </w:rPr>
        <w:t xml:space="preserve">’, </w:t>
      </w:r>
      <w:r w:rsidRPr="001E06EE">
        <w:rPr>
          <w:rFonts w:ascii="Arial" w:hAnsi="Arial"/>
          <w:i/>
          <w:iCs/>
          <w:sz w:val="24"/>
          <w:szCs w:val="24"/>
        </w:rPr>
        <w:t>Journal of Management Research</w:t>
      </w:r>
      <w:r w:rsidRPr="001E06EE">
        <w:rPr>
          <w:rFonts w:ascii="Arial" w:hAnsi="Arial"/>
          <w:sz w:val="24"/>
          <w:szCs w:val="24"/>
        </w:rPr>
        <w:t>, 10(4), p.58.</w:t>
      </w:r>
      <w:r w:rsidR="002F274F">
        <w:rPr>
          <w:rFonts w:ascii="Arial" w:hAnsi="Arial"/>
          <w:sz w:val="24"/>
          <w:szCs w:val="24"/>
        </w:rPr>
        <w:t xml:space="preserve"> </w:t>
      </w:r>
      <w:r w:rsidRPr="001E06EE">
        <w:rPr>
          <w:rFonts w:ascii="Arial" w:hAnsi="Arial"/>
          <w:sz w:val="24"/>
          <w:szCs w:val="24"/>
        </w:rPr>
        <w:t>https://doi.org/10.5296/jmr.v10i4.13680.</w:t>
      </w:r>
    </w:p>
    <w:p w14:paraId="4E2A8BD1" w14:textId="0BB3A343"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Shaik, T. (2023)</w:t>
      </w:r>
      <w:r w:rsidR="002F274F">
        <w:rPr>
          <w:rFonts w:ascii="Arial" w:hAnsi="Arial"/>
          <w:sz w:val="24"/>
          <w:szCs w:val="24"/>
        </w:rPr>
        <w:t xml:space="preserve"> </w:t>
      </w:r>
      <w:r w:rsidRPr="001E06EE">
        <w:rPr>
          <w:rFonts w:ascii="Arial" w:hAnsi="Arial"/>
          <w:i/>
          <w:iCs/>
          <w:sz w:val="24"/>
          <w:szCs w:val="24"/>
        </w:rPr>
        <w:t>Operational Efficiency: What Works and What Doesn’t Work</w:t>
      </w:r>
      <w:r w:rsidRPr="001E06EE">
        <w:rPr>
          <w:rFonts w:ascii="Arial" w:hAnsi="Arial"/>
          <w:sz w:val="24"/>
          <w:szCs w:val="24"/>
        </w:rPr>
        <w:t>.</w:t>
      </w:r>
      <w:r w:rsidR="00807C9F">
        <w:rPr>
          <w:rFonts w:ascii="Arial" w:hAnsi="Arial"/>
          <w:sz w:val="24"/>
          <w:szCs w:val="24"/>
        </w:rPr>
        <w:t xml:space="preserve"> </w:t>
      </w:r>
      <w:r w:rsidRPr="001E06EE">
        <w:rPr>
          <w:rFonts w:ascii="Arial" w:hAnsi="Arial"/>
          <w:sz w:val="24"/>
          <w:szCs w:val="24"/>
        </w:rPr>
        <w:t xml:space="preserve">Time Champ - Time and Productivity Tracker. Available at: https://www.timechamp.io/blogs/operational-efficiency-what-works-and-what-doesnt/ </w:t>
      </w:r>
      <w:r w:rsidR="002F274F">
        <w:rPr>
          <w:rFonts w:ascii="Arial" w:hAnsi="Arial"/>
          <w:sz w:val="24"/>
          <w:szCs w:val="24"/>
        </w:rPr>
        <w:t>(</w:t>
      </w:r>
      <w:r w:rsidRPr="001E06EE">
        <w:rPr>
          <w:rFonts w:ascii="Arial" w:hAnsi="Arial"/>
          <w:sz w:val="24"/>
          <w:szCs w:val="24"/>
        </w:rPr>
        <w:t>Accessed</w:t>
      </w:r>
      <w:r w:rsidR="002F274F">
        <w:rPr>
          <w:rFonts w:ascii="Arial" w:hAnsi="Arial"/>
          <w:sz w:val="24"/>
          <w:szCs w:val="24"/>
        </w:rPr>
        <w:t>:</w:t>
      </w:r>
      <w:r w:rsidRPr="001E06EE">
        <w:rPr>
          <w:rFonts w:ascii="Arial" w:hAnsi="Arial"/>
          <w:sz w:val="24"/>
          <w:szCs w:val="24"/>
        </w:rPr>
        <w:t xml:space="preserve"> 28 May 2025</w:t>
      </w:r>
      <w:r w:rsidR="002F274F">
        <w:rPr>
          <w:rFonts w:ascii="Arial" w:hAnsi="Arial"/>
          <w:sz w:val="24"/>
          <w:szCs w:val="24"/>
        </w:rPr>
        <w:t>)</w:t>
      </w:r>
      <w:r w:rsidRPr="001E06EE">
        <w:rPr>
          <w:rFonts w:ascii="Arial" w:hAnsi="Arial"/>
          <w:sz w:val="24"/>
          <w:szCs w:val="24"/>
        </w:rPr>
        <w:t>.</w:t>
      </w:r>
    </w:p>
    <w:p w14:paraId="5142BC99" w14:textId="0FCED6E2" w:rsidR="00E14E9B" w:rsidRPr="001E06EE" w:rsidRDefault="00E14E9B" w:rsidP="00216930">
      <w:pPr>
        <w:pStyle w:val="BodyText"/>
        <w:spacing w:line="480" w:lineRule="auto"/>
        <w:jc w:val="both"/>
        <w:rPr>
          <w:rFonts w:ascii="Arial" w:hAnsi="Arial"/>
          <w:sz w:val="24"/>
          <w:szCs w:val="24"/>
        </w:rPr>
      </w:pPr>
      <w:r w:rsidRPr="001E06EE">
        <w:rPr>
          <w:rFonts w:ascii="Arial" w:hAnsi="Arial"/>
          <w:sz w:val="24"/>
          <w:szCs w:val="24"/>
        </w:rPr>
        <w:t xml:space="preserve">Silverman, D. (2011) </w:t>
      </w:r>
      <w:r w:rsidRPr="001E06EE">
        <w:rPr>
          <w:rFonts w:ascii="Arial" w:hAnsi="Arial"/>
          <w:i/>
          <w:iCs/>
          <w:sz w:val="24"/>
          <w:szCs w:val="24"/>
        </w:rPr>
        <w:t>Interpreting Qualitative Data. A Guide to the Principles of Qualitative Research</w:t>
      </w:r>
      <w:r w:rsidR="009D42CF">
        <w:rPr>
          <w:rFonts w:ascii="Arial" w:hAnsi="Arial"/>
          <w:sz w:val="24"/>
          <w:szCs w:val="24"/>
        </w:rPr>
        <w:t>.</w:t>
      </w:r>
      <w:r w:rsidRPr="001E06EE">
        <w:rPr>
          <w:rFonts w:ascii="Arial" w:hAnsi="Arial"/>
          <w:sz w:val="24"/>
          <w:szCs w:val="24"/>
        </w:rPr>
        <w:t xml:space="preserve"> Available at: </w:t>
      </w:r>
      <w:hyperlink r:id="rId49" w:history="1">
        <w:r w:rsidR="006C3861" w:rsidRPr="00D111D1">
          <w:rPr>
            <w:rStyle w:val="Hyperlink"/>
            <w:rFonts w:ascii="Arial" w:hAnsi="Arial"/>
            <w:sz w:val="24"/>
            <w:szCs w:val="24"/>
          </w:rPr>
          <w:t>https://www.researchgate.net/publication/261554924_Interpreting_Qualitative_Data_A_Guide_to_the_Principles_of_Qualitative_Research</w:t>
        </w:r>
      </w:hyperlink>
      <w:r w:rsidR="006C3861">
        <w:rPr>
          <w:rFonts w:ascii="Arial" w:hAnsi="Arial"/>
          <w:sz w:val="24"/>
          <w:szCs w:val="24"/>
        </w:rPr>
        <w:t xml:space="preserve"> (Accessed: 1 June 2025).</w:t>
      </w:r>
    </w:p>
    <w:p w14:paraId="084A1419" w14:textId="7100EA0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Stake, R.E. (1995) </w:t>
      </w:r>
      <w:r w:rsidRPr="001E06EE">
        <w:rPr>
          <w:rFonts w:ascii="Arial" w:hAnsi="Arial"/>
          <w:i/>
          <w:iCs/>
          <w:sz w:val="24"/>
          <w:szCs w:val="24"/>
        </w:rPr>
        <w:t>The art of case study research</w:t>
      </w:r>
      <w:r w:rsidRPr="001E06EE">
        <w:rPr>
          <w:rFonts w:ascii="Arial" w:hAnsi="Arial"/>
          <w:sz w:val="24"/>
          <w:szCs w:val="24"/>
        </w:rPr>
        <w:t>. London: Sage Publications.</w:t>
      </w:r>
    </w:p>
    <w:p w14:paraId="1CF1C6BF" w14:textId="5BF3B66F"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Surji, K. (2013)</w:t>
      </w:r>
      <w:r w:rsidR="00A27DC9">
        <w:rPr>
          <w:rFonts w:ascii="Arial" w:hAnsi="Arial"/>
          <w:i/>
          <w:iCs/>
          <w:sz w:val="24"/>
          <w:szCs w:val="24"/>
        </w:rPr>
        <w:t xml:space="preserve"> </w:t>
      </w:r>
      <w:r w:rsidRPr="001E06EE">
        <w:rPr>
          <w:rFonts w:ascii="Arial" w:hAnsi="Arial"/>
          <w:i/>
          <w:iCs/>
          <w:sz w:val="24"/>
          <w:szCs w:val="24"/>
        </w:rPr>
        <w:t>The Negative Effect and Consequences of Employee Turnover and Retention on the Organization and Its Staff</w:t>
      </w:r>
      <w:r w:rsidRPr="001E06EE">
        <w:rPr>
          <w:rFonts w:ascii="Arial" w:hAnsi="Arial"/>
          <w:sz w:val="24"/>
          <w:szCs w:val="24"/>
        </w:rPr>
        <w:t>.</w:t>
      </w:r>
      <w:r w:rsidR="00A27DC9">
        <w:rPr>
          <w:rFonts w:ascii="Arial" w:hAnsi="Arial"/>
          <w:sz w:val="24"/>
          <w:szCs w:val="24"/>
        </w:rPr>
        <w:t xml:space="preserve"> </w:t>
      </w:r>
      <w:r w:rsidRPr="001E06EE">
        <w:rPr>
          <w:rFonts w:ascii="Arial" w:hAnsi="Arial"/>
          <w:sz w:val="24"/>
          <w:szCs w:val="24"/>
        </w:rPr>
        <w:t xml:space="preserve">Available at: </w:t>
      </w:r>
      <w:hyperlink r:id="rId50" w:history="1">
        <w:r w:rsidR="00A27DC9" w:rsidRPr="00D111D1">
          <w:rPr>
            <w:rStyle w:val="Hyperlink"/>
            <w:rFonts w:ascii="Arial" w:hAnsi="Arial"/>
            <w:sz w:val="24"/>
            <w:szCs w:val="24"/>
          </w:rPr>
          <w:t>https://www.researchgate.net/publication/313636497_The_Negative_Effect_and_Consequences_of_Employee_Turnover_and_Retention_on_the_Organization_and_Its_Staff</w:t>
        </w:r>
      </w:hyperlink>
      <w:r w:rsidR="00A27DC9">
        <w:rPr>
          <w:rFonts w:ascii="Arial" w:hAnsi="Arial"/>
          <w:sz w:val="24"/>
          <w:szCs w:val="24"/>
        </w:rPr>
        <w:t xml:space="preserve"> (Accessed: 29 May 2025).</w:t>
      </w:r>
    </w:p>
    <w:p w14:paraId="026241B1" w14:textId="53894999"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Szostek, D. (2019) </w:t>
      </w:r>
      <w:r w:rsidR="002F274F">
        <w:rPr>
          <w:rFonts w:ascii="Arial" w:hAnsi="Arial"/>
          <w:sz w:val="24"/>
          <w:szCs w:val="24"/>
        </w:rPr>
        <w:t>‘</w:t>
      </w:r>
      <w:r w:rsidRPr="001E06EE">
        <w:rPr>
          <w:rFonts w:ascii="Arial" w:hAnsi="Arial"/>
          <w:sz w:val="24"/>
          <w:szCs w:val="24"/>
        </w:rPr>
        <w:t>The Impact of the Quality of Interpersonal Relationships between Employees on Counterproductive Work Behavior: A Study of Employees in Poland</w:t>
      </w:r>
      <w:r w:rsidR="002F274F">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Sustainability</w:t>
      </w:r>
      <w:r w:rsidRPr="001E06EE">
        <w:rPr>
          <w:rFonts w:ascii="Arial" w:hAnsi="Arial"/>
          <w:sz w:val="24"/>
          <w:szCs w:val="24"/>
        </w:rPr>
        <w:t>, 11(21), p.5916.https://doi.org/10.3390/su11215916.</w:t>
      </w:r>
    </w:p>
    <w:p w14:paraId="0E7ECE8A" w14:textId="2568CD3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Tank, A. (2023) </w:t>
      </w:r>
      <w:r w:rsidRPr="001E06EE">
        <w:rPr>
          <w:rFonts w:ascii="Arial" w:hAnsi="Arial"/>
          <w:i/>
          <w:iCs/>
          <w:sz w:val="24"/>
          <w:szCs w:val="24"/>
        </w:rPr>
        <w:t>7 common administrative tasks to automate</w:t>
      </w:r>
      <w:r w:rsidRPr="001E06EE">
        <w:rPr>
          <w:rFonts w:ascii="Arial" w:hAnsi="Arial"/>
          <w:sz w:val="24"/>
          <w:szCs w:val="24"/>
        </w:rPr>
        <w:t>.</w:t>
      </w:r>
      <w:r w:rsidR="00E91F13">
        <w:rPr>
          <w:rFonts w:ascii="Arial" w:hAnsi="Arial"/>
          <w:sz w:val="24"/>
          <w:szCs w:val="24"/>
        </w:rPr>
        <w:t xml:space="preserve"> </w:t>
      </w:r>
      <w:r w:rsidRPr="001E06EE">
        <w:rPr>
          <w:rFonts w:ascii="Arial" w:hAnsi="Arial"/>
          <w:sz w:val="24"/>
          <w:szCs w:val="24"/>
        </w:rPr>
        <w:t xml:space="preserve">Available at: https://www.jotform.com/blog/administrative-automation/?msockid=01eef4ce44086576277de07d45c9646d </w:t>
      </w:r>
      <w:r w:rsidR="002F274F">
        <w:rPr>
          <w:rFonts w:ascii="Arial" w:hAnsi="Arial"/>
          <w:sz w:val="24"/>
          <w:szCs w:val="24"/>
        </w:rPr>
        <w:t>(</w:t>
      </w:r>
      <w:r w:rsidRPr="001E06EE">
        <w:rPr>
          <w:rFonts w:ascii="Arial" w:hAnsi="Arial"/>
          <w:sz w:val="24"/>
          <w:szCs w:val="24"/>
        </w:rPr>
        <w:t>Accessed</w:t>
      </w:r>
      <w:r w:rsidR="002F274F">
        <w:rPr>
          <w:rFonts w:ascii="Arial" w:hAnsi="Arial"/>
          <w:sz w:val="24"/>
          <w:szCs w:val="24"/>
        </w:rPr>
        <w:t>:</w:t>
      </w:r>
      <w:r w:rsidRPr="001E06EE">
        <w:rPr>
          <w:rFonts w:ascii="Arial" w:hAnsi="Arial"/>
          <w:sz w:val="24"/>
          <w:szCs w:val="24"/>
        </w:rPr>
        <w:t xml:space="preserve"> 30 May 2025</w:t>
      </w:r>
      <w:r w:rsidR="002F274F">
        <w:rPr>
          <w:rFonts w:ascii="Arial" w:hAnsi="Arial"/>
          <w:sz w:val="24"/>
          <w:szCs w:val="24"/>
        </w:rPr>
        <w:t>)</w:t>
      </w:r>
      <w:r w:rsidRPr="001E06EE">
        <w:rPr>
          <w:rFonts w:ascii="Arial" w:hAnsi="Arial"/>
          <w:sz w:val="24"/>
          <w:szCs w:val="24"/>
        </w:rPr>
        <w:t>.</w:t>
      </w:r>
    </w:p>
    <w:p w14:paraId="31C63032" w14:textId="0E833A7D"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Tews, M.J., Michel, J.W. and Ellingson, J.E. (2013)</w:t>
      </w:r>
      <w:r w:rsidR="002F274F">
        <w:rPr>
          <w:rFonts w:ascii="Arial" w:hAnsi="Arial"/>
          <w:sz w:val="24"/>
          <w:szCs w:val="24"/>
        </w:rPr>
        <w:t xml:space="preserve"> ‘</w:t>
      </w:r>
      <w:r w:rsidRPr="001E06EE">
        <w:rPr>
          <w:rFonts w:ascii="Arial" w:hAnsi="Arial"/>
          <w:sz w:val="24"/>
          <w:szCs w:val="24"/>
        </w:rPr>
        <w:t>The Impact of Coworker Support on Employee Turnover in the Hospitality Industry</w:t>
      </w:r>
      <w:r w:rsidR="002F274F">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Group &amp; Organization Management</w:t>
      </w:r>
      <w:r w:rsidRPr="001E06EE">
        <w:rPr>
          <w:rFonts w:ascii="Arial" w:hAnsi="Arial"/>
          <w:sz w:val="24"/>
          <w:szCs w:val="24"/>
        </w:rPr>
        <w:t>, 38(5), pp.630–653.https://doi.org/10.1177/1059601113503039.</w:t>
      </w:r>
    </w:p>
    <w:p w14:paraId="1B33B127" w14:textId="314299A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The Strategy Story (2023)</w:t>
      </w:r>
      <w:r w:rsidR="00BD72A8">
        <w:rPr>
          <w:rFonts w:ascii="Arial" w:hAnsi="Arial"/>
          <w:sz w:val="24"/>
          <w:szCs w:val="24"/>
        </w:rPr>
        <w:t xml:space="preserve"> </w:t>
      </w:r>
      <w:r w:rsidRPr="001E06EE">
        <w:rPr>
          <w:rFonts w:ascii="Arial" w:hAnsi="Arial"/>
          <w:i/>
          <w:iCs/>
          <w:sz w:val="24"/>
          <w:szCs w:val="24"/>
        </w:rPr>
        <w:t>Strategy Evaluation: Process | Importance | Example - The Strategy Story</w:t>
      </w:r>
      <w:r w:rsidRPr="001E06EE">
        <w:rPr>
          <w:rFonts w:ascii="Arial" w:hAnsi="Arial"/>
          <w:sz w:val="24"/>
          <w:szCs w:val="24"/>
        </w:rPr>
        <w:t>.</w:t>
      </w:r>
      <w:r w:rsidR="00AF2310">
        <w:rPr>
          <w:rFonts w:ascii="Arial" w:hAnsi="Arial"/>
          <w:sz w:val="24"/>
          <w:szCs w:val="24"/>
        </w:rPr>
        <w:t xml:space="preserve"> </w:t>
      </w:r>
      <w:r w:rsidRPr="001E06EE">
        <w:rPr>
          <w:rFonts w:ascii="Arial" w:hAnsi="Arial"/>
          <w:sz w:val="24"/>
          <w:szCs w:val="24"/>
        </w:rPr>
        <w:t xml:space="preserve">Available at: </w:t>
      </w:r>
      <w:hyperlink r:id="rId51" w:history="1">
        <w:r w:rsidR="00AF2310" w:rsidRPr="00E57075">
          <w:rPr>
            <w:rStyle w:val="Hyperlink"/>
            <w:rFonts w:ascii="Arial" w:hAnsi="Arial"/>
            <w:sz w:val="24"/>
            <w:szCs w:val="24"/>
          </w:rPr>
          <w:t>https://thestrategystory.com/blog/strategy-evaluation-process-importance-example/</w:t>
        </w:r>
      </w:hyperlink>
      <w:r w:rsidR="00AF2310">
        <w:rPr>
          <w:rFonts w:ascii="Arial" w:hAnsi="Arial"/>
          <w:sz w:val="24"/>
          <w:szCs w:val="24"/>
        </w:rPr>
        <w:t xml:space="preserve"> (Accessed: 29 May 2025).</w:t>
      </w:r>
    </w:p>
    <w:p w14:paraId="291FE77B" w14:textId="45201788"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Tracey, J.B. and Hinkin, T.R. (2008)</w:t>
      </w:r>
      <w:r w:rsidR="00EF273E">
        <w:rPr>
          <w:rFonts w:ascii="Arial" w:hAnsi="Arial"/>
          <w:sz w:val="24"/>
          <w:szCs w:val="24"/>
        </w:rPr>
        <w:t xml:space="preserve"> ‘</w:t>
      </w:r>
      <w:r w:rsidRPr="001E06EE">
        <w:rPr>
          <w:rFonts w:ascii="Arial" w:hAnsi="Arial"/>
          <w:sz w:val="24"/>
          <w:szCs w:val="24"/>
        </w:rPr>
        <w:t>Contextual Factors and Cost Profiles Associated with Employee Turnover</w:t>
      </w:r>
      <w:r w:rsidR="00EF273E">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Cornell Hospitality Quarterly</w:t>
      </w:r>
      <w:r w:rsidRPr="001E06EE">
        <w:rPr>
          <w:rFonts w:ascii="Arial" w:hAnsi="Arial"/>
          <w:sz w:val="24"/>
          <w:szCs w:val="24"/>
        </w:rPr>
        <w:t>, 49(1), pp.12–27. https://doi.org/10.1177/0010880407310191.</w:t>
      </w:r>
    </w:p>
    <w:p w14:paraId="48002A02" w14:textId="37EAA97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Veal, A.J. (2006) </w:t>
      </w:r>
      <w:r w:rsidRPr="001E06EE">
        <w:rPr>
          <w:rFonts w:ascii="Arial" w:hAnsi="Arial"/>
          <w:i/>
          <w:iCs/>
          <w:sz w:val="24"/>
          <w:szCs w:val="24"/>
        </w:rPr>
        <w:t>Research methods for leisure and tourism: a practical guide</w:t>
      </w:r>
      <w:r w:rsidRPr="001E06EE">
        <w:rPr>
          <w:rFonts w:ascii="Arial" w:hAnsi="Arial"/>
          <w:sz w:val="24"/>
          <w:szCs w:val="24"/>
        </w:rPr>
        <w:t>. Harlow: Ft Prentice Hall.</w:t>
      </w:r>
    </w:p>
    <w:p w14:paraId="49585DC7" w14:textId="4D00C30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Verlinden, N. (2021) </w:t>
      </w:r>
      <w:r w:rsidRPr="001E06EE">
        <w:rPr>
          <w:rFonts w:ascii="Arial" w:hAnsi="Arial"/>
          <w:i/>
          <w:iCs/>
          <w:sz w:val="24"/>
          <w:szCs w:val="24"/>
        </w:rPr>
        <w:t>11 Top Non-Monetary Incentives to Reward Your Employees</w:t>
      </w:r>
      <w:r w:rsidRPr="001E06EE">
        <w:rPr>
          <w:rFonts w:ascii="Arial" w:hAnsi="Arial"/>
          <w:sz w:val="24"/>
          <w:szCs w:val="24"/>
        </w:rPr>
        <w:t xml:space="preserve">. Available at: </w:t>
      </w:r>
      <w:hyperlink r:id="rId52" w:history="1">
        <w:r w:rsidR="001A1EFF" w:rsidRPr="00E57075">
          <w:rPr>
            <w:rStyle w:val="Hyperlink"/>
            <w:rFonts w:ascii="Arial" w:hAnsi="Arial"/>
            <w:sz w:val="24"/>
            <w:szCs w:val="24"/>
          </w:rPr>
          <w:t>https://www.aihr.com/blog/non-monetary-incentives/</w:t>
        </w:r>
      </w:hyperlink>
      <w:r w:rsidR="001A1EFF">
        <w:rPr>
          <w:rFonts w:ascii="Arial" w:hAnsi="Arial"/>
          <w:sz w:val="24"/>
          <w:szCs w:val="24"/>
        </w:rPr>
        <w:t xml:space="preserve"> (Accessed: 28 May 2025).</w:t>
      </w:r>
    </w:p>
    <w:p w14:paraId="5E1266F8" w14:textId="25BC12E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Vroom, V. (1964) </w:t>
      </w:r>
      <w:r w:rsidRPr="001E06EE">
        <w:rPr>
          <w:rFonts w:ascii="Arial" w:hAnsi="Arial"/>
          <w:i/>
          <w:iCs/>
          <w:sz w:val="24"/>
          <w:szCs w:val="24"/>
        </w:rPr>
        <w:t>WORK - AND - MOTIVATION - Victor Vroom | Reinforcement | Motivation</w:t>
      </w:r>
      <w:r w:rsidRPr="001E06EE">
        <w:rPr>
          <w:rFonts w:ascii="Arial" w:hAnsi="Arial"/>
          <w:sz w:val="24"/>
          <w:szCs w:val="24"/>
        </w:rPr>
        <w:t>. Available at: https://www.scribd.com/document/408299722/WORK-AND-MOTIVATION-Victor-Vroom-pdf.</w:t>
      </w:r>
    </w:p>
    <w:p w14:paraId="03052378" w14:textId="6BB08DC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Walsh, K. and Taylor, M. (2007) </w:t>
      </w:r>
      <w:r w:rsidRPr="001E06EE">
        <w:rPr>
          <w:rFonts w:ascii="Arial" w:hAnsi="Arial"/>
          <w:i/>
          <w:iCs/>
          <w:sz w:val="24"/>
          <w:szCs w:val="24"/>
        </w:rPr>
        <w:t>Developing in-house careers and retaining management talent: What hospitality professionals want from their jobs</w:t>
      </w:r>
      <w:r w:rsidRPr="001E06EE">
        <w:rPr>
          <w:rFonts w:ascii="Arial" w:hAnsi="Arial"/>
          <w:sz w:val="24"/>
          <w:szCs w:val="24"/>
        </w:rPr>
        <w:t>.</w:t>
      </w:r>
      <w:r w:rsidR="008523DD">
        <w:rPr>
          <w:rFonts w:ascii="Arial" w:hAnsi="Arial"/>
          <w:sz w:val="24"/>
          <w:szCs w:val="24"/>
        </w:rPr>
        <w:t xml:space="preserve"> </w:t>
      </w:r>
      <w:r w:rsidRPr="001E06EE">
        <w:rPr>
          <w:rFonts w:ascii="Arial" w:hAnsi="Arial"/>
          <w:sz w:val="24"/>
          <w:szCs w:val="24"/>
        </w:rPr>
        <w:t>Available at: https://core.ac.uk/download/pdf/145016598.pdf.</w:t>
      </w:r>
    </w:p>
    <w:p w14:paraId="772E713B" w14:textId="6EF2787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Wong, K., Chan, A.H.S. and Ngan, S.C. (2019)</w:t>
      </w:r>
      <w:r w:rsidR="0064587D">
        <w:rPr>
          <w:rFonts w:ascii="Arial" w:hAnsi="Arial"/>
          <w:sz w:val="24"/>
          <w:szCs w:val="24"/>
        </w:rPr>
        <w:t xml:space="preserve"> ‘</w:t>
      </w:r>
      <w:r w:rsidRPr="001E06EE">
        <w:rPr>
          <w:rFonts w:ascii="Arial" w:hAnsi="Arial"/>
          <w:sz w:val="24"/>
          <w:szCs w:val="24"/>
        </w:rPr>
        <w:t>The effect of long working hours and overtime on occupational health: A meta-analysis of evidence from 1998 to 2018</w:t>
      </w:r>
      <w:r w:rsidR="0064587D">
        <w:rPr>
          <w:rFonts w:ascii="Arial" w:hAnsi="Arial"/>
          <w:sz w:val="24"/>
          <w:szCs w:val="24"/>
        </w:rPr>
        <w:t xml:space="preserve">’, </w:t>
      </w:r>
      <w:r w:rsidRPr="001E06EE">
        <w:rPr>
          <w:rFonts w:ascii="Arial" w:hAnsi="Arial"/>
          <w:i/>
          <w:iCs/>
          <w:sz w:val="24"/>
          <w:szCs w:val="24"/>
        </w:rPr>
        <w:t>International Journal of Environmental Research and Public Health</w:t>
      </w:r>
      <w:r w:rsidRPr="001E06EE">
        <w:rPr>
          <w:rFonts w:ascii="Arial" w:hAnsi="Arial"/>
          <w:sz w:val="24"/>
          <w:szCs w:val="24"/>
        </w:rPr>
        <w:t>,</w:t>
      </w:r>
      <w:r w:rsidR="0064587D">
        <w:rPr>
          <w:rFonts w:ascii="Arial" w:hAnsi="Arial"/>
          <w:sz w:val="24"/>
          <w:szCs w:val="24"/>
        </w:rPr>
        <w:t xml:space="preserve"> </w:t>
      </w:r>
      <w:r w:rsidRPr="001E06EE">
        <w:rPr>
          <w:rFonts w:ascii="Arial" w:hAnsi="Arial"/>
          <w:sz w:val="24"/>
          <w:szCs w:val="24"/>
        </w:rPr>
        <w:t>16(12), pp.1–22.</w:t>
      </w:r>
      <w:r w:rsidR="0064587D">
        <w:rPr>
          <w:rFonts w:ascii="Arial" w:hAnsi="Arial"/>
          <w:sz w:val="24"/>
          <w:szCs w:val="24"/>
        </w:rPr>
        <w:t xml:space="preserve"> </w:t>
      </w:r>
      <w:r w:rsidRPr="001E06EE">
        <w:rPr>
          <w:rFonts w:ascii="Arial" w:hAnsi="Arial"/>
          <w:sz w:val="24"/>
          <w:szCs w:val="24"/>
        </w:rPr>
        <w:t>https://doi.org/10.3390/ijerph16122102.</w:t>
      </w:r>
    </w:p>
    <w:p w14:paraId="4BBADEF1" w14:textId="2BE81C39" w:rsidR="00E14E9B" w:rsidRPr="001E06EE" w:rsidRDefault="00E14E9B" w:rsidP="00773537">
      <w:pPr>
        <w:pStyle w:val="BodyText"/>
        <w:spacing w:line="480" w:lineRule="auto"/>
        <w:jc w:val="both"/>
        <w:rPr>
          <w:rFonts w:ascii="Arial" w:hAnsi="Arial"/>
          <w:sz w:val="24"/>
          <w:szCs w:val="24"/>
        </w:rPr>
      </w:pPr>
      <w:r w:rsidRPr="001E06EE">
        <w:rPr>
          <w:rFonts w:ascii="Arial" w:hAnsi="Arial"/>
          <w:sz w:val="24"/>
          <w:szCs w:val="24"/>
        </w:rPr>
        <w:t>Yin, R.K. (2018)</w:t>
      </w:r>
      <w:r w:rsidR="0064587D">
        <w:rPr>
          <w:rFonts w:ascii="Arial" w:hAnsi="Arial"/>
          <w:sz w:val="24"/>
          <w:szCs w:val="24"/>
        </w:rPr>
        <w:t xml:space="preserve"> </w:t>
      </w:r>
      <w:r w:rsidRPr="001E06EE">
        <w:rPr>
          <w:rFonts w:ascii="Arial" w:hAnsi="Arial"/>
          <w:i/>
          <w:iCs/>
          <w:sz w:val="24"/>
          <w:szCs w:val="24"/>
        </w:rPr>
        <w:t>Case Study Research and Applications Sixth Edition 2</w:t>
      </w:r>
      <w:r w:rsidRPr="001E06EE">
        <w:rPr>
          <w:rFonts w:ascii="Arial" w:hAnsi="Arial"/>
          <w:sz w:val="24"/>
          <w:szCs w:val="24"/>
        </w:rPr>
        <w:t>.</w:t>
      </w:r>
      <w:r w:rsidR="000F1809">
        <w:rPr>
          <w:rFonts w:ascii="Arial" w:hAnsi="Arial"/>
          <w:sz w:val="24"/>
          <w:szCs w:val="24"/>
        </w:rPr>
        <w:t xml:space="preserve"> </w:t>
      </w:r>
      <w:r w:rsidRPr="001E06EE">
        <w:rPr>
          <w:rFonts w:ascii="Arial" w:hAnsi="Arial"/>
          <w:sz w:val="24"/>
          <w:szCs w:val="24"/>
        </w:rPr>
        <w:t xml:space="preserve">Available at: </w:t>
      </w:r>
      <w:hyperlink r:id="rId53" w:history="1">
        <w:r w:rsidR="00773537" w:rsidRPr="00D111D1">
          <w:rPr>
            <w:rStyle w:val="Hyperlink"/>
            <w:rFonts w:ascii="Arial" w:hAnsi="Arial"/>
            <w:sz w:val="24"/>
            <w:szCs w:val="24"/>
          </w:rPr>
          <w:t>https://ebooks.umu.ac.ug/librarian/books-file/Case%20Study%20Research%20and%20Applications.pdf</w:t>
        </w:r>
      </w:hyperlink>
      <w:r w:rsidRPr="001E06EE">
        <w:rPr>
          <w:rFonts w:ascii="Arial" w:hAnsi="Arial"/>
          <w:sz w:val="24"/>
          <w:szCs w:val="24"/>
        </w:rPr>
        <w:t>.</w:t>
      </w:r>
      <w:r w:rsidR="00773537">
        <w:rPr>
          <w:rFonts w:ascii="Arial" w:hAnsi="Arial"/>
          <w:sz w:val="24"/>
          <w:szCs w:val="24"/>
        </w:rPr>
        <w:t xml:space="preserve"> (Accessed:  19 May 2025).</w:t>
      </w:r>
    </w:p>
    <w:p w14:paraId="78A6912D" w14:textId="77777777" w:rsidR="007A78C4" w:rsidRDefault="007A78C4" w:rsidP="00986280">
      <w:pPr>
        <w:spacing w:after="0" w:line="480" w:lineRule="auto"/>
        <w:jc w:val="both"/>
        <w:rPr>
          <w:rFonts w:ascii="Arial" w:hAnsi="Arial"/>
          <w:kern w:val="0"/>
          <w:sz w:val="24"/>
          <w:szCs w:val="24"/>
          <w:lang w:val="en-GB" w:eastAsia="en-GB"/>
          <w14:ligatures w14:val="none"/>
        </w:rPr>
      </w:pPr>
    </w:p>
    <w:p w14:paraId="00A4F02C" w14:textId="77777777" w:rsidR="00110226" w:rsidRDefault="00110226" w:rsidP="00986280">
      <w:pPr>
        <w:spacing w:after="0" w:line="480" w:lineRule="auto"/>
        <w:jc w:val="both"/>
        <w:rPr>
          <w:rFonts w:ascii="Arial" w:hAnsi="Arial"/>
          <w:kern w:val="0"/>
          <w:sz w:val="24"/>
          <w:szCs w:val="24"/>
          <w:lang w:val="en-GB" w:eastAsia="en-GB"/>
          <w14:ligatures w14:val="none"/>
        </w:rPr>
      </w:pPr>
    </w:p>
    <w:p w14:paraId="0CAA982A" w14:textId="77777777" w:rsidR="00110226" w:rsidRDefault="00110226" w:rsidP="00986280">
      <w:pPr>
        <w:spacing w:after="0" w:line="480" w:lineRule="auto"/>
        <w:jc w:val="both"/>
        <w:rPr>
          <w:rFonts w:ascii="Arial" w:hAnsi="Arial"/>
          <w:kern w:val="0"/>
          <w:sz w:val="24"/>
          <w:szCs w:val="24"/>
          <w:lang w:val="en-GB" w:eastAsia="en-GB"/>
          <w14:ligatures w14:val="none"/>
        </w:rPr>
      </w:pPr>
    </w:p>
    <w:p w14:paraId="0F233984" w14:textId="77777777" w:rsidR="00110226" w:rsidRDefault="00110226" w:rsidP="00986280">
      <w:pPr>
        <w:spacing w:after="0" w:line="480" w:lineRule="auto"/>
        <w:jc w:val="both"/>
        <w:rPr>
          <w:rFonts w:ascii="Arial" w:hAnsi="Arial"/>
          <w:kern w:val="0"/>
          <w:sz w:val="24"/>
          <w:szCs w:val="24"/>
          <w:lang w:val="en-GB" w:eastAsia="en-GB"/>
          <w14:ligatures w14:val="none"/>
        </w:rPr>
      </w:pPr>
    </w:p>
    <w:p w14:paraId="329B2120" w14:textId="77777777" w:rsidR="00110226" w:rsidRDefault="00110226" w:rsidP="00986280">
      <w:pPr>
        <w:spacing w:after="0" w:line="480" w:lineRule="auto"/>
        <w:jc w:val="both"/>
        <w:rPr>
          <w:rFonts w:ascii="Arial" w:hAnsi="Arial"/>
          <w:kern w:val="0"/>
          <w:sz w:val="24"/>
          <w:szCs w:val="24"/>
          <w:lang w:val="en-GB" w:eastAsia="en-GB"/>
          <w14:ligatures w14:val="none"/>
        </w:rPr>
      </w:pPr>
    </w:p>
    <w:p w14:paraId="3F011874" w14:textId="77777777" w:rsidR="007A78C4" w:rsidRDefault="007A78C4" w:rsidP="00986280">
      <w:pPr>
        <w:spacing w:after="0" w:line="480" w:lineRule="auto"/>
        <w:jc w:val="both"/>
        <w:rPr>
          <w:rFonts w:ascii="Arial" w:hAnsi="Arial"/>
          <w:kern w:val="0"/>
          <w:sz w:val="24"/>
          <w:szCs w:val="24"/>
          <w:lang w:val="en-GB" w:eastAsia="en-GB"/>
          <w14:ligatures w14:val="none"/>
        </w:rPr>
      </w:pPr>
    </w:p>
    <w:p w14:paraId="21FC44EA" w14:textId="77777777" w:rsidR="007A78C4" w:rsidRDefault="007A78C4" w:rsidP="00986280">
      <w:pPr>
        <w:spacing w:after="0" w:line="480" w:lineRule="auto"/>
        <w:jc w:val="both"/>
        <w:rPr>
          <w:rFonts w:ascii="Arial" w:hAnsi="Arial"/>
          <w:kern w:val="0"/>
          <w:sz w:val="24"/>
          <w:szCs w:val="24"/>
          <w:lang w:val="en-GB" w:eastAsia="en-GB"/>
          <w14:ligatures w14:val="none"/>
        </w:rPr>
      </w:pPr>
    </w:p>
    <w:p w14:paraId="411B2211" w14:textId="77777777" w:rsidR="007A78C4" w:rsidRDefault="007A78C4" w:rsidP="00986280">
      <w:pPr>
        <w:spacing w:after="0" w:line="480" w:lineRule="auto"/>
        <w:jc w:val="both"/>
        <w:rPr>
          <w:rFonts w:ascii="Arial" w:hAnsi="Arial"/>
          <w:kern w:val="0"/>
          <w:sz w:val="24"/>
          <w:szCs w:val="24"/>
          <w:lang w:val="en-GB" w:eastAsia="en-GB"/>
          <w14:ligatures w14:val="none"/>
        </w:rPr>
      </w:pPr>
    </w:p>
    <w:p w14:paraId="7EC0F6DC" w14:textId="77777777" w:rsidR="004E745F" w:rsidRPr="008C6F79" w:rsidRDefault="004E745F" w:rsidP="00986280">
      <w:pPr>
        <w:pStyle w:val="BodyText"/>
        <w:spacing w:line="480" w:lineRule="auto"/>
        <w:jc w:val="both"/>
        <w:rPr>
          <w:rFonts w:ascii="Arial" w:hAnsi="Arial"/>
          <w:sz w:val="24"/>
          <w:szCs w:val="24"/>
        </w:rPr>
      </w:pPr>
    </w:p>
    <w:p w14:paraId="24D044D6" w14:textId="77777777" w:rsidR="00CA4C38" w:rsidRDefault="00CA4C38" w:rsidP="00986280">
      <w:pPr>
        <w:pStyle w:val="BodyText"/>
        <w:spacing w:line="480" w:lineRule="auto"/>
        <w:jc w:val="both"/>
        <w:rPr>
          <w:rFonts w:ascii="Arial" w:hAnsi="Arial"/>
          <w:sz w:val="24"/>
          <w:szCs w:val="24"/>
        </w:rPr>
      </w:pPr>
    </w:p>
    <w:p w14:paraId="7C841A34" w14:textId="77777777" w:rsidR="008134E1" w:rsidRDefault="008134E1" w:rsidP="00986280">
      <w:pPr>
        <w:pStyle w:val="BodyText"/>
        <w:spacing w:line="480" w:lineRule="auto"/>
        <w:jc w:val="both"/>
        <w:rPr>
          <w:rFonts w:ascii="Arial" w:hAnsi="Arial"/>
          <w:sz w:val="24"/>
          <w:szCs w:val="24"/>
        </w:rPr>
      </w:pPr>
    </w:p>
    <w:p w14:paraId="21C5C6A8" w14:textId="77777777" w:rsidR="00A16115" w:rsidRDefault="00A16115" w:rsidP="00A16115">
      <w:pPr>
        <w:pStyle w:val="BodyText"/>
        <w:spacing w:line="480" w:lineRule="auto"/>
        <w:jc w:val="both"/>
        <w:rPr>
          <w:rFonts w:ascii="Arial" w:hAnsi="Arial"/>
          <w:sz w:val="24"/>
          <w:szCs w:val="24"/>
          <w:lang w:val="en-GB"/>
        </w:rPr>
      </w:pPr>
    </w:p>
    <w:p w14:paraId="01BACA3B" w14:textId="77777777" w:rsidR="00381F3B" w:rsidRDefault="00381F3B" w:rsidP="00A16115">
      <w:pPr>
        <w:pStyle w:val="BodyText"/>
        <w:spacing w:line="480" w:lineRule="auto"/>
        <w:jc w:val="both"/>
        <w:rPr>
          <w:rFonts w:ascii="Arial" w:hAnsi="Arial"/>
          <w:sz w:val="24"/>
          <w:szCs w:val="24"/>
          <w:lang w:val="en-GB"/>
        </w:rPr>
      </w:pPr>
    </w:p>
    <w:p w14:paraId="53A97798" w14:textId="77777777" w:rsidR="00F71FD7" w:rsidRDefault="00F71FD7" w:rsidP="00381F3B">
      <w:pPr>
        <w:pStyle w:val="BodyText"/>
        <w:spacing w:line="480" w:lineRule="auto"/>
        <w:jc w:val="both"/>
        <w:rPr>
          <w:rFonts w:ascii="Arial" w:hAnsi="Arial"/>
          <w:sz w:val="24"/>
          <w:szCs w:val="24"/>
          <w:lang w:val="en-GB"/>
        </w:rPr>
      </w:pPr>
    </w:p>
    <w:p w14:paraId="4D08140B" w14:textId="77777777" w:rsidR="008F3942" w:rsidRDefault="008F3942" w:rsidP="00381F3B">
      <w:pPr>
        <w:pStyle w:val="BodyText"/>
        <w:spacing w:line="480" w:lineRule="auto"/>
        <w:jc w:val="both"/>
        <w:rPr>
          <w:rFonts w:ascii="Arial" w:hAnsi="Arial"/>
          <w:sz w:val="24"/>
          <w:szCs w:val="24"/>
          <w:lang w:val="en-GB"/>
        </w:rPr>
      </w:pPr>
    </w:p>
    <w:p w14:paraId="77620830" w14:textId="77777777" w:rsidR="00381F3B" w:rsidRPr="00A16115" w:rsidRDefault="00381F3B" w:rsidP="00A16115">
      <w:pPr>
        <w:pStyle w:val="BodyText"/>
        <w:spacing w:line="480" w:lineRule="auto"/>
        <w:jc w:val="both"/>
        <w:rPr>
          <w:rFonts w:ascii="Arial" w:hAnsi="Arial"/>
          <w:sz w:val="24"/>
          <w:szCs w:val="24"/>
          <w:lang w:val="en-GB"/>
        </w:rPr>
      </w:pPr>
    </w:p>
    <w:p w14:paraId="019AC80D" w14:textId="77777777" w:rsidR="00A16115" w:rsidRPr="00A16115" w:rsidRDefault="00A16115" w:rsidP="00A16115">
      <w:pPr>
        <w:pStyle w:val="BodyText"/>
        <w:spacing w:line="480" w:lineRule="auto"/>
        <w:jc w:val="both"/>
        <w:rPr>
          <w:rFonts w:ascii="Arial" w:hAnsi="Arial"/>
          <w:sz w:val="24"/>
          <w:szCs w:val="24"/>
          <w:lang w:val="en-GB"/>
        </w:rPr>
      </w:pPr>
    </w:p>
    <w:p w14:paraId="12DDE613" w14:textId="77777777" w:rsidR="00A16115" w:rsidRPr="007C17B3" w:rsidRDefault="00A16115" w:rsidP="007C17B3">
      <w:pPr>
        <w:pStyle w:val="BodyText"/>
        <w:spacing w:line="480" w:lineRule="auto"/>
        <w:jc w:val="both"/>
        <w:rPr>
          <w:rFonts w:ascii="Arial" w:hAnsi="Arial"/>
          <w:sz w:val="24"/>
          <w:szCs w:val="24"/>
          <w:lang w:val="en-GB"/>
        </w:rPr>
      </w:pPr>
    </w:p>
    <w:p w14:paraId="57E2F4FB" w14:textId="77777777" w:rsidR="007C17B3" w:rsidRPr="007C17B3" w:rsidRDefault="007C17B3" w:rsidP="007C17B3">
      <w:pPr>
        <w:pStyle w:val="BodyText"/>
        <w:spacing w:line="480" w:lineRule="auto"/>
        <w:jc w:val="both"/>
        <w:rPr>
          <w:rFonts w:ascii="Arial" w:hAnsi="Arial"/>
          <w:sz w:val="24"/>
          <w:szCs w:val="24"/>
          <w:lang w:val="en-GB"/>
        </w:rPr>
      </w:pPr>
    </w:p>
    <w:p w14:paraId="20ADE343" w14:textId="77777777" w:rsidR="007C17B3" w:rsidRPr="008134E1" w:rsidRDefault="007C17B3" w:rsidP="00986280">
      <w:pPr>
        <w:pStyle w:val="BodyText"/>
        <w:spacing w:line="480" w:lineRule="auto"/>
        <w:jc w:val="both"/>
        <w:rPr>
          <w:rFonts w:ascii="Arial" w:hAnsi="Arial"/>
          <w:sz w:val="24"/>
          <w:szCs w:val="24"/>
          <w:lang w:val="en-GB"/>
        </w:rPr>
      </w:pPr>
    </w:p>
    <w:p w14:paraId="60290C46" w14:textId="77777777" w:rsidR="008134E1" w:rsidRPr="008C6F79" w:rsidRDefault="008134E1" w:rsidP="00986280">
      <w:pPr>
        <w:pStyle w:val="BodyText"/>
        <w:spacing w:line="480" w:lineRule="auto"/>
        <w:jc w:val="both"/>
        <w:rPr>
          <w:rFonts w:ascii="Arial" w:hAnsi="Arial"/>
          <w:sz w:val="24"/>
          <w:szCs w:val="24"/>
        </w:rPr>
      </w:pPr>
    </w:p>
    <w:sectPr w:rsidR="008134E1" w:rsidRPr="008C6F79" w:rsidSect="000F1502">
      <w:footerReference w:type="default" r:id="rId54"/>
      <w:pgSz w:w="11907" w:h="16839" w:code="9"/>
      <w:pgMar w:top="1418" w:right="1418" w:bottom="1418" w:left="1418" w:header="680" w:footer="45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BA62A" w14:textId="77777777" w:rsidR="00743E90" w:rsidRDefault="00743E90">
      <w:r>
        <w:separator/>
      </w:r>
    </w:p>
  </w:endnote>
  <w:endnote w:type="continuationSeparator" w:id="0">
    <w:p w14:paraId="41FE9C18" w14:textId="77777777" w:rsidR="00743E90" w:rsidRDefault="00743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0071"/>
      <w:docPartObj>
        <w:docPartGallery w:val="Page Numbers (Bottom of Page)"/>
        <w:docPartUnique/>
      </w:docPartObj>
    </w:sdtPr>
    <w:sdtEndPr>
      <w:rPr>
        <w:noProof/>
      </w:rPr>
    </w:sdtEndPr>
    <w:sdtContent>
      <w:p w14:paraId="6ED922B5" w14:textId="7B624249" w:rsidR="008C5563" w:rsidRDefault="008C55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D2C687" w14:textId="77777777" w:rsidR="008C5563" w:rsidRDefault="008C5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C83C8" w14:textId="77777777" w:rsidR="00743E90" w:rsidRDefault="00743E90">
      <w:r>
        <w:separator/>
      </w:r>
    </w:p>
  </w:footnote>
  <w:footnote w:type="continuationSeparator" w:id="0">
    <w:p w14:paraId="7C7BA9E9" w14:textId="77777777" w:rsidR="00743E90" w:rsidRDefault="00743E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DED6638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A186255E"/>
    <w:lvl w:ilvl="0">
      <w:start w:val="1"/>
      <w:numFmt w:val="decimal"/>
      <w:pStyle w:val="ListNumber4"/>
      <w:lvlText w:val="%1."/>
      <w:lvlJc w:val="left"/>
      <w:pPr>
        <w:tabs>
          <w:tab w:val="num" w:pos="1209"/>
        </w:tabs>
        <w:ind w:left="1209" w:hanging="360"/>
      </w:pPr>
    </w:lvl>
  </w:abstractNum>
  <w:abstractNum w:abstractNumId="2" w15:restartNumberingAfterBreak="0">
    <w:nsid w:val="FFFFFF80"/>
    <w:multiLevelType w:val="singleLevel"/>
    <w:tmpl w:val="6832BEA0"/>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377C0F82"/>
    <w:lvl w:ilvl="0">
      <w:start w:val="1"/>
      <w:numFmt w:val="bullet"/>
      <w:pStyle w:val="ListBullet4"/>
      <w:lvlText w:val=""/>
      <w:lvlJc w:val="left"/>
      <w:pPr>
        <w:tabs>
          <w:tab w:val="num" w:pos="1209"/>
        </w:tabs>
        <w:ind w:left="1209" w:hanging="360"/>
      </w:pPr>
      <w:rPr>
        <w:rFonts w:ascii="Symbol" w:hAnsi="Symbol" w:hint="default"/>
      </w:rPr>
    </w:lvl>
  </w:abstractNum>
  <w:abstractNum w:abstractNumId="4" w15:restartNumberingAfterBreak="0">
    <w:nsid w:val="FFFFFF82"/>
    <w:multiLevelType w:val="singleLevel"/>
    <w:tmpl w:val="BAAE4C30"/>
    <w:lvl w:ilvl="0">
      <w:start w:val="1"/>
      <w:numFmt w:val="bullet"/>
      <w:lvlText w:val=""/>
      <w:lvlJc w:val="left"/>
      <w:pPr>
        <w:tabs>
          <w:tab w:val="num" w:pos="926"/>
        </w:tabs>
        <w:ind w:left="926" w:hanging="360"/>
      </w:pPr>
      <w:rPr>
        <w:rFonts w:ascii="Symbol" w:hAnsi="Symbol" w:hint="default"/>
      </w:rPr>
    </w:lvl>
  </w:abstractNum>
  <w:abstractNum w:abstractNumId="5" w15:restartNumberingAfterBreak="0">
    <w:nsid w:val="00917C0C"/>
    <w:multiLevelType w:val="multilevel"/>
    <w:tmpl w:val="8460F8B0"/>
    <w:styleLink w:val="GTTableBullets"/>
    <w:lvl w:ilvl="0">
      <w:start w:val="1"/>
      <w:numFmt w:val="bullet"/>
      <w:pStyle w:val="TableBullet1"/>
      <w:lvlText w:val=""/>
      <w:lvlJc w:val="left"/>
      <w:pPr>
        <w:tabs>
          <w:tab w:val="num" w:pos="284"/>
        </w:tabs>
        <w:ind w:left="284" w:hanging="284"/>
      </w:pPr>
      <w:rPr>
        <w:rFonts w:ascii="Symbol" w:hAnsi="Symbol" w:hint="default"/>
      </w:rPr>
    </w:lvl>
    <w:lvl w:ilvl="1">
      <w:start w:val="1"/>
      <w:numFmt w:val="bullet"/>
      <w:pStyle w:val="TableBullet2"/>
      <w:lvlText w:val=""/>
      <w:lvlJc w:val="left"/>
      <w:pPr>
        <w:tabs>
          <w:tab w:val="num" w:pos="567"/>
        </w:tabs>
        <w:ind w:left="567" w:hanging="283"/>
      </w:pPr>
      <w:rPr>
        <w:rFonts w:ascii="Symbol" w:hAnsi="Symbol" w:hint="default"/>
        <w:color w:val="808080" w:themeColor="background1" w:themeShade="80"/>
      </w:rPr>
    </w:lvl>
    <w:lvl w:ilvl="2">
      <w:start w:val="1"/>
      <w:numFmt w:val="bullet"/>
      <w:pStyle w:val="TableBullet3"/>
      <w:lvlText w:val=""/>
      <w:lvlJc w:val="left"/>
      <w:pPr>
        <w:tabs>
          <w:tab w:val="num" w:pos="851"/>
        </w:tabs>
        <w:ind w:left="851" w:hanging="284"/>
      </w:pPr>
      <w:rPr>
        <w:rFonts w:ascii="Symbol" w:hAnsi="Symbol" w:hint="default"/>
        <w:color w:val="808080" w:themeColor="background1" w:themeShade="80"/>
      </w:rPr>
    </w:lvl>
    <w:lvl w:ilvl="3">
      <w:start w:val="1"/>
      <w:numFmt w:val="none"/>
      <w:lvlText w:val=""/>
      <w:lvlJc w:val="left"/>
      <w:pPr>
        <w:ind w:left="851" w:firstLine="0"/>
      </w:pPr>
      <w:rPr>
        <w:rFonts w:hint="default"/>
      </w:rPr>
    </w:lvl>
    <w:lvl w:ilvl="4">
      <w:start w:val="1"/>
      <w:numFmt w:val="none"/>
      <w:lvlText w:val=""/>
      <w:lvlJc w:val="left"/>
      <w:pPr>
        <w:ind w:left="851" w:firstLine="0"/>
      </w:pPr>
      <w:rPr>
        <w:rFonts w:hint="default"/>
      </w:rPr>
    </w:lvl>
    <w:lvl w:ilvl="5">
      <w:start w:val="1"/>
      <w:numFmt w:val="none"/>
      <w:lvlText w:val=""/>
      <w:lvlJc w:val="left"/>
      <w:pPr>
        <w:ind w:left="851" w:firstLine="0"/>
      </w:pPr>
      <w:rPr>
        <w:rFonts w:hint="default"/>
      </w:rPr>
    </w:lvl>
    <w:lvl w:ilvl="6">
      <w:start w:val="1"/>
      <w:numFmt w:val="none"/>
      <w:lvlText w:val=""/>
      <w:lvlJc w:val="left"/>
      <w:pPr>
        <w:ind w:left="851" w:firstLine="0"/>
      </w:pPr>
      <w:rPr>
        <w:rFonts w:hint="default"/>
      </w:rPr>
    </w:lvl>
    <w:lvl w:ilvl="7">
      <w:start w:val="1"/>
      <w:numFmt w:val="none"/>
      <w:lvlText w:val=""/>
      <w:lvlJc w:val="left"/>
      <w:pPr>
        <w:ind w:left="851" w:firstLine="0"/>
      </w:pPr>
      <w:rPr>
        <w:rFonts w:hint="default"/>
      </w:rPr>
    </w:lvl>
    <w:lvl w:ilvl="8">
      <w:start w:val="1"/>
      <w:numFmt w:val="none"/>
      <w:lvlText w:val=""/>
      <w:lvlJc w:val="left"/>
      <w:pPr>
        <w:ind w:left="851" w:firstLine="0"/>
      </w:pPr>
      <w:rPr>
        <w:rFonts w:hint="default"/>
      </w:rPr>
    </w:lvl>
  </w:abstractNum>
  <w:abstractNum w:abstractNumId="6" w15:restartNumberingAfterBreak="0">
    <w:nsid w:val="0B1D7F03"/>
    <w:multiLevelType w:val="multilevel"/>
    <w:tmpl w:val="DDD0FE1A"/>
    <w:styleLink w:val="GTParagraphBullet"/>
    <w:lvl w:ilvl="0">
      <w:start w:val="1"/>
      <w:numFmt w:val="bullet"/>
      <w:pStyle w:val="ParagraphBullet"/>
      <w:lvlText w:val=""/>
      <w:lvlJc w:val="left"/>
      <w:pPr>
        <w:tabs>
          <w:tab w:val="num" w:pos="227"/>
        </w:tabs>
        <w:ind w:left="227" w:hanging="227"/>
      </w:pPr>
      <w:rPr>
        <w:rFonts w:ascii="Symbol" w:hAnsi="Symbol" w:hint="default"/>
        <w:color w:val="auto"/>
      </w:rPr>
    </w:lvl>
    <w:lvl w:ilvl="1">
      <w:start w:val="1"/>
      <w:numFmt w:val="bullet"/>
      <w:pStyle w:val="ParagraphBullet2"/>
      <w:lvlText w:val=""/>
      <w:lvlJc w:val="left"/>
      <w:pPr>
        <w:tabs>
          <w:tab w:val="num" w:pos="454"/>
        </w:tabs>
        <w:ind w:left="454" w:hanging="227"/>
      </w:pPr>
      <w:rPr>
        <w:rFonts w:ascii="Symbol" w:hAnsi="Symbol" w:hint="default"/>
      </w:rPr>
    </w:lvl>
    <w:lvl w:ilvl="2">
      <w:start w:val="1"/>
      <w:numFmt w:val="none"/>
      <w:lvlRestart w:val="0"/>
      <w:lvlText w:val=""/>
      <w:lvlJc w:val="left"/>
      <w:pPr>
        <w:ind w:left="454" w:firstLine="0"/>
      </w:pPr>
      <w:rPr>
        <w:rFonts w:hint="default"/>
      </w:rPr>
    </w:lvl>
    <w:lvl w:ilvl="3">
      <w:start w:val="1"/>
      <w:numFmt w:val="none"/>
      <w:lvlRestart w:val="0"/>
      <w:lvlText w:val=""/>
      <w:lvlJc w:val="left"/>
      <w:pPr>
        <w:ind w:left="454" w:firstLine="0"/>
      </w:pPr>
      <w:rPr>
        <w:rFonts w:hint="default"/>
      </w:rPr>
    </w:lvl>
    <w:lvl w:ilvl="4">
      <w:start w:val="1"/>
      <w:numFmt w:val="none"/>
      <w:lvlRestart w:val="0"/>
      <w:lvlText w:val=""/>
      <w:lvlJc w:val="left"/>
      <w:pPr>
        <w:ind w:left="454" w:firstLine="0"/>
      </w:pPr>
      <w:rPr>
        <w:rFonts w:hint="default"/>
      </w:rPr>
    </w:lvl>
    <w:lvl w:ilvl="5">
      <w:start w:val="1"/>
      <w:numFmt w:val="none"/>
      <w:lvlRestart w:val="0"/>
      <w:lvlText w:val=""/>
      <w:lvlJc w:val="left"/>
      <w:pPr>
        <w:ind w:left="454" w:firstLine="0"/>
      </w:pPr>
      <w:rPr>
        <w:rFonts w:hint="default"/>
      </w:rPr>
    </w:lvl>
    <w:lvl w:ilvl="6">
      <w:start w:val="1"/>
      <w:numFmt w:val="none"/>
      <w:lvlRestart w:val="0"/>
      <w:lvlText w:val=""/>
      <w:lvlJc w:val="left"/>
      <w:pPr>
        <w:ind w:left="454" w:firstLine="0"/>
      </w:pPr>
      <w:rPr>
        <w:rFonts w:hint="default"/>
      </w:rPr>
    </w:lvl>
    <w:lvl w:ilvl="7">
      <w:start w:val="1"/>
      <w:numFmt w:val="none"/>
      <w:lvlRestart w:val="0"/>
      <w:lvlText w:val=""/>
      <w:lvlJc w:val="left"/>
      <w:pPr>
        <w:ind w:left="454" w:firstLine="0"/>
      </w:pPr>
      <w:rPr>
        <w:rFonts w:hint="default"/>
      </w:rPr>
    </w:lvl>
    <w:lvl w:ilvl="8">
      <w:start w:val="1"/>
      <w:numFmt w:val="none"/>
      <w:lvlRestart w:val="0"/>
      <w:lvlText w:val=""/>
      <w:lvlJc w:val="left"/>
      <w:pPr>
        <w:ind w:left="454" w:firstLine="0"/>
      </w:pPr>
      <w:rPr>
        <w:rFonts w:hint="default"/>
      </w:rPr>
    </w:lvl>
  </w:abstractNum>
  <w:abstractNum w:abstractNumId="7" w15:restartNumberingAfterBreak="0">
    <w:nsid w:val="15366A05"/>
    <w:multiLevelType w:val="multilevel"/>
    <w:tmpl w:val="02362196"/>
    <w:lvl w:ilvl="0">
      <w:start w:val="4"/>
      <w:numFmt w:val="decimal"/>
      <w:lvlText w:val="%1."/>
      <w:lvlJc w:val="left"/>
      <w:pPr>
        <w:ind w:left="408" w:hanging="408"/>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198527E3"/>
    <w:multiLevelType w:val="multilevel"/>
    <w:tmpl w:val="0D561ACA"/>
    <w:styleLink w:val="GTNumberedHeadings"/>
    <w:lvl w:ilvl="0">
      <w:start w:val="1"/>
      <w:numFmt w:val="decimal"/>
      <w:pStyle w:val="NumberedHeading1"/>
      <w:lvlText w:val="%1"/>
      <w:lvlJc w:val="left"/>
      <w:pPr>
        <w:tabs>
          <w:tab w:val="num" w:pos="709"/>
        </w:tabs>
        <w:ind w:left="709" w:hanging="709"/>
      </w:pPr>
      <w:rPr>
        <w:rFonts w:hint="default"/>
      </w:rPr>
    </w:lvl>
    <w:lvl w:ilvl="1">
      <w:start w:val="1"/>
      <w:numFmt w:val="decimal"/>
      <w:pStyle w:val="NumberedHeading2"/>
      <w:lvlText w:val="%1.%2"/>
      <w:lvlJc w:val="left"/>
      <w:pPr>
        <w:tabs>
          <w:tab w:val="num" w:pos="709"/>
        </w:tabs>
        <w:ind w:left="709" w:hanging="709"/>
      </w:pPr>
      <w:rPr>
        <w:rFonts w:hint="default"/>
      </w:rPr>
    </w:lvl>
    <w:lvl w:ilvl="2">
      <w:start w:val="1"/>
      <w:numFmt w:val="none"/>
      <w:lvlRestart w:val="0"/>
      <w:lvlText w:val=""/>
      <w:lvlJc w:val="left"/>
      <w:pPr>
        <w:ind w:left="709" w:firstLine="0"/>
      </w:pPr>
      <w:rPr>
        <w:rFonts w:hint="default"/>
      </w:rPr>
    </w:lvl>
    <w:lvl w:ilvl="3">
      <w:start w:val="1"/>
      <w:numFmt w:val="none"/>
      <w:lvlRestart w:val="0"/>
      <w:lvlText w:val=""/>
      <w:lvlJc w:val="left"/>
      <w:pPr>
        <w:ind w:left="709" w:firstLine="0"/>
      </w:pPr>
      <w:rPr>
        <w:rFonts w:hint="default"/>
      </w:rPr>
    </w:lvl>
    <w:lvl w:ilvl="4">
      <w:start w:val="1"/>
      <w:numFmt w:val="none"/>
      <w:lvlRestart w:val="0"/>
      <w:lvlText w:val=""/>
      <w:lvlJc w:val="left"/>
      <w:pPr>
        <w:ind w:left="709" w:firstLine="0"/>
      </w:pPr>
      <w:rPr>
        <w:rFonts w:hint="default"/>
      </w:rPr>
    </w:lvl>
    <w:lvl w:ilvl="5">
      <w:start w:val="1"/>
      <w:numFmt w:val="none"/>
      <w:lvlRestart w:val="0"/>
      <w:lvlText w:val=""/>
      <w:lvlJc w:val="left"/>
      <w:pPr>
        <w:ind w:left="709" w:firstLine="0"/>
      </w:pPr>
      <w:rPr>
        <w:rFonts w:hint="default"/>
      </w:rPr>
    </w:lvl>
    <w:lvl w:ilvl="6">
      <w:start w:val="1"/>
      <w:numFmt w:val="none"/>
      <w:lvlRestart w:val="0"/>
      <w:lvlText w:val=""/>
      <w:lvlJc w:val="left"/>
      <w:pPr>
        <w:ind w:left="709" w:firstLine="0"/>
      </w:pPr>
      <w:rPr>
        <w:rFonts w:hint="default"/>
      </w:rPr>
    </w:lvl>
    <w:lvl w:ilvl="7">
      <w:start w:val="1"/>
      <w:numFmt w:val="none"/>
      <w:lvlRestart w:val="0"/>
      <w:lvlText w:val=""/>
      <w:lvlJc w:val="left"/>
      <w:pPr>
        <w:ind w:left="709" w:firstLine="0"/>
      </w:pPr>
      <w:rPr>
        <w:rFonts w:hint="default"/>
      </w:rPr>
    </w:lvl>
    <w:lvl w:ilvl="8">
      <w:start w:val="1"/>
      <w:numFmt w:val="none"/>
      <w:lvlRestart w:val="0"/>
      <w:lvlText w:val=""/>
      <w:lvlJc w:val="left"/>
      <w:pPr>
        <w:ind w:left="709" w:firstLine="0"/>
      </w:pPr>
      <w:rPr>
        <w:rFonts w:hint="default"/>
      </w:rPr>
    </w:lvl>
  </w:abstractNum>
  <w:abstractNum w:abstractNumId="9" w15:restartNumberingAfterBreak="0">
    <w:nsid w:val="1A933704"/>
    <w:multiLevelType w:val="multilevel"/>
    <w:tmpl w:val="8460F8B0"/>
    <w:numStyleLink w:val="GTTableBullets"/>
  </w:abstractNum>
  <w:abstractNum w:abstractNumId="10" w15:restartNumberingAfterBreak="0">
    <w:nsid w:val="1AD9320D"/>
    <w:multiLevelType w:val="hybridMultilevel"/>
    <w:tmpl w:val="0650A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757904"/>
    <w:multiLevelType w:val="multilevel"/>
    <w:tmpl w:val="AEF68414"/>
    <w:styleLink w:val="GTTableNumbers"/>
    <w:lvl w:ilvl="0">
      <w:start w:val="1"/>
      <w:numFmt w:val="decimal"/>
      <w:pStyle w:val="TableNumber"/>
      <w:lvlText w:val="%1"/>
      <w:lvlJc w:val="left"/>
      <w:pPr>
        <w:tabs>
          <w:tab w:val="num" w:pos="284"/>
        </w:tabs>
        <w:ind w:left="284" w:hanging="284"/>
      </w:pPr>
      <w:rPr>
        <w:rFonts w:hint="default"/>
      </w:rPr>
    </w:lvl>
    <w:lvl w:ilvl="1">
      <w:start w:val="1"/>
      <w:numFmt w:val="lowerLetter"/>
      <w:pStyle w:val="TableNumber2"/>
      <w:lvlText w:val="%2"/>
      <w:lvlJc w:val="left"/>
      <w:pPr>
        <w:tabs>
          <w:tab w:val="num" w:pos="567"/>
        </w:tabs>
        <w:ind w:left="567" w:hanging="283"/>
      </w:pPr>
      <w:rPr>
        <w:rFonts w:hint="default"/>
      </w:rPr>
    </w:lvl>
    <w:lvl w:ilvl="2">
      <w:start w:val="1"/>
      <w:numFmt w:val="lowerRoman"/>
      <w:pStyle w:val="TableNumber3"/>
      <w:lvlText w:val="%3"/>
      <w:lvlJc w:val="left"/>
      <w:pPr>
        <w:tabs>
          <w:tab w:val="num" w:pos="851"/>
        </w:tabs>
        <w:ind w:left="851" w:hanging="284"/>
      </w:pPr>
      <w:rPr>
        <w:rFonts w:hint="default"/>
      </w:rPr>
    </w:lvl>
    <w:lvl w:ilvl="3">
      <w:start w:val="1"/>
      <w:numFmt w:val="none"/>
      <w:lvlText w:val=""/>
      <w:lvlJc w:val="left"/>
      <w:pPr>
        <w:ind w:left="851" w:firstLine="0"/>
      </w:pPr>
      <w:rPr>
        <w:rFonts w:hint="default"/>
      </w:rPr>
    </w:lvl>
    <w:lvl w:ilvl="4">
      <w:start w:val="1"/>
      <w:numFmt w:val="none"/>
      <w:lvlText w:val=""/>
      <w:lvlJc w:val="left"/>
      <w:pPr>
        <w:ind w:left="851" w:firstLine="0"/>
      </w:pPr>
      <w:rPr>
        <w:rFonts w:hint="default"/>
      </w:rPr>
    </w:lvl>
    <w:lvl w:ilvl="5">
      <w:start w:val="1"/>
      <w:numFmt w:val="none"/>
      <w:lvlText w:val=""/>
      <w:lvlJc w:val="left"/>
      <w:pPr>
        <w:ind w:left="851" w:firstLine="0"/>
      </w:pPr>
      <w:rPr>
        <w:rFonts w:hint="default"/>
      </w:rPr>
    </w:lvl>
    <w:lvl w:ilvl="6">
      <w:start w:val="1"/>
      <w:numFmt w:val="none"/>
      <w:lvlText w:val=""/>
      <w:lvlJc w:val="left"/>
      <w:pPr>
        <w:ind w:left="851" w:firstLine="0"/>
      </w:pPr>
      <w:rPr>
        <w:rFonts w:hint="default"/>
      </w:rPr>
    </w:lvl>
    <w:lvl w:ilvl="7">
      <w:start w:val="1"/>
      <w:numFmt w:val="none"/>
      <w:lvlText w:val=""/>
      <w:lvlJc w:val="left"/>
      <w:pPr>
        <w:ind w:left="851" w:firstLine="0"/>
      </w:pPr>
      <w:rPr>
        <w:rFonts w:hint="default"/>
      </w:rPr>
    </w:lvl>
    <w:lvl w:ilvl="8">
      <w:start w:val="1"/>
      <w:numFmt w:val="none"/>
      <w:lvlText w:val=""/>
      <w:lvlJc w:val="left"/>
      <w:pPr>
        <w:ind w:left="851" w:firstLine="31918"/>
      </w:pPr>
      <w:rPr>
        <w:rFonts w:hint="default"/>
      </w:rPr>
    </w:lvl>
  </w:abstractNum>
  <w:abstractNum w:abstractNumId="12" w15:restartNumberingAfterBreak="0">
    <w:nsid w:val="22821AFC"/>
    <w:multiLevelType w:val="hybridMultilevel"/>
    <w:tmpl w:val="C7967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6B2CC2"/>
    <w:multiLevelType w:val="hybridMultilevel"/>
    <w:tmpl w:val="BB3A2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175D17"/>
    <w:multiLevelType w:val="hybridMultilevel"/>
    <w:tmpl w:val="BED0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380E72"/>
    <w:multiLevelType w:val="hybridMultilevel"/>
    <w:tmpl w:val="9CA87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3D545A"/>
    <w:multiLevelType w:val="multilevel"/>
    <w:tmpl w:val="F81E236C"/>
    <w:lvl w:ilvl="0">
      <w:start w:val="1"/>
      <w:numFmt w:val="upperRoman"/>
      <w:lvlText w:val="Article %1."/>
      <w:lvlJc w:val="left"/>
      <w:pPr>
        <w:tabs>
          <w:tab w:val="num" w:pos="1440"/>
        </w:tabs>
        <w:ind w:left="0" w:firstLine="0"/>
      </w:pPr>
    </w:lvl>
    <w:lvl w:ilvl="1">
      <w:start w:val="1"/>
      <w:numFmt w:val="decimalZero"/>
      <w:isLgl/>
      <w:lvlText w:val="Section %1.%2"/>
      <w:lvlJc w:val="left"/>
      <w:pPr>
        <w:tabs>
          <w:tab w:val="num" w:pos="1440"/>
        </w:tabs>
        <w:ind w:left="0" w:firstLine="0"/>
      </w:pPr>
    </w:lvl>
    <w:lvl w:ilvl="2">
      <w:start w:val="1"/>
      <w:numFmt w:val="lowerLetter"/>
      <w:lvlText w:val="(%3)"/>
      <w:lvlJc w:val="left"/>
      <w:pPr>
        <w:tabs>
          <w:tab w:val="num" w:pos="720"/>
        </w:tabs>
        <w:ind w:left="720" w:hanging="432"/>
      </w:pPr>
    </w:lvl>
    <w:lvl w:ilvl="3">
      <w:start w:val="1"/>
      <w:numFmt w:val="lowerRoman"/>
      <w:lvlText w:val="(%4)"/>
      <w:lvlJc w:val="right"/>
      <w:pPr>
        <w:tabs>
          <w:tab w:val="num" w:pos="864"/>
        </w:tabs>
        <w:ind w:left="864" w:hanging="144"/>
      </w:pPr>
    </w:lvl>
    <w:lvl w:ilvl="4">
      <w:start w:val="1"/>
      <w:numFmt w:val="decimal"/>
      <w:pStyle w:val="Heading5"/>
      <w:lvlText w:val="%5)"/>
      <w:lvlJc w:val="left"/>
      <w:pPr>
        <w:tabs>
          <w:tab w:val="num" w:pos="1008"/>
        </w:tabs>
        <w:ind w:left="1008" w:hanging="432"/>
      </w:pPr>
    </w:lvl>
    <w:lvl w:ilvl="5">
      <w:start w:val="1"/>
      <w:numFmt w:val="lowerLetter"/>
      <w:pStyle w:val="Heading6"/>
      <w:lvlText w:val="%6)"/>
      <w:lvlJc w:val="left"/>
      <w:pPr>
        <w:tabs>
          <w:tab w:val="num" w:pos="1152"/>
        </w:tabs>
        <w:ind w:left="1152" w:hanging="432"/>
      </w:pPr>
    </w:lvl>
    <w:lvl w:ilvl="6">
      <w:start w:val="1"/>
      <w:numFmt w:val="lowerRoman"/>
      <w:pStyle w:val="Heading7"/>
      <w:lvlText w:val="%7)"/>
      <w:lvlJc w:val="right"/>
      <w:pPr>
        <w:tabs>
          <w:tab w:val="num" w:pos="1296"/>
        </w:tabs>
        <w:ind w:left="1296" w:hanging="288"/>
      </w:pPr>
    </w:lvl>
    <w:lvl w:ilvl="7">
      <w:start w:val="1"/>
      <w:numFmt w:val="lowerLetter"/>
      <w:pStyle w:val="Heading8"/>
      <w:lvlText w:val="%8."/>
      <w:lvlJc w:val="left"/>
      <w:pPr>
        <w:tabs>
          <w:tab w:val="num" w:pos="1440"/>
        </w:tabs>
        <w:ind w:left="1440" w:hanging="432"/>
      </w:pPr>
    </w:lvl>
    <w:lvl w:ilvl="8">
      <w:start w:val="1"/>
      <w:numFmt w:val="lowerRoman"/>
      <w:pStyle w:val="Heading9"/>
      <w:lvlText w:val="%9."/>
      <w:lvlJc w:val="right"/>
      <w:pPr>
        <w:tabs>
          <w:tab w:val="num" w:pos="1584"/>
        </w:tabs>
        <w:ind w:left="1584" w:hanging="144"/>
      </w:pPr>
    </w:lvl>
  </w:abstractNum>
  <w:abstractNum w:abstractNumId="17" w15:restartNumberingAfterBreak="0">
    <w:nsid w:val="3BA976CF"/>
    <w:multiLevelType w:val="multilevel"/>
    <w:tmpl w:val="98FC98AC"/>
    <w:numStyleLink w:val="GTListNumber"/>
  </w:abstractNum>
  <w:abstractNum w:abstractNumId="18" w15:restartNumberingAfterBreak="0">
    <w:nsid w:val="3E4B7C2F"/>
    <w:multiLevelType w:val="multilevel"/>
    <w:tmpl w:val="C54441D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4802353C"/>
    <w:multiLevelType w:val="hybridMultilevel"/>
    <w:tmpl w:val="460A4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8732420"/>
    <w:multiLevelType w:val="multilevel"/>
    <w:tmpl w:val="FAE6F968"/>
    <w:numStyleLink w:val="GTListBullet"/>
  </w:abstractNum>
  <w:abstractNum w:abstractNumId="21" w15:restartNumberingAfterBreak="0">
    <w:nsid w:val="52BD6E2A"/>
    <w:multiLevelType w:val="multilevel"/>
    <w:tmpl w:val="98FC98AC"/>
    <w:styleLink w:val="GTListNumber"/>
    <w:lvl w:ilvl="0">
      <w:start w:val="1"/>
      <w:numFmt w:val="decimal"/>
      <w:pStyle w:val="ListNumber"/>
      <w:lvlText w:val="%1"/>
      <w:lvlJc w:val="left"/>
      <w:pPr>
        <w:tabs>
          <w:tab w:val="num" w:pos="284"/>
        </w:tabs>
        <w:ind w:left="284" w:hanging="284"/>
      </w:pPr>
      <w:rPr>
        <w:rFonts w:hint="default"/>
      </w:rPr>
    </w:lvl>
    <w:lvl w:ilvl="1">
      <w:start w:val="1"/>
      <w:numFmt w:val="lowerLetter"/>
      <w:pStyle w:val="ListNumber2"/>
      <w:lvlText w:val="%2"/>
      <w:lvlJc w:val="left"/>
      <w:pPr>
        <w:tabs>
          <w:tab w:val="num" w:pos="567"/>
        </w:tabs>
        <w:ind w:left="567" w:hanging="283"/>
      </w:pPr>
      <w:rPr>
        <w:rFonts w:hint="default"/>
      </w:rPr>
    </w:lvl>
    <w:lvl w:ilvl="2">
      <w:start w:val="1"/>
      <w:numFmt w:val="lowerRoman"/>
      <w:pStyle w:val="ListNumber3"/>
      <w:lvlText w:val="%3"/>
      <w:lvlJc w:val="left"/>
      <w:pPr>
        <w:tabs>
          <w:tab w:val="num" w:pos="1134"/>
        </w:tabs>
        <w:ind w:left="1134" w:hanging="567"/>
      </w:pPr>
      <w:rPr>
        <w:rFonts w:hint="default"/>
      </w:rPr>
    </w:lvl>
    <w:lvl w:ilvl="3">
      <w:start w:val="1"/>
      <w:numFmt w:val="none"/>
      <w:lvlRestart w:val="0"/>
      <w:lvlText w:val=""/>
      <w:lvlJc w:val="left"/>
      <w:pPr>
        <w:ind w:left="851" w:firstLine="0"/>
      </w:pPr>
      <w:rPr>
        <w:rFonts w:hint="default"/>
      </w:rPr>
    </w:lvl>
    <w:lvl w:ilvl="4">
      <w:start w:val="1"/>
      <w:numFmt w:val="none"/>
      <w:lvlRestart w:val="0"/>
      <w:lvlText w:val=""/>
      <w:lvlJc w:val="left"/>
      <w:pPr>
        <w:ind w:left="851" w:firstLine="0"/>
      </w:pPr>
      <w:rPr>
        <w:rFonts w:hint="default"/>
      </w:rPr>
    </w:lvl>
    <w:lvl w:ilvl="5">
      <w:start w:val="1"/>
      <w:numFmt w:val="none"/>
      <w:lvlRestart w:val="0"/>
      <w:lvlText w:val=""/>
      <w:lvlJc w:val="left"/>
      <w:pPr>
        <w:ind w:left="851" w:firstLine="0"/>
      </w:pPr>
      <w:rPr>
        <w:rFonts w:hint="default"/>
      </w:rPr>
    </w:lvl>
    <w:lvl w:ilvl="6">
      <w:start w:val="1"/>
      <w:numFmt w:val="none"/>
      <w:lvlRestart w:val="0"/>
      <w:lvlText w:val=""/>
      <w:lvlJc w:val="left"/>
      <w:pPr>
        <w:ind w:left="851" w:firstLine="0"/>
      </w:pPr>
      <w:rPr>
        <w:rFonts w:hint="default"/>
      </w:rPr>
    </w:lvl>
    <w:lvl w:ilvl="7">
      <w:start w:val="1"/>
      <w:numFmt w:val="none"/>
      <w:lvlRestart w:val="0"/>
      <w:lvlText w:val=""/>
      <w:lvlJc w:val="left"/>
      <w:pPr>
        <w:ind w:left="851" w:firstLine="0"/>
      </w:pPr>
      <w:rPr>
        <w:rFonts w:hint="default"/>
      </w:rPr>
    </w:lvl>
    <w:lvl w:ilvl="8">
      <w:start w:val="1"/>
      <w:numFmt w:val="none"/>
      <w:lvlRestart w:val="0"/>
      <w:lvlText w:val=""/>
      <w:lvlJc w:val="left"/>
      <w:pPr>
        <w:ind w:left="851" w:firstLine="0"/>
      </w:pPr>
      <w:rPr>
        <w:rFonts w:hint="default"/>
      </w:rPr>
    </w:lvl>
  </w:abstractNum>
  <w:abstractNum w:abstractNumId="22" w15:restartNumberingAfterBreak="0">
    <w:nsid w:val="53204A8F"/>
    <w:multiLevelType w:val="hybridMultilevel"/>
    <w:tmpl w:val="3DA2F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43C4FA6"/>
    <w:multiLevelType w:val="hybridMultilevel"/>
    <w:tmpl w:val="5C92D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BAC20F9"/>
    <w:multiLevelType w:val="hybridMultilevel"/>
    <w:tmpl w:val="06228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DB5E6E"/>
    <w:multiLevelType w:val="multilevel"/>
    <w:tmpl w:val="FAE6F968"/>
    <w:numStyleLink w:val="GTListBullet"/>
  </w:abstractNum>
  <w:abstractNum w:abstractNumId="26" w15:restartNumberingAfterBreak="0">
    <w:nsid w:val="5E890AB7"/>
    <w:multiLevelType w:val="hybridMultilevel"/>
    <w:tmpl w:val="C82A9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5D3DFB"/>
    <w:multiLevelType w:val="multilevel"/>
    <w:tmpl w:val="F45294F8"/>
    <w:lvl w:ilvl="0">
      <w:start w:val="2"/>
      <w:numFmt w:val="decimal"/>
      <w:lvlText w:val="%1."/>
      <w:lvlJc w:val="left"/>
      <w:pPr>
        <w:ind w:left="456" w:hanging="45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8" w15:restartNumberingAfterBreak="0">
    <w:nsid w:val="61BC3D3D"/>
    <w:multiLevelType w:val="multilevel"/>
    <w:tmpl w:val="FAE6F968"/>
    <w:styleLink w:val="GTListBullet"/>
    <w:lvl w:ilvl="0">
      <w:start w:val="1"/>
      <w:numFmt w:val="bullet"/>
      <w:pStyle w:val="ListBullet"/>
      <w:lvlText w:val=""/>
      <w:lvlJc w:val="left"/>
      <w:pPr>
        <w:tabs>
          <w:tab w:val="num" w:pos="284"/>
        </w:tabs>
        <w:ind w:left="284" w:hanging="284"/>
      </w:pPr>
      <w:rPr>
        <w:rFonts w:ascii="Symbol" w:hAnsi="Symbol" w:hint="default"/>
        <w:color w:val="auto"/>
      </w:rPr>
    </w:lvl>
    <w:lvl w:ilvl="1">
      <w:start w:val="1"/>
      <w:numFmt w:val="bullet"/>
      <w:pStyle w:val="ListBullet2"/>
      <w:lvlText w:val=""/>
      <w:lvlJc w:val="left"/>
      <w:pPr>
        <w:tabs>
          <w:tab w:val="num" w:pos="567"/>
        </w:tabs>
        <w:ind w:left="567" w:hanging="283"/>
      </w:pPr>
      <w:rPr>
        <w:rFonts w:ascii="Symbol" w:hAnsi="Symbol" w:hint="default"/>
      </w:rPr>
    </w:lvl>
    <w:lvl w:ilvl="2">
      <w:start w:val="1"/>
      <w:numFmt w:val="bullet"/>
      <w:lvlRestart w:val="0"/>
      <w:pStyle w:val="ListBullet3"/>
      <w:lvlText w:val=""/>
      <w:lvlJc w:val="left"/>
      <w:pPr>
        <w:tabs>
          <w:tab w:val="num" w:pos="851"/>
        </w:tabs>
        <w:ind w:left="851" w:hanging="284"/>
      </w:pPr>
      <w:rPr>
        <w:rFonts w:ascii="Symbol" w:hAnsi="Symbol" w:hint="default"/>
        <w:color w:val="auto"/>
      </w:rPr>
    </w:lvl>
    <w:lvl w:ilvl="3">
      <w:start w:val="1"/>
      <w:numFmt w:val="none"/>
      <w:lvlRestart w:val="0"/>
      <w:lvlText w:val=""/>
      <w:lvlJc w:val="left"/>
      <w:pPr>
        <w:tabs>
          <w:tab w:val="num" w:pos="851"/>
        </w:tabs>
        <w:ind w:left="851" w:firstLine="0"/>
      </w:pPr>
      <w:rPr>
        <w:rFonts w:hint="default"/>
      </w:rPr>
    </w:lvl>
    <w:lvl w:ilvl="4">
      <w:start w:val="1"/>
      <w:numFmt w:val="none"/>
      <w:lvlRestart w:val="0"/>
      <w:lvlText w:val=""/>
      <w:lvlJc w:val="left"/>
      <w:pPr>
        <w:tabs>
          <w:tab w:val="num" w:pos="851"/>
        </w:tabs>
        <w:ind w:left="851" w:firstLine="0"/>
      </w:pPr>
      <w:rPr>
        <w:rFonts w:hint="default"/>
      </w:rPr>
    </w:lvl>
    <w:lvl w:ilvl="5">
      <w:start w:val="1"/>
      <w:numFmt w:val="none"/>
      <w:lvlRestart w:val="0"/>
      <w:lvlText w:val=""/>
      <w:lvlJc w:val="left"/>
      <w:pPr>
        <w:tabs>
          <w:tab w:val="num" w:pos="851"/>
        </w:tabs>
        <w:ind w:left="851" w:firstLine="0"/>
      </w:pPr>
      <w:rPr>
        <w:rFonts w:hint="default"/>
      </w:rPr>
    </w:lvl>
    <w:lvl w:ilvl="6">
      <w:start w:val="1"/>
      <w:numFmt w:val="none"/>
      <w:lvlRestart w:val="0"/>
      <w:lvlText w:val=""/>
      <w:lvlJc w:val="left"/>
      <w:pPr>
        <w:tabs>
          <w:tab w:val="num" w:pos="851"/>
        </w:tabs>
        <w:ind w:left="851" w:firstLine="0"/>
      </w:pPr>
      <w:rPr>
        <w:rFonts w:hint="default"/>
      </w:rPr>
    </w:lvl>
    <w:lvl w:ilvl="7">
      <w:start w:val="1"/>
      <w:numFmt w:val="none"/>
      <w:lvlRestart w:val="0"/>
      <w:lvlText w:val=""/>
      <w:lvlJc w:val="left"/>
      <w:pPr>
        <w:tabs>
          <w:tab w:val="num" w:pos="851"/>
        </w:tabs>
        <w:ind w:left="851" w:firstLine="0"/>
      </w:pPr>
      <w:rPr>
        <w:rFonts w:hint="default"/>
      </w:rPr>
    </w:lvl>
    <w:lvl w:ilvl="8">
      <w:start w:val="1"/>
      <w:numFmt w:val="none"/>
      <w:lvlRestart w:val="0"/>
      <w:lvlText w:val=""/>
      <w:lvlJc w:val="left"/>
      <w:pPr>
        <w:ind w:left="851" w:firstLine="0"/>
      </w:pPr>
      <w:rPr>
        <w:rFonts w:hint="default"/>
      </w:rPr>
    </w:lvl>
  </w:abstractNum>
  <w:abstractNum w:abstractNumId="29" w15:restartNumberingAfterBreak="0">
    <w:nsid w:val="772646BE"/>
    <w:multiLevelType w:val="hybridMultilevel"/>
    <w:tmpl w:val="E07ED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5B2F79"/>
    <w:multiLevelType w:val="multilevel"/>
    <w:tmpl w:val="FA32E3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F924C95"/>
    <w:multiLevelType w:val="multilevel"/>
    <w:tmpl w:val="0D561ACA"/>
    <w:numStyleLink w:val="GTNumberedHeadings"/>
  </w:abstractNum>
  <w:num w:numId="1" w16cid:durableId="1189638376">
    <w:abstractNumId w:val="28"/>
  </w:num>
  <w:num w:numId="2" w16cid:durableId="2102067319">
    <w:abstractNumId w:val="21"/>
  </w:num>
  <w:num w:numId="3" w16cid:durableId="1451825717">
    <w:abstractNumId w:val="8"/>
  </w:num>
  <w:num w:numId="4" w16cid:durableId="1305164637">
    <w:abstractNumId w:val="6"/>
  </w:num>
  <w:num w:numId="5" w16cid:durableId="1594044219">
    <w:abstractNumId w:val="16"/>
  </w:num>
  <w:num w:numId="6" w16cid:durableId="333997682">
    <w:abstractNumId w:val="20"/>
  </w:num>
  <w:num w:numId="7" w16cid:durableId="1040932845">
    <w:abstractNumId w:val="21"/>
  </w:num>
  <w:num w:numId="8" w16cid:durableId="1463158014">
    <w:abstractNumId w:val="31"/>
  </w:num>
  <w:num w:numId="9" w16cid:durableId="542254586">
    <w:abstractNumId w:val="6"/>
  </w:num>
  <w:num w:numId="10" w16cid:durableId="678774015">
    <w:abstractNumId w:val="4"/>
  </w:num>
  <w:num w:numId="11" w16cid:durableId="734397534">
    <w:abstractNumId w:val="3"/>
  </w:num>
  <w:num w:numId="12" w16cid:durableId="1609504518">
    <w:abstractNumId w:val="2"/>
  </w:num>
  <w:num w:numId="13" w16cid:durableId="734014122">
    <w:abstractNumId w:val="1"/>
  </w:num>
  <w:num w:numId="14" w16cid:durableId="1110275115">
    <w:abstractNumId w:val="0"/>
  </w:num>
  <w:num w:numId="15" w16cid:durableId="1589457262">
    <w:abstractNumId w:val="28"/>
  </w:num>
  <w:num w:numId="16" w16cid:durableId="243800386">
    <w:abstractNumId w:val="21"/>
  </w:num>
  <w:num w:numId="17" w16cid:durableId="679813194">
    <w:abstractNumId w:val="5"/>
  </w:num>
  <w:num w:numId="18" w16cid:durableId="737705125">
    <w:abstractNumId w:val="11"/>
  </w:num>
  <w:num w:numId="19" w16cid:durableId="1395809160">
    <w:abstractNumId w:val="9"/>
  </w:num>
  <w:num w:numId="20" w16cid:durableId="1122114956">
    <w:abstractNumId w:val="9"/>
  </w:num>
  <w:num w:numId="21" w16cid:durableId="596451910">
    <w:abstractNumId w:val="9"/>
  </w:num>
  <w:num w:numId="22" w16cid:durableId="1263535503">
    <w:abstractNumId w:val="11"/>
  </w:num>
  <w:num w:numId="23" w16cid:durableId="410546148">
    <w:abstractNumId w:val="11"/>
  </w:num>
  <w:num w:numId="24" w16cid:durableId="1652563033">
    <w:abstractNumId w:val="11"/>
  </w:num>
  <w:num w:numId="25" w16cid:durableId="1388410995">
    <w:abstractNumId w:val="25"/>
  </w:num>
  <w:num w:numId="26" w16cid:durableId="1203905131">
    <w:abstractNumId w:val="25"/>
  </w:num>
  <w:num w:numId="27" w16cid:durableId="1448431692">
    <w:abstractNumId w:val="25"/>
  </w:num>
  <w:num w:numId="28" w16cid:durableId="407730792">
    <w:abstractNumId w:val="17"/>
  </w:num>
  <w:num w:numId="29" w16cid:durableId="412431412">
    <w:abstractNumId w:val="17"/>
  </w:num>
  <w:num w:numId="30" w16cid:durableId="1729262257">
    <w:abstractNumId w:val="17"/>
  </w:num>
  <w:num w:numId="31" w16cid:durableId="160512739">
    <w:abstractNumId w:val="26"/>
  </w:num>
  <w:num w:numId="32" w16cid:durableId="121849198">
    <w:abstractNumId w:val="22"/>
  </w:num>
  <w:num w:numId="33" w16cid:durableId="221452976">
    <w:abstractNumId w:val="29"/>
  </w:num>
  <w:num w:numId="34" w16cid:durableId="1133327570">
    <w:abstractNumId w:val="14"/>
  </w:num>
  <w:num w:numId="35" w16cid:durableId="1628117835">
    <w:abstractNumId w:val="15"/>
  </w:num>
  <w:num w:numId="36" w16cid:durableId="1789348490">
    <w:abstractNumId w:val="23"/>
  </w:num>
  <w:num w:numId="37" w16cid:durableId="1969117123">
    <w:abstractNumId w:val="13"/>
  </w:num>
  <w:num w:numId="38" w16cid:durableId="1063218738">
    <w:abstractNumId w:val="19"/>
  </w:num>
  <w:num w:numId="39" w16cid:durableId="2016110595">
    <w:abstractNumId w:val="10"/>
  </w:num>
  <w:num w:numId="40" w16cid:durableId="1569070944">
    <w:abstractNumId w:val="24"/>
  </w:num>
  <w:num w:numId="41" w16cid:durableId="583103944">
    <w:abstractNumId w:val="30"/>
  </w:num>
  <w:num w:numId="42" w16cid:durableId="1566256701">
    <w:abstractNumId w:val="18"/>
  </w:num>
  <w:num w:numId="43" w16cid:durableId="1264410898">
    <w:abstractNumId w:val="27"/>
  </w:num>
  <w:num w:numId="44" w16cid:durableId="14962046">
    <w:abstractNumId w:val="7"/>
  </w:num>
  <w:num w:numId="45" w16cid:durableId="1822309403">
    <w:abstractNumId w:val="1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804" w:allStyles="0" w:customStyles="0" w:latentStyles="1" w:stylesInUse="0" w:headingStyles="0" w:numberingStyles="0" w:tableStyles="0" w:directFormattingOnRuns="0" w:directFormattingOnParagraphs="0" w:directFormattingOnNumbering="0" w:directFormattingOnTables="1" w:clearFormatting="1" w:top3HeadingStyles="1"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v_confidentiality" w:val="© 2011 Grant Thornton International Ltd. All rights reserved."/>
    <w:docVar w:name="dv_logo_file" w:val="GTlogo-RGB-135.jpg"/>
    <w:docVar w:name="dv_logo2_file" w:val="GTlogo-RGB9mm.jpg"/>
    <w:docVar w:name="dv_page_header" w:val="Header"/>
    <w:docVar w:name="dv_partners" w:val="false"/>
    <w:docVar w:name="dv_select_office" w:val="TRUE"/>
    <w:docVar w:name="dv_senders_designation" w:val="For Grant Thornton International"/>
    <w:docVar w:name="dv_statement" w:val="© 2011 Grant Thornton International Ltd. All rights reserved."/>
    <w:docVar w:name="dv_trad_addr" w:val="Address Line 1_x000d__x000a_Address Line 2_x000d__x000a_Address Line 3_x000d__x000a_Address Line 4"/>
    <w:docVar w:name="dv_trad_fax" w:val="+XX (X)XX XXX XXXX"/>
    <w:docVar w:name="dv_trad_name" w:val="Trading Name"/>
    <w:docVar w:name="dv_trad_tel" w:val="+XX (X)XX XXX XXXX"/>
    <w:docVar w:name="dv_trad_web" w:val="www.gti.org"/>
  </w:docVars>
  <w:rsids>
    <w:rsidRoot w:val="00897DC6"/>
    <w:rsid w:val="00000D90"/>
    <w:rsid w:val="00001BCB"/>
    <w:rsid w:val="00011024"/>
    <w:rsid w:val="00013749"/>
    <w:rsid w:val="00013B38"/>
    <w:rsid w:val="0001412C"/>
    <w:rsid w:val="00036E38"/>
    <w:rsid w:val="00043552"/>
    <w:rsid w:val="00045E87"/>
    <w:rsid w:val="00052CFF"/>
    <w:rsid w:val="000555F4"/>
    <w:rsid w:val="00067FBE"/>
    <w:rsid w:val="00071F88"/>
    <w:rsid w:val="00075825"/>
    <w:rsid w:val="00076F60"/>
    <w:rsid w:val="00084A2C"/>
    <w:rsid w:val="000862B9"/>
    <w:rsid w:val="000A2985"/>
    <w:rsid w:val="000A3B2D"/>
    <w:rsid w:val="000A4974"/>
    <w:rsid w:val="000A4DFB"/>
    <w:rsid w:val="000A5471"/>
    <w:rsid w:val="000A67EE"/>
    <w:rsid w:val="000A6FE8"/>
    <w:rsid w:val="000B5217"/>
    <w:rsid w:val="000C1353"/>
    <w:rsid w:val="000D50D4"/>
    <w:rsid w:val="000D61DD"/>
    <w:rsid w:val="000E22AD"/>
    <w:rsid w:val="000E3A35"/>
    <w:rsid w:val="000E68CA"/>
    <w:rsid w:val="000F1502"/>
    <w:rsid w:val="000F1809"/>
    <w:rsid w:val="000F224A"/>
    <w:rsid w:val="000F23E4"/>
    <w:rsid w:val="000F2F6B"/>
    <w:rsid w:val="00101245"/>
    <w:rsid w:val="001021D2"/>
    <w:rsid w:val="00103B41"/>
    <w:rsid w:val="00104401"/>
    <w:rsid w:val="00107548"/>
    <w:rsid w:val="00110226"/>
    <w:rsid w:val="001135D9"/>
    <w:rsid w:val="001144EA"/>
    <w:rsid w:val="00125E06"/>
    <w:rsid w:val="00126DC2"/>
    <w:rsid w:val="00130E6E"/>
    <w:rsid w:val="001347BC"/>
    <w:rsid w:val="001366D0"/>
    <w:rsid w:val="00142FD0"/>
    <w:rsid w:val="00143EB2"/>
    <w:rsid w:val="001457E7"/>
    <w:rsid w:val="00150ACD"/>
    <w:rsid w:val="001558F7"/>
    <w:rsid w:val="00157891"/>
    <w:rsid w:val="00157A09"/>
    <w:rsid w:val="00160746"/>
    <w:rsid w:val="00160D9C"/>
    <w:rsid w:val="00166604"/>
    <w:rsid w:val="00167CAC"/>
    <w:rsid w:val="001739B7"/>
    <w:rsid w:val="001739E4"/>
    <w:rsid w:val="0017467E"/>
    <w:rsid w:val="00174ACC"/>
    <w:rsid w:val="00175851"/>
    <w:rsid w:val="00176F8D"/>
    <w:rsid w:val="00181F25"/>
    <w:rsid w:val="0018286E"/>
    <w:rsid w:val="00182D0D"/>
    <w:rsid w:val="001853EC"/>
    <w:rsid w:val="00187A66"/>
    <w:rsid w:val="00192CE7"/>
    <w:rsid w:val="001964F1"/>
    <w:rsid w:val="00197471"/>
    <w:rsid w:val="0019793F"/>
    <w:rsid w:val="001A1414"/>
    <w:rsid w:val="001A1728"/>
    <w:rsid w:val="001A1EFF"/>
    <w:rsid w:val="001A60CF"/>
    <w:rsid w:val="001A792B"/>
    <w:rsid w:val="001B15EF"/>
    <w:rsid w:val="001B485F"/>
    <w:rsid w:val="001B6557"/>
    <w:rsid w:val="001B7053"/>
    <w:rsid w:val="001C3B8E"/>
    <w:rsid w:val="001C7DFD"/>
    <w:rsid w:val="001D008C"/>
    <w:rsid w:val="001D23DB"/>
    <w:rsid w:val="001D273C"/>
    <w:rsid w:val="001D5D48"/>
    <w:rsid w:val="001E06EE"/>
    <w:rsid w:val="001E1770"/>
    <w:rsid w:val="001E2C02"/>
    <w:rsid w:val="001E6336"/>
    <w:rsid w:val="001E7FFB"/>
    <w:rsid w:val="001F10E0"/>
    <w:rsid w:val="001F1AF0"/>
    <w:rsid w:val="001F4AEB"/>
    <w:rsid w:val="00205F8C"/>
    <w:rsid w:val="00207E53"/>
    <w:rsid w:val="00211636"/>
    <w:rsid w:val="002144B9"/>
    <w:rsid w:val="00216930"/>
    <w:rsid w:val="002174E9"/>
    <w:rsid w:val="00223C38"/>
    <w:rsid w:val="00232894"/>
    <w:rsid w:val="00232ECF"/>
    <w:rsid w:val="0023481C"/>
    <w:rsid w:val="00235C61"/>
    <w:rsid w:val="00237BD1"/>
    <w:rsid w:val="00240935"/>
    <w:rsid w:val="00252710"/>
    <w:rsid w:val="00253442"/>
    <w:rsid w:val="002537F7"/>
    <w:rsid w:val="00254B3A"/>
    <w:rsid w:val="002576A3"/>
    <w:rsid w:val="002578FF"/>
    <w:rsid w:val="00262326"/>
    <w:rsid w:val="0026290B"/>
    <w:rsid w:val="00263263"/>
    <w:rsid w:val="0026397C"/>
    <w:rsid w:val="00263B91"/>
    <w:rsid w:val="002666E5"/>
    <w:rsid w:val="002706CA"/>
    <w:rsid w:val="002863B8"/>
    <w:rsid w:val="00290E43"/>
    <w:rsid w:val="002950F6"/>
    <w:rsid w:val="002975BF"/>
    <w:rsid w:val="002A4560"/>
    <w:rsid w:val="002B1C04"/>
    <w:rsid w:val="002B3600"/>
    <w:rsid w:val="002C3F06"/>
    <w:rsid w:val="002C4223"/>
    <w:rsid w:val="002D04A1"/>
    <w:rsid w:val="002D2DC5"/>
    <w:rsid w:val="002D3551"/>
    <w:rsid w:val="002E57F4"/>
    <w:rsid w:val="002F2027"/>
    <w:rsid w:val="002F274F"/>
    <w:rsid w:val="002F5278"/>
    <w:rsid w:val="002F66EB"/>
    <w:rsid w:val="00300833"/>
    <w:rsid w:val="0030218D"/>
    <w:rsid w:val="00302F02"/>
    <w:rsid w:val="0031389A"/>
    <w:rsid w:val="00317CB7"/>
    <w:rsid w:val="00323BEF"/>
    <w:rsid w:val="00330E3E"/>
    <w:rsid w:val="003327C1"/>
    <w:rsid w:val="0033534B"/>
    <w:rsid w:val="00340C01"/>
    <w:rsid w:val="0034284D"/>
    <w:rsid w:val="003462D8"/>
    <w:rsid w:val="00352A5F"/>
    <w:rsid w:val="003552AB"/>
    <w:rsid w:val="00355E7D"/>
    <w:rsid w:val="00361CA4"/>
    <w:rsid w:val="0036350F"/>
    <w:rsid w:val="003704CE"/>
    <w:rsid w:val="00371763"/>
    <w:rsid w:val="00371B4E"/>
    <w:rsid w:val="003720FC"/>
    <w:rsid w:val="0037454C"/>
    <w:rsid w:val="003752FD"/>
    <w:rsid w:val="003762FC"/>
    <w:rsid w:val="00381F3B"/>
    <w:rsid w:val="00387F2F"/>
    <w:rsid w:val="00390019"/>
    <w:rsid w:val="003910DC"/>
    <w:rsid w:val="00392F3A"/>
    <w:rsid w:val="0039458A"/>
    <w:rsid w:val="003A1996"/>
    <w:rsid w:val="003A2320"/>
    <w:rsid w:val="003B0BC3"/>
    <w:rsid w:val="003B51E9"/>
    <w:rsid w:val="003B52EA"/>
    <w:rsid w:val="003B550A"/>
    <w:rsid w:val="003B5657"/>
    <w:rsid w:val="003B59F5"/>
    <w:rsid w:val="003C13F1"/>
    <w:rsid w:val="003C1D96"/>
    <w:rsid w:val="003C4CE0"/>
    <w:rsid w:val="003D2AAB"/>
    <w:rsid w:val="003D2F25"/>
    <w:rsid w:val="003D4209"/>
    <w:rsid w:val="003D4AE9"/>
    <w:rsid w:val="003E21B1"/>
    <w:rsid w:val="003E2768"/>
    <w:rsid w:val="003E70F0"/>
    <w:rsid w:val="003E79C0"/>
    <w:rsid w:val="00400DFB"/>
    <w:rsid w:val="0040181B"/>
    <w:rsid w:val="00401CB2"/>
    <w:rsid w:val="0040598C"/>
    <w:rsid w:val="00407FBE"/>
    <w:rsid w:val="00413BC1"/>
    <w:rsid w:val="00414F9F"/>
    <w:rsid w:val="00422225"/>
    <w:rsid w:val="00424F5E"/>
    <w:rsid w:val="00425244"/>
    <w:rsid w:val="00425903"/>
    <w:rsid w:val="00435EA1"/>
    <w:rsid w:val="00435EED"/>
    <w:rsid w:val="00441D97"/>
    <w:rsid w:val="0044458A"/>
    <w:rsid w:val="00444D07"/>
    <w:rsid w:val="00451434"/>
    <w:rsid w:val="004556B3"/>
    <w:rsid w:val="00455E2E"/>
    <w:rsid w:val="00462B97"/>
    <w:rsid w:val="00467516"/>
    <w:rsid w:val="00471150"/>
    <w:rsid w:val="00476FEE"/>
    <w:rsid w:val="00481F79"/>
    <w:rsid w:val="00485A11"/>
    <w:rsid w:val="00487626"/>
    <w:rsid w:val="004937AF"/>
    <w:rsid w:val="004939BE"/>
    <w:rsid w:val="004952F5"/>
    <w:rsid w:val="004A0ABA"/>
    <w:rsid w:val="004A1BB6"/>
    <w:rsid w:val="004A652A"/>
    <w:rsid w:val="004A7137"/>
    <w:rsid w:val="004A729B"/>
    <w:rsid w:val="004B62FE"/>
    <w:rsid w:val="004B63DD"/>
    <w:rsid w:val="004C1FE9"/>
    <w:rsid w:val="004C2C12"/>
    <w:rsid w:val="004C2FED"/>
    <w:rsid w:val="004C4605"/>
    <w:rsid w:val="004D0E80"/>
    <w:rsid w:val="004D14D5"/>
    <w:rsid w:val="004D1EB2"/>
    <w:rsid w:val="004D2BFB"/>
    <w:rsid w:val="004D5C97"/>
    <w:rsid w:val="004D671F"/>
    <w:rsid w:val="004E3A82"/>
    <w:rsid w:val="004E5F46"/>
    <w:rsid w:val="004E745F"/>
    <w:rsid w:val="004F4E0B"/>
    <w:rsid w:val="004F6078"/>
    <w:rsid w:val="0050321F"/>
    <w:rsid w:val="00506A93"/>
    <w:rsid w:val="005108F7"/>
    <w:rsid w:val="00513853"/>
    <w:rsid w:val="00514E0D"/>
    <w:rsid w:val="0051765E"/>
    <w:rsid w:val="00520717"/>
    <w:rsid w:val="0052705B"/>
    <w:rsid w:val="0053326A"/>
    <w:rsid w:val="00536EF0"/>
    <w:rsid w:val="00536FA9"/>
    <w:rsid w:val="00543A03"/>
    <w:rsid w:val="00543DCF"/>
    <w:rsid w:val="00545DA0"/>
    <w:rsid w:val="00553170"/>
    <w:rsid w:val="005556BF"/>
    <w:rsid w:val="00567DC1"/>
    <w:rsid w:val="00567E06"/>
    <w:rsid w:val="00576254"/>
    <w:rsid w:val="005773A1"/>
    <w:rsid w:val="00577B2A"/>
    <w:rsid w:val="00582761"/>
    <w:rsid w:val="005851E4"/>
    <w:rsid w:val="00585D4B"/>
    <w:rsid w:val="005861A2"/>
    <w:rsid w:val="005A066F"/>
    <w:rsid w:val="005A2F70"/>
    <w:rsid w:val="005A7B9C"/>
    <w:rsid w:val="005A7BD5"/>
    <w:rsid w:val="005B1C4A"/>
    <w:rsid w:val="005B3041"/>
    <w:rsid w:val="005B65D4"/>
    <w:rsid w:val="005B7A11"/>
    <w:rsid w:val="005B7FC0"/>
    <w:rsid w:val="005C0FBA"/>
    <w:rsid w:val="005C1493"/>
    <w:rsid w:val="005C1C5A"/>
    <w:rsid w:val="005C23C4"/>
    <w:rsid w:val="005C3F71"/>
    <w:rsid w:val="005C6CDE"/>
    <w:rsid w:val="005E0A2C"/>
    <w:rsid w:val="005E1495"/>
    <w:rsid w:val="005E6FCA"/>
    <w:rsid w:val="005F07D5"/>
    <w:rsid w:val="005F102E"/>
    <w:rsid w:val="005F1501"/>
    <w:rsid w:val="005F500A"/>
    <w:rsid w:val="005F6B7B"/>
    <w:rsid w:val="005F7C6B"/>
    <w:rsid w:val="006022B5"/>
    <w:rsid w:val="006119F1"/>
    <w:rsid w:val="00617718"/>
    <w:rsid w:val="006311B1"/>
    <w:rsid w:val="00632468"/>
    <w:rsid w:val="00634500"/>
    <w:rsid w:val="00637254"/>
    <w:rsid w:val="0064317C"/>
    <w:rsid w:val="0064587D"/>
    <w:rsid w:val="0064701A"/>
    <w:rsid w:val="0064786E"/>
    <w:rsid w:val="0065033C"/>
    <w:rsid w:val="00660309"/>
    <w:rsid w:val="006622BD"/>
    <w:rsid w:val="00664813"/>
    <w:rsid w:val="0066576D"/>
    <w:rsid w:val="00665EF7"/>
    <w:rsid w:val="00665FDE"/>
    <w:rsid w:val="006709EF"/>
    <w:rsid w:val="00673203"/>
    <w:rsid w:val="006805D5"/>
    <w:rsid w:val="006909F2"/>
    <w:rsid w:val="00697D77"/>
    <w:rsid w:val="006A341C"/>
    <w:rsid w:val="006B3F65"/>
    <w:rsid w:val="006C286D"/>
    <w:rsid w:val="006C2D61"/>
    <w:rsid w:val="006C3454"/>
    <w:rsid w:val="006C3861"/>
    <w:rsid w:val="006C7AE1"/>
    <w:rsid w:val="006D70B5"/>
    <w:rsid w:val="006E3473"/>
    <w:rsid w:val="006E7DF0"/>
    <w:rsid w:val="006F6F69"/>
    <w:rsid w:val="00703D0F"/>
    <w:rsid w:val="0070602E"/>
    <w:rsid w:val="00711100"/>
    <w:rsid w:val="00715888"/>
    <w:rsid w:val="00722086"/>
    <w:rsid w:val="00725F1D"/>
    <w:rsid w:val="007266DE"/>
    <w:rsid w:val="007318BA"/>
    <w:rsid w:val="00732F5E"/>
    <w:rsid w:val="00733C42"/>
    <w:rsid w:val="00743E90"/>
    <w:rsid w:val="007450CD"/>
    <w:rsid w:val="00751CD0"/>
    <w:rsid w:val="00753ABA"/>
    <w:rsid w:val="00753B76"/>
    <w:rsid w:val="007577EB"/>
    <w:rsid w:val="007639D8"/>
    <w:rsid w:val="0077008C"/>
    <w:rsid w:val="00771DFC"/>
    <w:rsid w:val="00773537"/>
    <w:rsid w:val="00776338"/>
    <w:rsid w:val="00786789"/>
    <w:rsid w:val="0079501D"/>
    <w:rsid w:val="00796E25"/>
    <w:rsid w:val="007A3144"/>
    <w:rsid w:val="007A71C8"/>
    <w:rsid w:val="007A78C4"/>
    <w:rsid w:val="007B1BB2"/>
    <w:rsid w:val="007B3A1B"/>
    <w:rsid w:val="007B3A33"/>
    <w:rsid w:val="007B5567"/>
    <w:rsid w:val="007B5666"/>
    <w:rsid w:val="007B67FC"/>
    <w:rsid w:val="007C1011"/>
    <w:rsid w:val="007C17B3"/>
    <w:rsid w:val="007C24C4"/>
    <w:rsid w:val="007C3171"/>
    <w:rsid w:val="007D0128"/>
    <w:rsid w:val="007D0274"/>
    <w:rsid w:val="007D28B8"/>
    <w:rsid w:val="007D3274"/>
    <w:rsid w:val="007D5956"/>
    <w:rsid w:val="007F0A51"/>
    <w:rsid w:val="007F4D9A"/>
    <w:rsid w:val="007F58F4"/>
    <w:rsid w:val="007F6674"/>
    <w:rsid w:val="008012A2"/>
    <w:rsid w:val="00801676"/>
    <w:rsid w:val="00801A62"/>
    <w:rsid w:val="00802740"/>
    <w:rsid w:val="00805038"/>
    <w:rsid w:val="00805FFA"/>
    <w:rsid w:val="00807C9F"/>
    <w:rsid w:val="00811B16"/>
    <w:rsid w:val="008134E1"/>
    <w:rsid w:val="008135DF"/>
    <w:rsid w:val="00815CCE"/>
    <w:rsid w:val="008204EB"/>
    <w:rsid w:val="00826F80"/>
    <w:rsid w:val="00834693"/>
    <w:rsid w:val="00837726"/>
    <w:rsid w:val="008378BD"/>
    <w:rsid w:val="00840490"/>
    <w:rsid w:val="008404BE"/>
    <w:rsid w:val="00843EF2"/>
    <w:rsid w:val="00844467"/>
    <w:rsid w:val="0084773A"/>
    <w:rsid w:val="00847F5B"/>
    <w:rsid w:val="008523DD"/>
    <w:rsid w:val="008524F9"/>
    <w:rsid w:val="0085391C"/>
    <w:rsid w:val="00856E0B"/>
    <w:rsid w:val="00857899"/>
    <w:rsid w:val="00860A00"/>
    <w:rsid w:val="00863E05"/>
    <w:rsid w:val="008645CA"/>
    <w:rsid w:val="00871C8E"/>
    <w:rsid w:val="008747FC"/>
    <w:rsid w:val="0087526D"/>
    <w:rsid w:val="008830CE"/>
    <w:rsid w:val="00885EBB"/>
    <w:rsid w:val="00886D5A"/>
    <w:rsid w:val="00887B54"/>
    <w:rsid w:val="00892BF8"/>
    <w:rsid w:val="0089338D"/>
    <w:rsid w:val="00893520"/>
    <w:rsid w:val="00893A1D"/>
    <w:rsid w:val="00895CF7"/>
    <w:rsid w:val="0089655A"/>
    <w:rsid w:val="00897DC6"/>
    <w:rsid w:val="008A1CD0"/>
    <w:rsid w:val="008A5486"/>
    <w:rsid w:val="008A7D1A"/>
    <w:rsid w:val="008B189A"/>
    <w:rsid w:val="008B2749"/>
    <w:rsid w:val="008B5138"/>
    <w:rsid w:val="008C4813"/>
    <w:rsid w:val="008C4D0D"/>
    <w:rsid w:val="008C5563"/>
    <w:rsid w:val="008C6F79"/>
    <w:rsid w:val="008D0BF9"/>
    <w:rsid w:val="008D2E59"/>
    <w:rsid w:val="008D3A88"/>
    <w:rsid w:val="008D6CC0"/>
    <w:rsid w:val="008E1FB5"/>
    <w:rsid w:val="008E3A18"/>
    <w:rsid w:val="008E3B80"/>
    <w:rsid w:val="008F0217"/>
    <w:rsid w:val="008F3942"/>
    <w:rsid w:val="008F665C"/>
    <w:rsid w:val="009017F8"/>
    <w:rsid w:val="00901D3B"/>
    <w:rsid w:val="0090525A"/>
    <w:rsid w:val="00907933"/>
    <w:rsid w:val="009117B6"/>
    <w:rsid w:val="009209B4"/>
    <w:rsid w:val="00921B25"/>
    <w:rsid w:val="00923A87"/>
    <w:rsid w:val="00924583"/>
    <w:rsid w:val="00927F71"/>
    <w:rsid w:val="0093057B"/>
    <w:rsid w:val="00933845"/>
    <w:rsid w:val="009344A1"/>
    <w:rsid w:val="0093460D"/>
    <w:rsid w:val="009447AD"/>
    <w:rsid w:val="00945168"/>
    <w:rsid w:val="009454CF"/>
    <w:rsid w:val="00947EAC"/>
    <w:rsid w:val="00947FA4"/>
    <w:rsid w:val="00953D1C"/>
    <w:rsid w:val="00956405"/>
    <w:rsid w:val="00957449"/>
    <w:rsid w:val="009623AD"/>
    <w:rsid w:val="0096315A"/>
    <w:rsid w:val="00966490"/>
    <w:rsid w:val="0096670A"/>
    <w:rsid w:val="00973813"/>
    <w:rsid w:val="00976A40"/>
    <w:rsid w:val="00986280"/>
    <w:rsid w:val="00990285"/>
    <w:rsid w:val="00990BD2"/>
    <w:rsid w:val="00994A39"/>
    <w:rsid w:val="00994ECE"/>
    <w:rsid w:val="00996752"/>
    <w:rsid w:val="00996EF5"/>
    <w:rsid w:val="009A0405"/>
    <w:rsid w:val="009A246D"/>
    <w:rsid w:val="009A5CCB"/>
    <w:rsid w:val="009A722E"/>
    <w:rsid w:val="009B41A4"/>
    <w:rsid w:val="009B6DC7"/>
    <w:rsid w:val="009C3FA4"/>
    <w:rsid w:val="009C76FD"/>
    <w:rsid w:val="009D155C"/>
    <w:rsid w:val="009D2017"/>
    <w:rsid w:val="009D417B"/>
    <w:rsid w:val="009D42CF"/>
    <w:rsid w:val="009E14EA"/>
    <w:rsid w:val="009E4D8C"/>
    <w:rsid w:val="009E53E7"/>
    <w:rsid w:val="009E694A"/>
    <w:rsid w:val="009E6A78"/>
    <w:rsid w:val="009E6F2C"/>
    <w:rsid w:val="009F1C1B"/>
    <w:rsid w:val="009F2508"/>
    <w:rsid w:val="009F4E81"/>
    <w:rsid w:val="009F5EF5"/>
    <w:rsid w:val="009F644E"/>
    <w:rsid w:val="009F7EC2"/>
    <w:rsid w:val="00A03778"/>
    <w:rsid w:val="00A12BEA"/>
    <w:rsid w:val="00A138EC"/>
    <w:rsid w:val="00A16115"/>
    <w:rsid w:val="00A21670"/>
    <w:rsid w:val="00A21B6F"/>
    <w:rsid w:val="00A22E48"/>
    <w:rsid w:val="00A27DC9"/>
    <w:rsid w:val="00A372B2"/>
    <w:rsid w:val="00A451BF"/>
    <w:rsid w:val="00A45B6F"/>
    <w:rsid w:val="00A47BDC"/>
    <w:rsid w:val="00A51555"/>
    <w:rsid w:val="00A54401"/>
    <w:rsid w:val="00A60644"/>
    <w:rsid w:val="00A606E7"/>
    <w:rsid w:val="00A65500"/>
    <w:rsid w:val="00A7086B"/>
    <w:rsid w:val="00A744DB"/>
    <w:rsid w:val="00A75E0E"/>
    <w:rsid w:val="00A82EEC"/>
    <w:rsid w:val="00A85D46"/>
    <w:rsid w:val="00A87FDF"/>
    <w:rsid w:val="00A94133"/>
    <w:rsid w:val="00A94EB9"/>
    <w:rsid w:val="00A95DE3"/>
    <w:rsid w:val="00AA2928"/>
    <w:rsid w:val="00AA3C3B"/>
    <w:rsid w:val="00AA529B"/>
    <w:rsid w:val="00AA5E64"/>
    <w:rsid w:val="00AB5F23"/>
    <w:rsid w:val="00AB7644"/>
    <w:rsid w:val="00AC2DC6"/>
    <w:rsid w:val="00AC6523"/>
    <w:rsid w:val="00AC7B77"/>
    <w:rsid w:val="00AD076E"/>
    <w:rsid w:val="00AD47ED"/>
    <w:rsid w:val="00AD4E93"/>
    <w:rsid w:val="00AD710D"/>
    <w:rsid w:val="00AE028D"/>
    <w:rsid w:val="00AE4B96"/>
    <w:rsid w:val="00AF15A0"/>
    <w:rsid w:val="00AF220D"/>
    <w:rsid w:val="00AF2310"/>
    <w:rsid w:val="00AF2F43"/>
    <w:rsid w:val="00B03349"/>
    <w:rsid w:val="00B04BC4"/>
    <w:rsid w:val="00B063B7"/>
    <w:rsid w:val="00B10C9B"/>
    <w:rsid w:val="00B1118C"/>
    <w:rsid w:val="00B1232B"/>
    <w:rsid w:val="00B14482"/>
    <w:rsid w:val="00B15018"/>
    <w:rsid w:val="00B15C90"/>
    <w:rsid w:val="00B2038F"/>
    <w:rsid w:val="00B27B60"/>
    <w:rsid w:val="00B30872"/>
    <w:rsid w:val="00B3098B"/>
    <w:rsid w:val="00B30B06"/>
    <w:rsid w:val="00B32619"/>
    <w:rsid w:val="00B328DD"/>
    <w:rsid w:val="00B34A13"/>
    <w:rsid w:val="00B51315"/>
    <w:rsid w:val="00B532F4"/>
    <w:rsid w:val="00B55919"/>
    <w:rsid w:val="00B57ADB"/>
    <w:rsid w:val="00B60136"/>
    <w:rsid w:val="00B63BBD"/>
    <w:rsid w:val="00B65C10"/>
    <w:rsid w:val="00B70F85"/>
    <w:rsid w:val="00B75CEC"/>
    <w:rsid w:val="00B75E71"/>
    <w:rsid w:val="00B80048"/>
    <w:rsid w:val="00B83EA8"/>
    <w:rsid w:val="00B841B0"/>
    <w:rsid w:val="00B8501D"/>
    <w:rsid w:val="00B93D83"/>
    <w:rsid w:val="00B97D99"/>
    <w:rsid w:val="00BA180D"/>
    <w:rsid w:val="00BA5707"/>
    <w:rsid w:val="00BA6574"/>
    <w:rsid w:val="00BA6EBE"/>
    <w:rsid w:val="00BB1749"/>
    <w:rsid w:val="00BB1C83"/>
    <w:rsid w:val="00BB4622"/>
    <w:rsid w:val="00BB71E1"/>
    <w:rsid w:val="00BC2049"/>
    <w:rsid w:val="00BD368A"/>
    <w:rsid w:val="00BD4A2E"/>
    <w:rsid w:val="00BD4D0B"/>
    <w:rsid w:val="00BD5CA5"/>
    <w:rsid w:val="00BD72A8"/>
    <w:rsid w:val="00BE06BE"/>
    <w:rsid w:val="00BE2AF3"/>
    <w:rsid w:val="00BE40F5"/>
    <w:rsid w:val="00BE7717"/>
    <w:rsid w:val="00BF2E26"/>
    <w:rsid w:val="00BF527E"/>
    <w:rsid w:val="00BF5AC3"/>
    <w:rsid w:val="00BF6DA5"/>
    <w:rsid w:val="00C05413"/>
    <w:rsid w:val="00C063AB"/>
    <w:rsid w:val="00C1089A"/>
    <w:rsid w:val="00C11319"/>
    <w:rsid w:val="00C12151"/>
    <w:rsid w:val="00C17D4E"/>
    <w:rsid w:val="00C23D57"/>
    <w:rsid w:val="00C3054E"/>
    <w:rsid w:val="00C31F78"/>
    <w:rsid w:val="00C3615A"/>
    <w:rsid w:val="00C36624"/>
    <w:rsid w:val="00C3687B"/>
    <w:rsid w:val="00C40A43"/>
    <w:rsid w:val="00C42A61"/>
    <w:rsid w:val="00C461FA"/>
    <w:rsid w:val="00C4637C"/>
    <w:rsid w:val="00C46BF5"/>
    <w:rsid w:val="00C53C6A"/>
    <w:rsid w:val="00C655EE"/>
    <w:rsid w:val="00C7575E"/>
    <w:rsid w:val="00C77D03"/>
    <w:rsid w:val="00C822AC"/>
    <w:rsid w:val="00C828BE"/>
    <w:rsid w:val="00C942F5"/>
    <w:rsid w:val="00C94ED7"/>
    <w:rsid w:val="00CA3CF9"/>
    <w:rsid w:val="00CA4C38"/>
    <w:rsid w:val="00CA6B64"/>
    <w:rsid w:val="00CA7B49"/>
    <w:rsid w:val="00CB29C3"/>
    <w:rsid w:val="00CC0C77"/>
    <w:rsid w:val="00CC1315"/>
    <w:rsid w:val="00CC2C31"/>
    <w:rsid w:val="00CC3D0E"/>
    <w:rsid w:val="00CC5E27"/>
    <w:rsid w:val="00CD0945"/>
    <w:rsid w:val="00CD1174"/>
    <w:rsid w:val="00CD16FF"/>
    <w:rsid w:val="00CD2293"/>
    <w:rsid w:val="00CD2462"/>
    <w:rsid w:val="00CD4E39"/>
    <w:rsid w:val="00CD55D0"/>
    <w:rsid w:val="00CE0556"/>
    <w:rsid w:val="00CE0704"/>
    <w:rsid w:val="00CE58E1"/>
    <w:rsid w:val="00CF2550"/>
    <w:rsid w:val="00CF4F3E"/>
    <w:rsid w:val="00D03287"/>
    <w:rsid w:val="00D06077"/>
    <w:rsid w:val="00D070CF"/>
    <w:rsid w:val="00D107BD"/>
    <w:rsid w:val="00D11FB7"/>
    <w:rsid w:val="00D12281"/>
    <w:rsid w:val="00D229AA"/>
    <w:rsid w:val="00D32BF4"/>
    <w:rsid w:val="00D40003"/>
    <w:rsid w:val="00D46F0D"/>
    <w:rsid w:val="00D47D0B"/>
    <w:rsid w:val="00D5309C"/>
    <w:rsid w:val="00D5376A"/>
    <w:rsid w:val="00D53953"/>
    <w:rsid w:val="00D61AD0"/>
    <w:rsid w:val="00D63DA3"/>
    <w:rsid w:val="00D65105"/>
    <w:rsid w:val="00D77E21"/>
    <w:rsid w:val="00D77FC5"/>
    <w:rsid w:val="00D83E80"/>
    <w:rsid w:val="00D84755"/>
    <w:rsid w:val="00D87107"/>
    <w:rsid w:val="00D93691"/>
    <w:rsid w:val="00D9608F"/>
    <w:rsid w:val="00DC3893"/>
    <w:rsid w:val="00DC41B2"/>
    <w:rsid w:val="00DD1283"/>
    <w:rsid w:val="00DD1D27"/>
    <w:rsid w:val="00DD66A1"/>
    <w:rsid w:val="00DD684C"/>
    <w:rsid w:val="00DE0967"/>
    <w:rsid w:val="00DE42BD"/>
    <w:rsid w:val="00DE4E2E"/>
    <w:rsid w:val="00DF027E"/>
    <w:rsid w:val="00DF0D56"/>
    <w:rsid w:val="00DF1DA9"/>
    <w:rsid w:val="00DF1E95"/>
    <w:rsid w:val="00DF5A10"/>
    <w:rsid w:val="00DF6F8B"/>
    <w:rsid w:val="00DF7158"/>
    <w:rsid w:val="00DF74B8"/>
    <w:rsid w:val="00DF798D"/>
    <w:rsid w:val="00E02F9B"/>
    <w:rsid w:val="00E0734A"/>
    <w:rsid w:val="00E14093"/>
    <w:rsid w:val="00E14E9B"/>
    <w:rsid w:val="00E158A6"/>
    <w:rsid w:val="00E208ED"/>
    <w:rsid w:val="00E21C6B"/>
    <w:rsid w:val="00E22531"/>
    <w:rsid w:val="00E2254D"/>
    <w:rsid w:val="00E233D7"/>
    <w:rsid w:val="00E238D3"/>
    <w:rsid w:val="00E247ED"/>
    <w:rsid w:val="00E30934"/>
    <w:rsid w:val="00E446FE"/>
    <w:rsid w:val="00E45668"/>
    <w:rsid w:val="00E474B6"/>
    <w:rsid w:val="00E51ACD"/>
    <w:rsid w:val="00E54014"/>
    <w:rsid w:val="00E547B4"/>
    <w:rsid w:val="00E560D3"/>
    <w:rsid w:val="00E722BF"/>
    <w:rsid w:val="00E73682"/>
    <w:rsid w:val="00E74E1F"/>
    <w:rsid w:val="00E77F24"/>
    <w:rsid w:val="00E9189D"/>
    <w:rsid w:val="00E91F13"/>
    <w:rsid w:val="00E95DDB"/>
    <w:rsid w:val="00EA56F9"/>
    <w:rsid w:val="00EA6719"/>
    <w:rsid w:val="00EB57D0"/>
    <w:rsid w:val="00EC3148"/>
    <w:rsid w:val="00EC32C7"/>
    <w:rsid w:val="00EC470D"/>
    <w:rsid w:val="00EC6025"/>
    <w:rsid w:val="00EC7595"/>
    <w:rsid w:val="00ED5895"/>
    <w:rsid w:val="00EE02A8"/>
    <w:rsid w:val="00EE0EF5"/>
    <w:rsid w:val="00EE1FA2"/>
    <w:rsid w:val="00EF265F"/>
    <w:rsid w:val="00EF273E"/>
    <w:rsid w:val="00EF50E9"/>
    <w:rsid w:val="00EF6557"/>
    <w:rsid w:val="00F03FE1"/>
    <w:rsid w:val="00F04C41"/>
    <w:rsid w:val="00F05142"/>
    <w:rsid w:val="00F10E4E"/>
    <w:rsid w:val="00F14368"/>
    <w:rsid w:val="00F1449F"/>
    <w:rsid w:val="00F14981"/>
    <w:rsid w:val="00F23D0B"/>
    <w:rsid w:val="00F30950"/>
    <w:rsid w:val="00F34AB5"/>
    <w:rsid w:val="00F40537"/>
    <w:rsid w:val="00F425C8"/>
    <w:rsid w:val="00F469D3"/>
    <w:rsid w:val="00F51DD7"/>
    <w:rsid w:val="00F567A9"/>
    <w:rsid w:val="00F6110C"/>
    <w:rsid w:val="00F62BF3"/>
    <w:rsid w:val="00F654DF"/>
    <w:rsid w:val="00F65A78"/>
    <w:rsid w:val="00F67D33"/>
    <w:rsid w:val="00F707A6"/>
    <w:rsid w:val="00F71FD7"/>
    <w:rsid w:val="00F721CC"/>
    <w:rsid w:val="00F733D1"/>
    <w:rsid w:val="00F77E6C"/>
    <w:rsid w:val="00F8129A"/>
    <w:rsid w:val="00F81766"/>
    <w:rsid w:val="00F82369"/>
    <w:rsid w:val="00F844BC"/>
    <w:rsid w:val="00F84AF0"/>
    <w:rsid w:val="00F8639A"/>
    <w:rsid w:val="00F879EB"/>
    <w:rsid w:val="00FA0455"/>
    <w:rsid w:val="00FA077F"/>
    <w:rsid w:val="00FA0F35"/>
    <w:rsid w:val="00FA654C"/>
    <w:rsid w:val="00FB59BC"/>
    <w:rsid w:val="00FC0D59"/>
    <w:rsid w:val="00FC1E0B"/>
    <w:rsid w:val="00FD188B"/>
    <w:rsid w:val="00FD3DE6"/>
    <w:rsid w:val="00FD68BC"/>
    <w:rsid w:val="00FF1570"/>
    <w:rsid w:val="00FF3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2D6FFA"/>
  <w15:chartTrackingRefBased/>
  <w15:docId w15:val="{C8C67F22-4652-4C9F-9BFC-B7A8F7DEE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kern w:val="2"/>
        <w:lang w:val="en-US" w:eastAsia="en-US" w:bidi="ar-SA"/>
        <w14:ligatures w14:val="standardContextual"/>
      </w:rPr>
    </w:rPrDefault>
    <w:pPrDefault/>
  </w:docDefaults>
  <w:latentStyles w:defLockedState="0" w:defUIPriority="0" w:defSemiHidden="0" w:defUnhideWhenUsed="0" w:defQFormat="0" w:count="376">
    <w:lsdException w:name="Normal" w:uiPriority="9" w:qFormat="1"/>
    <w:lsdException w:name="heading 1" w:qFormat="1"/>
    <w:lsdException w:name="heading 2"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iPriority="1" w:unhideWhenUsed="1" w:qFormat="1"/>
    <w:lsdException w:name="List Number" w:uiPriority="1" w:qFormat="1"/>
    <w:lsdException w:name="List 2" w:semiHidden="1"/>
    <w:lsdException w:name="List 3" w:semiHidden="1" w:unhideWhenUsed="1"/>
    <w:lsdException w:name="List 4" w:semiHidden="1" w:unhideWhenUsed="1"/>
    <w:lsdException w:name="List 5" w:semiHidden="1" w:unhideWhenUsed="1"/>
    <w:lsdException w:name="List Bullet 2" w:semiHidden="1" w:uiPriority="1" w:unhideWhenUsed="1" w:qFormat="1"/>
    <w:lsdException w:name="List Bullet 3" w:uiPriority="1" w:qFormat="1"/>
    <w:lsdException w:name="List Bullet 4" w:semiHidden="1" w:unhideWhenUsed="1"/>
    <w:lsdException w:name="List Bullet 5" w:semiHidden="1" w:unhideWhenUsed="1"/>
    <w:lsdException w:name="List Number 2" w:semiHidden="1" w:uiPriority="1" w:unhideWhenUsed="1" w:qFormat="1"/>
    <w:lsdException w:name="List Number 3" w:semiHidden="1" w:uiPriority="1" w:unhideWhenUsed="1" w:qFormat="1"/>
    <w:lsdException w:name="List Number 4" w:semiHidden="1" w:unhideWhenUsed="1"/>
    <w:lsdException w:name="List Number 5" w:semiHidden="1" w:unhideWhenUsed="1"/>
    <w:lsdException w:name="Title" w:uiPriority="9"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lsdException w:name="List Continue 5" w:semiHidden="1"/>
    <w:lsdException w:name="Message Header" w:semiHidden="1"/>
    <w:lsdException w:name="Subtitle" w:uiPriority="9"/>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semiHidden="1" w:unhideWhenUsed="1"/>
    <w:lsdException w:name="Emphasis" w:semiHidden="1" w:uiPriority="9"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semiHidden="1" w:uiPriority="34" w:unhideWhenUsed="1"/>
    <w:lsdException w:name="Quote" w:uiPriority="9"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9"/>
    <w:rsid w:val="003B550A"/>
    <w:pPr>
      <w:spacing w:after="120" w:line="240" w:lineRule="atLeast"/>
    </w:pPr>
    <w:rPr>
      <w:rFonts w:asciiTheme="minorHAnsi" w:hAnsiTheme="minorHAnsi" w:cs="Arial"/>
      <w:sz w:val="18"/>
    </w:rPr>
  </w:style>
  <w:style w:type="paragraph" w:styleId="Heading1">
    <w:name w:val="heading 1"/>
    <w:basedOn w:val="Normal"/>
    <w:next w:val="BodyText"/>
    <w:link w:val="Heading1Char"/>
    <w:qFormat/>
    <w:rsid w:val="00B04BC4"/>
    <w:pPr>
      <w:keepNext/>
      <w:spacing w:before="240" w:line="400" w:lineRule="exact"/>
      <w:outlineLvl w:val="0"/>
    </w:pPr>
    <w:rPr>
      <w:rFonts w:asciiTheme="majorHAnsi" w:hAnsiTheme="majorHAnsi" w:cstheme="majorHAnsi"/>
      <w:bCs/>
      <w:color w:val="4F2D7F" w:themeColor="accent1"/>
      <w:kern w:val="32"/>
      <w:sz w:val="36"/>
      <w:szCs w:val="28"/>
    </w:rPr>
  </w:style>
  <w:style w:type="paragraph" w:styleId="Heading2">
    <w:name w:val="heading 2"/>
    <w:basedOn w:val="Heading1"/>
    <w:next w:val="BodyText"/>
    <w:link w:val="Heading2Char"/>
    <w:qFormat/>
    <w:rsid w:val="00263263"/>
    <w:pPr>
      <w:spacing w:line="320" w:lineRule="exact"/>
      <w:outlineLvl w:val="1"/>
    </w:pPr>
    <w:rPr>
      <w:bCs w:val="0"/>
      <w:sz w:val="26"/>
      <w:szCs w:val="19"/>
    </w:rPr>
  </w:style>
  <w:style w:type="paragraph" w:styleId="Heading3">
    <w:name w:val="heading 3"/>
    <w:basedOn w:val="Heading2"/>
    <w:next w:val="BodyText"/>
    <w:rsid w:val="00B04BC4"/>
    <w:pPr>
      <w:spacing w:line="240" w:lineRule="atLeast"/>
      <w:outlineLvl w:val="2"/>
    </w:pPr>
    <w:rPr>
      <w:rFonts w:asciiTheme="minorHAnsi" w:hAnsiTheme="minorHAnsi" w:cstheme="minorHAnsi"/>
      <w:b/>
      <w:bCs/>
      <w:sz w:val="19"/>
      <w:szCs w:val="18"/>
    </w:rPr>
  </w:style>
  <w:style w:type="paragraph" w:styleId="Heading4">
    <w:name w:val="heading 4"/>
    <w:basedOn w:val="Heading3"/>
    <w:next w:val="BodyText"/>
    <w:link w:val="Heading4Char"/>
    <w:qFormat/>
    <w:rsid w:val="00B04BC4"/>
    <w:pPr>
      <w:outlineLvl w:val="3"/>
    </w:pPr>
    <w:rPr>
      <w:b w:val="0"/>
      <w:bCs w:val="0"/>
      <w:sz w:val="18"/>
    </w:rPr>
  </w:style>
  <w:style w:type="paragraph" w:styleId="Heading5">
    <w:name w:val="heading 5"/>
    <w:basedOn w:val="Normal"/>
    <w:next w:val="Normal"/>
    <w:semiHidden/>
    <w:qFormat/>
    <w:rsid w:val="00B04BC4"/>
    <w:pPr>
      <w:numPr>
        <w:ilvl w:val="4"/>
        <w:numId w:val="5"/>
      </w:numPr>
      <w:spacing w:before="240"/>
      <w:outlineLvl w:val="4"/>
    </w:pPr>
    <w:rPr>
      <w:b/>
      <w:bCs/>
      <w:i/>
      <w:iCs/>
      <w:sz w:val="24"/>
      <w:szCs w:val="26"/>
    </w:rPr>
  </w:style>
  <w:style w:type="paragraph" w:styleId="Heading6">
    <w:name w:val="heading 6"/>
    <w:basedOn w:val="Normal"/>
    <w:next w:val="Normal"/>
    <w:semiHidden/>
    <w:qFormat/>
    <w:rsid w:val="00B04BC4"/>
    <w:pPr>
      <w:numPr>
        <w:ilvl w:val="5"/>
        <w:numId w:val="5"/>
      </w:numPr>
      <w:spacing w:before="240" w:after="60"/>
      <w:outlineLvl w:val="5"/>
    </w:pPr>
    <w:rPr>
      <w:rFonts w:ascii="Times New Roman" w:hAnsi="Times New Roman" w:cs="Times New Roman"/>
      <w:b/>
      <w:bCs/>
      <w:szCs w:val="22"/>
    </w:rPr>
  </w:style>
  <w:style w:type="paragraph" w:styleId="Heading7">
    <w:name w:val="heading 7"/>
    <w:basedOn w:val="Normal"/>
    <w:next w:val="Normal"/>
    <w:semiHidden/>
    <w:qFormat/>
    <w:rsid w:val="00B04BC4"/>
    <w:pPr>
      <w:numPr>
        <w:ilvl w:val="6"/>
        <w:numId w:val="5"/>
      </w:numPr>
      <w:spacing w:before="240" w:after="60"/>
      <w:outlineLvl w:val="6"/>
    </w:pPr>
    <w:rPr>
      <w:rFonts w:ascii="Times New Roman" w:hAnsi="Times New Roman" w:cs="Times New Roman"/>
      <w:sz w:val="24"/>
      <w:szCs w:val="24"/>
    </w:rPr>
  </w:style>
  <w:style w:type="paragraph" w:styleId="Heading8">
    <w:name w:val="heading 8"/>
    <w:basedOn w:val="Normal"/>
    <w:next w:val="Normal"/>
    <w:semiHidden/>
    <w:qFormat/>
    <w:rsid w:val="00B04BC4"/>
    <w:pPr>
      <w:numPr>
        <w:ilvl w:val="7"/>
        <w:numId w:val="5"/>
      </w:numPr>
      <w:spacing w:before="240" w:after="60"/>
      <w:outlineLvl w:val="7"/>
    </w:pPr>
    <w:rPr>
      <w:rFonts w:ascii="Times New Roman" w:hAnsi="Times New Roman" w:cs="Times New Roman"/>
      <w:i/>
      <w:iCs/>
      <w:sz w:val="24"/>
      <w:szCs w:val="24"/>
    </w:rPr>
  </w:style>
  <w:style w:type="paragraph" w:styleId="Heading9">
    <w:name w:val="heading 9"/>
    <w:basedOn w:val="Normal"/>
    <w:next w:val="Normal"/>
    <w:semiHidden/>
    <w:qFormat/>
    <w:rsid w:val="00B04BC4"/>
    <w:pPr>
      <w:numPr>
        <w:ilvl w:val="8"/>
        <w:numId w:val="5"/>
      </w:numPr>
      <w:spacing w:before="240" w:after="60"/>
      <w:outlineLvl w:val="8"/>
    </w:pPr>
    <w:rPr>
      <w:rFonts w:ascii="Arial" w:hAnsi="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B04BC4"/>
  </w:style>
  <w:style w:type="paragraph" w:styleId="ListBullet">
    <w:name w:val="List Bullet"/>
    <w:basedOn w:val="Normal"/>
    <w:link w:val="ListBulletChar"/>
    <w:uiPriority w:val="1"/>
    <w:qFormat/>
    <w:rsid w:val="008C4D0D"/>
    <w:pPr>
      <w:numPr>
        <w:numId w:val="27"/>
      </w:numPr>
    </w:pPr>
    <w:rPr>
      <w:lang w:val="en-GB"/>
    </w:rPr>
  </w:style>
  <w:style w:type="paragraph" w:styleId="ListNumber">
    <w:name w:val="List Number"/>
    <w:basedOn w:val="Normal"/>
    <w:uiPriority w:val="1"/>
    <w:qFormat/>
    <w:rsid w:val="008C4D0D"/>
    <w:pPr>
      <w:numPr>
        <w:numId w:val="30"/>
      </w:numPr>
    </w:pPr>
    <w:rPr>
      <w:lang w:val="en-GB"/>
    </w:rPr>
  </w:style>
  <w:style w:type="paragraph" w:styleId="Header">
    <w:name w:val="header"/>
    <w:semiHidden/>
    <w:rsid w:val="00B04BC4"/>
    <w:pPr>
      <w:tabs>
        <w:tab w:val="right" w:pos="8562"/>
      </w:tabs>
    </w:pPr>
    <w:rPr>
      <w:rFonts w:asciiTheme="minorHAnsi" w:hAnsiTheme="minorHAnsi" w:cs="Arial"/>
      <w:b/>
      <w:color w:val="747678" w:themeColor="background2"/>
      <w:sz w:val="16"/>
    </w:rPr>
  </w:style>
  <w:style w:type="paragraph" w:styleId="Footer">
    <w:name w:val="footer"/>
    <w:link w:val="FooterChar"/>
    <w:uiPriority w:val="99"/>
    <w:rsid w:val="000D61DD"/>
    <w:pPr>
      <w:jc w:val="right"/>
    </w:pPr>
    <w:rPr>
      <w:rFonts w:asciiTheme="minorHAnsi" w:hAnsiTheme="minorHAnsi" w:cstheme="minorHAnsi"/>
      <w:color w:val="747678" w:themeColor="background2"/>
      <w:sz w:val="12"/>
      <w:szCs w:val="16"/>
    </w:rPr>
  </w:style>
  <w:style w:type="character" w:customStyle="1" w:styleId="ReportColour">
    <w:name w:val="Report Colour"/>
    <w:basedOn w:val="DefaultParagraphFont"/>
    <w:rsid w:val="005A066F"/>
    <w:rPr>
      <w:color w:val="4F2D7F" w:themeColor="accent1"/>
      <w:lang w:val="en-US"/>
    </w:rPr>
  </w:style>
  <w:style w:type="paragraph" w:customStyle="1" w:styleId="AppendixTitle">
    <w:name w:val="Appendix Title"/>
    <w:basedOn w:val="Normal"/>
    <w:next w:val="BodyText"/>
    <w:rsid w:val="00990285"/>
    <w:pPr>
      <w:pageBreakBefore/>
      <w:framePr w:w="8630" w:wrap="around" w:vAnchor="page" w:hAnchor="text" w:y="1419" w:anchorLock="1"/>
      <w:spacing w:line="800" w:lineRule="exact"/>
    </w:pPr>
    <w:rPr>
      <w:rFonts w:asciiTheme="majorHAnsi" w:hAnsiTheme="majorHAnsi" w:cstheme="majorHAnsi"/>
      <w:bCs/>
      <w:color w:val="4F2D7F" w:themeColor="accent1"/>
      <w:kern w:val="28"/>
      <w:sz w:val="72"/>
      <w:szCs w:val="32"/>
      <w:lang w:val="en-GB"/>
    </w:rPr>
  </w:style>
  <w:style w:type="paragraph" w:styleId="Title">
    <w:name w:val="Title"/>
    <w:basedOn w:val="Normal"/>
    <w:next w:val="BodyText"/>
    <w:uiPriority w:val="1"/>
    <w:qFormat/>
    <w:rsid w:val="0018286E"/>
    <w:pPr>
      <w:spacing w:after="360" w:line="800" w:lineRule="exact"/>
      <w:outlineLvl w:val="0"/>
    </w:pPr>
    <w:rPr>
      <w:rFonts w:asciiTheme="majorHAnsi" w:hAnsiTheme="majorHAnsi" w:cstheme="majorHAnsi"/>
      <w:b/>
      <w:bCs/>
      <w:color w:val="4F2D7F" w:themeColor="accent1"/>
      <w:kern w:val="28"/>
      <w:sz w:val="72"/>
      <w:szCs w:val="32"/>
    </w:rPr>
  </w:style>
  <w:style w:type="paragraph" w:styleId="Subtitle">
    <w:name w:val="Subtitle"/>
    <w:uiPriority w:val="9"/>
    <w:rsid w:val="00B04BC4"/>
    <w:pPr>
      <w:spacing w:after="840" w:line="280" w:lineRule="atLeast"/>
      <w:outlineLvl w:val="1"/>
    </w:pPr>
    <w:rPr>
      <w:rFonts w:asciiTheme="majorHAnsi" w:hAnsiTheme="majorHAnsi" w:cs="Arial"/>
      <w:bCs/>
      <w:color w:val="747678" w:themeColor="background2"/>
      <w:kern w:val="28"/>
      <w:sz w:val="36"/>
      <w:szCs w:val="24"/>
    </w:rPr>
  </w:style>
  <w:style w:type="paragraph" w:styleId="ListBullet2">
    <w:name w:val="List Bullet 2"/>
    <w:basedOn w:val="Normal"/>
    <w:uiPriority w:val="1"/>
    <w:qFormat/>
    <w:rsid w:val="008C4D0D"/>
    <w:pPr>
      <w:numPr>
        <w:ilvl w:val="1"/>
        <w:numId w:val="27"/>
      </w:numPr>
    </w:pPr>
    <w:rPr>
      <w:lang w:val="en-GB"/>
    </w:rPr>
  </w:style>
  <w:style w:type="paragraph" w:styleId="ListNumber2">
    <w:name w:val="List Number 2"/>
    <w:basedOn w:val="Normal"/>
    <w:uiPriority w:val="1"/>
    <w:qFormat/>
    <w:rsid w:val="008C4D0D"/>
    <w:pPr>
      <w:numPr>
        <w:ilvl w:val="1"/>
        <w:numId w:val="30"/>
      </w:numPr>
    </w:pPr>
    <w:rPr>
      <w:lang w:val="en-GB"/>
    </w:rPr>
  </w:style>
  <w:style w:type="paragraph" w:styleId="ListNumber3">
    <w:name w:val="List Number 3"/>
    <w:basedOn w:val="Normal"/>
    <w:uiPriority w:val="1"/>
    <w:qFormat/>
    <w:rsid w:val="008C4D0D"/>
    <w:pPr>
      <w:numPr>
        <w:ilvl w:val="2"/>
        <w:numId w:val="30"/>
      </w:numPr>
    </w:pPr>
    <w:rPr>
      <w:lang w:val="en-GB"/>
    </w:rPr>
  </w:style>
  <w:style w:type="paragraph" w:customStyle="1" w:styleId="MarginNotes">
    <w:name w:val="Margin Notes"/>
    <w:semiHidden/>
    <w:rsid w:val="00B04BC4"/>
    <w:rPr>
      <w:rFonts w:asciiTheme="minorHAnsi" w:hAnsiTheme="minorHAnsi" w:cs="Arial"/>
      <w:sz w:val="16"/>
    </w:rPr>
  </w:style>
  <w:style w:type="paragraph" w:customStyle="1" w:styleId="SectionTitle">
    <w:name w:val="Section Title"/>
    <w:next w:val="BodyText"/>
    <w:rsid w:val="00990285"/>
    <w:pPr>
      <w:pageBreakBefore/>
      <w:framePr w:w="8630" w:wrap="around" w:vAnchor="page" w:hAnchor="text" w:y="1419" w:anchorLock="1"/>
      <w:spacing w:after="120" w:line="800" w:lineRule="exact"/>
    </w:pPr>
    <w:rPr>
      <w:rFonts w:asciiTheme="majorHAnsi" w:hAnsiTheme="majorHAnsi" w:cstheme="majorHAnsi"/>
      <w:color w:val="4F2D7F" w:themeColor="accent1"/>
      <w:sz w:val="72"/>
      <w:lang w:val="en-GB"/>
    </w:rPr>
  </w:style>
  <w:style w:type="paragraph" w:customStyle="1" w:styleId="TableHeading">
    <w:name w:val="Table Heading"/>
    <w:uiPriority w:val="2"/>
    <w:qFormat/>
    <w:rsid w:val="00B04BC4"/>
    <w:pPr>
      <w:spacing w:before="60" w:after="60"/>
    </w:pPr>
    <w:rPr>
      <w:rFonts w:asciiTheme="minorHAnsi" w:hAnsiTheme="minorHAnsi" w:cs="Arial"/>
      <w:b/>
      <w:bCs/>
      <w:kern w:val="28"/>
      <w:sz w:val="16"/>
      <w:szCs w:val="32"/>
    </w:rPr>
  </w:style>
  <w:style w:type="paragraph" w:customStyle="1" w:styleId="TableText">
    <w:name w:val="Table Text"/>
    <w:uiPriority w:val="2"/>
    <w:qFormat/>
    <w:rsid w:val="00B04BC4"/>
    <w:pPr>
      <w:spacing w:before="60" w:after="60"/>
    </w:pPr>
    <w:rPr>
      <w:rFonts w:asciiTheme="minorHAnsi" w:hAnsiTheme="minorHAnsi" w:cs="Arial"/>
      <w:sz w:val="16"/>
    </w:rPr>
  </w:style>
  <w:style w:type="paragraph" w:customStyle="1" w:styleId="TintBoxTextBlack">
    <w:name w:val="Tint Box Text Black"/>
    <w:semiHidden/>
    <w:rsid w:val="00B04BC4"/>
    <w:pPr>
      <w:spacing w:after="240" w:line="240" w:lineRule="atLeast"/>
    </w:pPr>
    <w:rPr>
      <w:rFonts w:asciiTheme="minorHAnsi" w:hAnsiTheme="minorHAnsi" w:cs="Arial"/>
      <w:b/>
      <w:sz w:val="18"/>
    </w:rPr>
  </w:style>
  <w:style w:type="paragraph" w:customStyle="1" w:styleId="TintBoxTextWhite">
    <w:name w:val="Tint Box Text White"/>
    <w:basedOn w:val="TintBoxTextBlack"/>
    <w:semiHidden/>
    <w:rsid w:val="00B04BC4"/>
    <w:rPr>
      <w:color w:val="FFFFFF"/>
    </w:rPr>
  </w:style>
  <w:style w:type="paragraph" w:styleId="TOC1">
    <w:name w:val="toc 1"/>
    <w:next w:val="Normal"/>
    <w:uiPriority w:val="39"/>
    <w:rsid w:val="00B04BC4"/>
    <w:pPr>
      <w:tabs>
        <w:tab w:val="right" w:pos="8505"/>
      </w:tabs>
      <w:spacing w:before="120" w:after="120" w:line="240" w:lineRule="atLeast"/>
    </w:pPr>
    <w:rPr>
      <w:rFonts w:asciiTheme="minorHAnsi" w:hAnsiTheme="minorHAnsi" w:cs="Arial"/>
      <w:sz w:val="18"/>
    </w:rPr>
  </w:style>
  <w:style w:type="paragraph" w:styleId="TOC2">
    <w:name w:val="toc 2"/>
    <w:next w:val="Normal"/>
    <w:uiPriority w:val="39"/>
    <w:rsid w:val="00B04BC4"/>
    <w:pPr>
      <w:tabs>
        <w:tab w:val="right" w:pos="8363"/>
      </w:tabs>
      <w:spacing w:after="120" w:line="240" w:lineRule="atLeast"/>
      <w:ind w:left="198"/>
    </w:pPr>
    <w:rPr>
      <w:rFonts w:asciiTheme="minorHAnsi" w:hAnsiTheme="minorHAnsi" w:cs="Arial"/>
      <w:sz w:val="18"/>
      <w:szCs w:val="24"/>
    </w:rPr>
  </w:style>
  <w:style w:type="paragraph" w:styleId="TOC3">
    <w:name w:val="toc 3"/>
    <w:basedOn w:val="TOC2"/>
    <w:next w:val="Normal"/>
    <w:uiPriority w:val="39"/>
    <w:rsid w:val="00B04BC4"/>
    <w:pPr>
      <w:ind w:left="403"/>
    </w:pPr>
  </w:style>
  <w:style w:type="paragraph" w:customStyle="1" w:styleId="Contents">
    <w:name w:val="Contents"/>
    <w:next w:val="Normal"/>
    <w:uiPriority w:val="9"/>
    <w:unhideWhenUsed/>
    <w:rsid w:val="00B04BC4"/>
    <w:pPr>
      <w:framePr w:w="8629" w:wrap="around" w:vAnchor="page" w:hAnchor="text" w:y="1419" w:anchorLock="1"/>
      <w:spacing w:after="120" w:line="800" w:lineRule="exact"/>
    </w:pPr>
    <w:rPr>
      <w:rFonts w:asciiTheme="majorHAnsi" w:hAnsiTheme="majorHAnsi" w:cstheme="majorHAnsi"/>
      <w:color w:val="4F2D7F" w:themeColor="accent1"/>
      <w:sz w:val="72"/>
    </w:rPr>
  </w:style>
  <w:style w:type="character" w:styleId="PageNumber">
    <w:name w:val="page number"/>
    <w:basedOn w:val="DefaultParagraphFont"/>
    <w:semiHidden/>
    <w:rsid w:val="00B04BC4"/>
    <w:rPr>
      <w:rFonts w:asciiTheme="minorHAnsi" w:hAnsiTheme="minorHAnsi"/>
      <w:lang w:val="en-US"/>
    </w:rPr>
  </w:style>
  <w:style w:type="paragraph" w:customStyle="1" w:styleId="ChapterTitle">
    <w:name w:val="Chapter Title"/>
    <w:basedOn w:val="Subtitle"/>
    <w:uiPriority w:val="9"/>
    <w:semiHidden/>
    <w:rsid w:val="00B04BC4"/>
    <w:pPr>
      <w:pBdr>
        <w:bottom w:val="single" w:sz="4" w:space="5" w:color="auto"/>
      </w:pBdr>
      <w:spacing w:after="720" w:line="240" w:lineRule="atLeast"/>
    </w:pPr>
    <w:rPr>
      <w:sz w:val="18"/>
    </w:rPr>
  </w:style>
  <w:style w:type="paragraph" w:customStyle="1" w:styleId="AppendicesTitle">
    <w:name w:val="Appendices Title"/>
    <w:basedOn w:val="Heading2"/>
    <w:next w:val="Normal"/>
    <w:uiPriority w:val="9"/>
    <w:semiHidden/>
    <w:rsid w:val="00B04BC4"/>
    <w:rPr>
      <w:color w:val="auto"/>
    </w:rPr>
  </w:style>
  <w:style w:type="character" w:styleId="Hyperlink">
    <w:name w:val="Hyperlink"/>
    <w:basedOn w:val="DefaultParagraphFont"/>
    <w:uiPriority w:val="99"/>
    <w:rsid w:val="00B04BC4"/>
    <w:rPr>
      <w:color w:val="0000FF"/>
      <w:u w:val="single"/>
      <w:lang w:val="en-US"/>
    </w:rPr>
  </w:style>
  <w:style w:type="paragraph" w:customStyle="1" w:styleId="ReferenceTitle">
    <w:name w:val="Reference Title"/>
    <w:next w:val="ReferenceText"/>
    <w:uiPriority w:val="9"/>
    <w:unhideWhenUsed/>
    <w:rsid w:val="00B04BC4"/>
    <w:pPr>
      <w:spacing w:after="120" w:line="240" w:lineRule="atLeast"/>
    </w:pPr>
    <w:rPr>
      <w:rFonts w:asciiTheme="minorHAnsi" w:hAnsiTheme="minorHAnsi" w:cs="Arial"/>
      <w:b/>
      <w:kern w:val="32"/>
      <w:sz w:val="18"/>
      <w:szCs w:val="24"/>
    </w:rPr>
  </w:style>
  <w:style w:type="paragraph" w:customStyle="1" w:styleId="ReferenceText">
    <w:name w:val="Reference Text"/>
    <w:uiPriority w:val="9"/>
    <w:unhideWhenUsed/>
    <w:rsid w:val="00B04BC4"/>
    <w:pPr>
      <w:spacing w:after="120" w:line="240" w:lineRule="atLeast"/>
    </w:pPr>
    <w:rPr>
      <w:rFonts w:asciiTheme="minorHAnsi" w:hAnsiTheme="minorHAnsi" w:cs="Arial"/>
      <w:kern w:val="32"/>
      <w:sz w:val="18"/>
      <w:szCs w:val="24"/>
    </w:rPr>
  </w:style>
  <w:style w:type="paragraph" w:customStyle="1" w:styleId="Backpage">
    <w:name w:val="Back page"/>
    <w:uiPriority w:val="9"/>
    <w:semiHidden/>
    <w:rsid w:val="00B04BC4"/>
    <w:rPr>
      <w:rFonts w:asciiTheme="majorHAnsi" w:hAnsiTheme="majorHAnsi" w:cs="Arial"/>
      <w:b/>
      <w:sz w:val="18"/>
    </w:rPr>
  </w:style>
  <w:style w:type="paragraph" w:customStyle="1" w:styleId="Copyright">
    <w:name w:val="Copyright"/>
    <w:semiHidden/>
    <w:rsid w:val="00B04BC4"/>
    <w:pPr>
      <w:framePr w:hSpace="181" w:wrap="around" w:hAnchor="margin" w:yAlign="bottom"/>
      <w:spacing w:after="80"/>
    </w:pPr>
    <w:rPr>
      <w:rFonts w:ascii="Arial Narrow" w:hAnsi="Arial Narrow" w:cs="Arial"/>
      <w:color w:val="747678" w:themeColor="background2"/>
      <w:sz w:val="12"/>
    </w:rPr>
  </w:style>
  <w:style w:type="paragraph" w:customStyle="1" w:styleId="TradingName">
    <w:name w:val="Trading Name"/>
    <w:semiHidden/>
    <w:rsid w:val="00B04BC4"/>
    <w:pPr>
      <w:spacing w:line="180" w:lineRule="atLeast"/>
    </w:pPr>
    <w:rPr>
      <w:rFonts w:asciiTheme="minorHAnsi" w:eastAsia="SimHei" w:hAnsiTheme="minorHAnsi" w:cs="Arial"/>
      <w:b/>
      <w:sz w:val="14"/>
    </w:rPr>
  </w:style>
  <w:style w:type="paragraph" w:customStyle="1" w:styleId="PartnerAddress">
    <w:name w:val="Partner Address"/>
    <w:semiHidden/>
    <w:rsid w:val="00B04BC4"/>
    <w:rPr>
      <w:rFonts w:asciiTheme="minorHAnsi" w:eastAsia="SimHei" w:hAnsiTheme="minorHAnsi" w:cs="Arial"/>
      <w:sz w:val="14"/>
    </w:rPr>
  </w:style>
  <w:style w:type="paragraph" w:customStyle="1" w:styleId="HalfLineBreak">
    <w:name w:val="Half Line Break"/>
    <w:semiHidden/>
    <w:rsid w:val="00B04BC4"/>
    <w:pPr>
      <w:framePr w:wrap="around" w:vAnchor="page" w:hAnchor="page" w:x="9016" w:y="3970"/>
      <w:suppressOverlap/>
    </w:pPr>
    <w:rPr>
      <w:rFonts w:asciiTheme="minorHAnsi" w:eastAsia="SimHei" w:hAnsiTheme="minorHAnsi" w:cs="Arial"/>
      <w:b/>
      <w:sz w:val="7"/>
    </w:rPr>
  </w:style>
  <w:style w:type="paragraph" w:customStyle="1" w:styleId="LetterFooter">
    <w:name w:val="Letter Footer"/>
    <w:uiPriority w:val="9"/>
    <w:semiHidden/>
    <w:rsid w:val="0093057B"/>
    <w:pPr>
      <w:spacing w:line="140" w:lineRule="atLeast"/>
    </w:pPr>
    <w:rPr>
      <w:rFonts w:ascii="Arial Narrow" w:hAnsi="Arial Narrow" w:cs="Arial"/>
      <w:sz w:val="12"/>
      <w:lang w:val="en-GB"/>
    </w:rPr>
  </w:style>
  <w:style w:type="paragraph" w:customStyle="1" w:styleId="LetterFooterTitle">
    <w:name w:val="Letter Footer Title"/>
    <w:next w:val="LetterFooter"/>
    <w:uiPriority w:val="9"/>
    <w:semiHidden/>
    <w:rsid w:val="0093057B"/>
    <w:pPr>
      <w:spacing w:line="140" w:lineRule="atLeast"/>
    </w:pPr>
    <w:rPr>
      <w:rFonts w:ascii="Arial Narrow" w:hAnsi="Arial Narrow" w:cs="Arial"/>
      <w:b/>
      <w:sz w:val="12"/>
      <w:lang w:val="en-GB"/>
    </w:rPr>
  </w:style>
  <w:style w:type="paragraph" w:customStyle="1" w:styleId="LandscapeHeader">
    <w:name w:val="Landscape Header"/>
    <w:basedOn w:val="Header"/>
    <w:semiHidden/>
    <w:rsid w:val="00B04BC4"/>
    <w:pPr>
      <w:tabs>
        <w:tab w:val="clear" w:pos="8562"/>
        <w:tab w:val="right" w:pos="13438"/>
      </w:tabs>
    </w:pPr>
  </w:style>
  <w:style w:type="paragraph" w:customStyle="1" w:styleId="NumberedHeading1">
    <w:name w:val="Numbered Heading 1"/>
    <w:next w:val="BodyText"/>
    <w:uiPriority w:val="3"/>
    <w:qFormat/>
    <w:rsid w:val="00B04BC4"/>
    <w:pPr>
      <w:numPr>
        <w:numId w:val="8"/>
      </w:numPr>
      <w:spacing w:before="240" w:after="120" w:line="400" w:lineRule="exact"/>
    </w:pPr>
    <w:rPr>
      <w:rFonts w:asciiTheme="majorHAnsi" w:hAnsiTheme="majorHAnsi" w:cstheme="majorHAnsi"/>
      <w:color w:val="4F2D7F" w:themeColor="accent1"/>
      <w:sz w:val="36"/>
    </w:rPr>
  </w:style>
  <w:style w:type="paragraph" w:customStyle="1" w:styleId="NumberedHeading2">
    <w:name w:val="Numbered Heading 2"/>
    <w:next w:val="BodyText"/>
    <w:uiPriority w:val="3"/>
    <w:qFormat/>
    <w:rsid w:val="007F4D9A"/>
    <w:pPr>
      <w:numPr>
        <w:ilvl w:val="1"/>
        <w:numId w:val="8"/>
      </w:numPr>
      <w:spacing w:before="240" w:after="120" w:line="320" w:lineRule="exact"/>
    </w:pPr>
    <w:rPr>
      <w:rFonts w:asciiTheme="majorHAnsi" w:hAnsiTheme="majorHAnsi" w:cstheme="majorHAnsi"/>
      <w:color w:val="4F2D7F" w:themeColor="accent1"/>
      <w:sz w:val="26"/>
      <w:szCs w:val="28"/>
    </w:rPr>
  </w:style>
  <w:style w:type="table" w:styleId="TableGrid">
    <w:name w:val="Table Grid"/>
    <w:basedOn w:val="TableNormal"/>
    <w:rsid w:val="00B04B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Bullet">
    <w:name w:val="Paragraph Bullet"/>
    <w:basedOn w:val="Normal"/>
    <w:uiPriority w:val="1"/>
    <w:rsid w:val="00B04BC4"/>
    <w:pPr>
      <w:numPr>
        <w:numId w:val="9"/>
      </w:numPr>
    </w:pPr>
  </w:style>
  <w:style w:type="paragraph" w:customStyle="1" w:styleId="ParagraphBullet2">
    <w:name w:val="Paragraph Bullet 2"/>
    <w:basedOn w:val="Normal"/>
    <w:uiPriority w:val="1"/>
    <w:rsid w:val="00B04BC4"/>
    <w:pPr>
      <w:numPr>
        <w:ilvl w:val="1"/>
        <w:numId w:val="9"/>
      </w:numPr>
    </w:pPr>
  </w:style>
  <w:style w:type="paragraph" w:customStyle="1" w:styleId="MarginNotesHeading">
    <w:name w:val="Margin Notes Heading"/>
    <w:basedOn w:val="MarginNotes"/>
    <w:semiHidden/>
    <w:rsid w:val="00B04BC4"/>
    <w:rPr>
      <w:b/>
    </w:rPr>
  </w:style>
  <w:style w:type="paragraph" w:styleId="Quote">
    <w:name w:val="Quote"/>
    <w:basedOn w:val="BodyText"/>
    <w:uiPriority w:val="9"/>
    <w:unhideWhenUsed/>
    <w:rsid w:val="00B04BC4"/>
    <w:rPr>
      <w:sz w:val="28"/>
    </w:rPr>
  </w:style>
  <w:style w:type="paragraph" w:customStyle="1" w:styleId="ContactDetails">
    <w:name w:val="Contact Details"/>
    <w:uiPriority w:val="9"/>
    <w:unhideWhenUsed/>
    <w:rsid w:val="00B04BC4"/>
    <w:rPr>
      <w:rFonts w:asciiTheme="minorHAnsi" w:hAnsiTheme="minorHAnsi" w:cs="Arial"/>
      <w:sz w:val="16"/>
    </w:rPr>
  </w:style>
  <w:style w:type="paragraph" w:customStyle="1" w:styleId="ContactDetailsTitle">
    <w:name w:val="Contact Details Title"/>
    <w:basedOn w:val="ContactDetails"/>
    <w:next w:val="ContactDetails"/>
    <w:uiPriority w:val="9"/>
    <w:unhideWhenUsed/>
    <w:rsid w:val="00B04BC4"/>
    <w:rPr>
      <w:b/>
    </w:rPr>
  </w:style>
  <w:style w:type="paragraph" w:styleId="MacroText">
    <w:name w:val="macro"/>
    <w:semiHidden/>
    <w:rsid w:val="00B04BC4"/>
    <w:pPr>
      <w:tabs>
        <w:tab w:val="left" w:pos="480"/>
        <w:tab w:val="left" w:pos="960"/>
        <w:tab w:val="left" w:pos="1440"/>
        <w:tab w:val="left" w:pos="1920"/>
        <w:tab w:val="left" w:pos="2400"/>
        <w:tab w:val="left" w:pos="2880"/>
        <w:tab w:val="left" w:pos="3360"/>
        <w:tab w:val="left" w:pos="3840"/>
        <w:tab w:val="left" w:pos="4320"/>
      </w:tabs>
    </w:pPr>
    <w:rPr>
      <w:rFonts w:ascii="Courier New" w:hAnsi="Courier New" w:cs="Courier New"/>
    </w:rPr>
  </w:style>
  <w:style w:type="paragraph" w:styleId="BalloonText">
    <w:name w:val="Balloon Text"/>
    <w:basedOn w:val="Normal"/>
    <w:link w:val="BalloonTextChar"/>
    <w:uiPriority w:val="9"/>
    <w:semiHidden/>
    <w:rsid w:val="00B04BC4"/>
    <w:rPr>
      <w:rFonts w:cs="Tahoma"/>
      <w:sz w:val="16"/>
      <w:szCs w:val="16"/>
    </w:rPr>
  </w:style>
  <w:style w:type="character" w:customStyle="1" w:styleId="BalloonTextChar">
    <w:name w:val="Balloon Text Char"/>
    <w:basedOn w:val="DefaultParagraphFont"/>
    <w:link w:val="BalloonText"/>
    <w:uiPriority w:val="9"/>
    <w:semiHidden/>
    <w:rsid w:val="00B04BC4"/>
    <w:rPr>
      <w:rFonts w:asciiTheme="minorHAnsi" w:hAnsiTheme="minorHAnsi" w:cs="Tahoma"/>
      <w:sz w:val="16"/>
      <w:szCs w:val="16"/>
      <w:lang w:val="en-US"/>
    </w:rPr>
  </w:style>
  <w:style w:type="table" w:customStyle="1" w:styleId="GTITableStyle1">
    <w:name w:val="GTI Table Style 1"/>
    <w:basedOn w:val="TableNormal"/>
    <w:uiPriority w:val="99"/>
    <w:rsid w:val="005C23C4"/>
    <w:rPr>
      <w:rFonts w:asciiTheme="minorHAnsi" w:hAnsiTheme="minorHAnsi"/>
    </w:rPr>
    <w:tblPr>
      <w:tblBorders>
        <w:bottom w:val="single" w:sz="2" w:space="0" w:color="4F2D7F" w:themeColor="accent1"/>
        <w:insideH w:val="single" w:sz="2" w:space="0" w:color="4F2D7F" w:themeColor="accent1"/>
      </w:tblBorders>
      <w:tblCellMar>
        <w:left w:w="28" w:type="dxa"/>
        <w:right w:w="28" w:type="dxa"/>
      </w:tblCellMar>
    </w:tblPr>
    <w:tcPr>
      <w:shd w:val="clear" w:color="auto" w:fill="auto"/>
    </w:tcPr>
    <w:tblStylePr w:type="firstRow">
      <w:rPr>
        <w:rFonts w:asciiTheme="minorHAnsi" w:hAnsiTheme="minorHAnsi"/>
        <w:color w:val="4F2D7F" w:themeColor="accent1"/>
      </w:rPr>
      <w:tblPr/>
      <w:tcPr>
        <w:tcBorders>
          <w:top w:val="nil"/>
          <w:left w:val="nil"/>
          <w:bottom w:val="single" w:sz="8" w:space="0" w:color="4F2D7F" w:themeColor="accent1"/>
          <w:right w:val="nil"/>
          <w:insideH w:val="nil"/>
          <w:insideV w:val="nil"/>
          <w:tl2br w:val="nil"/>
          <w:tr2bl w:val="nil"/>
        </w:tcBorders>
        <w:shd w:val="clear" w:color="auto" w:fill="auto"/>
      </w:tcPr>
    </w:tblStylePr>
  </w:style>
  <w:style w:type="character" w:customStyle="1" w:styleId="BodyTextChar">
    <w:name w:val="Body Text Char"/>
    <w:basedOn w:val="DefaultParagraphFont"/>
    <w:link w:val="BodyText"/>
    <w:rsid w:val="00B04BC4"/>
    <w:rPr>
      <w:rFonts w:asciiTheme="minorHAnsi" w:hAnsiTheme="minorHAnsi" w:cs="Arial"/>
      <w:sz w:val="18"/>
      <w:lang w:val="en-US"/>
    </w:rPr>
  </w:style>
  <w:style w:type="numbering" w:customStyle="1" w:styleId="GTListBullet">
    <w:name w:val="GT List Bullet"/>
    <w:uiPriority w:val="99"/>
    <w:rsid w:val="008C4D0D"/>
    <w:pPr>
      <w:numPr>
        <w:numId w:val="1"/>
      </w:numPr>
    </w:pPr>
  </w:style>
  <w:style w:type="numbering" w:customStyle="1" w:styleId="GTListNumber">
    <w:name w:val="GT List Number"/>
    <w:uiPriority w:val="99"/>
    <w:rsid w:val="008C4D0D"/>
    <w:pPr>
      <w:numPr>
        <w:numId w:val="2"/>
      </w:numPr>
    </w:pPr>
  </w:style>
  <w:style w:type="numbering" w:customStyle="1" w:styleId="GTNumberedHeadings">
    <w:name w:val="GT Numbered Headings"/>
    <w:uiPriority w:val="99"/>
    <w:rsid w:val="00B04BC4"/>
    <w:pPr>
      <w:numPr>
        <w:numId w:val="3"/>
      </w:numPr>
    </w:pPr>
  </w:style>
  <w:style w:type="numbering" w:customStyle="1" w:styleId="GTParagraphBullet">
    <w:name w:val="GT Paragraph Bullet"/>
    <w:uiPriority w:val="99"/>
    <w:rsid w:val="00B04BC4"/>
    <w:pPr>
      <w:numPr>
        <w:numId w:val="4"/>
      </w:numPr>
    </w:pPr>
  </w:style>
  <w:style w:type="paragraph" w:styleId="NoSpacing">
    <w:name w:val="No Spacing"/>
    <w:uiPriority w:val="1"/>
    <w:semiHidden/>
    <w:rsid w:val="00B04BC4"/>
    <w:rPr>
      <w:rFonts w:asciiTheme="minorHAnsi" w:hAnsiTheme="minorHAnsi" w:cs="Arial"/>
      <w:sz w:val="18"/>
    </w:rPr>
  </w:style>
  <w:style w:type="paragraph" w:styleId="PlainText">
    <w:name w:val="Plain Text"/>
    <w:basedOn w:val="Normal"/>
    <w:link w:val="PlainTextChar"/>
    <w:semiHidden/>
    <w:unhideWhenUsed/>
    <w:rsid w:val="00B04BC4"/>
    <w:pPr>
      <w:spacing w:after="0" w:line="240" w:lineRule="auto"/>
    </w:pPr>
    <w:rPr>
      <w:szCs w:val="21"/>
    </w:rPr>
  </w:style>
  <w:style w:type="character" w:customStyle="1" w:styleId="PlainTextChar">
    <w:name w:val="Plain Text Char"/>
    <w:basedOn w:val="DefaultParagraphFont"/>
    <w:link w:val="PlainText"/>
    <w:semiHidden/>
    <w:rsid w:val="00B04BC4"/>
    <w:rPr>
      <w:rFonts w:asciiTheme="minorHAnsi" w:hAnsiTheme="minorHAnsi" w:cs="Arial"/>
      <w:sz w:val="18"/>
      <w:szCs w:val="21"/>
      <w:lang w:val="en-US"/>
    </w:rPr>
  </w:style>
  <w:style w:type="paragraph" w:styleId="TOC4">
    <w:name w:val="toc 4"/>
    <w:basedOn w:val="Normal"/>
    <w:next w:val="Normal"/>
    <w:autoRedefine/>
    <w:semiHidden/>
    <w:rsid w:val="00B04BC4"/>
    <w:pPr>
      <w:tabs>
        <w:tab w:val="right" w:pos="8363"/>
      </w:tabs>
      <w:ind w:left="539"/>
    </w:pPr>
  </w:style>
  <w:style w:type="paragraph" w:styleId="TOC5">
    <w:name w:val="toc 5"/>
    <w:basedOn w:val="Normal"/>
    <w:next w:val="Normal"/>
    <w:autoRedefine/>
    <w:semiHidden/>
    <w:rsid w:val="00B04BC4"/>
    <w:pPr>
      <w:tabs>
        <w:tab w:val="right" w:pos="8363"/>
      </w:tabs>
      <w:ind w:left="720"/>
    </w:pPr>
  </w:style>
  <w:style w:type="paragraph" w:styleId="TOC6">
    <w:name w:val="toc 6"/>
    <w:basedOn w:val="Normal"/>
    <w:next w:val="Normal"/>
    <w:autoRedefine/>
    <w:semiHidden/>
    <w:rsid w:val="00B04BC4"/>
    <w:pPr>
      <w:ind w:left="902"/>
    </w:pPr>
  </w:style>
  <w:style w:type="paragraph" w:styleId="TOC7">
    <w:name w:val="toc 7"/>
    <w:basedOn w:val="Normal"/>
    <w:next w:val="Normal"/>
    <w:autoRedefine/>
    <w:semiHidden/>
    <w:rsid w:val="00B04BC4"/>
    <w:pPr>
      <w:ind w:left="1077"/>
    </w:pPr>
  </w:style>
  <w:style w:type="paragraph" w:styleId="TOC8">
    <w:name w:val="toc 8"/>
    <w:basedOn w:val="Normal"/>
    <w:next w:val="Normal"/>
    <w:autoRedefine/>
    <w:semiHidden/>
    <w:rsid w:val="00B04BC4"/>
    <w:pPr>
      <w:ind w:left="1259"/>
    </w:pPr>
  </w:style>
  <w:style w:type="paragraph" w:styleId="TOC9">
    <w:name w:val="toc 9"/>
    <w:basedOn w:val="Normal"/>
    <w:next w:val="Normal"/>
    <w:autoRedefine/>
    <w:semiHidden/>
    <w:rsid w:val="00B04BC4"/>
    <w:pPr>
      <w:ind w:left="1440"/>
    </w:pPr>
  </w:style>
  <w:style w:type="paragraph" w:customStyle="1" w:styleId="Address1">
    <w:name w:val="Address1"/>
    <w:basedOn w:val="PartnerAddress"/>
    <w:rsid w:val="00CA7B49"/>
    <w:pPr>
      <w:spacing w:after="120"/>
    </w:pPr>
    <w:rPr>
      <w:color w:val="4F2D7F" w:themeColor="accent1"/>
      <w:szCs w:val="16"/>
    </w:rPr>
  </w:style>
  <w:style w:type="paragraph" w:customStyle="1" w:styleId="WebAddress">
    <w:name w:val="WebAddress"/>
    <w:basedOn w:val="Address1"/>
    <w:semiHidden/>
    <w:qFormat/>
    <w:rsid w:val="00CA7B49"/>
    <w:rPr>
      <w:b/>
      <w:sz w:val="12"/>
    </w:rPr>
  </w:style>
  <w:style w:type="paragraph" w:customStyle="1" w:styleId="ClientAddress">
    <w:name w:val="Client Address"/>
    <w:basedOn w:val="BodyText"/>
    <w:rsid w:val="00462B97"/>
    <w:pPr>
      <w:framePr w:hSpace="180" w:wrap="around" w:vAnchor="text" w:hAnchor="text" w:y="1"/>
      <w:spacing w:after="0" w:line="240" w:lineRule="auto"/>
      <w:suppressOverlap/>
    </w:pPr>
  </w:style>
  <w:style w:type="paragraph" w:customStyle="1" w:styleId="Smlspace">
    <w:name w:val="Sml space"/>
    <w:basedOn w:val="Copyright"/>
    <w:semiHidden/>
    <w:qFormat/>
    <w:rsid w:val="00CA7B49"/>
    <w:pPr>
      <w:framePr w:hSpace="180" w:wrap="around" w:vAnchor="text" w:hAnchor="text" w:y="10232"/>
    </w:pPr>
    <w:rPr>
      <w:color w:val="4F2D7F" w:themeColor="accent1"/>
      <w:sz w:val="2"/>
      <w:szCs w:val="2"/>
    </w:rPr>
  </w:style>
  <w:style w:type="character" w:customStyle="1" w:styleId="Heading1Char">
    <w:name w:val="Heading 1 Char"/>
    <w:basedOn w:val="DefaultParagraphFont"/>
    <w:link w:val="Heading1"/>
    <w:rsid w:val="00B04BC4"/>
    <w:rPr>
      <w:rFonts w:asciiTheme="majorHAnsi" w:hAnsiTheme="majorHAnsi" w:cstheme="majorHAnsi"/>
      <w:bCs/>
      <w:color w:val="4F2D7F" w:themeColor="accent1"/>
      <w:kern w:val="32"/>
      <w:sz w:val="36"/>
      <w:szCs w:val="28"/>
      <w:lang w:val="en-US"/>
    </w:rPr>
  </w:style>
  <w:style w:type="character" w:customStyle="1" w:styleId="Heading2Char">
    <w:name w:val="Heading 2 Char"/>
    <w:basedOn w:val="DefaultParagraphFont"/>
    <w:link w:val="Heading2"/>
    <w:rsid w:val="00263263"/>
    <w:rPr>
      <w:rFonts w:asciiTheme="majorHAnsi" w:hAnsiTheme="majorHAnsi" w:cstheme="majorHAnsi"/>
      <w:color w:val="4F2D7F" w:themeColor="accent1"/>
      <w:kern w:val="32"/>
      <w:sz w:val="26"/>
      <w:szCs w:val="19"/>
    </w:rPr>
  </w:style>
  <w:style w:type="character" w:customStyle="1" w:styleId="Heading4Char">
    <w:name w:val="Heading 4 Char"/>
    <w:basedOn w:val="DefaultParagraphFont"/>
    <w:link w:val="Heading4"/>
    <w:rsid w:val="00B04BC4"/>
    <w:rPr>
      <w:rFonts w:asciiTheme="minorHAnsi" w:hAnsiTheme="minorHAnsi" w:cstheme="minorHAnsi"/>
      <w:color w:val="4F2D7F" w:themeColor="accent1"/>
      <w:kern w:val="32"/>
      <w:sz w:val="18"/>
      <w:szCs w:val="18"/>
      <w:lang w:val="en-US"/>
    </w:rPr>
  </w:style>
  <w:style w:type="paragraph" w:customStyle="1" w:styleId="LandscapeFooter">
    <w:name w:val="Landscape Footer"/>
    <w:basedOn w:val="Footer"/>
    <w:uiPriority w:val="9"/>
    <w:semiHidden/>
    <w:rsid w:val="00B04BC4"/>
    <w:pPr>
      <w:tabs>
        <w:tab w:val="right" w:pos="13461"/>
      </w:tabs>
    </w:pPr>
  </w:style>
  <w:style w:type="paragraph" w:customStyle="1" w:styleId="SectionTitleLandscape">
    <w:name w:val="Section Title Landscape"/>
    <w:basedOn w:val="Normal"/>
    <w:next w:val="BodyText"/>
    <w:uiPriority w:val="3"/>
    <w:rsid w:val="00C4637C"/>
    <w:pPr>
      <w:pageBreakBefore/>
      <w:framePr w:w="13478" w:wrap="around" w:vAnchor="page" w:hAnchor="margin" w:y="2099" w:anchorLock="1"/>
      <w:spacing w:line="800" w:lineRule="exact"/>
    </w:pPr>
    <w:rPr>
      <w:rFonts w:asciiTheme="majorHAnsi" w:hAnsiTheme="majorHAnsi" w:cstheme="majorHAnsi"/>
      <w:color w:val="4F2D7F" w:themeColor="accent1"/>
      <w:sz w:val="72"/>
    </w:rPr>
  </w:style>
  <w:style w:type="paragraph" w:customStyle="1" w:styleId="AppendixTitleLandscape">
    <w:name w:val="Appendix Title Landscape"/>
    <w:basedOn w:val="Normal"/>
    <w:next w:val="BodyText"/>
    <w:uiPriority w:val="4"/>
    <w:rsid w:val="00C4637C"/>
    <w:pPr>
      <w:pageBreakBefore/>
      <w:framePr w:w="13478" w:wrap="around" w:vAnchor="page" w:hAnchor="margin" w:y="2099" w:anchorLock="1"/>
      <w:spacing w:line="800" w:lineRule="exact"/>
    </w:pPr>
    <w:rPr>
      <w:rFonts w:asciiTheme="majorHAnsi" w:hAnsiTheme="majorHAnsi" w:cstheme="majorHAnsi"/>
      <w:color w:val="4F2D7F" w:themeColor="accent1"/>
      <w:sz w:val="72"/>
    </w:rPr>
  </w:style>
  <w:style w:type="paragraph" w:styleId="Bibliography">
    <w:name w:val="Bibliography"/>
    <w:basedOn w:val="Normal"/>
    <w:next w:val="Normal"/>
    <w:uiPriority w:val="37"/>
    <w:semiHidden/>
    <w:unhideWhenUsed/>
    <w:rsid w:val="006C286D"/>
  </w:style>
  <w:style w:type="paragraph" w:styleId="BlockText">
    <w:name w:val="Block Text"/>
    <w:basedOn w:val="Normal"/>
    <w:semiHidden/>
    <w:unhideWhenUsed/>
    <w:rsid w:val="006C286D"/>
    <w:pPr>
      <w:pBdr>
        <w:top w:val="single" w:sz="2" w:space="10" w:color="4F2D7F" w:themeColor="accent1"/>
        <w:left w:val="single" w:sz="2" w:space="10" w:color="4F2D7F" w:themeColor="accent1"/>
        <w:bottom w:val="single" w:sz="2" w:space="10" w:color="4F2D7F" w:themeColor="accent1"/>
        <w:right w:val="single" w:sz="2" w:space="10" w:color="4F2D7F" w:themeColor="accent1"/>
      </w:pBdr>
      <w:ind w:left="1152" w:right="1152"/>
    </w:pPr>
    <w:rPr>
      <w:rFonts w:eastAsiaTheme="minorEastAsia" w:cstheme="minorBidi"/>
      <w:i/>
      <w:iCs/>
      <w:color w:val="4F2D7F" w:themeColor="accent1"/>
    </w:rPr>
  </w:style>
  <w:style w:type="paragraph" w:styleId="BodyText2">
    <w:name w:val="Body Text 2"/>
    <w:basedOn w:val="Normal"/>
    <w:link w:val="BodyText2Char"/>
    <w:semiHidden/>
    <w:unhideWhenUsed/>
    <w:rsid w:val="006C286D"/>
    <w:pPr>
      <w:spacing w:line="480" w:lineRule="auto"/>
    </w:pPr>
  </w:style>
  <w:style w:type="character" w:customStyle="1" w:styleId="BodyText2Char">
    <w:name w:val="Body Text 2 Char"/>
    <w:basedOn w:val="DefaultParagraphFont"/>
    <w:link w:val="BodyText2"/>
    <w:semiHidden/>
    <w:rsid w:val="006C286D"/>
    <w:rPr>
      <w:rFonts w:asciiTheme="minorHAnsi" w:hAnsiTheme="minorHAnsi" w:cs="Arial"/>
      <w:sz w:val="18"/>
      <w:lang w:val="en-US"/>
    </w:rPr>
  </w:style>
  <w:style w:type="paragraph" w:styleId="BodyText3">
    <w:name w:val="Body Text 3"/>
    <w:basedOn w:val="Normal"/>
    <w:link w:val="BodyText3Char"/>
    <w:semiHidden/>
    <w:unhideWhenUsed/>
    <w:rsid w:val="006C286D"/>
    <w:rPr>
      <w:sz w:val="16"/>
      <w:szCs w:val="16"/>
    </w:rPr>
  </w:style>
  <w:style w:type="character" w:customStyle="1" w:styleId="BodyText3Char">
    <w:name w:val="Body Text 3 Char"/>
    <w:basedOn w:val="DefaultParagraphFont"/>
    <w:link w:val="BodyText3"/>
    <w:semiHidden/>
    <w:rsid w:val="006C286D"/>
    <w:rPr>
      <w:rFonts w:asciiTheme="minorHAnsi" w:hAnsiTheme="minorHAnsi" w:cs="Arial"/>
      <w:sz w:val="16"/>
      <w:szCs w:val="16"/>
      <w:lang w:val="en-US"/>
    </w:rPr>
  </w:style>
  <w:style w:type="paragraph" w:styleId="BodyTextFirstIndent">
    <w:name w:val="Body Text First Indent"/>
    <w:basedOn w:val="BodyText"/>
    <w:link w:val="BodyTextFirstIndentChar"/>
    <w:semiHidden/>
    <w:unhideWhenUsed/>
    <w:rsid w:val="006C286D"/>
    <w:pPr>
      <w:ind w:firstLine="360"/>
    </w:pPr>
  </w:style>
  <w:style w:type="character" w:customStyle="1" w:styleId="BodyTextFirstIndentChar">
    <w:name w:val="Body Text First Indent Char"/>
    <w:basedOn w:val="BodyTextChar"/>
    <w:link w:val="BodyTextFirstIndent"/>
    <w:semiHidden/>
    <w:rsid w:val="006C286D"/>
    <w:rPr>
      <w:rFonts w:asciiTheme="minorHAnsi" w:hAnsiTheme="minorHAnsi" w:cs="Arial"/>
      <w:sz w:val="18"/>
      <w:lang w:val="en-US"/>
    </w:rPr>
  </w:style>
  <w:style w:type="paragraph" w:styleId="BodyTextIndent">
    <w:name w:val="Body Text Indent"/>
    <w:basedOn w:val="Normal"/>
    <w:link w:val="BodyTextIndentChar"/>
    <w:semiHidden/>
    <w:unhideWhenUsed/>
    <w:rsid w:val="006C286D"/>
    <w:pPr>
      <w:ind w:left="283"/>
    </w:pPr>
  </w:style>
  <w:style w:type="character" w:customStyle="1" w:styleId="BodyTextIndentChar">
    <w:name w:val="Body Text Indent Char"/>
    <w:basedOn w:val="DefaultParagraphFont"/>
    <w:link w:val="BodyTextIndent"/>
    <w:semiHidden/>
    <w:rsid w:val="006C286D"/>
    <w:rPr>
      <w:rFonts w:asciiTheme="minorHAnsi" w:hAnsiTheme="minorHAnsi" w:cs="Arial"/>
      <w:sz w:val="18"/>
      <w:lang w:val="en-US"/>
    </w:rPr>
  </w:style>
  <w:style w:type="paragraph" w:styleId="BodyTextFirstIndent2">
    <w:name w:val="Body Text First Indent 2"/>
    <w:basedOn w:val="BodyTextIndent"/>
    <w:link w:val="BodyTextFirstIndent2Char"/>
    <w:semiHidden/>
    <w:unhideWhenUsed/>
    <w:rsid w:val="006C286D"/>
    <w:pPr>
      <w:ind w:left="360" w:firstLine="360"/>
    </w:pPr>
  </w:style>
  <w:style w:type="character" w:customStyle="1" w:styleId="BodyTextFirstIndent2Char">
    <w:name w:val="Body Text First Indent 2 Char"/>
    <w:basedOn w:val="BodyTextIndentChar"/>
    <w:link w:val="BodyTextFirstIndent2"/>
    <w:semiHidden/>
    <w:rsid w:val="006C286D"/>
    <w:rPr>
      <w:rFonts w:asciiTheme="minorHAnsi" w:hAnsiTheme="minorHAnsi" w:cs="Arial"/>
      <w:sz w:val="18"/>
      <w:lang w:val="en-US"/>
    </w:rPr>
  </w:style>
  <w:style w:type="paragraph" w:styleId="BodyTextIndent2">
    <w:name w:val="Body Text Indent 2"/>
    <w:basedOn w:val="Normal"/>
    <w:link w:val="BodyTextIndent2Char"/>
    <w:semiHidden/>
    <w:unhideWhenUsed/>
    <w:rsid w:val="006C286D"/>
    <w:pPr>
      <w:spacing w:line="480" w:lineRule="auto"/>
      <w:ind w:left="283"/>
    </w:pPr>
  </w:style>
  <w:style w:type="character" w:customStyle="1" w:styleId="BodyTextIndent2Char">
    <w:name w:val="Body Text Indent 2 Char"/>
    <w:basedOn w:val="DefaultParagraphFont"/>
    <w:link w:val="BodyTextIndent2"/>
    <w:semiHidden/>
    <w:rsid w:val="006C286D"/>
    <w:rPr>
      <w:rFonts w:asciiTheme="minorHAnsi" w:hAnsiTheme="minorHAnsi" w:cs="Arial"/>
      <w:sz w:val="18"/>
      <w:lang w:val="en-US"/>
    </w:rPr>
  </w:style>
  <w:style w:type="paragraph" w:styleId="BodyTextIndent3">
    <w:name w:val="Body Text Indent 3"/>
    <w:basedOn w:val="Normal"/>
    <w:link w:val="BodyTextIndent3Char"/>
    <w:semiHidden/>
    <w:unhideWhenUsed/>
    <w:rsid w:val="006C286D"/>
    <w:pPr>
      <w:ind w:left="283"/>
    </w:pPr>
    <w:rPr>
      <w:sz w:val="16"/>
      <w:szCs w:val="16"/>
    </w:rPr>
  </w:style>
  <w:style w:type="character" w:customStyle="1" w:styleId="BodyTextIndent3Char">
    <w:name w:val="Body Text Indent 3 Char"/>
    <w:basedOn w:val="DefaultParagraphFont"/>
    <w:link w:val="BodyTextIndent3"/>
    <w:semiHidden/>
    <w:rsid w:val="006C286D"/>
    <w:rPr>
      <w:rFonts w:asciiTheme="minorHAnsi" w:hAnsiTheme="minorHAnsi" w:cs="Arial"/>
      <w:sz w:val="16"/>
      <w:szCs w:val="16"/>
      <w:lang w:val="en-US"/>
    </w:rPr>
  </w:style>
  <w:style w:type="character" w:styleId="BookTitle">
    <w:name w:val="Book Title"/>
    <w:basedOn w:val="DefaultParagraphFont"/>
    <w:uiPriority w:val="33"/>
    <w:semiHidden/>
    <w:qFormat/>
    <w:rsid w:val="006C286D"/>
    <w:rPr>
      <w:b/>
      <w:bCs/>
      <w:i/>
      <w:iCs/>
      <w:spacing w:val="5"/>
      <w:lang w:val="en-US"/>
    </w:rPr>
  </w:style>
  <w:style w:type="paragraph" w:styleId="Caption">
    <w:name w:val="caption"/>
    <w:basedOn w:val="Normal"/>
    <w:next w:val="Normal"/>
    <w:semiHidden/>
    <w:unhideWhenUsed/>
    <w:qFormat/>
    <w:rsid w:val="006C286D"/>
    <w:pPr>
      <w:spacing w:after="200" w:line="240" w:lineRule="auto"/>
    </w:pPr>
    <w:rPr>
      <w:i/>
      <w:iCs/>
      <w:color w:val="747678" w:themeColor="text2"/>
      <w:szCs w:val="18"/>
    </w:rPr>
  </w:style>
  <w:style w:type="paragraph" w:styleId="Closing">
    <w:name w:val="Closing"/>
    <w:basedOn w:val="Normal"/>
    <w:link w:val="ClosingChar"/>
    <w:semiHidden/>
    <w:unhideWhenUsed/>
    <w:rsid w:val="006C286D"/>
    <w:pPr>
      <w:spacing w:after="0" w:line="240" w:lineRule="auto"/>
      <w:ind w:left="4252"/>
    </w:pPr>
  </w:style>
  <w:style w:type="character" w:customStyle="1" w:styleId="ClosingChar">
    <w:name w:val="Closing Char"/>
    <w:basedOn w:val="DefaultParagraphFont"/>
    <w:link w:val="Closing"/>
    <w:semiHidden/>
    <w:rsid w:val="006C286D"/>
    <w:rPr>
      <w:rFonts w:asciiTheme="minorHAnsi" w:hAnsiTheme="minorHAnsi" w:cs="Arial"/>
      <w:sz w:val="18"/>
      <w:lang w:val="en-US"/>
    </w:rPr>
  </w:style>
  <w:style w:type="table" w:styleId="ColorfulGrid">
    <w:name w:val="Colorful Grid"/>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DACDED" w:themeFill="accent1" w:themeFillTint="33"/>
    </w:tcPr>
    <w:tblStylePr w:type="firstRow">
      <w:rPr>
        <w:b/>
        <w:bCs/>
      </w:rPr>
      <w:tblPr/>
      <w:tcPr>
        <w:shd w:val="clear" w:color="auto" w:fill="B59BDB" w:themeFill="accent1" w:themeFillTint="66"/>
      </w:tcPr>
    </w:tblStylePr>
    <w:tblStylePr w:type="lastRow">
      <w:rPr>
        <w:b/>
        <w:bCs/>
        <w:color w:val="000000" w:themeColor="text1"/>
      </w:rPr>
      <w:tblPr/>
      <w:tcPr>
        <w:shd w:val="clear" w:color="auto" w:fill="B59BDB" w:themeFill="accent1" w:themeFillTint="66"/>
      </w:tcPr>
    </w:tblStylePr>
    <w:tblStylePr w:type="firstCol">
      <w:rPr>
        <w:color w:val="FFFFFF" w:themeColor="background1"/>
      </w:rPr>
      <w:tblPr/>
      <w:tcPr>
        <w:shd w:val="clear" w:color="auto" w:fill="3A215E" w:themeFill="accent1" w:themeFillShade="BF"/>
      </w:tcPr>
    </w:tblStylePr>
    <w:tblStylePr w:type="lastCol">
      <w:rPr>
        <w:color w:val="FFFFFF" w:themeColor="background1"/>
      </w:rPr>
      <w:tblPr/>
      <w:tcPr>
        <w:shd w:val="clear" w:color="auto" w:fill="3A215E" w:themeFill="accent1" w:themeFillShade="BF"/>
      </w:tcPr>
    </w:tblStylePr>
    <w:tblStylePr w:type="band1Vert">
      <w:tblPr/>
      <w:tcPr>
        <w:shd w:val="clear" w:color="auto" w:fill="A382D3" w:themeFill="accent1" w:themeFillTint="7F"/>
      </w:tcPr>
    </w:tblStylePr>
    <w:tblStylePr w:type="band1Horz">
      <w:tblPr/>
      <w:tcPr>
        <w:shd w:val="clear" w:color="auto" w:fill="A382D3" w:themeFill="accent1" w:themeFillTint="7F"/>
      </w:tcPr>
    </w:tblStylePr>
  </w:style>
  <w:style w:type="table" w:styleId="ColorfulGrid-Accent2">
    <w:name w:val="Colorful Grid Accent 2"/>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F4F2EF" w:themeFill="accent2" w:themeFillTint="33"/>
    </w:tcPr>
    <w:tblStylePr w:type="firstRow">
      <w:rPr>
        <w:b/>
        <w:bCs/>
      </w:rPr>
      <w:tblPr/>
      <w:tcPr>
        <w:shd w:val="clear" w:color="auto" w:fill="E9E5DF" w:themeFill="accent2" w:themeFillTint="66"/>
      </w:tcPr>
    </w:tblStylePr>
    <w:tblStylePr w:type="lastRow">
      <w:rPr>
        <w:b/>
        <w:bCs/>
        <w:color w:val="000000" w:themeColor="text1"/>
      </w:rPr>
      <w:tblPr/>
      <w:tcPr>
        <w:shd w:val="clear" w:color="auto" w:fill="E9E5DF" w:themeFill="accent2" w:themeFillTint="66"/>
      </w:tcPr>
    </w:tblStylePr>
    <w:tblStylePr w:type="firstCol">
      <w:rPr>
        <w:color w:val="FFFFFF" w:themeColor="background1"/>
      </w:rPr>
      <w:tblPr/>
      <w:tcPr>
        <w:shd w:val="clear" w:color="auto" w:fill="A19077" w:themeFill="accent2" w:themeFillShade="BF"/>
      </w:tcPr>
    </w:tblStylePr>
    <w:tblStylePr w:type="lastCol">
      <w:rPr>
        <w:color w:val="FFFFFF" w:themeColor="background1"/>
      </w:rPr>
      <w:tblPr/>
      <w:tcPr>
        <w:shd w:val="clear" w:color="auto" w:fill="A19077" w:themeFill="accent2" w:themeFillShade="BF"/>
      </w:tcPr>
    </w:tblStylePr>
    <w:tblStylePr w:type="band1Vert">
      <w:tblPr/>
      <w:tcPr>
        <w:shd w:val="clear" w:color="auto" w:fill="E3DED7" w:themeFill="accent2" w:themeFillTint="7F"/>
      </w:tcPr>
    </w:tblStylePr>
    <w:tblStylePr w:type="band1Horz">
      <w:tblPr/>
      <w:tcPr>
        <w:shd w:val="clear" w:color="auto" w:fill="E3DED7" w:themeFill="accent2" w:themeFillTint="7F"/>
      </w:tcPr>
    </w:tblStylePr>
  </w:style>
  <w:style w:type="table" w:styleId="ColorfulGrid-Accent3">
    <w:name w:val="Colorful Grid Accent 3"/>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BDF9FF" w:themeFill="accent3" w:themeFillTint="33"/>
    </w:tcPr>
    <w:tblStylePr w:type="firstRow">
      <w:rPr>
        <w:b/>
        <w:bCs/>
      </w:rPr>
      <w:tblPr/>
      <w:tcPr>
        <w:shd w:val="clear" w:color="auto" w:fill="7BF4FF" w:themeFill="accent3" w:themeFillTint="66"/>
      </w:tcPr>
    </w:tblStylePr>
    <w:tblStylePr w:type="lastRow">
      <w:rPr>
        <w:b/>
        <w:bCs/>
        <w:color w:val="000000" w:themeColor="text1"/>
      </w:rPr>
      <w:tblPr/>
      <w:tcPr>
        <w:shd w:val="clear" w:color="auto" w:fill="7BF4FF" w:themeFill="accent3" w:themeFillTint="66"/>
      </w:tcPr>
    </w:tblStylePr>
    <w:tblStylePr w:type="firstCol">
      <w:rPr>
        <w:color w:val="FFFFFF" w:themeColor="background1"/>
      </w:rPr>
      <w:tblPr/>
      <w:tcPr>
        <w:shd w:val="clear" w:color="auto" w:fill="007C87" w:themeFill="accent3" w:themeFillShade="BF"/>
      </w:tcPr>
    </w:tblStylePr>
    <w:tblStylePr w:type="lastCol">
      <w:rPr>
        <w:color w:val="FFFFFF" w:themeColor="background1"/>
      </w:rPr>
      <w:tblPr/>
      <w:tcPr>
        <w:shd w:val="clear" w:color="auto" w:fill="007C87" w:themeFill="accent3" w:themeFillShade="BF"/>
      </w:tcPr>
    </w:tblStylePr>
    <w:tblStylePr w:type="band1Vert">
      <w:tblPr/>
      <w:tcPr>
        <w:shd w:val="clear" w:color="auto" w:fill="5BF2FF" w:themeFill="accent3" w:themeFillTint="7F"/>
      </w:tcPr>
    </w:tblStylePr>
    <w:tblStylePr w:type="band1Horz">
      <w:tblPr/>
      <w:tcPr>
        <w:shd w:val="clear" w:color="auto" w:fill="5BF2FF" w:themeFill="accent3" w:themeFillTint="7F"/>
      </w:tcPr>
    </w:tblStylePr>
  </w:style>
  <w:style w:type="table" w:styleId="ColorfulGrid-Accent4">
    <w:name w:val="Colorful Grid Accent 4"/>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FFE4D2" w:themeFill="accent4" w:themeFillTint="33"/>
    </w:tcPr>
    <w:tblStylePr w:type="firstRow">
      <w:rPr>
        <w:b/>
        <w:bCs/>
      </w:rPr>
      <w:tblPr/>
      <w:tcPr>
        <w:shd w:val="clear" w:color="auto" w:fill="FFCAA5" w:themeFill="accent4" w:themeFillTint="66"/>
      </w:tcPr>
    </w:tblStylePr>
    <w:tblStylePr w:type="lastRow">
      <w:rPr>
        <w:b/>
        <w:bCs/>
        <w:color w:val="000000" w:themeColor="text1"/>
      </w:rPr>
      <w:tblPr/>
      <w:tcPr>
        <w:shd w:val="clear" w:color="auto" w:fill="FFCAA5" w:themeFill="accent4" w:themeFillTint="66"/>
      </w:tcPr>
    </w:tblStylePr>
    <w:tblStylePr w:type="firstCol">
      <w:rPr>
        <w:color w:val="FFFFFF" w:themeColor="background1"/>
      </w:rPr>
      <w:tblPr/>
      <w:tcPr>
        <w:shd w:val="clear" w:color="auto" w:fill="D55900" w:themeFill="accent4" w:themeFillShade="BF"/>
      </w:tcPr>
    </w:tblStylePr>
    <w:tblStylePr w:type="lastCol">
      <w:rPr>
        <w:color w:val="FFFFFF" w:themeColor="background1"/>
      </w:rPr>
      <w:tblPr/>
      <w:tcPr>
        <w:shd w:val="clear" w:color="auto" w:fill="D55900" w:themeFill="accent4" w:themeFillShade="BF"/>
      </w:tcPr>
    </w:tblStylePr>
    <w:tblStylePr w:type="band1Vert">
      <w:tblPr/>
      <w:tcPr>
        <w:shd w:val="clear" w:color="auto" w:fill="FFBD8E" w:themeFill="accent4" w:themeFillTint="7F"/>
      </w:tcPr>
    </w:tblStylePr>
    <w:tblStylePr w:type="band1Horz">
      <w:tblPr/>
      <w:tcPr>
        <w:shd w:val="clear" w:color="auto" w:fill="FFBD8E" w:themeFill="accent4" w:themeFillTint="7F"/>
      </w:tcPr>
    </w:tblStylePr>
  </w:style>
  <w:style w:type="table" w:styleId="ColorfulGrid-Accent5">
    <w:name w:val="Colorful Grid Accent 5"/>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EAF7D6" w:themeFill="accent5" w:themeFillTint="33"/>
    </w:tcPr>
    <w:tblStylePr w:type="firstRow">
      <w:rPr>
        <w:b/>
        <w:bCs/>
      </w:rPr>
      <w:tblPr/>
      <w:tcPr>
        <w:shd w:val="clear" w:color="auto" w:fill="D6EFAD" w:themeFill="accent5" w:themeFillTint="66"/>
      </w:tcPr>
    </w:tblStylePr>
    <w:tblStylePr w:type="lastRow">
      <w:rPr>
        <w:b/>
        <w:bCs/>
        <w:color w:val="000000" w:themeColor="text1"/>
      </w:rPr>
      <w:tblPr/>
      <w:tcPr>
        <w:shd w:val="clear" w:color="auto" w:fill="D6EFAD" w:themeFill="accent5" w:themeFillTint="66"/>
      </w:tcPr>
    </w:tblStylePr>
    <w:tblStylePr w:type="firstCol">
      <w:rPr>
        <w:color w:val="FFFFFF" w:themeColor="background1"/>
      </w:rPr>
      <w:tblPr/>
      <w:tcPr>
        <w:shd w:val="clear" w:color="auto" w:fill="75A520" w:themeFill="accent5" w:themeFillShade="BF"/>
      </w:tcPr>
    </w:tblStylePr>
    <w:tblStylePr w:type="lastCol">
      <w:rPr>
        <w:color w:val="FFFFFF" w:themeColor="background1"/>
      </w:rPr>
      <w:tblPr/>
      <w:tcPr>
        <w:shd w:val="clear" w:color="auto" w:fill="75A520" w:themeFill="accent5" w:themeFillShade="BF"/>
      </w:tcPr>
    </w:tblStylePr>
    <w:tblStylePr w:type="band1Vert">
      <w:tblPr/>
      <w:tcPr>
        <w:shd w:val="clear" w:color="auto" w:fill="CDEB98" w:themeFill="accent5" w:themeFillTint="7F"/>
      </w:tcPr>
    </w:tblStylePr>
    <w:tblStylePr w:type="band1Horz">
      <w:tblPr/>
      <w:tcPr>
        <w:shd w:val="clear" w:color="auto" w:fill="CDEB98" w:themeFill="accent5" w:themeFillTint="7F"/>
      </w:tcPr>
    </w:tblStylePr>
  </w:style>
  <w:style w:type="table" w:styleId="ColorfulGrid-Accent6">
    <w:name w:val="Colorful Grid Accent 6"/>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FAD3D8" w:themeFill="accent6" w:themeFillTint="33"/>
    </w:tcPr>
    <w:tblStylePr w:type="firstRow">
      <w:rPr>
        <w:b/>
        <w:bCs/>
      </w:rPr>
      <w:tblPr/>
      <w:tcPr>
        <w:shd w:val="clear" w:color="auto" w:fill="F6A8B2" w:themeFill="accent6" w:themeFillTint="66"/>
      </w:tcPr>
    </w:tblStylePr>
    <w:tblStylePr w:type="lastRow">
      <w:rPr>
        <w:b/>
        <w:bCs/>
        <w:color w:val="000000" w:themeColor="text1"/>
      </w:rPr>
      <w:tblPr/>
      <w:tcPr>
        <w:shd w:val="clear" w:color="auto" w:fill="F6A8B2" w:themeFill="accent6" w:themeFillTint="66"/>
      </w:tcPr>
    </w:tblStylePr>
    <w:tblStylePr w:type="firstCol">
      <w:rPr>
        <w:color w:val="FFFFFF" w:themeColor="background1"/>
      </w:rPr>
      <w:tblPr/>
      <w:tcPr>
        <w:shd w:val="clear" w:color="auto" w:fill="B91328" w:themeFill="accent6" w:themeFillShade="BF"/>
      </w:tcPr>
    </w:tblStylePr>
    <w:tblStylePr w:type="lastCol">
      <w:rPr>
        <w:color w:val="FFFFFF" w:themeColor="background1"/>
      </w:rPr>
      <w:tblPr/>
      <w:tcPr>
        <w:shd w:val="clear" w:color="auto" w:fill="B91328" w:themeFill="accent6" w:themeFillShade="BF"/>
      </w:tcPr>
    </w:tblStylePr>
    <w:tblStylePr w:type="band1Vert">
      <w:tblPr/>
      <w:tcPr>
        <w:shd w:val="clear" w:color="auto" w:fill="F493A0" w:themeFill="accent6" w:themeFillTint="7F"/>
      </w:tcPr>
    </w:tblStylePr>
    <w:tblStylePr w:type="band1Horz">
      <w:tblPr/>
      <w:tcPr>
        <w:shd w:val="clear" w:color="auto" w:fill="F493A0" w:themeFill="accent6" w:themeFillTint="7F"/>
      </w:tcPr>
    </w:tblStylePr>
  </w:style>
  <w:style w:type="table" w:styleId="ColorfulList">
    <w:name w:val="Colorful List"/>
    <w:basedOn w:val="TableNormal"/>
    <w:uiPriority w:val="72"/>
    <w:semiHidden/>
    <w:unhideWhenUsed/>
    <w:rsid w:val="006C286D"/>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99982" w:themeFill="accent2" w:themeFillShade="CC"/>
      </w:tcPr>
    </w:tblStylePr>
    <w:tblStylePr w:type="lastRow">
      <w:rPr>
        <w:b/>
        <w:bCs/>
        <w:color w:val="A9998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6C286D"/>
    <w:rPr>
      <w:color w:val="000000" w:themeColor="text1"/>
    </w:rPr>
    <w:tblPr>
      <w:tblStyleRowBandSize w:val="1"/>
      <w:tblStyleColBandSize w:val="1"/>
    </w:tblPr>
    <w:tcPr>
      <w:shd w:val="clear" w:color="auto" w:fill="ECE6F6" w:themeFill="accent1" w:themeFillTint="19"/>
    </w:tcPr>
    <w:tblStylePr w:type="firstRow">
      <w:rPr>
        <w:b/>
        <w:bCs/>
        <w:color w:val="FFFFFF" w:themeColor="background1"/>
      </w:rPr>
      <w:tblPr/>
      <w:tcPr>
        <w:tcBorders>
          <w:bottom w:val="single" w:sz="12" w:space="0" w:color="FFFFFF" w:themeColor="background1"/>
        </w:tcBorders>
        <w:shd w:val="clear" w:color="auto" w:fill="A99982" w:themeFill="accent2" w:themeFillShade="CC"/>
      </w:tcPr>
    </w:tblStylePr>
    <w:tblStylePr w:type="lastRow">
      <w:rPr>
        <w:b/>
        <w:bCs/>
        <w:color w:val="A9998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1C1E9" w:themeFill="accent1" w:themeFillTint="3F"/>
      </w:tcPr>
    </w:tblStylePr>
    <w:tblStylePr w:type="band1Horz">
      <w:tblPr/>
      <w:tcPr>
        <w:shd w:val="clear" w:color="auto" w:fill="DACDED" w:themeFill="accent1" w:themeFillTint="33"/>
      </w:tcPr>
    </w:tblStylePr>
  </w:style>
  <w:style w:type="table" w:styleId="ColorfulList-Accent2">
    <w:name w:val="Colorful List Accent 2"/>
    <w:basedOn w:val="TableNormal"/>
    <w:uiPriority w:val="72"/>
    <w:semiHidden/>
    <w:unhideWhenUsed/>
    <w:rsid w:val="006C286D"/>
    <w:rPr>
      <w:color w:val="000000" w:themeColor="text1"/>
    </w:rPr>
    <w:tblPr>
      <w:tblStyleRowBandSize w:val="1"/>
      <w:tblStyleColBandSize w:val="1"/>
    </w:tblPr>
    <w:tcPr>
      <w:shd w:val="clear" w:color="auto" w:fill="F9F8F7" w:themeFill="accent2" w:themeFillTint="19"/>
    </w:tcPr>
    <w:tblStylePr w:type="firstRow">
      <w:rPr>
        <w:b/>
        <w:bCs/>
        <w:color w:val="FFFFFF" w:themeColor="background1"/>
      </w:rPr>
      <w:tblPr/>
      <w:tcPr>
        <w:tcBorders>
          <w:bottom w:val="single" w:sz="12" w:space="0" w:color="FFFFFF" w:themeColor="background1"/>
        </w:tcBorders>
        <w:shd w:val="clear" w:color="auto" w:fill="A99982" w:themeFill="accent2" w:themeFillShade="CC"/>
      </w:tcPr>
    </w:tblStylePr>
    <w:tblStylePr w:type="lastRow">
      <w:rPr>
        <w:b/>
        <w:bCs/>
        <w:color w:val="A9998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1EEEB" w:themeFill="accent2" w:themeFillTint="3F"/>
      </w:tcPr>
    </w:tblStylePr>
    <w:tblStylePr w:type="band1Horz">
      <w:tblPr/>
      <w:tcPr>
        <w:shd w:val="clear" w:color="auto" w:fill="F4F2EF" w:themeFill="accent2" w:themeFillTint="33"/>
      </w:tcPr>
    </w:tblStylePr>
  </w:style>
  <w:style w:type="table" w:styleId="ColorfulList-Accent3">
    <w:name w:val="Colorful List Accent 3"/>
    <w:basedOn w:val="TableNormal"/>
    <w:uiPriority w:val="72"/>
    <w:semiHidden/>
    <w:unhideWhenUsed/>
    <w:rsid w:val="006C286D"/>
    <w:rPr>
      <w:color w:val="000000" w:themeColor="text1"/>
    </w:rPr>
    <w:tblPr>
      <w:tblStyleRowBandSize w:val="1"/>
      <w:tblStyleColBandSize w:val="1"/>
    </w:tblPr>
    <w:tcPr>
      <w:shd w:val="clear" w:color="auto" w:fill="DEFCFF" w:themeFill="accent3" w:themeFillTint="19"/>
    </w:tcPr>
    <w:tblStylePr w:type="firstRow">
      <w:rPr>
        <w:b/>
        <w:bCs/>
        <w:color w:val="FFFFFF" w:themeColor="background1"/>
      </w:rPr>
      <w:tblPr/>
      <w:tcPr>
        <w:tcBorders>
          <w:bottom w:val="single" w:sz="12" w:space="0" w:color="FFFFFF" w:themeColor="background1"/>
        </w:tcBorders>
        <w:shd w:val="clear" w:color="auto" w:fill="E45F00" w:themeFill="accent4" w:themeFillShade="CC"/>
      </w:tcPr>
    </w:tblStylePr>
    <w:tblStylePr w:type="lastRow">
      <w:rPr>
        <w:b/>
        <w:bCs/>
        <w:color w:val="E45F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DF8FF" w:themeFill="accent3" w:themeFillTint="3F"/>
      </w:tcPr>
    </w:tblStylePr>
    <w:tblStylePr w:type="band1Horz">
      <w:tblPr/>
      <w:tcPr>
        <w:shd w:val="clear" w:color="auto" w:fill="BDF9FF" w:themeFill="accent3" w:themeFillTint="33"/>
      </w:tcPr>
    </w:tblStylePr>
  </w:style>
  <w:style w:type="table" w:styleId="ColorfulList-Accent4">
    <w:name w:val="Colorful List Accent 4"/>
    <w:basedOn w:val="TableNormal"/>
    <w:uiPriority w:val="72"/>
    <w:semiHidden/>
    <w:unhideWhenUsed/>
    <w:rsid w:val="006C286D"/>
    <w:rPr>
      <w:color w:val="000000" w:themeColor="text1"/>
    </w:rPr>
    <w:tblPr>
      <w:tblStyleRowBandSize w:val="1"/>
      <w:tblStyleColBandSize w:val="1"/>
    </w:tblPr>
    <w:tcPr>
      <w:shd w:val="clear" w:color="auto" w:fill="FFF2E8" w:themeFill="accent4" w:themeFillTint="19"/>
    </w:tcPr>
    <w:tblStylePr w:type="firstRow">
      <w:rPr>
        <w:b/>
        <w:bCs/>
        <w:color w:val="FFFFFF" w:themeColor="background1"/>
      </w:rPr>
      <w:tblPr/>
      <w:tcPr>
        <w:tcBorders>
          <w:bottom w:val="single" w:sz="12" w:space="0" w:color="FFFFFF" w:themeColor="background1"/>
        </w:tcBorders>
        <w:shd w:val="clear" w:color="auto" w:fill="008590" w:themeFill="accent3" w:themeFillShade="CC"/>
      </w:tcPr>
    </w:tblStylePr>
    <w:tblStylePr w:type="lastRow">
      <w:rPr>
        <w:b/>
        <w:bCs/>
        <w:color w:val="00859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EC7" w:themeFill="accent4" w:themeFillTint="3F"/>
      </w:tcPr>
    </w:tblStylePr>
    <w:tblStylePr w:type="band1Horz">
      <w:tblPr/>
      <w:tcPr>
        <w:shd w:val="clear" w:color="auto" w:fill="FFE4D2" w:themeFill="accent4" w:themeFillTint="33"/>
      </w:tcPr>
    </w:tblStylePr>
  </w:style>
  <w:style w:type="table" w:styleId="ColorfulList-Accent5">
    <w:name w:val="Colorful List Accent 5"/>
    <w:basedOn w:val="TableNormal"/>
    <w:uiPriority w:val="72"/>
    <w:semiHidden/>
    <w:unhideWhenUsed/>
    <w:rsid w:val="006C286D"/>
    <w:rPr>
      <w:color w:val="000000" w:themeColor="text1"/>
    </w:rPr>
    <w:tblPr>
      <w:tblStyleRowBandSize w:val="1"/>
      <w:tblStyleColBandSize w:val="1"/>
    </w:tblPr>
    <w:tcPr>
      <w:shd w:val="clear" w:color="auto" w:fill="F5FBEA" w:themeFill="accent5" w:themeFillTint="19"/>
    </w:tcPr>
    <w:tblStylePr w:type="firstRow">
      <w:rPr>
        <w:b/>
        <w:bCs/>
        <w:color w:val="FFFFFF" w:themeColor="background1"/>
      </w:rPr>
      <w:tblPr/>
      <w:tcPr>
        <w:tcBorders>
          <w:bottom w:val="single" w:sz="12" w:space="0" w:color="FFFFFF" w:themeColor="background1"/>
        </w:tcBorders>
        <w:shd w:val="clear" w:color="auto" w:fill="C5142B" w:themeFill="accent6" w:themeFillShade="CC"/>
      </w:tcPr>
    </w:tblStylePr>
    <w:tblStylePr w:type="lastRow">
      <w:rPr>
        <w:b/>
        <w:bCs/>
        <w:color w:val="C5142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F5CC" w:themeFill="accent5" w:themeFillTint="3F"/>
      </w:tcPr>
    </w:tblStylePr>
    <w:tblStylePr w:type="band1Horz">
      <w:tblPr/>
      <w:tcPr>
        <w:shd w:val="clear" w:color="auto" w:fill="EAF7D6" w:themeFill="accent5" w:themeFillTint="33"/>
      </w:tcPr>
    </w:tblStylePr>
  </w:style>
  <w:style w:type="table" w:styleId="ColorfulList-Accent6">
    <w:name w:val="Colorful List Accent 6"/>
    <w:basedOn w:val="TableNormal"/>
    <w:uiPriority w:val="72"/>
    <w:semiHidden/>
    <w:unhideWhenUsed/>
    <w:rsid w:val="006C286D"/>
    <w:rPr>
      <w:color w:val="000000" w:themeColor="text1"/>
    </w:rPr>
    <w:tblPr>
      <w:tblStyleRowBandSize w:val="1"/>
      <w:tblStyleColBandSize w:val="1"/>
    </w:tblPr>
    <w:tcPr>
      <w:shd w:val="clear" w:color="auto" w:fill="FCE9EC" w:themeFill="accent6" w:themeFillTint="19"/>
    </w:tcPr>
    <w:tblStylePr w:type="firstRow">
      <w:rPr>
        <w:b/>
        <w:bCs/>
        <w:color w:val="FFFFFF" w:themeColor="background1"/>
      </w:rPr>
      <w:tblPr/>
      <w:tcPr>
        <w:tcBorders>
          <w:bottom w:val="single" w:sz="12" w:space="0" w:color="FFFFFF" w:themeColor="background1"/>
        </w:tcBorders>
        <w:shd w:val="clear" w:color="auto" w:fill="7DB122" w:themeFill="accent5" w:themeFillShade="CC"/>
      </w:tcPr>
    </w:tblStylePr>
    <w:tblStylePr w:type="lastRow">
      <w:rPr>
        <w:b/>
        <w:bCs/>
        <w:color w:val="7DB122"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C9CF" w:themeFill="accent6" w:themeFillTint="3F"/>
      </w:tcPr>
    </w:tblStylePr>
    <w:tblStylePr w:type="band1Horz">
      <w:tblPr/>
      <w:tcPr>
        <w:shd w:val="clear" w:color="auto" w:fill="FAD3D8" w:themeFill="accent6" w:themeFillTint="33"/>
      </w:tcPr>
    </w:tblStylePr>
  </w:style>
  <w:style w:type="table" w:styleId="ColorfulShading">
    <w:name w:val="Colorful Shading"/>
    <w:basedOn w:val="TableNormal"/>
    <w:uiPriority w:val="71"/>
    <w:semiHidden/>
    <w:unhideWhenUsed/>
    <w:rsid w:val="006C286D"/>
    <w:rPr>
      <w:color w:val="000000" w:themeColor="text1"/>
    </w:rPr>
    <w:tblPr>
      <w:tblStyleRowBandSize w:val="1"/>
      <w:tblStyleColBandSize w:val="1"/>
      <w:tblBorders>
        <w:top w:val="single" w:sz="24" w:space="0" w:color="C8BEAF"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8BEA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6C286D"/>
    <w:rPr>
      <w:color w:val="000000" w:themeColor="text1"/>
    </w:rPr>
    <w:tblPr>
      <w:tblStyleRowBandSize w:val="1"/>
      <w:tblStyleColBandSize w:val="1"/>
      <w:tblBorders>
        <w:top w:val="single" w:sz="24" w:space="0" w:color="C8BEAF" w:themeColor="accent2"/>
        <w:left w:val="single" w:sz="4" w:space="0" w:color="4F2D7F" w:themeColor="accent1"/>
        <w:bottom w:val="single" w:sz="4" w:space="0" w:color="4F2D7F" w:themeColor="accent1"/>
        <w:right w:val="single" w:sz="4" w:space="0" w:color="4F2D7F" w:themeColor="accent1"/>
        <w:insideH w:val="single" w:sz="4" w:space="0" w:color="FFFFFF" w:themeColor="background1"/>
        <w:insideV w:val="single" w:sz="4" w:space="0" w:color="FFFFFF" w:themeColor="background1"/>
      </w:tblBorders>
    </w:tblPr>
    <w:tcPr>
      <w:shd w:val="clear" w:color="auto" w:fill="ECE6F6" w:themeFill="accent1" w:themeFillTint="19"/>
    </w:tcPr>
    <w:tblStylePr w:type="firstRow">
      <w:rPr>
        <w:b/>
        <w:bCs/>
      </w:rPr>
      <w:tblPr/>
      <w:tcPr>
        <w:tcBorders>
          <w:top w:val="nil"/>
          <w:left w:val="nil"/>
          <w:bottom w:val="single" w:sz="24" w:space="0" w:color="C8BEA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F1B4C" w:themeFill="accent1" w:themeFillShade="99"/>
      </w:tcPr>
    </w:tblStylePr>
    <w:tblStylePr w:type="firstCol">
      <w:rPr>
        <w:color w:val="FFFFFF" w:themeColor="background1"/>
      </w:rPr>
      <w:tblPr/>
      <w:tcPr>
        <w:tcBorders>
          <w:top w:val="nil"/>
          <w:left w:val="nil"/>
          <w:bottom w:val="nil"/>
          <w:right w:val="nil"/>
          <w:insideH w:val="single" w:sz="4" w:space="0" w:color="2F1B4C" w:themeColor="accent1" w:themeShade="99"/>
          <w:insideV w:val="nil"/>
        </w:tcBorders>
        <w:shd w:val="clear" w:color="auto" w:fill="2F1B4C"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F1B4C" w:themeFill="accent1" w:themeFillShade="99"/>
      </w:tcPr>
    </w:tblStylePr>
    <w:tblStylePr w:type="band1Vert">
      <w:tblPr/>
      <w:tcPr>
        <w:shd w:val="clear" w:color="auto" w:fill="B59BDB" w:themeFill="accent1" w:themeFillTint="66"/>
      </w:tcPr>
    </w:tblStylePr>
    <w:tblStylePr w:type="band1Horz">
      <w:tblPr/>
      <w:tcPr>
        <w:shd w:val="clear" w:color="auto" w:fill="A382D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6C286D"/>
    <w:rPr>
      <w:color w:val="000000" w:themeColor="text1"/>
    </w:rPr>
    <w:tblPr>
      <w:tblStyleRowBandSize w:val="1"/>
      <w:tblStyleColBandSize w:val="1"/>
      <w:tblBorders>
        <w:top w:val="single" w:sz="24" w:space="0" w:color="C8BEAF" w:themeColor="accent2"/>
        <w:left w:val="single" w:sz="4" w:space="0" w:color="C8BEAF" w:themeColor="accent2"/>
        <w:bottom w:val="single" w:sz="4" w:space="0" w:color="C8BEAF" w:themeColor="accent2"/>
        <w:right w:val="single" w:sz="4" w:space="0" w:color="C8BEAF" w:themeColor="accent2"/>
        <w:insideH w:val="single" w:sz="4" w:space="0" w:color="FFFFFF" w:themeColor="background1"/>
        <w:insideV w:val="single" w:sz="4" w:space="0" w:color="FFFFFF" w:themeColor="background1"/>
      </w:tblBorders>
    </w:tblPr>
    <w:tcPr>
      <w:shd w:val="clear" w:color="auto" w:fill="F9F8F7" w:themeFill="accent2" w:themeFillTint="19"/>
    </w:tcPr>
    <w:tblStylePr w:type="firstRow">
      <w:rPr>
        <w:b/>
        <w:bCs/>
      </w:rPr>
      <w:tblPr/>
      <w:tcPr>
        <w:tcBorders>
          <w:top w:val="nil"/>
          <w:left w:val="nil"/>
          <w:bottom w:val="single" w:sz="24" w:space="0" w:color="C8BEA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745B" w:themeFill="accent2" w:themeFillShade="99"/>
      </w:tcPr>
    </w:tblStylePr>
    <w:tblStylePr w:type="firstCol">
      <w:rPr>
        <w:color w:val="FFFFFF" w:themeColor="background1"/>
      </w:rPr>
      <w:tblPr/>
      <w:tcPr>
        <w:tcBorders>
          <w:top w:val="nil"/>
          <w:left w:val="nil"/>
          <w:bottom w:val="nil"/>
          <w:right w:val="nil"/>
          <w:insideH w:val="single" w:sz="4" w:space="0" w:color="85745B" w:themeColor="accent2" w:themeShade="99"/>
          <w:insideV w:val="nil"/>
        </w:tcBorders>
        <w:shd w:val="clear" w:color="auto" w:fill="85745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5745B" w:themeFill="accent2" w:themeFillShade="99"/>
      </w:tcPr>
    </w:tblStylePr>
    <w:tblStylePr w:type="band1Vert">
      <w:tblPr/>
      <w:tcPr>
        <w:shd w:val="clear" w:color="auto" w:fill="E9E5DF" w:themeFill="accent2" w:themeFillTint="66"/>
      </w:tcPr>
    </w:tblStylePr>
    <w:tblStylePr w:type="band1Horz">
      <w:tblPr/>
      <w:tcPr>
        <w:shd w:val="clear" w:color="auto" w:fill="E3DED7"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6C286D"/>
    <w:rPr>
      <w:color w:val="000000" w:themeColor="text1"/>
    </w:rPr>
    <w:tblPr>
      <w:tblStyleRowBandSize w:val="1"/>
      <w:tblStyleColBandSize w:val="1"/>
      <w:tblBorders>
        <w:top w:val="single" w:sz="24" w:space="0" w:color="FF7D1E" w:themeColor="accent4"/>
        <w:left w:val="single" w:sz="4" w:space="0" w:color="00A7B5" w:themeColor="accent3"/>
        <w:bottom w:val="single" w:sz="4" w:space="0" w:color="00A7B5" w:themeColor="accent3"/>
        <w:right w:val="single" w:sz="4" w:space="0" w:color="00A7B5" w:themeColor="accent3"/>
        <w:insideH w:val="single" w:sz="4" w:space="0" w:color="FFFFFF" w:themeColor="background1"/>
        <w:insideV w:val="single" w:sz="4" w:space="0" w:color="FFFFFF" w:themeColor="background1"/>
      </w:tblBorders>
    </w:tblPr>
    <w:tcPr>
      <w:shd w:val="clear" w:color="auto" w:fill="DEFCFF" w:themeFill="accent3" w:themeFillTint="19"/>
    </w:tcPr>
    <w:tblStylePr w:type="firstRow">
      <w:rPr>
        <w:b/>
        <w:bCs/>
      </w:rPr>
      <w:tblPr/>
      <w:tcPr>
        <w:tcBorders>
          <w:top w:val="nil"/>
          <w:left w:val="nil"/>
          <w:bottom w:val="single" w:sz="24" w:space="0" w:color="FF7D1E"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36C" w:themeFill="accent3" w:themeFillShade="99"/>
      </w:tcPr>
    </w:tblStylePr>
    <w:tblStylePr w:type="firstCol">
      <w:rPr>
        <w:color w:val="FFFFFF" w:themeColor="background1"/>
      </w:rPr>
      <w:tblPr/>
      <w:tcPr>
        <w:tcBorders>
          <w:top w:val="nil"/>
          <w:left w:val="nil"/>
          <w:bottom w:val="nil"/>
          <w:right w:val="nil"/>
          <w:insideH w:val="single" w:sz="4" w:space="0" w:color="00636C" w:themeColor="accent3" w:themeShade="99"/>
          <w:insideV w:val="nil"/>
        </w:tcBorders>
        <w:shd w:val="clear" w:color="auto" w:fill="00636C"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636C" w:themeFill="accent3" w:themeFillShade="99"/>
      </w:tcPr>
    </w:tblStylePr>
    <w:tblStylePr w:type="band1Vert">
      <w:tblPr/>
      <w:tcPr>
        <w:shd w:val="clear" w:color="auto" w:fill="7BF4FF" w:themeFill="accent3" w:themeFillTint="66"/>
      </w:tcPr>
    </w:tblStylePr>
    <w:tblStylePr w:type="band1Horz">
      <w:tblPr/>
      <w:tcPr>
        <w:shd w:val="clear" w:color="auto" w:fill="5BF2FF" w:themeFill="accent3" w:themeFillTint="7F"/>
      </w:tcPr>
    </w:tblStylePr>
  </w:style>
  <w:style w:type="table" w:styleId="ColorfulShading-Accent4">
    <w:name w:val="Colorful Shading Accent 4"/>
    <w:basedOn w:val="TableNormal"/>
    <w:uiPriority w:val="71"/>
    <w:semiHidden/>
    <w:unhideWhenUsed/>
    <w:rsid w:val="006C286D"/>
    <w:rPr>
      <w:color w:val="000000" w:themeColor="text1"/>
    </w:rPr>
    <w:tblPr>
      <w:tblStyleRowBandSize w:val="1"/>
      <w:tblStyleColBandSize w:val="1"/>
      <w:tblBorders>
        <w:top w:val="single" w:sz="24" w:space="0" w:color="00A7B5" w:themeColor="accent3"/>
        <w:left w:val="single" w:sz="4" w:space="0" w:color="FF7D1E" w:themeColor="accent4"/>
        <w:bottom w:val="single" w:sz="4" w:space="0" w:color="FF7D1E" w:themeColor="accent4"/>
        <w:right w:val="single" w:sz="4" w:space="0" w:color="FF7D1E" w:themeColor="accent4"/>
        <w:insideH w:val="single" w:sz="4" w:space="0" w:color="FFFFFF" w:themeColor="background1"/>
        <w:insideV w:val="single" w:sz="4" w:space="0" w:color="FFFFFF" w:themeColor="background1"/>
      </w:tblBorders>
    </w:tblPr>
    <w:tcPr>
      <w:shd w:val="clear" w:color="auto" w:fill="FFF2E8" w:themeFill="accent4" w:themeFillTint="19"/>
    </w:tcPr>
    <w:tblStylePr w:type="firstRow">
      <w:rPr>
        <w:b/>
        <w:bCs/>
      </w:rPr>
      <w:tblPr/>
      <w:tcPr>
        <w:tcBorders>
          <w:top w:val="nil"/>
          <w:left w:val="nil"/>
          <w:bottom w:val="single" w:sz="24" w:space="0" w:color="00A7B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B4700" w:themeFill="accent4" w:themeFillShade="99"/>
      </w:tcPr>
    </w:tblStylePr>
    <w:tblStylePr w:type="firstCol">
      <w:rPr>
        <w:color w:val="FFFFFF" w:themeColor="background1"/>
      </w:rPr>
      <w:tblPr/>
      <w:tcPr>
        <w:tcBorders>
          <w:top w:val="nil"/>
          <w:left w:val="nil"/>
          <w:bottom w:val="nil"/>
          <w:right w:val="nil"/>
          <w:insideH w:val="single" w:sz="4" w:space="0" w:color="AB4700" w:themeColor="accent4" w:themeShade="99"/>
          <w:insideV w:val="nil"/>
        </w:tcBorders>
        <w:shd w:val="clear" w:color="auto" w:fill="AB47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AB4700" w:themeFill="accent4" w:themeFillShade="99"/>
      </w:tcPr>
    </w:tblStylePr>
    <w:tblStylePr w:type="band1Vert">
      <w:tblPr/>
      <w:tcPr>
        <w:shd w:val="clear" w:color="auto" w:fill="FFCAA5" w:themeFill="accent4" w:themeFillTint="66"/>
      </w:tcPr>
    </w:tblStylePr>
    <w:tblStylePr w:type="band1Horz">
      <w:tblPr/>
      <w:tcPr>
        <w:shd w:val="clear" w:color="auto" w:fill="FFBD8E"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6C286D"/>
    <w:rPr>
      <w:color w:val="000000" w:themeColor="text1"/>
    </w:rPr>
    <w:tblPr>
      <w:tblStyleRowBandSize w:val="1"/>
      <w:tblStyleColBandSize w:val="1"/>
      <w:tblBorders>
        <w:top w:val="single" w:sz="24" w:space="0" w:color="E92841" w:themeColor="accent6"/>
        <w:left w:val="single" w:sz="4" w:space="0" w:color="9BD732" w:themeColor="accent5"/>
        <w:bottom w:val="single" w:sz="4" w:space="0" w:color="9BD732" w:themeColor="accent5"/>
        <w:right w:val="single" w:sz="4" w:space="0" w:color="9BD732" w:themeColor="accent5"/>
        <w:insideH w:val="single" w:sz="4" w:space="0" w:color="FFFFFF" w:themeColor="background1"/>
        <w:insideV w:val="single" w:sz="4" w:space="0" w:color="FFFFFF" w:themeColor="background1"/>
      </w:tblBorders>
    </w:tblPr>
    <w:tcPr>
      <w:shd w:val="clear" w:color="auto" w:fill="F5FBEA" w:themeFill="accent5" w:themeFillTint="19"/>
    </w:tcPr>
    <w:tblStylePr w:type="firstRow">
      <w:rPr>
        <w:b/>
        <w:bCs/>
      </w:rPr>
      <w:tblPr/>
      <w:tcPr>
        <w:tcBorders>
          <w:top w:val="nil"/>
          <w:left w:val="nil"/>
          <w:bottom w:val="single" w:sz="24" w:space="0" w:color="E92841"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D851A" w:themeFill="accent5" w:themeFillShade="99"/>
      </w:tcPr>
    </w:tblStylePr>
    <w:tblStylePr w:type="firstCol">
      <w:rPr>
        <w:color w:val="FFFFFF" w:themeColor="background1"/>
      </w:rPr>
      <w:tblPr/>
      <w:tcPr>
        <w:tcBorders>
          <w:top w:val="nil"/>
          <w:left w:val="nil"/>
          <w:bottom w:val="nil"/>
          <w:right w:val="nil"/>
          <w:insideH w:val="single" w:sz="4" w:space="0" w:color="5D851A" w:themeColor="accent5" w:themeShade="99"/>
          <w:insideV w:val="nil"/>
        </w:tcBorders>
        <w:shd w:val="clear" w:color="auto" w:fill="5D851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D851A" w:themeFill="accent5" w:themeFillShade="99"/>
      </w:tcPr>
    </w:tblStylePr>
    <w:tblStylePr w:type="band1Vert">
      <w:tblPr/>
      <w:tcPr>
        <w:shd w:val="clear" w:color="auto" w:fill="D6EFAD" w:themeFill="accent5" w:themeFillTint="66"/>
      </w:tcPr>
    </w:tblStylePr>
    <w:tblStylePr w:type="band1Horz">
      <w:tblPr/>
      <w:tcPr>
        <w:shd w:val="clear" w:color="auto" w:fill="CDEB98"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6C286D"/>
    <w:rPr>
      <w:color w:val="000000" w:themeColor="text1"/>
    </w:rPr>
    <w:tblPr>
      <w:tblStyleRowBandSize w:val="1"/>
      <w:tblStyleColBandSize w:val="1"/>
      <w:tblBorders>
        <w:top w:val="single" w:sz="24" w:space="0" w:color="9BD732" w:themeColor="accent5"/>
        <w:left w:val="single" w:sz="4" w:space="0" w:color="E92841" w:themeColor="accent6"/>
        <w:bottom w:val="single" w:sz="4" w:space="0" w:color="E92841" w:themeColor="accent6"/>
        <w:right w:val="single" w:sz="4" w:space="0" w:color="E92841" w:themeColor="accent6"/>
        <w:insideH w:val="single" w:sz="4" w:space="0" w:color="FFFFFF" w:themeColor="background1"/>
        <w:insideV w:val="single" w:sz="4" w:space="0" w:color="FFFFFF" w:themeColor="background1"/>
      </w:tblBorders>
    </w:tblPr>
    <w:tcPr>
      <w:shd w:val="clear" w:color="auto" w:fill="FCE9EC" w:themeFill="accent6" w:themeFillTint="19"/>
    </w:tcPr>
    <w:tblStylePr w:type="firstRow">
      <w:rPr>
        <w:b/>
        <w:bCs/>
      </w:rPr>
      <w:tblPr/>
      <w:tcPr>
        <w:tcBorders>
          <w:top w:val="nil"/>
          <w:left w:val="nil"/>
          <w:bottom w:val="single" w:sz="24" w:space="0" w:color="9BD732"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40F20" w:themeFill="accent6" w:themeFillShade="99"/>
      </w:tcPr>
    </w:tblStylePr>
    <w:tblStylePr w:type="firstCol">
      <w:rPr>
        <w:color w:val="FFFFFF" w:themeColor="background1"/>
      </w:rPr>
      <w:tblPr/>
      <w:tcPr>
        <w:tcBorders>
          <w:top w:val="nil"/>
          <w:left w:val="nil"/>
          <w:bottom w:val="nil"/>
          <w:right w:val="nil"/>
          <w:insideH w:val="single" w:sz="4" w:space="0" w:color="940F20" w:themeColor="accent6" w:themeShade="99"/>
          <w:insideV w:val="nil"/>
        </w:tcBorders>
        <w:shd w:val="clear" w:color="auto" w:fill="940F20"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40F20" w:themeFill="accent6" w:themeFillShade="99"/>
      </w:tcPr>
    </w:tblStylePr>
    <w:tblStylePr w:type="band1Vert">
      <w:tblPr/>
      <w:tcPr>
        <w:shd w:val="clear" w:color="auto" w:fill="F6A8B2" w:themeFill="accent6" w:themeFillTint="66"/>
      </w:tcPr>
    </w:tblStylePr>
    <w:tblStylePr w:type="band1Horz">
      <w:tblPr/>
      <w:tcPr>
        <w:shd w:val="clear" w:color="auto" w:fill="F493A0"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semiHidden/>
    <w:unhideWhenUsed/>
    <w:rsid w:val="006C286D"/>
    <w:rPr>
      <w:sz w:val="16"/>
      <w:szCs w:val="16"/>
      <w:lang w:val="en-US"/>
    </w:rPr>
  </w:style>
  <w:style w:type="paragraph" w:styleId="CommentText">
    <w:name w:val="annotation text"/>
    <w:basedOn w:val="Normal"/>
    <w:link w:val="CommentTextChar"/>
    <w:semiHidden/>
    <w:unhideWhenUsed/>
    <w:rsid w:val="006C286D"/>
    <w:pPr>
      <w:spacing w:line="240" w:lineRule="auto"/>
    </w:pPr>
    <w:rPr>
      <w:sz w:val="20"/>
    </w:rPr>
  </w:style>
  <w:style w:type="character" w:customStyle="1" w:styleId="CommentTextChar">
    <w:name w:val="Comment Text Char"/>
    <w:basedOn w:val="DefaultParagraphFont"/>
    <w:link w:val="CommentText"/>
    <w:semiHidden/>
    <w:rsid w:val="006C286D"/>
    <w:rPr>
      <w:rFonts w:asciiTheme="minorHAnsi" w:hAnsiTheme="minorHAnsi" w:cs="Arial"/>
      <w:lang w:val="en-US"/>
    </w:rPr>
  </w:style>
  <w:style w:type="paragraph" w:styleId="CommentSubject">
    <w:name w:val="annotation subject"/>
    <w:basedOn w:val="CommentText"/>
    <w:next w:val="CommentText"/>
    <w:link w:val="CommentSubjectChar"/>
    <w:semiHidden/>
    <w:unhideWhenUsed/>
    <w:rsid w:val="006C286D"/>
    <w:rPr>
      <w:b/>
      <w:bCs/>
    </w:rPr>
  </w:style>
  <w:style w:type="character" w:customStyle="1" w:styleId="CommentSubjectChar">
    <w:name w:val="Comment Subject Char"/>
    <w:basedOn w:val="CommentTextChar"/>
    <w:link w:val="CommentSubject"/>
    <w:semiHidden/>
    <w:rsid w:val="006C286D"/>
    <w:rPr>
      <w:rFonts w:asciiTheme="minorHAnsi" w:hAnsiTheme="minorHAnsi" w:cs="Arial"/>
      <w:b/>
      <w:bCs/>
      <w:lang w:val="en-US"/>
    </w:rPr>
  </w:style>
  <w:style w:type="table" w:styleId="DarkList">
    <w:name w:val="Dark List"/>
    <w:basedOn w:val="TableNormal"/>
    <w:uiPriority w:val="70"/>
    <w:semiHidden/>
    <w:unhideWhenUsed/>
    <w:rsid w:val="006C286D"/>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6C286D"/>
    <w:rPr>
      <w:color w:val="FFFFFF" w:themeColor="background1"/>
    </w:rPr>
    <w:tblPr>
      <w:tblStyleRowBandSize w:val="1"/>
      <w:tblStyleColBandSize w:val="1"/>
    </w:tblPr>
    <w:tcPr>
      <w:shd w:val="clear" w:color="auto" w:fill="4F2D7F"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163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A215E"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A215E" w:themeFill="accent1" w:themeFillShade="BF"/>
      </w:tcPr>
    </w:tblStylePr>
    <w:tblStylePr w:type="band1Vert">
      <w:tblPr/>
      <w:tcPr>
        <w:tcBorders>
          <w:top w:val="nil"/>
          <w:left w:val="nil"/>
          <w:bottom w:val="nil"/>
          <w:right w:val="nil"/>
          <w:insideH w:val="nil"/>
          <w:insideV w:val="nil"/>
        </w:tcBorders>
        <w:shd w:val="clear" w:color="auto" w:fill="3A215E" w:themeFill="accent1" w:themeFillShade="BF"/>
      </w:tcPr>
    </w:tblStylePr>
    <w:tblStylePr w:type="band1Horz">
      <w:tblPr/>
      <w:tcPr>
        <w:tcBorders>
          <w:top w:val="nil"/>
          <w:left w:val="nil"/>
          <w:bottom w:val="nil"/>
          <w:right w:val="nil"/>
          <w:insideH w:val="nil"/>
          <w:insideV w:val="nil"/>
        </w:tcBorders>
        <w:shd w:val="clear" w:color="auto" w:fill="3A215E" w:themeFill="accent1" w:themeFillShade="BF"/>
      </w:tcPr>
    </w:tblStylePr>
  </w:style>
  <w:style w:type="table" w:styleId="DarkList-Accent2">
    <w:name w:val="Dark List Accent 2"/>
    <w:basedOn w:val="TableNormal"/>
    <w:uiPriority w:val="70"/>
    <w:semiHidden/>
    <w:unhideWhenUsed/>
    <w:rsid w:val="006C286D"/>
    <w:rPr>
      <w:color w:val="FFFFFF" w:themeColor="background1"/>
    </w:rPr>
    <w:tblPr>
      <w:tblStyleRowBandSize w:val="1"/>
      <w:tblStyleColBandSize w:val="1"/>
    </w:tblPr>
    <w:tcPr>
      <w:shd w:val="clear" w:color="auto" w:fill="C8BEAF"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604C"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19077"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19077" w:themeFill="accent2" w:themeFillShade="BF"/>
      </w:tcPr>
    </w:tblStylePr>
    <w:tblStylePr w:type="band1Vert">
      <w:tblPr/>
      <w:tcPr>
        <w:tcBorders>
          <w:top w:val="nil"/>
          <w:left w:val="nil"/>
          <w:bottom w:val="nil"/>
          <w:right w:val="nil"/>
          <w:insideH w:val="nil"/>
          <w:insideV w:val="nil"/>
        </w:tcBorders>
        <w:shd w:val="clear" w:color="auto" w:fill="A19077" w:themeFill="accent2" w:themeFillShade="BF"/>
      </w:tcPr>
    </w:tblStylePr>
    <w:tblStylePr w:type="band1Horz">
      <w:tblPr/>
      <w:tcPr>
        <w:tcBorders>
          <w:top w:val="nil"/>
          <w:left w:val="nil"/>
          <w:bottom w:val="nil"/>
          <w:right w:val="nil"/>
          <w:insideH w:val="nil"/>
          <w:insideV w:val="nil"/>
        </w:tcBorders>
        <w:shd w:val="clear" w:color="auto" w:fill="A19077" w:themeFill="accent2" w:themeFillShade="BF"/>
      </w:tcPr>
    </w:tblStylePr>
  </w:style>
  <w:style w:type="table" w:styleId="DarkList-Accent3">
    <w:name w:val="Dark List Accent 3"/>
    <w:basedOn w:val="TableNormal"/>
    <w:uiPriority w:val="70"/>
    <w:semiHidden/>
    <w:unhideWhenUsed/>
    <w:rsid w:val="006C286D"/>
    <w:rPr>
      <w:color w:val="FFFFFF" w:themeColor="background1"/>
    </w:rPr>
    <w:tblPr>
      <w:tblStyleRowBandSize w:val="1"/>
      <w:tblStyleColBandSize w:val="1"/>
    </w:tblPr>
    <w:tcPr>
      <w:shd w:val="clear" w:color="auto" w:fill="00A7B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52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7C8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7C87" w:themeFill="accent3" w:themeFillShade="BF"/>
      </w:tcPr>
    </w:tblStylePr>
    <w:tblStylePr w:type="band1Vert">
      <w:tblPr/>
      <w:tcPr>
        <w:tcBorders>
          <w:top w:val="nil"/>
          <w:left w:val="nil"/>
          <w:bottom w:val="nil"/>
          <w:right w:val="nil"/>
          <w:insideH w:val="nil"/>
          <w:insideV w:val="nil"/>
        </w:tcBorders>
        <w:shd w:val="clear" w:color="auto" w:fill="007C87" w:themeFill="accent3" w:themeFillShade="BF"/>
      </w:tcPr>
    </w:tblStylePr>
    <w:tblStylePr w:type="band1Horz">
      <w:tblPr/>
      <w:tcPr>
        <w:tcBorders>
          <w:top w:val="nil"/>
          <w:left w:val="nil"/>
          <w:bottom w:val="nil"/>
          <w:right w:val="nil"/>
          <w:insideH w:val="nil"/>
          <w:insideV w:val="nil"/>
        </w:tcBorders>
        <w:shd w:val="clear" w:color="auto" w:fill="007C87" w:themeFill="accent3" w:themeFillShade="BF"/>
      </w:tcPr>
    </w:tblStylePr>
  </w:style>
  <w:style w:type="table" w:styleId="DarkList-Accent4">
    <w:name w:val="Dark List Accent 4"/>
    <w:basedOn w:val="TableNormal"/>
    <w:uiPriority w:val="70"/>
    <w:semiHidden/>
    <w:unhideWhenUsed/>
    <w:rsid w:val="006C286D"/>
    <w:rPr>
      <w:color w:val="FFFFFF" w:themeColor="background1"/>
    </w:rPr>
    <w:tblPr>
      <w:tblStyleRowBandSize w:val="1"/>
      <w:tblStyleColBandSize w:val="1"/>
    </w:tblPr>
    <w:tcPr>
      <w:shd w:val="clear" w:color="auto" w:fill="FF7D1E"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D3B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D559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D55900" w:themeFill="accent4" w:themeFillShade="BF"/>
      </w:tcPr>
    </w:tblStylePr>
    <w:tblStylePr w:type="band1Vert">
      <w:tblPr/>
      <w:tcPr>
        <w:tcBorders>
          <w:top w:val="nil"/>
          <w:left w:val="nil"/>
          <w:bottom w:val="nil"/>
          <w:right w:val="nil"/>
          <w:insideH w:val="nil"/>
          <w:insideV w:val="nil"/>
        </w:tcBorders>
        <w:shd w:val="clear" w:color="auto" w:fill="D55900" w:themeFill="accent4" w:themeFillShade="BF"/>
      </w:tcPr>
    </w:tblStylePr>
    <w:tblStylePr w:type="band1Horz">
      <w:tblPr/>
      <w:tcPr>
        <w:tcBorders>
          <w:top w:val="nil"/>
          <w:left w:val="nil"/>
          <w:bottom w:val="nil"/>
          <w:right w:val="nil"/>
          <w:insideH w:val="nil"/>
          <w:insideV w:val="nil"/>
        </w:tcBorders>
        <w:shd w:val="clear" w:color="auto" w:fill="D55900" w:themeFill="accent4" w:themeFillShade="BF"/>
      </w:tcPr>
    </w:tblStylePr>
  </w:style>
  <w:style w:type="table" w:styleId="DarkList-Accent5">
    <w:name w:val="Dark List Accent 5"/>
    <w:basedOn w:val="TableNormal"/>
    <w:uiPriority w:val="70"/>
    <w:semiHidden/>
    <w:unhideWhenUsed/>
    <w:rsid w:val="006C286D"/>
    <w:rPr>
      <w:color w:val="FFFFFF" w:themeColor="background1"/>
    </w:rPr>
    <w:tblPr>
      <w:tblStyleRowBandSize w:val="1"/>
      <w:tblStyleColBandSize w:val="1"/>
    </w:tblPr>
    <w:tcPr>
      <w:shd w:val="clear" w:color="auto" w:fill="9BD732"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D6E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5A52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5A520" w:themeFill="accent5" w:themeFillShade="BF"/>
      </w:tcPr>
    </w:tblStylePr>
    <w:tblStylePr w:type="band1Vert">
      <w:tblPr/>
      <w:tcPr>
        <w:tcBorders>
          <w:top w:val="nil"/>
          <w:left w:val="nil"/>
          <w:bottom w:val="nil"/>
          <w:right w:val="nil"/>
          <w:insideH w:val="nil"/>
          <w:insideV w:val="nil"/>
        </w:tcBorders>
        <w:shd w:val="clear" w:color="auto" w:fill="75A520" w:themeFill="accent5" w:themeFillShade="BF"/>
      </w:tcPr>
    </w:tblStylePr>
    <w:tblStylePr w:type="band1Horz">
      <w:tblPr/>
      <w:tcPr>
        <w:tcBorders>
          <w:top w:val="nil"/>
          <w:left w:val="nil"/>
          <w:bottom w:val="nil"/>
          <w:right w:val="nil"/>
          <w:insideH w:val="nil"/>
          <w:insideV w:val="nil"/>
        </w:tcBorders>
        <w:shd w:val="clear" w:color="auto" w:fill="75A520" w:themeFill="accent5" w:themeFillShade="BF"/>
      </w:tcPr>
    </w:tblStylePr>
  </w:style>
  <w:style w:type="table" w:styleId="DarkList-Accent6">
    <w:name w:val="Dark List Accent 6"/>
    <w:basedOn w:val="TableNormal"/>
    <w:uiPriority w:val="70"/>
    <w:semiHidden/>
    <w:unhideWhenUsed/>
    <w:rsid w:val="006C286D"/>
    <w:rPr>
      <w:color w:val="FFFFFF" w:themeColor="background1"/>
    </w:rPr>
    <w:tblPr>
      <w:tblStyleRowBandSize w:val="1"/>
      <w:tblStyleColBandSize w:val="1"/>
    </w:tblPr>
    <w:tcPr>
      <w:shd w:val="clear" w:color="auto" w:fill="E92841"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0C1A"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91328"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91328" w:themeFill="accent6" w:themeFillShade="BF"/>
      </w:tcPr>
    </w:tblStylePr>
    <w:tblStylePr w:type="band1Vert">
      <w:tblPr/>
      <w:tcPr>
        <w:tcBorders>
          <w:top w:val="nil"/>
          <w:left w:val="nil"/>
          <w:bottom w:val="nil"/>
          <w:right w:val="nil"/>
          <w:insideH w:val="nil"/>
          <w:insideV w:val="nil"/>
        </w:tcBorders>
        <w:shd w:val="clear" w:color="auto" w:fill="B91328" w:themeFill="accent6" w:themeFillShade="BF"/>
      </w:tcPr>
    </w:tblStylePr>
    <w:tblStylePr w:type="band1Horz">
      <w:tblPr/>
      <w:tcPr>
        <w:tcBorders>
          <w:top w:val="nil"/>
          <w:left w:val="nil"/>
          <w:bottom w:val="nil"/>
          <w:right w:val="nil"/>
          <w:insideH w:val="nil"/>
          <w:insideV w:val="nil"/>
        </w:tcBorders>
        <w:shd w:val="clear" w:color="auto" w:fill="B91328" w:themeFill="accent6" w:themeFillShade="BF"/>
      </w:tcPr>
    </w:tblStylePr>
  </w:style>
  <w:style w:type="paragraph" w:styleId="Date">
    <w:name w:val="Date"/>
    <w:basedOn w:val="Normal"/>
    <w:next w:val="Normal"/>
    <w:link w:val="DateChar"/>
    <w:semiHidden/>
    <w:unhideWhenUsed/>
    <w:rsid w:val="006C286D"/>
  </w:style>
  <w:style w:type="character" w:customStyle="1" w:styleId="DateChar">
    <w:name w:val="Date Char"/>
    <w:basedOn w:val="DefaultParagraphFont"/>
    <w:link w:val="Date"/>
    <w:semiHidden/>
    <w:rsid w:val="006C286D"/>
    <w:rPr>
      <w:rFonts w:asciiTheme="minorHAnsi" w:hAnsiTheme="minorHAnsi" w:cs="Arial"/>
      <w:sz w:val="18"/>
      <w:lang w:val="en-US"/>
    </w:rPr>
  </w:style>
  <w:style w:type="paragraph" w:styleId="DocumentMap">
    <w:name w:val="Document Map"/>
    <w:basedOn w:val="Normal"/>
    <w:link w:val="DocumentMapChar"/>
    <w:semiHidden/>
    <w:unhideWhenUsed/>
    <w:rsid w:val="006C286D"/>
    <w:pPr>
      <w:spacing w:after="0" w:line="240" w:lineRule="auto"/>
    </w:pPr>
    <w:rPr>
      <w:rFonts w:ascii="Segoe UI" w:hAnsi="Segoe UI" w:cs="Segoe UI"/>
      <w:sz w:val="16"/>
      <w:szCs w:val="16"/>
    </w:rPr>
  </w:style>
  <w:style w:type="character" w:customStyle="1" w:styleId="DocumentMapChar">
    <w:name w:val="Document Map Char"/>
    <w:basedOn w:val="DefaultParagraphFont"/>
    <w:link w:val="DocumentMap"/>
    <w:semiHidden/>
    <w:rsid w:val="006C286D"/>
    <w:rPr>
      <w:rFonts w:ascii="Segoe UI" w:hAnsi="Segoe UI" w:cs="Segoe UI"/>
      <w:sz w:val="16"/>
      <w:szCs w:val="16"/>
      <w:lang w:val="en-US"/>
    </w:rPr>
  </w:style>
  <w:style w:type="paragraph" w:styleId="E-mailSignature">
    <w:name w:val="E-mail Signature"/>
    <w:basedOn w:val="Normal"/>
    <w:link w:val="E-mailSignatureChar"/>
    <w:semiHidden/>
    <w:unhideWhenUsed/>
    <w:rsid w:val="006C286D"/>
    <w:pPr>
      <w:spacing w:after="0" w:line="240" w:lineRule="auto"/>
    </w:pPr>
  </w:style>
  <w:style w:type="character" w:customStyle="1" w:styleId="E-mailSignatureChar">
    <w:name w:val="E-mail Signature Char"/>
    <w:basedOn w:val="DefaultParagraphFont"/>
    <w:link w:val="E-mailSignature"/>
    <w:semiHidden/>
    <w:rsid w:val="006C286D"/>
    <w:rPr>
      <w:rFonts w:asciiTheme="minorHAnsi" w:hAnsiTheme="minorHAnsi" w:cs="Arial"/>
      <w:sz w:val="18"/>
      <w:lang w:val="en-US"/>
    </w:rPr>
  </w:style>
  <w:style w:type="character" w:styleId="Emphasis">
    <w:name w:val="Emphasis"/>
    <w:basedOn w:val="DefaultParagraphFont"/>
    <w:uiPriority w:val="9"/>
    <w:semiHidden/>
    <w:unhideWhenUsed/>
    <w:rsid w:val="006C286D"/>
    <w:rPr>
      <w:i/>
      <w:iCs/>
      <w:lang w:val="en-US"/>
    </w:rPr>
  </w:style>
  <w:style w:type="character" w:styleId="EndnoteReference">
    <w:name w:val="endnote reference"/>
    <w:basedOn w:val="DefaultParagraphFont"/>
    <w:semiHidden/>
    <w:unhideWhenUsed/>
    <w:rsid w:val="006C286D"/>
    <w:rPr>
      <w:vertAlign w:val="superscript"/>
      <w:lang w:val="en-US"/>
    </w:rPr>
  </w:style>
  <w:style w:type="paragraph" w:styleId="EndnoteText">
    <w:name w:val="endnote text"/>
    <w:basedOn w:val="Normal"/>
    <w:link w:val="EndnoteTextChar"/>
    <w:semiHidden/>
    <w:unhideWhenUsed/>
    <w:rsid w:val="006C286D"/>
    <w:pPr>
      <w:spacing w:after="0" w:line="240" w:lineRule="auto"/>
    </w:pPr>
    <w:rPr>
      <w:sz w:val="20"/>
    </w:rPr>
  </w:style>
  <w:style w:type="character" w:customStyle="1" w:styleId="EndnoteTextChar">
    <w:name w:val="Endnote Text Char"/>
    <w:basedOn w:val="DefaultParagraphFont"/>
    <w:link w:val="EndnoteText"/>
    <w:semiHidden/>
    <w:rsid w:val="006C286D"/>
    <w:rPr>
      <w:rFonts w:asciiTheme="minorHAnsi" w:hAnsiTheme="minorHAnsi" w:cs="Arial"/>
      <w:lang w:val="en-US"/>
    </w:rPr>
  </w:style>
  <w:style w:type="paragraph" w:styleId="EnvelopeAddress">
    <w:name w:val="envelope address"/>
    <w:basedOn w:val="Normal"/>
    <w:semiHidden/>
    <w:unhideWhenUsed/>
    <w:rsid w:val="006C286D"/>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semiHidden/>
    <w:unhideWhenUsed/>
    <w:rsid w:val="006C286D"/>
    <w:pPr>
      <w:spacing w:after="0" w:line="240" w:lineRule="auto"/>
    </w:pPr>
    <w:rPr>
      <w:rFonts w:asciiTheme="majorHAnsi" w:eastAsiaTheme="majorEastAsia" w:hAnsiTheme="majorHAnsi" w:cstheme="majorBidi"/>
      <w:sz w:val="20"/>
    </w:rPr>
  </w:style>
  <w:style w:type="character" w:styleId="FollowedHyperlink">
    <w:name w:val="FollowedHyperlink"/>
    <w:basedOn w:val="DefaultParagraphFont"/>
    <w:semiHidden/>
    <w:unhideWhenUsed/>
    <w:rsid w:val="006C286D"/>
    <w:rPr>
      <w:color w:val="800080" w:themeColor="followedHyperlink"/>
      <w:u w:val="single"/>
      <w:lang w:val="en-US"/>
    </w:rPr>
  </w:style>
  <w:style w:type="character" w:styleId="FootnoteReference">
    <w:name w:val="footnote reference"/>
    <w:basedOn w:val="DefaultParagraphFont"/>
    <w:semiHidden/>
    <w:rsid w:val="006C286D"/>
    <w:rPr>
      <w:vertAlign w:val="superscript"/>
      <w:lang w:val="en-US"/>
    </w:rPr>
  </w:style>
  <w:style w:type="paragraph" w:styleId="FootnoteText">
    <w:name w:val="footnote text"/>
    <w:basedOn w:val="Normal"/>
    <w:link w:val="FootnoteTextChar"/>
    <w:semiHidden/>
    <w:rsid w:val="006C286D"/>
    <w:pPr>
      <w:spacing w:after="0" w:line="240" w:lineRule="auto"/>
    </w:pPr>
    <w:rPr>
      <w:sz w:val="20"/>
    </w:rPr>
  </w:style>
  <w:style w:type="character" w:customStyle="1" w:styleId="FootnoteTextChar">
    <w:name w:val="Footnote Text Char"/>
    <w:basedOn w:val="DefaultParagraphFont"/>
    <w:link w:val="FootnoteText"/>
    <w:semiHidden/>
    <w:rsid w:val="006C286D"/>
    <w:rPr>
      <w:rFonts w:asciiTheme="minorHAnsi" w:hAnsiTheme="minorHAnsi" w:cs="Arial"/>
      <w:lang w:val="en-US"/>
    </w:rPr>
  </w:style>
  <w:style w:type="table" w:styleId="GridTable1Light">
    <w:name w:val="Grid Table 1 Light"/>
    <w:basedOn w:val="TableNormal"/>
    <w:uiPriority w:val="46"/>
    <w:rsid w:val="006C286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C286D"/>
    <w:tblPr>
      <w:tblStyleRowBandSize w:val="1"/>
      <w:tblStyleColBandSize w:val="1"/>
      <w:tblBorders>
        <w:top w:val="single" w:sz="4" w:space="0" w:color="B59BDB" w:themeColor="accent1" w:themeTint="66"/>
        <w:left w:val="single" w:sz="4" w:space="0" w:color="B59BDB" w:themeColor="accent1" w:themeTint="66"/>
        <w:bottom w:val="single" w:sz="4" w:space="0" w:color="B59BDB" w:themeColor="accent1" w:themeTint="66"/>
        <w:right w:val="single" w:sz="4" w:space="0" w:color="B59BDB" w:themeColor="accent1" w:themeTint="66"/>
        <w:insideH w:val="single" w:sz="4" w:space="0" w:color="B59BDB" w:themeColor="accent1" w:themeTint="66"/>
        <w:insideV w:val="single" w:sz="4" w:space="0" w:color="B59BDB" w:themeColor="accent1" w:themeTint="66"/>
      </w:tblBorders>
    </w:tblPr>
    <w:tblStylePr w:type="firstRow">
      <w:rPr>
        <w:b/>
        <w:bCs/>
      </w:rPr>
      <w:tblPr/>
      <w:tcPr>
        <w:tcBorders>
          <w:bottom w:val="single" w:sz="12" w:space="0" w:color="9069CA" w:themeColor="accent1" w:themeTint="99"/>
        </w:tcBorders>
      </w:tcPr>
    </w:tblStylePr>
    <w:tblStylePr w:type="lastRow">
      <w:rPr>
        <w:b/>
        <w:bCs/>
      </w:rPr>
      <w:tblPr/>
      <w:tcPr>
        <w:tcBorders>
          <w:top w:val="double" w:sz="2" w:space="0" w:color="9069CA"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6C286D"/>
    <w:tblPr>
      <w:tblStyleRowBandSize w:val="1"/>
      <w:tblStyleColBandSize w:val="1"/>
      <w:tblBorders>
        <w:top w:val="single" w:sz="4" w:space="0" w:color="E9E5DF" w:themeColor="accent2" w:themeTint="66"/>
        <w:left w:val="single" w:sz="4" w:space="0" w:color="E9E5DF" w:themeColor="accent2" w:themeTint="66"/>
        <w:bottom w:val="single" w:sz="4" w:space="0" w:color="E9E5DF" w:themeColor="accent2" w:themeTint="66"/>
        <w:right w:val="single" w:sz="4" w:space="0" w:color="E9E5DF" w:themeColor="accent2" w:themeTint="66"/>
        <w:insideH w:val="single" w:sz="4" w:space="0" w:color="E9E5DF" w:themeColor="accent2" w:themeTint="66"/>
        <w:insideV w:val="single" w:sz="4" w:space="0" w:color="E9E5DF" w:themeColor="accent2" w:themeTint="66"/>
      </w:tblBorders>
    </w:tblPr>
    <w:tblStylePr w:type="firstRow">
      <w:rPr>
        <w:b/>
        <w:bCs/>
      </w:rPr>
      <w:tblPr/>
      <w:tcPr>
        <w:tcBorders>
          <w:bottom w:val="single" w:sz="12" w:space="0" w:color="DED8CF" w:themeColor="accent2" w:themeTint="99"/>
        </w:tcBorders>
      </w:tcPr>
    </w:tblStylePr>
    <w:tblStylePr w:type="lastRow">
      <w:rPr>
        <w:b/>
        <w:bCs/>
      </w:rPr>
      <w:tblPr/>
      <w:tcPr>
        <w:tcBorders>
          <w:top w:val="double" w:sz="2" w:space="0" w:color="DED8C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C286D"/>
    <w:tblPr>
      <w:tblStyleRowBandSize w:val="1"/>
      <w:tblStyleColBandSize w:val="1"/>
      <w:tblBorders>
        <w:top w:val="single" w:sz="4" w:space="0" w:color="7BF4FF" w:themeColor="accent3" w:themeTint="66"/>
        <w:left w:val="single" w:sz="4" w:space="0" w:color="7BF4FF" w:themeColor="accent3" w:themeTint="66"/>
        <w:bottom w:val="single" w:sz="4" w:space="0" w:color="7BF4FF" w:themeColor="accent3" w:themeTint="66"/>
        <w:right w:val="single" w:sz="4" w:space="0" w:color="7BF4FF" w:themeColor="accent3" w:themeTint="66"/>
        <w:insideH w:val="single" w:sz="4" w:space="0" w:color="7BF4FF" w:themeColor="accent3" w:themeTint="66"/>
        <w:insideV w:val="single" w:sz="4" w:space="0" w:color="7BF4FF" w:themeColor="accent3" w:themeTint="66"/>
      </w:tblBorders>
    </w:tblPr>
    <w:tblStylePr w:type="firstRow">
      <w:rPr>
        <w:b/>
        <w:bCs/>
      </w:rPr>
      <w:tblPr/>
      <w:tcPr>
        <w:tcBorders>
          <w:bottom w:val="single" w:sz="12" w:space="0" w:color="39EFFF" w:themeColor="accent3" w:themeTint="99"/>
        </w:tcBorders>
      </w:tcPr>
    </w:tblStylePr>
    <w:tblStylePr w:type="lastRow">
      <w:rPr>
        <w:b/>
        <w:bCs/>
      </w:rPr>
      <w:tblPr/>
      <w:tcPr>
        <w:tcBorders>
          <w:top w:val="double" w:sz="2" w:space="0" w:color="39EF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C286D"/>
    <w:tblPr>
      <w:tblStyleRowBandSize w:val="1"/>
      <w:tblStyleColBandSize w:val="1"/>
      <w:tblBorders>
        <w:top w:val="single" w:sz="4" w:space="0" w:color="FFCAA5" w:themeColor="accent4" w:themeTint="66"/>
        <w:left w:val="single" w:sz="4" w:space="0" w:color="FFCAA5" w:themeColor="accent4" w:themeTint="66"/>
        <w:bottom w:val="single" w:sz="4" w:space="0" w:color="FFCAA5" w:themeColor="accent4" w:themeTint="66"/>
        <w:right w:val="single" w:sz="4" w:space="0" w:color="FFCAA5" w:themeColor="accent4" w:themeTint="66"/>
        <w:insideH w:val="single" w:sz="4" w:space="0" w:color="FFCAA5" w:themeColor="accent4" w:themeTint="66"/>
        <w:insideV w:val="single" w:sz="4" w:space="0" w:color="FFCAA5" w:themeColor="accent4" w:themeTint="66"/>
      </w:tblBorders>
    </w:tblPr>
    <w:tblStylePr w:type="firstRow">
      <w:rPr>
        <w:b/>
        <w:bCs/>
      </w:rPr>
      <w:tblPr/>
      <w:tcPr>
        <w:tcBorders>
          <w:bottom w:val="single" w:sz="12" w:space="0" w:color="FFB078" w:themeColor="accent4" w:themeTint="99"/>
        </w:tcBorders>
      </w:tcPr>
    </w:tblStylePr>
    <w:tblStylePr w:type="lastRow">
      <w:rPr>
        <w:b/>
        <w:bCs/>
      </w:rPr>
      <w:tblPr/>
      <w:tcPr>
        <w:tcBorders>
          <w:top w:val="double" w:sz="2" w:space="0" w:color="FFB07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C286D"/>
    <w:tblPr>
      <w:tblStyleRowBandSize w:val="1"/>
      <w:tblStyleColBandSize w:val="1"/>
      <w:tblBorders>
        <w:top w:val="single" w:sz="4" w:space="0" w:color="D6EFAD" w:themeColor="accent5" w:themeTint="66"/>
        <w:left w:val="single" w:sz="4" w:space="0" w:color="D6EFAD" w:themeColor="accent5" w:themeTint="66"/>
        <w:bottom w:val="single" w:sz="4" w:space="0" w:color="D6EFAD" w:themeColor="accent5" w:themeTint="66"/>
        <w:right w:val="single" w:sz="4" w:space="0" w:color="D6EFAD" w:themeColor="accent5" w:themeTint="66"/>
        <w:insideH w:val="single" w:sz="4" w:space="0" w:color="D6EFAD" w:themeColor="accent5" w:themeTint="66"/>
        <w:insideV w:val="single" w:sz="4" w:space="0" w:color="D6EFAD" w:themeColor="accent5" w:themeTint="66"/>
      </w:tblBorders>
    </w:tblPr>
    <w:tblStylePr w:type="firstRow">
      <w:rPr>
        <w:b/>
        <w:bCs/>
      </w:rPr>
      <w:tblPr/>
      <w:tcPr>
        <w:tcBorders>
          <w:bottom w:val="single" w:sz="12" w:space="0" w:color="C2E784" w:themeColor="accent5" w:themeTint="99"/>
        </w:tcBorders>
      </w:tcPr>
    </w:tblStylePr>
    <w:tblStylePr w:type="lastRow">
      <w:rPr>
        <w:b/>
        <w:bCs/>
      </w:rPr>
      <w:tblPr/>
      <w:tcPr>
        <w:tcBorders>
          <w:top w:val="double" w:sz="2" w:space="0" w:color="C2E784"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C286D"/>
    <w:tblPr>
      <w:tblStyleRowBandSize w:val="1"/>
      <w:tblStyleColBandSize w:val="1"/>
      <w:tblBorders>
        <w:top w:val="single" w:sz="4" w:space="0" w:color="F6A8B2" w:themeColor="accent6" w:themeTint="66"/>
        <w:left w:val="single" w:sz="4" w:space="0" w:color="F6A8B2" w:themeColor="accent6" w:themeTint="66"/>
        <w:bottom w:val="single" w:sz="4" w:space="0" w:color="F6A8B2" w:themeColor="accent6" w:themeTint="66"/>
        <w:right w:val="single" w:sz="4" w:space="0" w:color="F6A8B2" w:themeColor="accent6" w:themeTint="66"/>
        <w:insideH w:val="single" w:sz="4" w:space="0" w:color="F6A8B2" w:themeColor="accent6" w:themeTint="66"/>
        <w:insideV w:val="single" w:sz="4" w:space="0" w:color="F6A8B2" w:themeColor="accent6" w:themeTint="66"/>
      </w:tblBorders>
    </w:tblPr>
    <w:tblStylePr w:type="firstRow">
      <w:rPr>
        <w:b/>
        <w:bCs/>
      </w:rPr>
      <w:tblPr/>
      <w:tcPr>
        <w:tcBorders>
          <w:bottom w:val="single" w:sz="12" w:space="0" w:color="F17D8C" w:themeColor="accent6" w:themeTint="99"/>
        </w:tcBorders>
      </w:tcPr>
    </w:tblStylePr>
    <w:tblStylePr w:type="lastRow">
      <w:rPr>
        <w:b/>
        <w:bCs/>
      </w:rPr>
      <w:tblPr/>
      <w:tcPr>
        <w:tcBorders>
          <w:top w:val="double" w:sz="2" w:space="0" w:color="F17D8C"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C286D"/>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6C286D"/>
    <w:tblPr>
      <w:tblStyleRowBandSize w:val="1"/>
      <w:tblStyleColBandSize w:val="1"/>
      <w:tblBorders>
        <w:top w:val="single" w:sz="2" w:space="0" w:color="9069CA" w:themeColor="accent1" w:themeTint="99"/>
        <w:bottom w:val="single" w:sz="2" w:space="0" w:color="9069CA" w:themeColor="accent1" w:themeTint="99"/>
        <w:insideH w:val="single" w:sz="2" w:space="0" w:color="9069CA" w:themeColor="accent1" w:themeTint="99"/>
        <w:insideV w:val="single" w:sz="2" w:space="0" w:color="9069CA" w:themeColor="accent1" w:themeTint="99"/>
      </w:tblBorders>
    </w:tblPr>
    <w:tblStylePr w:type="firstRow">
      <w:rPr>
        <w:b/>
        <w:bCs/>
      </w:rPr>
      <w:tblPr/>
      <w:tcPr>
        <w:tcBorders>
          <w:top w:val="nil"/>
          <w:bottom w:val="single" w:sz="12" w:space="0" w:color="9069CA" w:themeColor="accent1" w:themeTint="99"/>
          <w:insideH w:val="nil"/>
          <w:insideV w:val="nil"/>
        </w:tcBorders>
        <w:shd w:val="clear" w:color="auto" w:fill="FFFFFF" w:themeFill="background1"/>
      </w:tcPr>
    </w:tblStylePr>
    <w:tblStylePr w:type="lastRow">
      <w:rPr>
        <w:b/>
        <w:bCs/>
      </w:rPr>
      <w:tblPr/>
      <w:tcPr>
        <w:tcBorders>
          <w:top w:val="double" w:sz="2" w:space="0" w:color="9069C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GridTable2-Accent2">
    <w:name w:val="Grid Table 2 Accent 2"/>
    <w:basedOn w:val="TableNormal"/>
    <w:uiPriority w:val="47"/>
    <w:rsid w:val="006C286D"/>
    <w:tblPr>
      <w:tblStyleRowBandSize w:val="1"/>
      <w:tblStyleColBandSize w:val="1"/>
      <w:tblBorders>
        <w:top w:val="single" w:sz="2" w:space="0" w:color="DED8CF" w:themeColor="accent2" w:themeTint="99"/>
        <w:bottom w:val="single" w:sz="2" w:space="0" w:color="DED8CF" w:themeColor="accent2" w:themeTint="99"/>
        <w:insideH w:val="single" w:sz="2" w:space="0" w:color="DED8CF" w:themeColor="accent2" w:themeTint="99"/>
        <w:insideV w:val="single" w:sz="2" w:space="0" w:color="DED8CF" w:themeColor="accent2" w:themeTint="99"/>
      </w:tblBorders>
    </w:tblPr>
    <w:tblStylePr w:type="firstRow">
      <w:rPr>
        <w:b/>
        <w:bCs/>
      </w:rPr>
      <w:tblPr/>
      <w:tcPr>
        <w:tcBorders>
          <w:top w:val="nil"/>
          <w:bottom w:val="single" w:sz="12" w:space="0" w:color="DED8CF" w:themeColor="accent2" w:themeTint="99"/>
          <w:insideH w:val="nil"/>
          <w:insideV w:val="nil"/>
        </w:tcBorders>
        <w:shd w:val="clear" w:color="auto" w:fill="FFFFFF" w:themeFill="background1"/>
      </w:tcPr>
    </w:tblStylePr>
    <w:tblStylePr w:type="lastRow">
      <w:rPr>
        <w:b/>
        <w:bCs/>
      </w:rPr>
      <w:tblPr/>
      <w:tcPr>
        <w:tcBorders>
          <w:top w:val="double" w:sz="2" w:space="0" w:color="DED8C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GridTable2-Accent3">
    <w:name w:val="Grid Table 2 Accent 3"/>
    <w:basedOn w:val="TableNormal"/>
    <w:uiPriority w:val="47"/>
    <w:rsid w:val="006C286D"/>
    <w:tblPr>
      <w:tblStyleRowBandSize w:val="1"/>
      <w:tblStyleColBandSize w:val="1"/>
      <w:tblBorders>
        <w:top w:val="single" w:sz="2" w:space="0" w:color="39EFFF" w:themeColor="accent3" w:themeTint="99"/>
        <w:bottom w:val="single" w:sz="2" w:space="0" w:color="39EFFF" w:themeColor="accent3" w:themeTint="99"/>
        <w:insideH w:val="single" w:sz="2" w:space="0" w:color="39EFFF" w:themeColor="accent3" w:themeTint="99"/>
        <w:insideV w:val="single" w:sz="2" w:space="0" w:color="39EFFF" w:themeColor="accent3" w:themeTint="99"/>
      </w:tblBorders>
    </w:tblPr>
    <w:tblStylePr w:type="firstRow">
      <w:rPr>
        <w:b/>
        <w:bCs/>
      </w:rPr>
      <w:tblPr/>
      <w:tcPr>
        <w:tcBorders>
          <w:top w:val="nil"/>
          <w:bottom w:val="single" w:sz="12" w:space="0" w:color="39EFFF" w:themeColor="accent3" w:themeTint="99"/>
          <w:insideH w:val="nil"/>
          <w:insideV w:val="nil"/>
        </w:tcBorders>
        <w:shd w:val="clear" w:color="auto" w:fill="FFFFFF" w:themeFill="background1"/>
      </w:tcPr>
    </w:tblStylePr>
    <w:tblStylePr w:type="lastRow">
      <w:rPr>
        <w:b/>
        <w:bCs/>
      </w:rPr>
      <w:tblPr/>
      <w:tcPr>
        <w:tcBorders>
          <w:top w:val="double" w:sz="2" w:space="0" w:color="39EF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GridTable2-Accent4">
    <w:name w:val="Grid Table 2 Accent 4"/>
    <w:basedOn w:val="TableNormal"/>
    <w:uiPriority w:val="47"/>
    <w:rsid w:val="006C286D"/>
    <w:tblPr>
      <w:tblStyleRowBandSize w:val="1"/>
      <w:tblStyleColBandSize w:val="1"/>
      <w:tblBorders>
        <w:top w:val="single" w:sz="2" w:space="0" w:color="FFB078" w:themeColor="accent4" w:themeTint="99"/>
        <w:bottom w:val="single" w:sz="2" w:space="0" w:color="FFB078" w:themeColor="accent4" w:themeTint="99"/>
        <w:insideH w:val="single" w:sz="2" w:space="0" w:color="FFB078" w:themeColor="accent4" w:themeTint="99"/>
        <w:insideV w:val="single" w:sz="2" w:space="0" w:color="FFB078" w:themeColor="accent4" w:themeTint="99"/>
      </w:tblBorders>
    </w:tblPr>
    <w:tblStylePr w:type="firstRow">
      <w:rPr>
        <w:b/>
        <w:bCs/>
      </w:rPr>
      <w:tblPr/>
      <w:tcPr>
        <w:tcBorders>
          <w:top w:val="nil"/>
          <w:bottom w:val="single" w:sz="12" w:space="0" w:color="FFB078" w:themeColor="accent4" w:themeTint="99"/>
          <w:insideH w:val="nil"/>
          <w:insideV w:val="nil"/>
        </w:tcBorders>
        <w:shd w:val="clear" w:color="auto" w:fill="FFFFFF" w:themeFill="background1"/>
      </w:tcPr>
    </w:tblStylePr>
    <w:tblStylePr w:type="lastRow">
      <w:rPr>
        <w:b/>
        <w:bCs/>
      </w:rPr>
      <w:tblPr/>
      <w:tcPr>
        <w:tcBorders>
          <w:top w:val="double" w:sz="2" w:space="0" w:color="FFB07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GridTable2-Accent5">
    <w:name w:val="Grid Table 2 Accent 5"/>
    <w:basedOn w:val="TableNormal"/>
    <w:uiPriority w:val="47"/>
    <w:rsid w:val="006C286D"/>
    <w:tblPr>
      <w:tblStyleRowBandSize w:val="1"/>
      <w:tblStyleColBandSize w:val="1"/>
      <w:tblBorders>
        <w:top w:val="single" w:sz="2" w:space="0" w:color="C2E784" w:themeColor="accent5" w:themeTint="99"/>
        <w:bottom w:val="single" w:sz="2" w:space="0" w:color="C2E784" w:themeColor="accent5" w:themeTint="99"/>
        <w:insideH w:val="single" w:sz="2" w:space="0" w:color="C2E784" w:themeColor="accent5" w:themeTint="99"/>
        <w:insideV w:val="single" w:sz="2" w:space="0" w:color="C2E784" w:themeColor="accent5" w:themeTint="99"/>
      </w:tblBorders>
    </w:tblPr>
    <w:tblStylePr w:type="firstRow">
      <w:rPr>
        <w:b/>
        <w:bCs/>
      </w:rPr>
      <w:tblPr/>
      <w:tcPr>
        <w:tcBorders>
          <w:top w:val="nil"/>
          <w:bottom w:val="single" w:sz="12" w:space="0" w:color="C2E784" w:themeColor="accent5" w:themeTint="99"/>
          <w:insideH w:val="nil"/>
          <w:insideV w:val="nil"/>
        </w:tcBorders>
        <w:shd w:val="clear" w:color="auto" w:fill="FFFFFF" w:themeFill="background1"/>
      </w:tcPr>
    </w:tblStylePr>
    <w:tblStylePr w:type="lastRow">
      <w:rPr>
        <w:b/>
        <w:bCs/>
      </w:rPr>
      <w:tblPr/>
      <w:tcPr>
        <w:tcBorders>
          <w:top w:val="double" w:sz="2" w:space="0" w:color="C2E784"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GridTable2-Accent6">
    <w:name w:val="Grid Table 2 Accent 6"/>
    <w:basedOn w:val="TableNormal"/>
    <w:uiPriority w:val="47"/>
    <w:rsid w:val="006C286D"/>
    <w:tblPr>
      <w:tblStyleRowBandSize w:val="1"/>
      <w:tblStyleColBandSize w:val="1"/>
      <w:tblBorders>
        <w:top w:val="single" w:sz="2" w:space="0" w:color="F17D8C" w:themeColor="accent6" w:themeTint="99"/>
        <w:bottom w:val="single" w:sz="2" w:space="0" w:color="F17D8C" w:themeColor="accent6" w:themeTint="99"/>
        <w:insideH w:val="single" w:sz="2" w:space="0" w:color="F17D8C" w:themeColor="accent6" w:themeTint="99"/>
        <w:insideV w:val="single" w:sz="2" w:space="0" w:color="F17D8C" w:themeColor="accent6" w:themeTint="99"/>
      </w:tblBorders>
    </w:tblPr>
    <w:tblStylePr w:type="firstRow">
      <w:rPr>
        <w:b/>
        <w:bCs/>
      </w:rPr>
      <w:tblPr/>
      <w:tcPr>
        <w:tcBorders>
          <w:top w:val="nil"/>
          <w:bottom w:val="single" w:sz="12" w:space="0" w:color="F17D8C" w:themeColor="accent6" w:themeTint="99"/>
          <w:insideH w:val="nil"/>
          <w:insideV w:val="nil"/>
        </w:tcBorders>
        <w:shd w:val="clear" w:color="auto" w:fill="FFFFFF" w:themeFill="background1"/>
      </w:tcPr>
    </w:tblStylePr>
    <w:tblStylePr w:type="lastRow">
      <w:rPr>
        <w:b/>
        <w:bCs/>
      </w:rPr>
      <w:tblPr/>
      <w:tcPr>
        <w:tcBorders>
          <w:top w:val="double" w:sz="2" w:space="0" w:color="F17D8C"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GridTable3">
    <w:name w:val="Grid Table 3"/>
    <w:basedOn w:val="TableNormal"/>
    <w:uiPriority w:val="48"/>
    <w:rsid w:val="006C286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6C286D"/>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insideV w:val="single" w:sz="4" w:space="0" w:color="9069C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CDED" w:themeFill="accent1" w:themeFillTint="33"/>
      </w:tcPr>
    </w:tblStylePr>
    <w:tblStylePr w:type="band1Horz">
      <w:tblPr/>
      <w:tcPr>
        <w:shd w:val="clear" w:color="auto" w:fill="DACDED" w:themeFill="accent1" w:themeFillTint="33"/>
      </w:tcPr>
    </w:tblStylePr>
    <w:tblStylePr w:type="neCell">
      <w:tblPr/>
      <w:tcPr>
        <w:tcBorders>
          <w:bottom w:val="single" w:sz="4" w:space="0" w:color="9069CA" w:themeColor="accent1" w:themeTint="99"/>
        </w:tcBorders>
      </w:tcPr>
    </w:tblStylePr>
    <w:tblStylePr w:type="nwCell">
      <w:tblPr/>
      <w:tcPr>
        <w:tcBorders>
          <w:bottom w:val="single" w:sz="4" w:space="0" w:color="9069CA" w:themeColor="accent1" w:themeTint="99"/>
        </w:tcBorders>
      </w:tcPr>
    </w:tblStylePr>
    <w:tblStylePr w:type="seCell">
      <w:tblPr/>
      <w:tcPr>
        <w:tcBorders>
          <w:top w:val="single" w:sz="4" w:space="0" w:color="9069CA" w:themeColor="accent1" w:themeTint="99"/>
        </w:tcBorders>
      </w:tcPr>
    </w:tblStylePr>
    <w:tblStylePr w:type="swCell">
      <w:tblPr/>
      <w:tcPr>
        <w:tcBorders>
          <w:top w:val="single" w:sz="4" w:space="0" w:color="9069CA" w:themeColor="accent1" w:themeTint="99"/>
        </w:tcBorders>
      </w:tcPr>
    </w:tblStylePr>
  </w:style>
  <w:style w:type="table" w:styleId="GridTable3-Accent2">
    <w:name w:val="Grid Table 3 Accent 2"/>
    <w:basedOn w:val="TableNormal"/>
    <w:uiPriority w:val="48"/>
    <w:rsid w:val="006C286D"/>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insideV w:val="single" w:sz="4" w:space="0" w:color="DED8C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2EF" w:themeFill="accent2" w:themeFillTint="33"/>
      </w:tcPr>
    </w:tblStylePr>
    <w:tblStylePr w:type="band1Horz">
      <w:tblPr/>
      <w:tcPr>
        <w:shd w:val="clear" w:color="auto" w:fill="F4F2EF" w:themeFill="accent2" w:themeFillTint="33"/>
      </w:tcPr>
    </w:tblStylePr>
    <w:tblStylePr w:type="neCell">
      <w:tblPr/>
      <w:tcPr>
        <w:tcBorders>
          <w:bottom w:val="single" w:sz="4" w:space="0" w:color="DED8CF" w:themeColor="accent2" w:themeTint="99"/>
        </w:tcBorders>
      </w:tcPr>
    </w:tblStylePr>
    <w:tblStylePr w:type="nwCell">
      <w:tblPr/>
      <w:tcPr>
        <w:tcBorders>
          <w:bottom w:val="single" w:sz="4" w:space="0" w:color="DED8CF" w:themeColor="accent2" w:themeTint="99"/>
        </w:tcBorders>
      </w:tcPr>
    </w:tblStylePr>
    <w:tblStylePr w:type="seCell">
      <w:tblPr/>
      <w:tcPr>
        <w:tcBorders>
          <w:top w:val="single" w:sz="4" w:space="0" w:color="DED8CF" w:themeColor="accent2" w:themeTint="99"/>
        </w:tcBorders>
      </w:tcPr>
    </w:tblStylePr>
    <w:tblStylePr w:type="swCell">
      <w:tblPr/>
      <w:tcPr>
        <w:tcBorders>
          <w:top w:val="single" w:sz="4" w:space="0" w:color="DED8CF" w:themeColor="accent2" w:themeTint="99"/>
        </w:tcBorders>
      </w:tcPr>
    </w:tblStylePr>
  </w:style>
  <w:style w:type="table" w:styleId="GridTable3-Accent3">
    <w:name w:val="Grid Table 3 Accent 3"/>
    <w:basedOn w:val="TableNormal"/>
    <w:uiPriority w:val="48"/>
    <w:rsid w:val="006C286D"/>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insideV w:val="single" w:sz="4" w:space="0" w:color="39E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DF9FF" w:themeFill="accent3" w:themeFillTint="33"/>
      </w:tcPr>
    </w:tblStylePr>
    <w:tblStylePr w:type="band1Horz">
      <w:tblPr/>
      <w:tcPr>
        <w:shd w:val="clear" w:color="auto" w:fill="BDF9FF" w:themeFill="accent3" w:themeFillTint="33"/>
      </w:tcPr>
    </w:tblStylePr>
    <w:tblStylePr w:type="neCell">
      <w:tblPr/>
      <w:tcPr>
        <w:tcBorders>
          <w:bottom w:val="single" w:sz="4" w:space="0" w:color="39EFFF" w:themeColor="accent3" w:themeTint="99"/>
        </w:tcBorders>
      </w:tcPr>
    </w:tblStylePr>
    <w:tblStylePr w:type="nwCell">
      <w:tblPr/>
      <w:tcPr>
        <w:tcBorders>
          <w:bottom w:val="single" w:sz="4" w:space="0" w:color="39EFFF" w:themeColor="accent3" w:themeTint="99"/>
        </w:tcBorders>
      </w:tcPr>
    </w:tblStylePr>
    <w:tblStylePr w:type="seCell">
      <w:tblPr/>
      <w:tcPr>
        <w:tcBorders>
          <w:top w:val="single" w:sz="4" w:space="0" w:color="39EFFF" w:themeColor="accent3" w:themeTint="99"/>
        </w:tcBorders>
      </w:tcPr>
    </w:tblStylePr>
    <w:tblStylePr w:type="swCell">
      <w:tblPr/>
      <w:tcPr>
        <w:tcBorders>
          <w:top w:val="single" w:sz="4" w:space="0" w:color="39EFFF" w:themeColor="accent3" w:themeTint="99"/>
        </w:tcBorders>
      </w:tcPr>
    </w:tblStylePr>
  </w:style>
  <w:style w:type="table" w:styleId="GridTable3-Accent4">
    <w:name w:val="Grid Table 3 Accent 4"/>
    <w:basedOn w:val="TableNormal"/>
    <w:uiPriority w:val="48"/>
    <w:rsid w:val="006C286D"/>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insideV w:val="single" w:sz="4" w:space="0" w:color="FFB07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4D2" w:themeFill="accent4" w:themeFillTint="33"/>
      </w:tcPr>
    </w:tblStylePr>
    <w:tblStylePr w:type="band1Horz">
      <w:tblPr/>
      <w:tcPr>
        <w:shd w:val="clear" w:color="auto" w:fill="FFE4D2" w:themeFill="accent4" w:themeFillTint="33"/>
      </w:tcPr>
    </w:tblStylePr>
    <w:tblStylePr w:type="neCell">
      <w:tblPr/>
      <w:tcPr>
        <w:tcBorders>
          <w:bottom w:val="single" w:sz="4" w:space="0" w:color="FFB078" w:themeColor="accent4" w:themeTint="99"/>
        </w:tcBorders>
      </w:tcPr>
    </w:tblStylePr>
    <w:tblStylePr w:type="nwCell">
      <w:tblPr/>
      <w:tcPr>
        <w:tcBorders>
          <w:bottom w:val="single" w:sz="4" w:space="0" w:color="FFB078" w:themeColor="accent4" w:themeTint="99"/>
        </w:tcBorders>
      </w:tcPr>
    </w:tblStylePr>
    <w:tblStylePr w:type="seCell">
      <w:tblPr/>
      <w:tcPr>
        <w:tcBorders>
          <w:top w:val="single" w:sz="4" w:space="0" w:color="FFB078" w:themeColor="accent4" w:themeTint="99"/>
        </w:tcBorders>
      </w:tcPr>
    </w:tblStylePr>
    <w:tblStylePr w:type="swCell">
      <w:tblPr/>
      <w:tcPr>
        <w:tcBorders>
          <w:top w:val="single" w:sz="4" w:space="0" w:color="FFB078" w:themeColor="accent4" w:themeTint="99"/>
        </w:tcBorders>
      </w:tcPr>
    </w:tblStylePr>
  </w:style>
  <w:style w:type="table" w:styleId="GridTable3-Accent5">
    <w:name w:val="Grid Table 3 Accent 5"/>
    <w:basedOn w:val="TableNormal"/>
    <w:uiPriority w:val="48"/>
    <w:rsid w:val="006C286D"/>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insideV w:val="single" w:sz="4" w:space="0" w:color="C2E784"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7D6" w:themeFill="accent5" w:themeFillTint="33"/>
      </w:tcPr>
    </w:tblStylePr>
    <w:tblStylePr w:type="band1Horz">
      <w:tblPr/>
      <w:tcPr>
        <w:shd w:val="clear" w:color="auto" w:fill="EAF7D6" w:themeFill="accent5" w:themeFillTint="33"/>
      </w:tcPr>
    </w:tblStylePr>
    <w:tblStylePr w:type="neCell">
      <w:tblPr/>
      <w:tcPr>
        <w:tcBorders>
          <w:bottom w:val="single" w:sz="4" w:space="0" w:color="C2E784" w:themeColor="accent5" w:themeTint="99"/>
        </w:tcBorders>
      </w:tcPr>
    </w:tblStylePr>
    <w:tblStylePr w:type="nwCell">
      <w:tblPr/>
      <w:tcPr>
        <w:tcBorders>
          <w:bottom w:val="single" w:sz="4" w:space="0" w:color="C2E784" w:themeColor="accent5" w:themeTint="99"/>
        </w:tcBorders>
      </w:tcPr>
    </w:tblStylePr>
    <w:tblStylePr w:type="seCell">
      <w:tblPr/>
      <w:tcPr>
        <w:tcBorders>
          <w:top w:val="single" w:sz="4" w:space="0" w:color="C2E784" w:themeColor="accent5" w:themeTint="99"/>
        </w:tcBorders>
      </w:tcPr>
    </w:tblStylePr>
    <w:tblStylePr w:type="swCell">
      <w:tblPr/>
      <w:tcPr>
        <w:tcBorders>
          <w:top w:val="single" w:sz="4" w:space="0" w:color="C2E784" w:themeColor="accent5" w:themeTint="99"/>
        </w:tcBorders>
      </w:tcPr>
    </w:tblStylePr>
  </w:style>
  <w:style w:type="table" w:styleId="GridTable3-Accent6">
    <w:name w:val="Grid Table 3 Accent 6"/>
    <w:basedOn w:val="TableNormal"/>
    <w:uiPriority w:val="48"/>
    <w:rsid w:val="006C286D"/>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insideV w:val="single" w:sz="4" w:space="0" w:color="F17D8C"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3D8" w:themeFill="accent6" w:themeFillTint="33"/>
      </w:tcPr>
    </w:tblStylePr>
    <w:tblStylePr w:type="band1Horz">
      <w:tblPr/>
      <w:tcPr>
        <w:shd w:val="clear" w:color="auto" w:fill="FAD3D8" w:themeFill="accent6" w:themeFillTint="33"/>
      </w:tcPr>
    </w:tblStylePr>
    <w:tblStylePr w:type="neCell">
      <w:tblPr/>
      <w:tcPr>
        <w:tcBorders>
          <w:bottom w:val="single" w:sz="4" w:space="0" w:color="F17D8C" w:themeColor="accent6" w:themeTint="99"/>
        </w:tcBorders>
      </w:tcPr>
    </w:tblStylePr>
    <w:tblStylePr w:type="nwCell">
      <w:tblPr/>
      <w:tcPr>
        <w:tcBorders>
          <w:bottom w:val="single" w:sz="4" w:space="0" w:color="F17D8C" w:themeColor="accent6" w:themeTint="99"/>
        </w:tcBorders>
      </w:tcPr>
    </w:tblStylePr>
    <w:tblStylePr w:type="seCell">
      <w:tblPr/>
      <w:tcPr>
        <w:tcBorders>
          <w:top w:val="single" w:sz="4" w:space="0" w:color="F17D8C" w:themeColor="accent6" w:themeTint="99"/>
        </w:tcBorders>
      </w:tcPr>
    </w:tblStylePr>
    <w:tblStylePr w:type="swCell">
      <w:tblPr/>
      <w:tcPr>
        <w:tcBorders>
          <w:top w:val="single" w:sz="4" w:space="0" w:color="F17D8C" w:themeColor="accent6" w:themeTint="99"/>
        </w:tcBorders>
      </w:tcPr>
    </w:tblStylePr>
  </w:style>
  <w:style w:type="table" w:styleId="GridTable4">
    <w:name w:val="Grid Table 4"/>
    <w:basedOn w:val="TableNormal"/>
    <w:uiPriority w:val="49"/>
    <w:rsid w:val="006C286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C286D"/>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insideV w:val="single" w:sz="4" w:space="0" w:color="9069CA" w:themeColor="accent1" w:themeTint="99"/>
      </w:tblBorders>
    </w:tblPr>
    <w:tblStylePr w:type="firstRow">
      <w:rPr>
        <w:b/>
        <w:bCs/>
        <w:color w:val="FFFFFF" w:themeColor="background1"/>
      </w:rPr>
      <w:tblPr/>
      <w:tcPr>
        <w:tcBorders>
          <w:top w:val="single" w:sz="4" w:space="0" w:color="4F2D7F" w:themeColor="accent1"/>
          <w:left w:val="single" w:sz="4" w:space="0" w:color="4F2D7F" w:themeColor="accent1"/>
          <w:bottom w:val="single" w:sz="4" w:space="0" w:color="4F2D7F" w:themeColor="accent1"/>
          <w:right w:val="single" w:sz="4" w:space="0" w:color="4F2D7F" w:themeColor="accent1"/>
          <w:insideH w:val="nil"/>
          <w:insideV w:val="nil"/>
        </w:tcBorders>
        <w:shd w:val="clear" w:color="auto" w:fill="4F2D7F" w:themeFill="accent1"/>
      </w:tcPr>
    </w:tblStylePr>
    <w:tblStylePr w:type="lastRow">
      <w:rPr>
        <w:b/>
        <w:bCs/>
      </w:rPr>
      <w:tblPr/>
      <w:tcPr>
        <w:tcBorders>
          <w:top w:val="double" w:sz="4" w:space="0" w:color="4F2D7F" w:themeColor="accent1"/>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GridTable4-Accent2">
    <w:name w:val="Grid Table 4 Accent 2"/>
    <w:basedOn w:val="TableNormal"/>
    <w:uiPriority w:val="49"/>
    <w:rsid w:val="006C286D"/>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insideV w:val="single" w:sz="4" w:space="0" w:color="DED8CF" w:themeColor="accent2" w:themeTint="99"/>
      </w:tblBorders>
    </w:tblPr>
    <w:tblStylePr w:type="firstRow">
      <w:rPr>
        <w:b/>
        <w:bCs/>
        <w:color w:val="FFFFFF" w:themeColor="background1"/>
      </w:rPr>
      <w:tblPr/>
      <w:tcPr>
        <w:tcBorders>
          <w:top w:val="single" w:sz="4" w:space="0" w:color="C8BEAF" w:themeColor="accent2"/>
          <w:left w:val="single" w:sz="4" w:space="0" w:color="C8BEAF" w:themeColor="accent2"/>
          <w:bottom w:val="single" w:sz="4" w:space="0" w:color="C8BEAF" w:themeColor="accent2"/>
          <w:right w:val="single" w:sz="4" w:space="0" w:color="C8BEAF" w:themeColor="accent2"/>
          <w:insideH w:val="nil"/>
          <w:insideV w:val="nil"/>
        </w:tcBorders>
        <w:shd w:val="clear" w:color="auto" w:fill="C8BEAF" w:themeFill="accent2"/>
      </w:tcPr>
    </w:tblStylePr>
    <w:tblStylePr w:type="lastRow">
      <w:rPr>
        <w:b/>
        <w:bCs/>
      </w:rPr>
      <w:tblPr/>
      <w:tcPr>
        <w:tcBorders>
          <w:top w:val="double" w:sz="4" w:space="0" w:color="C8BEAF" w:themeColor="accent2"/>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GridTable4-Accent3">
    <w:name w:val="Grid Table 4 Accent 3"/>
    <w:basedOn w:val="TableNormal"/>
    <w:uiPriority w:val="49"/>
    <w:rsid w:val="006C286D"/>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insideV w:val="single" w:sz="4" w:space="0" w:color="39EFFF" w:themeColor="accent3" w:themeTint="99"/>
      </w:tblBorders>
    </w:tblPr>
    <w:tblStylePr w:type="firstRow">
      <w:rPr>
        <w:b/>
        <w:bCs/>
        <w:color w:val="FFFFFF" w:themeColor="background1"/>
      </w:rPr>
      <w:tblPr/>
      <w:tcPr>
        <w:tcBorders>
          <w:top w:val="single" w:sz="4" w:space="0" w:color="00A7B5" w:themeColor="accent3"/>
          <w:left w:val="single" w:sz="4" w:space="0" w:color="00A7B5" w:themeColor="accent3"/>
          <w:bottom w:val="single" w:sz="4" w:space="0" w:color="00A7B5" w:themeColor="accent3"/>
          <w:right w:val="single" w:sz="4" w:space="0" w:color="00A7B5" w:themeColor="accent3"/>
          <w:insideH w:val="nil"/>
          <w:insideV w:val="nil"/>
        </w:tcBorders>
        <w:shd w:val="clear" w:color="auto" w:fill="00A7B5" w:themeFill="accent3"/>
      </w:tcPr>
    </w:tblStylePr>
    <w:tblStylePr w:type="lastRow">
      <w:rPr>
        <w:b/>
        <w:bCs/>
      </w:rPr>
      <w:tblPr/>
      <w:tcPr>
        <w:tcBorders>
          <w:top w:val="double" w:sz="4" w:space="0" w:color="00A7B5" w:themeColor="accent3"/>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GridTable4-Accent4">
    <w:name w:val="Grid Table 4 Accent 4"/>
    <w:basedOn w:val="TableNormal"/>
    <w:uiPriority w:val="49"/>
    <w:rsid w:val="006C286D"/>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insideV w:val="single" w:sz="4" w:space="0" w:color="FFB078" w:themeColor="accent4" w:themeTint="99"/>
      </w:tblBorders>
    </w:tblPr>
    <w:tblStylePr w:type="firstRow">
      <w:rPr>
        <w:b/>
        <w:bCs/>
        <w:color w:val="FFFFFF" w:themeColor="background1"/>
      </w:rPr>
      <w:tblPr/>
      <w:tcPr>
        <w:tcBorders>
          <w:top w:val="single" w:sz="4" w:space="0" w:color="FF7D1E" w:themeColor="accent4"/>
          <w:left w:val="single" w:sz="4" w:space="0" w:color="FF7D1E" w:themeColor="accent4"/>
          <w:bottom w:val="single" w:sz="4" w:space="0" w:color="FF7D1E" w:themeColor="accent4"/>
          <w:right w:val="single" w:sz="4" w:space="0" w:color="FF7D1E" w:themeColor="accent4"/>
          <w:insideH w:val="nil"/>
          <w:insideV w:val="nil"/>
        </w:tcBorders>
        <w:shd w:val="clear" w:color="auto" w:fill="FF7D1E" w:themeFill="accent4"/>
      </w:tcPr>
    </w:tblStylePr>
    <w:tblStylePr w:type="lastRow">
      <w:rPr>
        <w:b/>
        <w:bCs/>
      </w:rPr>
      <w:tblPr/>
      <w:tcPr>
        <w:tcBorders>
          <w:top w:val="double" w:sz="4" w:space="0" w:color="FF7D1E" w:themeColor="accent4"/>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GridTable4-Accent5">
    <w:name w:val="Grid Table 4 Accent 5"/>
    <w:basedOn w:val="TableNormal"/>
    <w:uiPriority w:val="49"/>
    <w:rsid w:val="006C286D"/>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insideV w:val="single" w:sz="4" w:space="0" w:color="C2E784" w:themeColor="accent5" w:themeTint="99"/>
      </w:tblBorders>
    </w:tblPr>
    <w:tblStylePr w:type="firstRow">
      <w:rPr>
        <w:b/>
        <w:bCs/>
        <w:color w:val="FFFFFF" w:themeColor="background1"/>
      </w:rPr>
      <w:tblPr/>
      <w:tcPr>
        <w:tcBorders>
          <w:top w:val="single" w:sz="4" w:space="0" w:color="9BD732" w:themeColor="accent5"/>
          <w:left w:val="single" w:sz="4" w:space="0" w:color="9BD732" w:themeColor="accent5"/>
          <w:bottom w:val="single" w:sz="4" w:space="0" w:color="9BD732" w:themeColor="accent5"/>
          <w:right w:val="single" w:sz="4" w:space="0" w:color="9BD732" w:themeColor="accent5"/>
          <w:insideH w:val="nil"/>
          <w:insideV w:val="nil"/>
        </w:tcBorders>
        <w:shd w:val="clear" w:color="auto" w:fill="9BD732" w:themeFill="accent5"/>
      </w:tcPr>
    </w:tblStylePr>
    <w:tblStylePr w:type="lastRow">
      <w:rPr>
        <w:b/>
        <w:bCs/>
      </w:rPr>
      <w:tblPr/>
      <w:tcPr>
        <w:tcBorders>
          <w:top w:val="double" w:sz="4" w:space="0" w:color="9BD732" w:themeColor="accent5"/>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GridTable4-Accent6">
    <w:name w:val="Grid Table 4 Accent 6"/>
    <w:basedOn w:val="TableNormal"/>
    <w:uiPriority w:val="49"/>
    <w:rsid w:val="006C286D"/>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insideV w:val="single" w:sz="4" w:space="0" w:color="F17D8C" w:themeColor="accent6" w:themeTint="99"/>
      </w:tblBorders>
    </w:tblPr>
    <w:tblStylePr w:type="firstRow">
      <w:rPr>
        <w:b/>
        <w:bCs/>
        <w:color w:val="FFFFFF" w:themeColor="background1"/>
      </w:rPr>
      <w:tblPr/>
      <w:tcPr>
        <w:tcBorders>
          <w:top w:val="single" w:sz="4" w:space="0" w:color="E92841" w:themeColor="accent6"/>
          <w:left w:val="single" w:sz="4" w:space="0" w:color="E92841" w:themeColor="accent6"/>
          <w:bottom w:val="single" w:sz="4" w:space="0" w:color="E92841" w:themeColor="accent6"/>
          <w:right w:val="single" w:sz="4" w:space="0" w:color="E92841" w:themeColor="accent6"/>
          <w:insideH w:val="nil"/>
          <w:insideV w:val="nil"/>
        </w:tcBorders>
        <w:shd w:val="clear" w:color="auto" w:fill="E92841" w:themeFill="accent6"/>
      </w:tcPr>
    </w:tblStylePr>
    <w:tblStylePr w:type="lastRow">
      <w:rPr>
        <w:b/>
        <w:bCs/>
      </w:rPr>
      <w:tblPr/>
      <w:tcPr>
        <w:tcBorders>
          <w:top w:val="double" w:sz="4" w:space="0" w:color="E92841" w:themeColor="accent6"/>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GridTable5Dark">
    <w:name w:val="Grid Table 5 Dark"/>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CDED"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2D7F"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2D7F"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2D7F"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2D7F" w:themeFill="accent1"/>
      </w:tcPr>
    </w:tblStylePr>
    <w:tblStylePr w:type="band1Vert">
      <w:tblPr/>
      <w:tcPr>
        <w:shd w:val="clear" w:color="auto" w:fill="B59BDB" w:themeFill="accent1" w:themeFillTint="66"/>
      </w:tcPr>
    </w:tblStylePr>
    <w:tblStylePr w:type="band1Horz">
      <w:tblPr/>
      <w:tcPr>
        <w:shd w:val="clear" w:color="auto" w:fill="B59BDB" w:themeFill="accent1" w:themeFillTint="66"/>
      </w:tcPr>
    </w:tblStylePr>
  </w:style>
  <w:style w:type="table" w:styleId="GridTable5Dark-Accent2">
    <w:name w:val="Grid Table 5 Dark Accent 2"/>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2E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BEAF"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BEAF"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BEAF"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BEAF" w:themeFill="accent2"/>
      </w:tcPr>
    </w:tblStylePr>
    <w:tblStylePr w:type="band1Vert">
      <w:tblPr/>
      <w:tcPr>
        <w:shd w:val="clear" w:color="auto" w:fill="E9E5DF" w:themeFill="accent2" w:themeFillTint="66"/>
      </w:tcPr>
    </w:tblStylePr>
    <w:tblStylePr w:type="band1Horz">
      <w:tblPr/>
      <w:tcPr>
        <w:shd w:val="clear" w:color="auto" w:fill="E9E5DF" w:themeFill="accent2" w:themeFillTint="66"/>
      </w:tcPr>
    </w:tblStylePr>
  </w:style>
  <w:style w:type="table" w:styleId="GridTable5Dark-Accent3">
    <w:name w:val="Grid Table 5 Dark Accent 3"/>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DF9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7B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7B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7B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7B5" w:themeFill="accent3"/>
      </w:tcPr>
    </w:tblStylePr>
    <w:tblStylePr w:type="band1Vert">
      <w:tblPr/>
      <w:tcPr>
        <w:shd w:val="clear" w:color="auto" w:fill="7BF4FF" w:themeFill="accent3" w:themeFillTint="66"/>
      </w:tcPr>
    </w:tblStylePr>
    <w:tblStylePr w:type="band1Horz">
      <w:tblPr/>
      <w:tcPr>
        <w:shd w:val="clear" w:color="auto" w:fill="7BF4FF" w:themeFill="accent3" w:themeFillTint="66"/>
      </w:tcPr>
    </w:tblStylePr>
  </w:style>
  <w:style w:type="table" w:styleId="GridTable5Dark-Accent4">
    <w:name w:val="Grid Table 5 Dark Accent 4"/>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4D2"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7D1E"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7D1E"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7D1E"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7D1E" w:themeFill="accent4"/>
      </w:tcPr>
    </w:tblStylePr>
    <w:tblStylePr w:type="band1Vert">
      <w:tblPr/>
      <w:tcPr>
        <w:shd w:val="clear" w:color="auto" w:fill="FFCAA5" w:themeFill="accent4" w:themeFillTint="66"/>
      </w:tcPr>
    </w:tblStylePr>
    <w:tblStylePr w:type="band1Horz">
      <w:tblPr/>
      <w:tcPr>
        <w:shd w:val="clear" w:color="auto" w:fill="FFCAA5" w:themeFill="accent4" w:themeFillTint="66"/>
      </w:tcPr>
    </w:tblStylePr>
  </w:style>
  <w:style w:type="table" w:styleId="GridTable5Dark-Accent5">
    <w:name w:val="Grid Table 5 Dark Accent 5"/>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7D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D732"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D732"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D732"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D732" w:themeFill="accent5"/>
      </w:tcPr>
    </w:tblStylePr>
    <w:tblStylePr w:type="band1Vert">
      <w:tblPr/>
      <w:tcPr>
        <w:shd w:val="clear" w:color="auto" w:fill="D6EFAD" w:themeFill="accent5" w:themeFillTint="66"/>
      </w:tcPr>
    </w:tblStylePr>
    <w:tblStylePr w:type="band1Horz">
      <w:tblPr/>
      <w:tcPr>
        <w:shd w:val="clear" w:color="auto" w:fill="D6EFAD" w:themeFill="accent5" w:themeFillTint="66"/>
      </w:tcPr>
    </w:tblStylePr>
  </w:style>
  <w:style w:type="table" w:styleId="GridTable5Dark-Accent6">
    <w:name w:val="Grid Table 5 Dark Accent 6"/>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3D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2841"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2841"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2841"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2841" w:themeFill="accent6"/>
      </w:tcPr>
    </w:tblStylePr>
    <w:tblStylePr w:type="band1Vert">
      <w:tblPr/>
      <w:tcPr>
        <w:shd w:val="clear" w:color="auto" w:fill="F6A8B2" w:themeFill="accent6" w:themeFillTint="66"/>
      </w:tcPr>
    </w:tblStylePr>
    <w:tblStylePr w:type="band1Horz">
      <w:tblPr/>
      <w:tcPr>
        <w:shd w:val="clear" w:color="auto" w:fill="F6A8B2" w:themeFill="accent6" w:themeFillTint="66"/>
      </w:tcPr>
    </w:tblStylePr>
  </w:style>
  <w:style w:type="table" w:styleId="GridTable6Colorful">
    <w:name w:val="Grid Table 6 Colorful"/>
    <w:basedOn w:val="TableNormal"/>
    <w:uiPriority w:val="51"/>
    <w:rsid w:val="006C286D"/>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6C286D"/>
    <w:rPr>
      <w:color w:val="3A215E" w:themeColor="accent1" w:themeShade="BF"/>
    </w:rPr>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insideV w:val="single" w:sz="4" w:space="0" w:color="9069CA" w:themeColor="accent1" w:themeTint="99"/>
      </w:tblBorders>
    </w:tblPr>
    <w:tblStylePr w:type="firstRow">
      <w:rPr>
        <w:b/>
        <w:bCs/>
      </w:rPr>
      <w:tblPr/>
      <w:tcPr>
        <w:tcBorders>
          <w:bottom w:val="single" w:sz="12" w:space="0" w:color="9069CA" w:themeColor="accent1" w:themeTint="99"/>
        </w:tcBorders>
      </w:tcPr>
    </w:tblStylePr>
    <w:tblStylePr w:type="lastRow">
      <w:rPr>
        <w:b/>
        <w:bCs/>
      </w:rPr>
      <w:tblPr/>
      <w:tcPr>
        <w:tcBorders>
          <w:top w:val="double" w:sz="4" w:space="0" w:color="9069CA" w:themeColor="accent1" w:themeTint="99"/>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GridTable6Colorful-Accent2">
    <w:name w:val="Grid Table 6 Colorful Accent 2"/>
    <w:basedOn w:val="TableNormal"/>
    <w:uiPriority w:val="51"/>
    <w:rsid w:val="006C286D"/>
    <w:rPr>
      <w:color w:val="A19077" w:themeColor="accent2" w:themeShade="BF"/>
    </w:rPr>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insideV w:val="single" w:sz="4" w:space="0" w:color="DED8CF" w:themeColor="accent2" w:themeTint="99"/>
      </w:tblBorders>
    </w:tblPr>
    <w:tblStylePr w:type="firstRow">
      <w:rPr>
        <w:b/>
        <w:bCs/>
      </w:rPr>
      <w:tblPr/>
      <w:tcPr>
        <w:tcBorders>
          <w:bottom w:val="single" w:sz="12" w:space="0" w:color="DED8CF" w:themeColor="accent2" w:themeTint="99"/>
        </w:tcBorders>
      </w:tcPr>
    </w:tblStylePr>
    <w:tblStylePr w:type="lastRow">
      <w:rPr>
        <w:b/>
        <w:bCs/>
      </w:rPr>
      <w:tblPr/>
      <w:tcPr>
        <w:tcBorders>
          <w:top w:val="double" w:sz="4" w:space="0" w:color="DED8CF" w:themeColor="accent2" w:themeTint="99"/>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GridTable6Colorful-Accent3">
    <w:name w:val="Grid Table 6 Colorful Accent 3"/>
    <w:basedOn w:val="TableNormal"/>
    <w:uiPriority w:val="51"/>
    <w:rsid w:val="006C286D"/>
    <w:rPr>
      <w:color w:val="007C87" w:themeColor="accent3" w:themeShade="BF"/>
    </w:rPr>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insideV w:val="single" w:sz="4" w:space="0" w:color="39EFFF" w:themeColor="accent3" w:themeTint="99"/>
      </w:tblBorders>
    </w:tblPr>
    <w:tblStylePr w:type="firstRow">
      <w:rPr>
        <w:b/>
        <w:bCs/>
      </w:rPr>
      <w:tblPr/>
      <w:tcPr>
        <w:tcBorders>
          <w:bottom w:val="single" w:sz="12" w:space="0" w:color="39EFFF" w:themeColor="accent3" w:themeTint="99"/>
        </w:tcBorders>
      </w:tcPr>
    </w:tblStylePr>
    <w:tblStylePr w:type="lastRow">
      <w:rPr>
        <w:b/>
        <w:bCs/>
      </w:rPr>
      <w:tblPr/>
      <w:tcPr>
        <w:tcBorders>
          <w:top w:val="double" w:sz="4" w:space="0" w:color="39EFFF" w:themeColor="accent3" w:themeTint="99"/>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GridTable6Colorful-Accent4">
    <w:name w:val="Grid Table 6 Colorful Accent 4"/>
    <w:basedOn w:val="TableNormal"/>
    <w:uiPriority w:val="51"/>
    <w:rsid w:val="006C286D"/>
    <w:rPr>
      <w:color w:val="D55900" w:themeColor="accent4" w:themeShade="BF"/>
    </w:rPr>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insideV w:val="single" w:sz="4" w:space="0" w:color="FFB078" w:themeColor="accent4" w:themeTint="99"/>
      </w:tblBorders>
    </w:tblPr>
    <w:tblStylePr w:type="firstRow">
      <w:rPr>
        <w:b/>
        <w:bCs/>
      </w:rPr>
      <w:tblPr/>
      <w:tcPr>
        <w:tcBorders>
          <w:bottom w:val="single" w:sz="12" w:space="0" w:color="FFB078" w:themeColor="accent4" w:themeTint="99"/>
        </w:tcBorders>
      </w:tcPr>
    </w:tblStylePr>
    <w:tblStylePr w:type="lastRow">
      <w:rPr>
        <w:b/>
        <w:bCs/>
      </w:rPr>
      <w:tblPr/>
      <w:tcPr>
        <w:tcBorders>
          <w:top w:val="double" w:sz="4" w:space="0" w:color="FFB078" w:themeColor="accent4" w:themeTint="99"/>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GridTable6Colorful-Accent5">
    <w:name w:val="Grid Table 6 Colorful Accent 5"/>
    <w:basedOn w:val="TableNormal"/>
    <w:uiPriority w:val="51"/>
    <w:rsid w:val="006C286D"/>
    <w:rPr>
      <w:color w:val="75A520" w:themeColor="accent5" w:themeShade="BF"/>
    </w:rPr>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insideV w:val="single" w:sz="4" w:space="0" w:color="C2E784" w:themeColor="accent5" w:themeTint="99"/>
      </w:tblBorders>
    </w:tblPr>
    <w:tblStylePr w:type="firstRow">
      <w:rPr>
        <w:b/>
        <w:bCs/>
      </w:rPr>
      <w:tblPr/>
      <w:tcPr>
        <w:tcBorders>
          <w:bottom w:val="single" w:sz="12" w:space="0" w:color="C2E784" w:themeColor="accent5" w:themeTint="99"/>
        </w:tcBorders>
      </w:tcPr>
    </w:tblStylePr>
    <w:tblStylePr w:type="lastRow">
      <w:rPr>
        <w:b/>
        <w:bCs/>
      </w:rPr>
      <w:tblPr/>
      <w:tcPr>
        <w:tcBorders>
          <w:top w:val="double" w:sz="4" w:space="0" w:color="C2E784" w:themeColor="accent5" w:themeTint="99"/>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GridTable6Colorful-Accent6">
    <w:name w:val="Grid Table 6 Colorful Accent 6"/>
    <w:basedOn w:val="TableNormal"/>
    <w:uiPriority w:val="51"/>
    <w:rsid w:val="006C286D"/>
    <w:rPr>
      <w:color w:val="B91328" w:themeColor="accent6" w:themeShade="BF"/>
    </w:rPr>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insideV w:val="single" w:sz="4" w:space="0" w:color="F17D8C" w:themeColor="accent6" w:themeTint="99"/>
      </w:tblBorders>
    </w:tblPr>
    <w:tblStylePr w:type="firstRow">
      <w:rPr>
        <w:b/>
        <w:bCs/>
      </w:rPr>
      <w:tblPr/>
      <w:tcPr>
        <w:tcBorders>
          <w:bottom w:val="single" w:sz="12" w:space="0" w:color="F17D8C" w:themeColor="accent6" w:themeTint="99"/>
        </w:tcBorders>
      </w:tcPr>
    </w:tblStylePr>
    <w:tblStylePr w:type="lastRow">
      <w:rPr>
        <w:b/>
        <w:bCs/>
      </w:rPr>
      <w:tblPr/>
      <w:tcPr>
        <w:tcBorders>
          <w:top w:val="double" w:sz="4" w:space="0" w:color="F17D8C" w:themeColor="accent6" w:themeTint="99"/>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GridTable7Colorful">
    <w:name w:val="Grid Table 7 Colorful"/>
    <w:basedOn w:val="TableNormal"/>
    <w:uiPriority w:val="52"/>
    <w:rsid w:val="006C286D"/>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6C286D"/>
    <w:rPr>
      <w:color w:val="3A215E" w:themeColor="accent1" w:themeShade="BF"/>
    </w:rPr>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insideV w:val="single" w:sz="4" w:space="0" w:color="9069C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CDED" w:themeFill="accent1" w:themeFillTint="33"/>
      </w:tcPr>
    </w:tblStylePr>
    <w:tblStylePr w:type="band1Horz">
      <w:tblPr/>
      <w:tcPr>
        <w:shd w:val="clear" w:color="auto" w:fill="DACDED" w:themeFill="accent1" w:themeFillTint="33"/>
      </w:tcPr>
    </w:tblStylePr>
    <w:tblStylePr w:type="neCell">
      <w:tblPr/>
      <w:tcPr>
        <w:tcBorders>
          <w:bottom w:val="single" w:sz="4" w:space="0" w:color="9069CA" w:themeColor="accent1" w:themeTint="99"/>
        </w:tcBorders>
      </w:tcPr>
    </w:tblStylePr>
    <w:tblStylePr w:type="nwCell">
      <w:tblPr/>
      <w:tcPr>
        <w:tcBorders>
          <w:bottom w:val="single" w:sz="4" w:space="0" w:color="9069CA" w:themeColor="accent1" w:themeTint="99"/>
        </w:tcBorders>
      </w:tcPr>
    </w:tblStylePr>
    <w:tblStylePr w:type="seCell">
      <w:tblPr/>
      <w:tcPr>
        <w:tcBorders>
          <w:top w:val="single" w:sz="4" w:space="0" w:color="9069CA" w:themeColor="accent1" w:themeTint="99"/>
        </w:tcBorders>
      </w:tcPr>
    </w:tblStylePr>
    <w:tblStylePr w:type="swCell">
      <w:tblPr/>
      <w:tcPr>
        <w:tcBorders>
          <w:top w:val="single" w:sz="4" w:space="0" w:color="9069CA" w:themeColor="accent1" w:themeTint="99"/>
        </w:tcBorders>
      </w:tcPr>
    </w:tblStylePr>
  </w:style>
  <w:style w:type="table" w:styleId="GridTable7Colorful-Accent2">
    <w:name w:val="Grid Table 7 Colorful Accent 2"/>
    <w:basedOn w:val="TableNormal"/>
    <w:uiPriority w:val="52"/>
    <w:rsid w:val="006C286D"/>
    <w:rPr>
      <w:color w:val="A19077" w:themeColor="accent2" w:themeShade="BF"/>
    </w:rPr>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insideV w:val="single" w:sz="4" w:space="0" w:color="DED8C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2EF" w:themeFill="accent2" w:themeFillTint="33"/>
      </w:tcPr>
    </w:tblStylePr>
    <w:tblStylePr w:type="band1Horz">
      <w:tblPr/>
      <w:tcPr>
        <w:shd w:val="clear" w:color="auto" w:fill="F4F2EF" w:themeFill="accent2" w:themeFillTint="33"/>
      </w:tcPr>
    </w:tblStylePr>
    <w:tblStylePr w:type="neCell">
      <w:tblPr/>
      <w:tcPr>
        <w:tcBorders>
          <w:bottom w:val="single" w:sz="4" w:space="0" w:color="DED8CF" w:themeColor="accent2" w:themeTint="99"/>
        </w:tcBorders>
      </w:tcPr>
    </w:tblStylePr>
    <w:tblStylePr w:type="nwCell">
      <w:tblPr/>
      <w:tcPr>
        <w:tcBorders>
          <w:bottom w:val="single" w:sz="4" w:space="0" w:color="DED8CF" w:themeColor="accent2" w:themeTint="99"/>
        </w:tcBorders>
      </w:tcPr>
    </w:tblStylePr>
    <w:tblStylePr w:type="seCell">
      <w:tblPr/>
      <w:tcPr>
        <w:tcBorders>
          <w:top w:val="single" w:sz="4" w:space="0" w:color="DED8CF" w:themeColor="accent2" w:themeTint="99"/>
        </w:tcBorders>
      </w:tcPr>
    </w:tblStylePr>
    <w:tblStylePr w:type="swCell">
      <w:tblPr/>
      <w:tcPr>
        <w:tcBorders>
          <w:top w:val="single" w:sz="4" w:space="0" w:color="DED8CF" w:themeColor="accent2" w:themeTint="99"/>
        </w:tcBorders>
      </w:tcPr>
    </w:tblStylePr>
  </w:style>
  <w:style w:type="table" w:styleId="GridTable7Colorful-Accent3">
    <w:name w:val="Grid Table 7 Colorful Accent 3"/>
    <w:basedOn w:val="TableNormal"/>
    <w:uiPriority w:val="52"/>
    <w:rsid w:val="006C286D"/>
    <w:rPr>
      <w:color w:val="007C87" w:themeColor="accent3" w:themeShade="BF"/>
    </w:rPr>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insideV w:val="single" w:sz="4" w:space="0" w:color="39E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DF9FF" w:themeFill="accent3" w:themeFillTint="33"/>
      </w:tcPr>
    </w:tblStylePr>
    <w:tblStylePr w:type="band1Horz">
      <w:tblPr/>
      <w:tcPr>
        <w:shd w:val="clear" w:color="auto" w:fill="BDF9FF" w:themeFill="accent3" w:themeFillTint="33"/>
      </w:tcPr>
    </w:tblStylePr>
    <w:tblStylePr w:type="neCell">
      <w:tblPr/>
      <w:tcPr>
        <w:tcBorders>
          <w:bottom w:val="single" w:sz="4" w:space="0" w:color="39EFFF" w:themeColor="accent3" w:themeTint="99"/>
        </w:tcBorders>
      </w:tcPr>
    </w:tblStylePr>
    <w:tblStylePr w:type="nwCell">
      <w:tblPr/>
      <w:tcPr>
        <w:tcBorders>
          <w:bottom w:val="single" w:sz="4" w:space="0" w:color="39EFFF" w:themeColor="accent3" w:themeTint="99"/>
        </w:tcBorders>
      </w:tcPr>
    </w:tblStylePr>
    <w:tblStylePr w:type="seCell">
      <w:tblPr/>
      <w:tcPr>
        <w:tcBorders>
          <w:top w:val="single" w:sz="4" w:space="0" w:color="39EFFF" w:themeColor="accent3" w:themeTint="99"/>
        </w:tcBorders>
      </w:tcPr>
    </w:tblStylePr>
    <w:tblStylePr w:type="swCell">
      <w:tblPr/>
      <w:tcPr>
        <w:tcBorders>
          <w:top w:val="single" w:sz="4" w:space="0" w:color="39EFFF" w:themeColor="accent3" w:themeTint="99"/>
        </w:tcBorders>
      </w:tcPr>
    </w:tblStylePr>
  </w:style>
  <w:style w:type="table" w:styleId="GridTable7Colorful-Accent4">
    <w:name w:val="Grid Table 7 Colorful Accent 4"/>
    <w:basedOn w:val="TableNormal"/>
    <w:uiPriority w:val="52"/>
    <w:rsid w:val="006C286D"/>
    <w:rPr>
      <w:color w:val="D55900" w:themeColor="accent4" w:themeShade="BF"/>
    </w:rPr>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insideV w:val="single" w:sz="4" w:space="0" w:color="FFB07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4D2" w:themeFill="accent4" w:themeFillTint="33"/>
      </w:tcPr>
    </w:tblStylePr>
    <w:tblStylePr w:type="band1Horz">
      <w:tblPr/>
      <w:tcPr>
        <w:shd w:val="clear" w:color="auto" w:fill="FFE4D2" w:themeFill="accent4" w:themeFillTint="33"/>
      </w:tcPr>
    </w:tblStylePr>
    <w:tblStylePr w:type="neCell">
      <w:tblPr/>
      <w:tcPr>
        <w:tcBorders>
          <w:bottom w:val="single" w:sz="4" w:space="0" w:color="FFB078" w:themeColor="accent4" w:themeTint="99"/>
        </w:tcBorders>
      </w:tcPr>
    </w:tblStylePr>
    <w:tblStylePr w:type="nwCell">
      <w:tblPr/>
      <w:tcPr>
        <w:tcBorders>
          <w:bottom w:val="single" w:sz="4" w:space="0" w:color="FFB078" w:themeColor="accent4" w:themeTint="99"/>
        </w:tcBorders>
      </w:tcPr>
    </w:tblStylePr>
    <w:tblStylePr w:type="seCell">
      <w:tblPr/>
      <w:tcPr>
        <w:tcBorders>
          <w:top w:val="single" w:sz="4" w:space="0" w:color="FFB078" w:themeColor="accent4" w:themeTint="99"/>
        </w:tcBorders>
      </w:tcPr>
    </w:tblStylePr>
    <w:tblStylePr w:type="swCell">
      <w:tblPr/>
      <w:tcPr>
        <w:tcBorders>
          <w:top w:val="single" w:sz="4" w:space="0" w:color="FFB078" w:themeColor="accent4" w:themeTint="99"/>
        </w:tcBorders>
      </w:tcPr>
    </w:tblStylePr>
  </w:style>
  <w:style w:type="table" w:styleId="GridTable7Colorful-Accent5">
    <w:name w:val="Grid Table 7 Colorful Accent 5"/>
    <w:basedOn w:val="TableNormal"/>
    <w:uiPriority w:val="52"/>
    <w:rsid w:val="006C286D"/>
    <w:rPr>
      <w:color w:val="75A520" w:themeColor="accent5" w:themeShade="BF"/>
    </w:rPr>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insideV w:val="single" w:sz="4" w:space="0" w:color="C2E784"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7D6" w:themeFill="accent5" w:themeFillTint="33"/>
      </w:tcPr>
    </w:tblStylePr>
    <w:tblStylePr w:type="band1Horz">
      <w:tblPr/>
      <w:tcPr>
        <w:shd w:val="clear" w:color="auto" w:fill="EAF7D6" w:themeFill="accent5" w:themeFillTint="33"/>
      </w:tcPr>
    </w:tblStylePr>
    <w:tblStylePr w:type="neCell">
      <w:tblPr/>
      <w:tcPr>
        <w:tcBorders>
          <w:bottom w:val="single" w:sz="4" w:space="0" w:color="C2E784" w:themeColor="accent5" w:themeTint="99"/>
        </w:tcBorders>
      </w:tcPr>
    </w:tblStylePr>
    <w:tblStylePr w:type="nwCell">
      <w:tblPr/>
      <w:tcPr>
        <w:tcBorders>
          <w:bottom w:val="single" w:sz="4" w:space="0" w:color="C2E784" w:themeColor="accent5" w:themeTint="99"/>
        </w:tcBorders>
      </w:tcPr>
    </w:tblStylePr>
    <w:tblStylePr w:type="seCell">
      <w:tblPr/>
      <w:tcPr>
        <w:tcBorders>
          <w:top w:val="single" w:sz="4" w:space="0" w:color="C2E784" w:themeColor="accent5" w:themeTint="99"/>
        </w:tcBorders>
      </w:tcPr>
    </w:tblStylePr>
    <w:tblStylePr w:type="swCell">
      <w:tblPr/>
      <w:tcPr>
        <w:tcBorders>
          <w:top w:val="single" w:sz="4" w:space="0" w:color="C2E784" w:themeColor="accent5" w:themeTint="99"/>
        </w:tcBorders>
      </w:tcPr>
    </w:tblStylePr>
  </w:style>
  <w:style w:type="table" w:styleId="GridTable7Colorful-Accent6">
    <w:name w:val="Grid Table 7 Colorful Accent 6"/>
    <w:basedOn w:val="TableNormal"/>
    <w:uiPriority w:val="52"/>
    <w:rsid w:val="006C286D"/>
    <w:rPr>
      <w:color w:val="B91328" w:themeColor="accent6" w:themeShade="BF"/>
    </w:rPr>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insideV w:val="single" w:sz="4" w:space="0" w:color="F17D8C"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3D8" w:themeFill="accent6" w:themeFillTint="33"/>
      </w:tcPr>
    </w:tblStylePr>
    <w:tblStylePr w:type="band1Horz">
      <w:tblPr/>
      <w:tcPr>
        <w:shd w:val="clear" w:color="auto" w:fill="FAD3D8" w:themeFill="accent6" w:themeFillTint="33"/>
      </w:tcPr>
    </w:tblStylePr>
    <w:tblStylePr w:type="neCell">
      <w:tblPr/>
      <w:tcPr>
        <w:tcBorders>
          <w:bottom w:val="single" w:sz="4" w:space="0" w:color="F17D8C" w:themeColor="accent6" w:themeTint="99"/>
        </w:tcBorders>
      </w:tcPr>
    </w:tblStylePr>
    <w:tblStylePr w:type="nwCell">
      <w:tblPr/>
      <w:tcPr>
        <w:tcBorders>
          <w:bottom w:val="single" w:sz="4" w:space="0" w:color="F17D8C" w:themeColor="accent6" w:themeTint="99"/>
        </w:tcBorders>
      </w:tcPr>
    </w:tblStylePr>
    <w:tblStylePr w:type="seCell">
      <w:tblPr/>
      <w:tcPr>
        <w:tcBorders>
          <w:top w:val="single" w:sz="4" w:space="0" w:color="F17D8C" w:themeColor="accent6" w:themeTint="99"/>
        </w:tcBorders>
      </w:tcPr>
    </w:tblStylePr>
    <w:tblStylePr w:type="swCell">
      <w:tblPr/>
      <w:tcPr>
        <w:tcBorders>
          <w:top w:val="single" w:sz="4" w:space="0" w:color="F17D8C" w:themeColor="accent6" w:themeTint="99"/>
        </w:tcBorders>
      </w:tcPr>
    </w:tblStylePr>
  </w:style>
  <w:style w:type="character" w:customStyle="1" w:styleId="Hashtag1">
    <w:name w:val="Hashtag1"/>
    <w:basedOn w:val="DefaultParagraphFont"/>
    <w:uiPriority w:val="99"/>
    <w:semiHidden/>
    <w:unhideWhenUsed/>
    <w:rsid w:val="006C286D"/>
    <w:rPr>
      <w:color w:val="2B579A"/>
      <w:shd w:val="clear" w:color="auto" w:fill="E6E6E6"/>
      <w:lang w:val="en-US"/>
    </w:rPr>
  </w:style>
  <w:style w:type="character" w:styleId="HTMLAcronym">
    <w:name w:val="HTML Acronym"/>
    <w:basedOn w:val="DefaultParagraphFont"/>
    <w:semiHidden/>
    <w:unhideWhenUsed/>
    <w:rsid w:val="006C286D"/>
    <w:rPr>
      <w:lang w:val="en-US"/>
    </w:rPr>
  </w:style>
  <w:style w:type="paragraph" w:styleId="HTMLAddress">
    <w:name w:val="HTML Address"/>
    <w:basedOn w:val="Normal"/>
    <w:link w:val="HTMLAddressChar"/>
    <w:semiHidden/>
    <w:unhideWhenUsed/>
    <w:rsid w:val="006C286D"/>
    <w:pPr>
      <w:spacing w:after="0" w:line="240" w:lineRule="auto"/>
    </w:pPr>
    <w:rPr>
      <w:i/>
      <w:iCs/>
    </w:rPr>
  </w:style>
  <w:style w:type="character" w:customStyle="1" w:styleId="HTMLAddressChar">
    <w:name w:val="HTML Address Char"/>
    <w:basedOn w:val="DefaultParagraphFont"/>
    <w:link w:val="HTMLAddress"/>
    <w:semiHidden/>
    <w:rsid w:val="006C286D"/>
    <w:rPr>
      <w:rFonts w:asciiTheme="minorHAnsi" w:hAnsiTheme="minorHAnsi" w:cs="Arial"/>
      <w:i/>
      <w:iCs/>
      <w:sz w:val="18"/>
      <w:lang w:val="en-US"/>
    </w:rPr>
  </w:style>
  <w:style w:type="character" w:styleId="HTMLCite">
    <w:name w:val="HTML Cite"/>
    <w:basedOn w:val="DefaultParagraphFont"/>
    <w:semiHidden/>
    <w:unhideWhenUsed/>
    <w:rsid w:val="006C286D"/>
    <w:rPr>
      <w:i/>
      <w:iCs/>
      <w:lang w:val="en-US"/>
    </w:rPr>
  </w:style>
  <w:style w:type="character" w:styleId="HTMLCode">
    <w:name w:val="HTML Code"/>
    <w:basedOn w:val="DefaultParagraphFont"/>
    <w:semiHidden/>
    <w:unhideWhenUsed/>
    <w:rsid w:val="006C286D"/>
    <w:rPr>
      <w:rFonts w:ascii="Consolas" w:hAnsi="Consolas"/>
      <w:sz w:val="20"/>
      <w:szCs w:val="20"/>
      <w:lang w:val="en-US"/>
    </w:rPr>
  </w:style>
  <w:style w:type="character" w:styleId="HTMLDefinition">
    <w:name w:val="HTML Definition"/>
    <w:basedOn w:val="DefaultParagraphFont"/>
    <w:semiHidden/>
    <w:unhideWhenUsed/>
    <w:rsid w:val="006C286D"/>
    <w:rPr>
      <w:i/>
      <w:iCs/>
      <w:lang w:val="en-US"/>
    </w:rPr>
  </w:style>
  <w:style w:type="character" w:styleId="HTMLKeyboard">
    <w:name w:val="HTML Keyboard"/>
    <w:basedOn w:val="DefaultParagraphFont"/>
    <w:semiHidden/>
    <w:unhideWhenUsed/>
    <w:rsid w:val="006C286D"/>
    <w:rPr>
      <w:rFonts w:ascii="Consolas" w:hAnsi="Consolas"/>
      <w:sz w:val="20"/>
      <w:szCs w:val="20"/>
      <w:lang w:val="en-US"/>
    </w:rPr>
  </w:style>
  <w:style w:type="paragraph" w:styleId="HTMLPreformatted">
    <w:name w:val="HTML Preformatted"/>
    <w:basedOn w:val="Normal"/>
    <w:link w:val="HTMLPreformattedChar"/>
    <w:semiHidden/>
    <w:unhideWhenUsed/>
    <w:rsid w:val="006C286D"/>
    <w:pPr>
      <w:spacing w:after="0" w:line="240" w:lineRule="auto"/>
    </w:pPr>
    <w:rPr>
      <w:rFonts w:ascii="Consolas" w:hAnsi="Consolas"/>
      <w:sz w:val="20"/>
    </w:rPr>
  </w:style>
  <w:style w:type="character" w:customStyle="1" w:styleId="HTMLPreformattedChar">
    <w:name w:val="HTML Preformatted Char"/>
    <w:basedOn w:val="DefaultParagraphFont"/>
    <w:link w:val="HTMLPreformatted"/>
    <w:semiHidden/>
    <w:rsid w:val="006C286D"/>
    <w:rPr>
      <w:rFonts w:ascii="Consolas" w:hAnsi="Consolas" w:cs="Arial"/>
      <w:lang w:val="en-US"/>
    </w:rPr>
  </w:style>
  <w:style w:type="character" w:styleId="HTMLSample">
    <w:name w:val="HTML Sample"/>
    <w:basedOn w:val="DefaultParagraphFont"/>
    <w:semiHidden/>
    <w:unhideWhenUsed/>
    <w:rsid w:val="006C286D"/>
    <w:rPr>
      <w:rFonts w:ascii="Consolas" w:hAnsi="Consolas"/>
      <w:sz w:val="24"/>
      <w:szCs w:val="24"/>
      <w:lang w:val="en-US"/>
    </w:rPr>
  </w:style>
  <w:style w:type="character" w:styleId="HTMLTypewriter">
    <w:name w:val="HTML Typewriter"/>
    <w:basedOn w:val="DefaultParagraphFont"/>
    <w:semiHidden/>
    <w:unhideWhenUsed/>
    <w:rsid w:val="006C286D"/>
    <w:rPr>
      <w:rFonts w:ascii="Consolas" w:hAnsi="Consolas"/>
      <w:sz w:val="20"/>
      <w:szCs w:val="20"/>
      <w:lang w:val="en-US"/>
    </w:rPr>
  </w:style>
  <w:style w:type="character" w:styleId="HTMLVariable">
    <w:name w:val="HTML Variable"/>
    <w:basedOn w:val="DefaultParagraphFont"/>
    <w:semiHidden/>
    <w:unhideWhenUsed/>
    <w:rsid w:val="006C286D"/>
    <w:rPr>
      <w:i/>
      <w:iCs/>
      <w:lang w:val="en-US"/>
    </w:rPr>
  </w:style>
  <w:style w:type="paragraph" w:styleId="Index1">
    <w:name w:val="index 1"/>
    <w:basedOn w:val="Normal"/>
    <w:next w:val="Normal"/>
    <w:autoRedefine/>
    <w:semiHidden/>
    <w:unhideWhenUsed/>
    <w:rsid w:val="006C286D"/>
    <w:pPr>
      <w:spacing w:after="0" w:line="240" w:lineRule="auto"/>
      <w:ind w:left="180" w:hanging="180"/>
    </w:pPr>
  </w:style>
  <w:style w:type="paragraph" w:styleId="Index2">
    <w:name w:val="index 2"/>
    <w:basedOn w:val="Normal"/>
    <w:next w:val="Normal"/>
    <w:autoRedefine/>
    <w:semiHidden/>
    <w:unhideWhenUsed/>
    <w:rsid w:val="006C286D"/>
    <w:pPr>
      <w:spacing w:after="0" w:line="240" w:lineRule="auto"/>
      <w:ind w:left="360" w:hanging="180"/>
    </w:pPr>
  </w:style>
  <w:style w:type="paragraph" w:styleId="Index3">
    <w:name w:val="index 3"/>
    <w:basedOn w:val="Normal"/>
    <w:next w:val="Normal"/>
    <w:autoRedefine/>
    <w:semiHidden/>
    <w:unhideWhenUsed/>
    <w:rsid w:val="006C286D"/>
    <w:pPr>
      <w:spacing w:after="0" w:line="240" w:lineRule="auto"/>
      <w:ind w:left="540" w:hanging="180"/>
    </w:pPr>
  </w:style>
  <w:style w:type="paragraph" w:styleId="Index4">
    <w:name w:val="index 4"/>
    <w:basedOn w:val="Normal"/>
    <w:next w:val="Normal"/>
    <w:autoRedefine/>
    <w:semiHidden/>
    <w:unhideWhenUsed/>
    <w:rsid w:val="006C286D"/>
    <w:pPr>
      <w:spacing w:after="0" w:line="240" w:lineRule="auto"/>
      <w:ind w:left="720" w:hanging="180"/>
    </w:pPr>
  </w:style>
  <w:style w:type="paragraph" w:styleId="Index5">
    <w:name w:val="index 5"/>
    <w:basedOn w:val="Normal"/>
    <w:next w:val="Normal"/>
    <w:autoRedefine/>
    <w:semiHidden/>
    <w:unhideWhenUsed/>
    <w:rsid w:val="006C286D"/>
    <w:pPr>
      <w:spacing w:after="0" w:line="240" w:lineRule="auto"/>
      <w:ind w:left="900" w:hanging="180"/>
    </w:pPr>
  </w:style>
  <w:style w:type="paragraph" w:styleId="Index6">
    <w:name w:val="index 6"/>
    <w:basedOn w:val="Normal"/>
    <w:next w:val="Normal"/>
    <w:autoRedefine/>
    <w:semiHidden/>
    <w:unhideWhenUsed/>
    <w:rsid w:val="006C286D"/>
    <w:pPr>
      <w:spacing w:after="0" w:line="240" w:lineRule="auto"/>
      <w:ind w:left="1080" w:hanging="180"/>
    </w:pPr>
  </w:style>
  <w:style w:type="paragraph" w:styleId="Index7">
    <w:name w:val="index 7"/>
    <w:basedOn w:val="Normal"/>
    <w:next w:val="Normal"/>
    <w:autoRedefine/>
    <w:semiHidden/>
    <w:unhideWhenUsed/>
    <w:rsid w:val="006C286D"/>
    <w:pPr>
      <w:spacing w:after="0" w:line="240" w:lineRule="auto"/>
      <w:ind w:left="1260" w:hanging="180"/>
    </w:pPr>
  </w:style>
  <w:style w:type="paragraph" w:styleId="Index8">
    <w:name w:val="index 8"/>
    <w:basedOn w:val="Normal"/>
    <w:next w:val="Normal"/>
    <w:autoRedefine/>
    <w:semiHidden/>
    <w:unhideWhenUsed/>
    <w:rsid w:val="006C286D"/>
    <w:pPr>
      <w:spacing w:after="0" w:line="240" w:lineRule="auto"/>
      <w:ind w:left="1440" w:hanging="180"/>
    </w:pPr>
  </w:style>
  <w:style w:type="paragraph" w:styleId="Index9">
    <w:name w:val="index 9"/>
    <w:basedOn w:val="Normal"/>
    <w:next w:val="Normal"/>
    <w:autoRedefine/>
    <w:semiHidden/>
    <w:unhideWhenUsed/>
    <w:rsid w:val="006C286D"/>
    <w:pPr>
      <w:spacing w:after="0" w:line="240" w:lineRule="auto"/>
      <w:ind w:left="1620" w:hanging="180"/>
    </w:pPr>
  </w:style>
  <w:style w:type="paragraph" w:styleId="IndexHeading">
    <w:name w:val="index heading"/>
    <w:basedOn w:val="Normal"/>
    <w:next w:val="Index1"/>
    <w:semiHidden/>
    <w:unhideWhenUsed/>
    <w:rsid w:val="006C286D"/>
    <w:rPr>
      <w:rFonts w:asciiTheme="majorHAnsi" w:eastAsiaTheme="majorEastAsia" w:hAnsiTheme="majorHAnsi" w:cstheme="majorBidi"/>
      <w:b/>
      <w:bCs/>
    </w:rPr>
  </w:style>
  <w:style w:type="character" w:styleId="IntenseEmphasis">
    <w:name w:val="Intense Emphasis"/>
    <w:basedOn w:val="DefaultParagraphFont"/>
    <w:uiPriority w:val="21"/>
    <w:semiHidden/>
    <w:unhideWhenUsed/>
    <w:rsid w:val="006C286D"/>
    <w:rPr>
      <w:i/>
      <w:iCs/>
      <w:color w:val="4F2D7F" w:themeColor="accent1"/>
      <w:lang w:val="en-US"/>
    </w:rPr>
  </w:style>
  <w:style w:type="paragraph" w:styleId="IntenseQuote">
    <w:name w:val="Intense Quote"/>
    <w:basedOn w:val="Normal"/>
    <w:next w:val="Normal"/>
    <w:link w:val="IntenseQuoteChar"/>
    <w:uiPriority w:val="30"/>
    <w:semiHidden/>
    <w:unhideWhenUsed/>
    <w:rsid w:val="006C286D"/>
    <w:pPr>
      <w:pBdr>
        <w:top w:val="single" w:sz="4" w:space="10" w:color="4F2D7F" w:themeColor="accent1"/>
        <w:bottom w:val="single" w:sz="4" w:space="10" w:color="4F2D7F" w:themeColor="accent1"/>
      </w:pBdr>
      <w:spacing w:before="360" w:after="360"/>
      <w:ind w:left="864" w:right="864"/>
      <w:jc w:val="center"/>
    </w:pPr>
    <w:rPr>
      <w:i/>
      <w:iCs/>
      <w:color w:val="4F2D7F" w:themeColor="accent1"/>
    </w:rPr>
  </w:style>
  <w:style w:type="character" w:customStyle="1" w:styleId="IntenseQuoteChar">
    <w:name w:val="Intense Quote Char"/>
    <w:basedOn w:val="DefaultParagraphFont"/>
    <w:link w:val="IntenseQuote"/>
    <w:uiPriority w:val="30"/>
    <w:semiHidden/>
    <w:rsid w:val="006C286D"/>
    <w:rPr>
      <w:rFonts w:asciiTheme="minorHAnsi" w:hAnsiTheme="minorHAnsi" w:cs="Arial"/>
      <w:i/>
      <w:iCs/>
      <w:color w:val="4F2D7F" w:themeColor="accent1"/>
      <w:sz w:val="18"/>
      <w:lang w:val="en-US"/>
    </w:rPr>
  </w:style>
  <w:style w:type="character" w:styleId="IntenseReference">
    <w:name w:val="Intense Reference"/>
    <w:basedOn w:val="DefaultParagraphFont"/>
    <w:uiPriority w:val="32"/>
    <w:semiHidden/>
    <w:unhideWhenUsed/>
    <w:rsid w:val="006C286D"/>
    <w:rPr>
      <w:b/>
      <w:bCs/>
      <w:smallCaps/>
      <w:color w:val="4F2D7F" w:themeColor="accent1"/>
      <w:spacing w:val="5"/>
      <w:lang w:val="en-US"/>
    </w:rPr>
  </w:style>
  <w:style w:type="table" w:styleId="LightGrid">
    <w:name w:val="Light Grid"/>
    <w:basedOn w:val="TableNormal"/>
    <w:uiPriority w:val="62"/>
    <w:semiHidden/>
    <w:unhideWhenUsed/>
    <w:rsid w:val="006C286D"/>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6C286D"/>
    <w:tblPr>
      <w:tblStyleRowBandSize w:val="1"/>
      <w:tblStyleColBandSize w:val="1"/>
      <w:tblBorders>
        <w:top w:val="single" w:sz="8" w:space="0" w:color="4F2D7F" w:themeColor="accent1"/>
        <w:left w:val="single" w:sz="8" w:space="0" w:color="4F2D7F" w:themeColor="accent1"/>
        <w:bottom w:val="single" w:sz="8" w:space="0" w:color="4F2D7F" w:themeColor="accent1"/>
        <w:right w:val="single" w:sz="8" w:space="0" w:color="4F2D7F" w:themeColor="accent1"/>
        <w:insideH w:val="single" w:sz="8" w:space="0" w:color="4F2D7F" w:themeColor="accent1"/>
        <w:insideV w:val="single" w:sz="8" w:space="0" w:color="4F2D7F"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2D7F" w:themeColor="accent1"/>
          <w:left w:val="single" w:sz="8" w:space="0" w:color="4F2D7F" w:themeColor="accent1"/>
          <w:bottom w:val="single" w:sz="18" w:space="0" w:color="4F2D7F" w:themeColor="accent1"/>
          <w:right w:val="single" w:sz="8" w:space="0" w:color="4F2D7F" w:themeColor="accent1"/>
          <w:insideH w:val="nil"/>
          <w:insideV w:val="single" w:sz="8" w:space="0" w:color="4F2D7F"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2D7F" w:themeColor="accent1"/>
          <w:left w:val="single" w:sz="8" w:space="0" w:color="4F2D7F" w:themeColor="accent1"/>
          <w:bottom w:val="single" w:sz="8" w:space="0" w:color="4F2D7F" w:themeColor="accent1"/>
          <w:right w:val="single" w:sz="8" w:space="0" w:color="4F2D7F" w:themeColor="accent1"/>
          <w:insideH w:val="nil"/>
          <w:insideV w:val="single" w:sz="8" w:space="0" w:color="4F2D7F"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2D7F" w:themeColor="accent1"/>
          <w:left w:val="single" w:sz="8" w:space="0" w:color="4F2D7F" w:themeColor="accent1"/>
          <w:bottom w:val="single" w:sz="8" w:space="0" w:color="4F2D7F" w:themeColor="accent1"/>
          <w:right w:val="single" w:sz="8" w:space="0" w:color="4F2D7F" w:themeColor="accent1"/>
        </w:tcBorders>
      </w:tcPr>
    </w:tblStylePr>
    <w:tblStylePr w:type="band1Vert">
      <w:tblPr/>
      <w:tcPr>
        <w:tcBorders>
          <w:top w:val="single" w:sz="8" w:space="0" w:color="4F2D7F" w:themeColor="accent1"/>
          <w:left w:val="single" w:sz="8" w:space="0" w:color="4F2D7F" w:themeColor="accent1"/>
          <w:bottom w:val="single" w:sz="8" w:space="0" w:color="4F2D7F" w:themeColor="accent1"/>
          <w:right w:val="single" w:sz="8" w:space="0" w:color="4F2D7F" w:themeColor="accent1"/>
        </w:tcBorders>
        <w:shd w:val="clear" w:color="auto" w:fill="D1C1E9" w:themeFill="accent1" w:themeFillTint="3F"/>
      </w:tcPr>
    </w:tblStylePr>
    <w:tblStylePr w:type="band1Horz">
      <w:tblPr/>
      <w:tcPr>
        <w:tcBorders>
          <w:top w:val="single" w:sz="8" w:space="0" w:color="4F2D7F" w:themeColor="accent1"/>
          <w:left w:val="single" w:sz="8" w:space="0" w:color="4F2D7F" w:themeColor="accent1"/>
          <w:bottom w:val="single" w:sz="8" w:space="0" w:color="4F2D7F" w:themeColor="accent1"/>
          <w:right w:val="single" w:sz="8" w:space="0" w:color="4F2D7F" w:themeColor="accent1"/>
          <w:insideV w:val="single" w:sz="8" w:space="0" w:color="4F2D7F" w:themeColor="accent1"/>
        </w:tcBorders>
        <w:shd w:val="clear" w:color="auto" w:fill="D1C1E9" w:themeFill="accent1" w:themeFillTint="3F"/>
      </w:tcPr>
    </w:tblStylePr>
    <w:tblStylePr w:type="band2Horz">
      <w:tblPr/>
      <w:tcPr>
        <w:tcBorders>
          <w:top w:val="single" w:sz="8" w:space="0" w:color="4F2D7F" w:themeColor="accent1"/>
          <w:left w:val="single" w:sz="8" w:space="0" w:color="4F2D7F" w:themeColor="accent1"/>
          <w:bottom w:val="single" w:sz="8" w:space="0" w:color="4F2D7F" w:themeColor="accent1"/>
          <w:right w:val="single" w:sz="8" w:space="0" w:color="4F2D7F" w:themeColor="accent1"/>
          <w:insideV w:val="single" w:sz="8" w:space="0" w:color="4F2D7F" w:themeColor="accent1"/>
        </w:tcBorders>
      </w:tcPr>
    </w:tblStylePr>
  </w:style>
  <w:style w:type="table" w:styleId="LightGrid-Accent2">
    <w:name w:val="Light Grid Accent 2"/>
    <w:basedOn w:val="TableNormal"/>
    <w:uiPriority w:val="62"/>
    <w:semiHidden/>
    <w:unhideWhenUsed/>
    <w:rsid w:val="006C286D"/>
    <w:tblPr>
      <w:tblStyleRowBandSize w:val="1"/>
      <w:tblStyleColBandSize w:val="1"/>
      <w:tblBorders>
        <w:top w:val="single" w:sz="8" w:space="0" w:color="C8BEAF" w:themeColor="accent2"/>
        <w:left w:val="single" w:sz="8" w:space="0" w:color="C8BEAF" w:themeColor="accent2"/>
        <w:bottom w:val="single" w:sz="8" w:space="0" w:color="C8BEAF" w:themeColor="accent2"/>
        <w:right w:val="single" w:sz="8" w:space="0" w:color="C8BEAF" w:themeColor="accent2"/>
        <w:insideH w:val="single" w:sz="8" w:space="0" w:color="C8BEAF" w:themeColor="accent2"/>
        <w:insideV w:val="single" w:sz="8" w:space="0" w:color="C8BEAF"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8BEAF" w:themeColor="accent2"/>
          <w:left w:val="single" w:sz="8" w:space="0" w:color="C8BEAF" w:themeColor="accent2"/>
          <w:bottom w:val="single" w:sz="18" w:space="0" w:color="C8BEAF" w:themeColor="accent2"/>
          <w:right w:val="single" w:sz="8" w:space="0" w:color="C8BEAF" w:themeColor="accent2"/>
          <w:insideH w:val="nil"/>
          <w:insideV w:val="single" w:sz="8" w:space="0" w:color="C8BEAF"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8BEAF" w:themeColor="accent2"/>
          <w:left w:val="single" w:sz="8" w:space="0" w:color="C8BEAF" w:themeColor="accent2"/>
          <w:bottom w:val="single" w:sz="8" w:space="0" w:color="C8BEAF" w:themeColor="accent2"/>
          <w:right w:val="single" w:sz="8" w:space="0" w:color="C8BEAF" w:themeColor="accent2"/>
          <w:insideH w:val="nil"/>
          <w:insideV w:val="single" w:sz="8" w:space="0" w:color="C8BEAF"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8BEAF" w:themeColor="accent2"/>
          <w:left w:val="single" w:sz="8" w:space="0" w:color="C8BEAF" w:themeColor="accent2"/>
          <w:bottom w:val="single" w:sz="8" w:space="0" w:color="C8BEAF" w:themeColor="accent2"/>
          <w:right w:val="single" w:sz="8" w:space="0" w:color="C8BEAF" w:themeColor="accent2"/>
        </w:tcBorders>
      </w:tcPr>
    </w:tblStylePr>
    <w:tblStylePr w:type="band1Vert">
      <w:tblPr/>
      <w:tcPr>
        <w:tcBorders>
          <w:top w:val="single" w:sz="8" w:space="0" w:color="C8BEAF" w:themeColor="accent2"/>
          <w:left w:val="single" w:sz="8" w:space="0" w:color="C8BEAF" w:themeColor="accent2"/>
          <w:bottom w:val="single" w:sz="8" w:space="0" w:color="C8BEAF" w:themeColor="accent2"/>
          <w:right w:val="single" w:sz="8" w:space="0" w:color="C8BEAF" w:themeColor="accent2"/>
        </w:tcBorders>
        <w:shd w:val="clear" w:color="auto" w:fill="F1EEEB" w:themeFill="accent2" w:themeFillTint="3F"/>
      </w:tcPr>
    </w:tblStylePr>
    <w:tblStylePr w:type="band1Horz">
      <w:tblPr/>
      <w:tcPr>
        <w:tcBorders>
          <w:top w:val="single" w:sz="8" w:space="0" w:color="C8BEAF" w:themeColor="accent2"/>
          <w:left w:val="single" w:sz="8" w:space="0" w:color="C8BEAF" w:themeColor="accent2"/>
          <w:bottom w:val="single" w:sz="8" w:space="0" w:color="C8BEAF" w:themeColor="accent2"/>
          <w:right w:val="single" w:sz="8" w:space="0" w:color="C8BEAF" w:themeColor="accent2"/>
          <w:insideV w:val="single" w:sz="8" w:space="0" w:color="C8BEAF" w:themeColor="accent2"/>
        </w:tcBorders>
        <w:shd w:val="clear" w:color="auto" w:fill="F1EEEB" w:themeFill="accent2" w:themeFillTint="3F"/>
      </w:tcPr>
    </w:tblStylePr>
    <w:tblStylePr w:type="band2Horz">
      <w:tblPr/>
      <w:tcPr>
        <w:tcBorders>
          <w:top w:val="single" w:sz="8" w:space="0" w:color="C8BEAF" w:themeColor="accent2"/>
          <w:left w:val="single" w:sz="8" w:space="0" w:color="C8BEAF" w:themeColor="accent2"/>
          <w:bottom w:val="single" w:sz="8" w:space="0" w:color="C8BEAF" w:themeColor="accent2"/>
          <w:right w:val="single" w:sz="8" w:space="0" w:color="C8BEAF" w:themeColor="accent2"/>
          <w:insideV w:val="single" w:sz="8" w:space="0" w:color="C8BEAF" w:themeColor="accent2"/>
        </w:tcBorders>
      </w:tcPr>
    </w:tblStylePr>
  </w:style>
  <w:style w:type="table" w:styleId="LightGrid-Accent3">
    <w:name w:val="Light Grid Accent 3"/>
    <w:basedOn w:val="TableNormal"/>
    <w:uiPriority w:val="62"/>
    <w:semiHidden/>
    <w:unhideWhenUsed/>
    <w:rsid w:val="006C286D"/>
    <w:tblPr>
      <w:tblStyleRowBandSize w:val="1"/>
      <w:tblStyleColBandSize w:val="1"/>
      <w:tblBorders>
        <w:top w:val="single" w:sz="8" w:space="0" w:color="00A7B5" w:themeColor="accent3"/>
        <w:left w:val="single" w:sz="8" w:space="0" w:color="00A7B5" w:themeColor="accent3"/>
        <w:bottom w:val="single" w:sz="8" w:space="0" w:color="00A7B5" w:themeColor="accent3"/>
        <w:right w:val="single" w:sz="8" w:space="0" w:color="00A7B5" w:themeColor="accent3"/>
        <w:insideH w:val="single" w:sz="8" w:space="0" w:color="00A7B5" w:themeColor="accent3"/>
        <w:insideV w:val="single" w:sz="8" w:space="0" w:color="00A7B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7B5" w:themeColor="accent3"/>
          <w:left w:val="single" w:sz="8" w:space="0" w:color="00A7B5" w:themeColor="accent3"/>
          <w:bottom w:val="single" w:sz="18" w:space="0" w:color="00A7B5" w:themeColor="accent3"/>
          <w:right w:val="single" w:sz="8" w:space="0" w:color="00A7B5" w:themeColor="accent3"/>
          <w:insideH w:val="nil"/>
          <w:insideV w:val="single" w:sz="8" w:space="0" w:color="00A7B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7B5" w:themeColor="accent3"/>
          <w:left w:val="single" w:sz="8" w:space="0" w:color="00A7B5" w:themeColor="accent3"/>
          <w:bottom w:val="single" w:sz="8" w:space="0" w:color="00A7B5" w:themeColor="accent3"/>
          <w:right w:val="single" w:sz="8" w:space="0" w:color="00A7B5" w:themeColor="accent3"/>
          <w:insideH w:val="nil"/>
          <w:insideV w:val="single" w:sz="8" w:space="0" w:color="00A7B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7B5" w:themeColor="accent3"/>
          <w:left w:val="single" w:sz="8" w:space="0" w:color="00A7B5" w:themeColor="accent3"/>
          <w:bottom w:val="single" w:sz="8" w:space="0" w:color="00A7B5" w:themeColor="accent3"/>
          <w:right w:val="single" w:sz="8" w:space="0" w:color="00A7B5" w:themeColor="accent3"/>
        </w:tcBorders>
      </w:tcPr>
    </w:tblStylePr>
    <w:tblStylePr w:type="band1Vert">
      <w:tblPr/>
      <w:tcPr>
        <w:tcBorders>
          <w:top w:val="single" w:sz="8" w:space="0" w:color="00A7B5" w:themeColor="accent3"/>
          <w:left w:val="single" w:sz="8" w:space="0" w:color="00A7B5" w:themeColor="accent3"/>
          <w:bottom w:val="single" w:sz="8" w:space="0" w:color="00A7B5" w:themeColor="accent3"/>
          <w:right w:val="single" w:sz="8" w:space="0" w:color="00A7B5" w:themeColor="accent3"/>
        </w:tcBorders>
        <w:shd w:val="clear" w:color="auto" w:fill="ADF8FF" w:themeFill="accent3" w:themeFillTint="3F"/>
      </w:tcPr>
    </w:tblStylePr>
    <w:tblStylePr w:type="band1Horz">
      <w:tblPr/>
      <w:tcPr>
        <w:tcBorders>
          <w:top w:val="single" w:sz="8" w:space="0" w:color="00A7B5" w:themeColor="accent3"/>
          <w:left w:val="single" w:sz="8" w:space="0" w:color="00A7B5" w:themeColor="accent3"/>
          <w:bottom w:val="single" w:sz="8" w:space="0" w:color="00A7B5" w:themeColor="accent3"/>
          <w:right w:val="single" w:sz="8" w:space="0" w:color="00A7B5" w:themeColor="accent3"/>
          <w:insideV w:val="single" w:sz="8" w:space="0" w:color="00A7B5" w:themeColor="accent3"/>
        </w:tcBorders>
        <w:shd w:val="clear" w:color="auto" w:fill="ADF8FF" w:themeFill="accent3" w:themeFillTint="3F"/>
      </w:tcPr>
    </w:tblStylePr>
    <w:tblStylePr w:type="band2Horz">
      <w:tblPr/>
      <w:tcPr>
        <w:tcBorders>
          <w:top w:val="single" w:sz="8" w:space="0" w:color="00A7B5" w:themeColor="accent3"/>
          <w:left w:val="single" w:sz="8" w:space="0" w:color="00A7B5" w:themeColor="accent3"/>
          <w:bottom w:val="single" w:sz="8" w:space="0" w:color="00A7B5" w:themeColor="accent3"/>
          <w:right w:val="single" w:sz="8" w:space="0" w:color="00A7B5" w:themeColor="accent3"/>
          <w:insideV w:val="single" w:sz="8" w:space="0" w:color="00A7B5" w:themeColor="accent3"/>
        </w:tcBorders>
      </w:tcPr>
    </w:tblStylePr>
  </w:style>
  <w:style w:type="table" w:styleId="LightGrid-Accent4">
    <w:name w:val="Light Grid Accent 4"/>
    <w:basedOn w:val="TableNormal"/>
    <w:uiPriority w:val="62"/>
    <w:semiHidden/>
    <w:unhideWhenUsed/>
    <w:rsid w:val="006C286D"/>
    <w:tblPr>
      <w:tblStyleRowBandSize w:val="1"/>
      <w:tblStyleColBandSize w:val="1"/>
      <w:tblBorders>
        <w:top w:val="single" w:sz="8" w:space="0" w:color="FF7D1E" w:themeColor="accent4"/>
        <w:left w:val="single" w:sz="8" w:space="0" w:color="FF7D1E" w:themeColor="accent4"/>
        <w:bottom w:val="single" w:sz="8" w:space="0" w:color="FF7D1E" w:themeColor="accent4"/>
        <w:right w:val="single" w:sz="8" w:space="0" w:color="FF7D1E" w:themeColor="accent4"/>
        <w:insideH w:val="single" w:sz="8" w:space="0" w:color="FF7D1E" w:themeColor="accent4"/>
        <w:insideV w:val="single" w:sz="8" w:space="0" w:color="FF7D1E"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7D1E" w:themeColor="accent4"/>
          <w:left w:val="single" w:sz="8" w:space="0" w:color="FF7D1E" w:themeColor="accent4"/>
          <w:bottom w:val="single" w:sz="18" w:space="0" w:color="FF7D1E" w:themeColor="accent4"/>
          <w:right w:val="single" w:sz="8" w:space="0" w:color="FF7D1E" w:themeColor="accent4"/>
          <w:insideH w:val="nil"/>
          <w:insideV w:val="single" w:sz="8" w:space="0" w:color="FF7D1E"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7D1E" w:themeColor="accent4"/>
          <w:left w:val="single" w:sz="8" w:space="0" w:color="FF7D1E" w:themeColor="accent4"/>
          <w:bottom w:val="single" w:sz="8" w:space="0" w:color="FF7D1E" w:themeColor="accent4"/>
          <w:right w:val="single" w:sz="8" w:space="0" w:color="FF7D1E" w:themeColor="accent4"/>
          <w:insideH w:val="nil"/>
          <w:insideV w:val="single" w:sz="8" w:space="0" w:color="FF7D1E"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7D1E" w:themeColor="accent4"/>
          <w:left w:val="single" w:sz="8" w:space="0" w:color="FF7D1E" w:themeColor="accent4"/>
          <w:bottom w:val="single" w:sz="8" w:space="0" w:color="FF7D1E" w:themeColor="accent4"/>
          <w:right w:val="single" w:sz="8" w:space="0" w:color="FF7D1E" w:themeColor="accent4"/>
        </w:tcBorders>
      </w:tcPr>
    </w:tblStylePr>
    <w:tblStylePr w:type="band1Vert">
      <w:tblPr/>
      <w:tcPr>
        <w:tcBorders>
          <w:top w:val="single" w:sz="8" w:space="0" w:color="FF7D1E" w:themeColor="accent4"/>
          <w:left w:val="single" w:sz="8" w:space="0" w:color="FF7D1E" w:themeColor="accent4"/>
          <w:bottom w:val="single" w:sz="8" w:space="0" w:color="FF7D1E" w:themeColor="accent4"/>
          <w:right w:val="single" w:sz="8" w:space="0" w:color="FF7D1E" w:themeColor="accent4"/>
        </w:tcBorders>
        <w:shd w:val="clear" w:color="auto" w:fill="FFDEC7" w:themeFill="accent4" w:themeFillTint="3F"/>
      </w:tcPr>
    </w:tblStylePr>
    <w:tblStylePr w:type="band1Horz">
      <w:tblPr/>
      <w:tcPr>
        <w:tcBorders>
          <w:top w:val="single" w:sz="8" w:space="0" w:color="FF7D1E" w:themeColor="accent4"/>
          <w:left w:val="single" w:sz="8" w:space="0" w:color="FF7D1E" w:themeColor="accent4"/>
          <w:bottom w:val="single" w:sz="8" w:space="0" w:color="FF7D1E" w:themeColor="accent4"/>
          <w:right w:val="single" w:sz="8" w:space="0" w:color="FF7D1E" w:themeColor="accent4"/>
          <w:insideV w:val="single" w:sz="8" w:space="0" w:color="FF7D1E" w:themeColor="accent4"/>
        </w:tcBorders>
        <w:shd w:val="clear" w:color="auto" w:fill="FFDEC7" w:themeFill="accent4" w:themeFillTint="3F"/>
      </w:tcPr>
    </w:tblStylePr>
    <w:tblStylePr w:type="band2Horz">
      <w:tblPr/>
      <w:tcPr>
        <w:tcBorders>
          <w:top w:val="single" w:sz="8" w:space="0" w:color="FF7D1E" w:themeColor="accent4"/>
          <w:left w:val="single" w:sz="8" w:space="0" w:color="FF7D1E" w:themeColor="accent4"/>
          <w:bottom w:val="single" w:sz="8" w:space="0" w:color="FF7D1E" w:themeColor="accent4"/>
          <w:right w:val="single" w:sz="8" w:space="0" w:color="FF7D1E" w:themeColor="accent4"/>
          <w:insideV w:val="single" w:sz="8" w:space="0" w:color="FF7D1E" w:themeColor="accent4"/>
        </w:tcBorders>
      </w:tcPr>
    </w:tblStylePr>
  </w:style>
  <w:style w:type="table" w:styleId="LightGrid-Accent5">
    <w:name w:val="Light Grid Accent 5"/>
    <w:basedOn w:val="TableNormal"/>
    <w:uiPriority w:val="62"/>
    <w:semiHidden/>
    <w:unhideWhenUsed/>
    <w:rsid w:val="006C286D"/>
    <w:tblPr>
      <w:tblStyleRowBandSize w:val="1"/>
      <w:tblStyleColBandSize w:val="1"/>
      <w:tblBorders>
        <w:top w:val="single" w:sz="8" w:space="0" w:color="9BD732" w:themeColor="accent5"/>
        <w:left w:val="single" w:sz="8" w:space="0" w:color="9BD732" w:themeColor="accent5"/>
        <w:bottom w:val="single" w:sz="8" w:space="0" w:color="9BD732" w:themeColor="accent5"/>
        <w:right w:val="single" w:sz="8" w:space="0" w:color="9BD732" w:themeColor="accent5"/>
        <w:insideH w:val="single" w:sz="8" w:space="0" w:color="9BD732" w:themeColor="accent5"/>
        <w:insideV w:val="single" w:sz="8" w:space="0" w:color="9BD732"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D732" w:themeColor="accent5"/>
          <w:left w:val="single" w:sz="8" w:space="0" w:color="9BD732" w:themeColor="accent5"/>
          <w:bottom w:val="single" w:sz="18" w:space="0" w:color="9BD732" w:themeColor="accent5"/>
          <w:right w:val="single" w:sz="8" w:space="0" w:color="9BD732" w:themeColor="accent5"/>
          <w:insideH w:val="nil"/>
          <w:insideV w:val="single" w:sz="8" w:space="0" w:color="9BD732"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D732" w:themeColor="accent5"/>
          <w:left w:val="single" w:sz="8" w:space="0" w:color="9BD732" w:themeColor="accent5"/>
          <w:bottom w:val="single" w:sz="8" w:space="0" w:color="9BD732" w:themeColor="accent5"/>
          <w:right w:val="single" w:sz="8" w:space="0" w:color="9BD732" w:themeColor="accent5"/>
          <w:insideH w:val="nil"/>
          <w:insideV w:val="single" w:sz="8" w:space="0" w:color="9BD732"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D732" w:themeColor="accent5"/>
          <w:left w:val="single" w:sz="8" w:space="0" w:color="9BD732" w:themeColor="accent5"/>
          <w:bottom w:val="single" w:sz="8" w:space="0" w:color="9BD732" w:themeColor="accent5"/>
          <w:right w:val="single" w:sz="8" w:space="0" w:color="9BD732" w:themeColor="accent5"/>
        </w:tcBorders>
      </w:tcPr>
    </w:tblStylePr>
    <w:tblStylePr w:type="band1Vert">
      <w:tblPr/>
      <w:tcPr>
        <w:tcBorders>
          <w:top w:val="single" w:sz="8" w:space="0" w:color="9BD732" w:themeColor="accent5"/>
          <w:left w:val="single" w:sz="8" w:space="0" w:color="9BD732" w:themeColor="accent5"/>
          <w:bottom w:val="single" w:sz="8" w:space="0" w:color="9BD732" w:themeColor="accent5"/>
          <w:right w:val="single" w:sz="8" w:space="0" w:color="9BD732" w:themeColor="accent5"/>
        </w:tcBorders>
        <w:shd w:val="clear" w:color="auto" w:fill="E6F5CC" w:themeFill="accent5" w:themeFillTint="3F"/>
      </w:tcPr>
    </w:tblStylePr>
    <w:tblStylePr w:type="band1Horz">
      <w:tblPr/>
      <w:tcPr>
        <w:tcBorders>
          <w:top w:val="single" w:sz="8" w:space="0" w:color="9BD732" w:themeColor="accent5"/>
          <w:left w:val="single" w:sz="8" w:space="0" w:color="9BD732" w:themeColor="accent5"/>
          <w:bottom w:val="single" w:sz="8" w:space="0" w:color="9BD732" w:themeColor="accent5"/>
          <w:right w:val="single" w:sz="8" w:space="0" w:color="9BD732" w:themeColor="accent5"/>
          <w:insideV w:val="single" w:sz="8" w:space="0" w:color="9BD732" w:themeColor="accent5"/>
        </w:tcBorders>
        <w:shd w:val="clear" w:color="auto" w:fill="E6F5CC" w:themeFill="accent5" w:themeFillTint="3F"/>
      </w:tcPr>
    </w:tblStylePr>
    <w:tblStylePr w:type="band2Horz">
      <w:tblPr/>
      <w:tcPr>
        <w:tcBorders>
          <w:top w:val="single" w:sz="8" w:space="0" w:color="9BD732" w:themeColor="accent5"/>
          <w:left w:val="single" w:sz="8" w:space="0" w:color="9BD732" w:themeColor="accent5"/>
          <w:bottom w:val="single" w:sz="8" w:space="0" w:color="9BD732" w:themeColor="accent5"/>
          <w:right w:val="single" w:sz="8" w:space="0" w:color="9BD732" w:themeColor="accent5"/>
          <w:insideV w:val="single" w:sz="8" w:space="0" w:color="9BD732" w:themeColor="accent5"/>
        </w:tcBorders>
      </w:tcPr>
    </w:tblStylePr>
  </w:style>
  <w:style w:type="table" w:styleId="LightGrid-Accent6">
    <w:name w:val="Light Grid Accent 6"/>
    <w:basedOn w:val="TableNormal"/>
    <w:uiPriority w:val="62"/>
    <w:semiHidden/>
    <w:unhideWhenUsed/>
    <w:rsid w:val="006C286D"/>
    <w:tblPr>
      <w:tblStyleRowBandSize w:val="1"/>
      <w:tblStyleColBandSize w:val="1"/>
      <w:tblBorders>
        <w:top w:val="single" w:sz="8" w:space="0" w:color="E92841" w:themeColor="accent6"/>
        <w:left w:val="single" w:sz="8" w:space="0" w:color="E92841" w:themeColor="accent6"/>
        <w:bottom w:val="single" w:sz="8" w:space="0" w:color="E92841" w:themeColor="accent6"/>
        <w:right w:val="single" w:sz="8" w:space="0" w:color="E92841" w:themeColor="accent6"/>
        <w:insideH w:val="single" w:sz="8" w:space="0" w:color="E92841" w:themeColor="accent6"/>
        <w:insideV w:val="single" w:sz="8" w:space="0" w:color="E92841"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2841" w:themeColor="accent6"/>
          <w:left w:val="single" w:sz="8" w:space="0" w:color="E92841" w:themeColor="accent6"/>
          <w:bottom w:val="single" w:sz="18" w:space="0" w:color="E92841" w:themeColor="accent6"/>
          <w:right w:val="single" w:sz="8" w:space="0" w:color="E92841" w:themeColor="accent6"/>
          <w:insideH w:val="nil"/>
          <w:insideV w:val="single" w:sz="8" w:space="0" w:color="E92841"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2841" w:themeColor="accent6"/>
          <w:left w:val="single" w:sz="8" w:space="0" w:color="E92841" w:themeColor="accent6"/>
          <w:bottom w:val="single" w:sz="8" w:space="0" w:color="E92841" w:themeColor="accent6"/>
          <w:right w:val="single" w:sz="8" w:space="0" w:color="E92841" w:themeColor="accent6"/>
          <w:insideH w:val="nil"/>
          <w:insideV w:val="single" w:sz="8" w:space="0" w:color="E92841"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2841" w:themeColor="accent6"/>
          <w:left w:val="single" w:sz="8" w:space="0" w:color="E92841" w:themeColor="accent6"/>
          <w:bottom w:val="single" w:sz="8" w:space="0" w:color="E92841" w:themeColor="accent6"/>
          <w:right w:val="single" w:sz="8" w:space="0" w:color="E92841" w:themeColor="accent6"/>
        </w:tcBorders>
      </w:tcPr>
    </w:tblStylePr>
    <w:tblStylePr w:type="band1Vert">
      <w:tblPr/>
      <w:tcPr>
        <w:tcBorders>
          <w:top w:val="single" w:sz="8" w:space="0" w:color="E92841" w:themeColor="accent6"/>
          <w:left w:val="single" w:sz="8" w:space="0" w:color="E92841" w:themeColor="accent6"/>
          <w:bottom w:val="single" w:sz="8" w:space="0" w:color="E92841" w:themeColor="accent6"/>
          <w:right w:val="single" w:sz="8" w:space="0" w:color="E92841" w:themeColor="accent6"/>
        </w:tcBorders>
        <w:shd w:val="clear" w:color="auto" w:fill="F9C9CF" w:themeFill="accent6" w:themeFillTint="3F"/>
      </w:tcPr>
    </w:tblStylePr>
    <w:tblStylePr w:type="band1Horz">
      <w:tblPr/>
      <w:tcPr>
        <w:tcBorders>
          <w:top w:val="single" w:sz="8" w:space="0" w:color="E92841" w:themeColor="accent6"/>
          <w:left w:val="single" w:sz="8" w:space="0" w:color="E92841" w:themeColor="accent6"/>
          <w:bottom w:val="single" w:sz="8" w:space="0" w:color="E92841" w:themeColor="accent6"/>
          <w:right w:val="single" w:sz="8" w:space="0" w:color="E92841" w:themeColor="accent6"/>
          <w:insideV w:val="single" w:sz="8" w:space="0" w:color="E92841" w:themeColor="accent6"/>
        </w:tcBorders>
        <w:shd w:val="clear" w:color="auto" w:fill="F9C9CF" w:themeFill="accent6" w:themeFillTint="3F"/>
      </w:tcPr>
    </w:tblStylePr>
    <w:tblStylePr w:type="band2Horz">
      <w:tblPr/>
      <w:tcPr>
        <w:tcBorders>
          <w:top w:val="single" w:sz="8" w:space="0" w:color="E92841" w:themeColor="accent6"/>
          <w:left w:val="single" w:sz="8" w:space="0" w:color="E92841" w:themeColor="accent6"/>
          <w:bottom w:val="single" w:sz="8" w:space="0" w:color="E92841" w:themeColor="accent6"/>
          <w:right w:val="single" w:sz="8" w:space="0" w:color="E92841" w:themeColor="accent6"/>
          <w:insideV w:val="single" w:sz="8" w:space="0" w:color="E92841" w:themeColor="accent6"/>
        </w:tcBorders>
      </w:tcPr>
    </w:tblStylePr>
  </w:style>
  <w:style w:type="table" w:styleId="LightList">
    <w:name w:val="Light List"/>
    <w:basedOn w:val="TableNormal"/>
    <w:uiPriority w:val="61"/>
    <w:semiHidden/>
    <w:unhideWhenUsed/>
    <w:rsid w:val="006C286D"/>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6C286D"/>
    <w:tblPr>
      <w:tblStyleRowBandSize w:val="1"/>
      <w:tblStyleColBandSize w:val="1"/>
      <w:tblBorders>
        <w:top w:val="single" w:sz="8" w:space="0" w:color="4F2D7F" w:themeColor="accent1"/>
        <w:left w:val="single" w:sz="8" w:space="0" w:color="4F2D7F" w:themeColor="accent1"/>
        <w:bottom w:val="single" w:sz="8" w:space="0" w:color="4F2D7F" w:themeColor="accent1"/>
        <w:right w:val="single" w:sz="8" w:space="0" w:color="4F2D7F" w:themeColor="accent1"/>
      </w:tblBorders>
    </w:tblPr>
    <w:tblStylePr w:type="firstRow">
      <w:pPr>
        <w:spacing w:before="0" w:after="0" w:line="240" w:lineRule="auto"/>
      </w:pPr>
      <w:rPr>
        <w:b/>
        <w:bCs/>
        <w:color w:val="FFFFFF" w:themeColor="background1"/>
      </w:rPr>
      <w:tblPr/>
      <w:tcPr>
        <w:shd w:val="clear" w:color="auto" w:fill="4F2D7F" w:themeFill="accent1"/>
      </w:tcPr>
    </w:tblStylePr>
    <w:tblStylePr w:type="lastRow">
      <w:pPr>
        <w:spacing w:before="0" w:after="0" w:line="240" w:lineRule="auto"/>
      </w:pPr>
      <w:rPr>
        <w:b/>
        <w:bCs/>
      </w:rPr>
      <w:tblPr/>
      <w:tcPr>
        <w:tcBorders>
          <w:top w:val="double" w:sz="6" w:space="0" w:color="4F2D7F" w:themeColor="accent1"/>
          <w:left w:val="single" w:sz="8" w:space="0" w:color="4F2D7F" w:themeColor="accent1"/>
          <w:bottom w:val="single" w:sz="8" w:space="0" w:color="4F2D7F" w:themeColor="accent1"/>
          <w:right w:val="single" w:sz="8" w:space="0" w:color="4F2D7F" w:themeColor="accent1"/>
        </w:tcBorders>
      </w:tcPr>
    </w:tblStylePr>
    <w:tblStylePr w:type="firstCol">
      <w:rPr>
        <w:b/>
        <w:bCs/>
      </w:rPr>
    </w:tblStylePr>
    <w:tblStylePr w:type="lastCol">
      <w:rPr>
        <w:b/>
        <w:bCs/>
      </w:rPr>
    </w:tblStylePr>
    <w:tblStylePr w:type="band1Vert">
      <w:tblPr/>
      <w:tcPr>
        <w:tcBorders>
          <w:top w:val="single" w:sz="8" w:space="0" w:color="4F2D7F" w:themeColor="accent1"/>
          <w:left w:val="single" w:sz="8" w:space="0" w:color="4F2D7F" w:themeColor="accent1"/>
          <w:bottom w:val="single" w:sz="8" w:space="0" w:color="4F2D7F" w:themeColor="accent1"/>
          <w:right w:val="single" w:sz="8" w:space="0" w:color="4F2D7F" w:themeColor="accent1"/>
        </w:tcBorders>
      </w:tcPr>
    </w:tblStylePr>
    <w:tblStylePr w:type="band1Horz">
      <w:tblPr/>
      <w:tcPr>
        <w:tcBorders>
          <w:top w:val="single" w:sz="8" w:space="0" w:color="4F2D7F" w:themeColor="accent1"/>
          <w:left w:val="single" w:sz="8" w:space="0" w:color="4F2D7F" w:themeColor="accent1"/>
          <w:bottom w:val="single" w:sz="8" w:space="0" w:color="4F2D7F" w:themeColor="accent1"/>
          <w:right w:val="single" w:sz="8" w:space="0" w:color="4F2D7F" w:themeColor="accent1"/>
        </w:tcBorders>
      </w:tcPr>
    </w:tblStylePr>
  </w:style>
  <w:style w:type="table" w:styleId="LightList-Accent2">
    <w:name w:val="Light List Accent 2"/>
    <w:basedOn w:val="TableNormal"/>
    <w:uiPriority w:val="61"/>
    <w:semiHidden/>
    <w:unhideWhenUsed/>
    <w:rsid w:val="006C286D"/>
    <w:tblPr>
      <w:tblStyleRowBandSize w:val="1"/>
      <w:tblStyleColBandSize w:val="1"/>
      <w:tblBorders>
        <w:top w:val="single" w:sz="8" w:space="0" w:color="C8BEAF" w:themeColor="accent2"/>
        <w:left w:val="single" w:sz="8" w:space="0" w:color="C8BEAF" w:themeColor="accent2"/>
        <w:bottom w:val="single" w:sz="8" w:space="0" w:color="C8BEAF" w:themeColor="accent2"/>
        <w:right w:val="single" w:sz="8" w:space="0" w:color="C8BEAF" w:themeColor="accent2"/>
      </w:tblBorders>
    </w:tblPr>
    <w:tblStylePr w:type="firstRow">
      <w:pPr>
        <w:spacing w:before="0" w:after="0" w:line="240" w:lineRule="auto"/>
      </w:pPr>
      <w:rPr>
        <w:b/>
        <w:bCs/>
        <w:color w:val="FFFFFF" w:themeColor="background1"/>
      </w:rPr>
      <w:tblPr/>
      <w:tcPr>
        <w:shd w:val="clear" w:color="auto" w:fill="C8BEAF" w:themeFill="accent2"/>
      </w:tcPr>
    </w:tblStylePr>
    <w:tblStylePr w:type="lastRow">
      <w:pPr>
        <w:spacing w:before="0" w:after="0" w:line="240" w:lineRule="auto"/>
      </w:pPr>
      <w:rPr>
        <w:b/>
        <w:bCs/>
      </w:rPr>
      <w:tblPr/>
      <w:tcPr>
        <w:tcBorders>
          <w:top w:val="double" w:sz="6" w:space="0" w:color="C8BEAF" w:themeColor="accent2"/>
          <w:left w:val="single" w:sz="8" w:space="0" w:color="C8BEAF" w:themeColor="accent2"/>
          <w:bottom w:val="single" w:sz="8" w:space="0" w:color="C8BEAF" w:themeColor="accent2"/>
          <w:right w:val="single" w:sz="8" w:space="0" w:color="C8BEAF" w:themeColor="accent2"/>
        </w:tcBorders>
      </w:tcPr>
    </w:tblStylePr>
    <w:tblStylePr w:type="firstCol">
      <w:rPr>
        <w:b/>
        <w:bCs/>
      </w:rPr>
    </w:tblStylePr>
    <w:tblStylePr w:type="lastCol">
      <w:rPr>
        <w:b/>
        <w:bCs/>
      </w:rPr>
    </w:tblStylePr>
    <w:tblStylePr w:type="band1Vert">
      <w:tblPr/>
      <w:tcPr>
        <w:tcBorders>
          <w:top w:val="single" w:sz="8" w:space="0" w:color="C8BEAF" w:themeColor="accent2"/>
          <w:left w:val="single" w:sz="8" w:space="0" w:color="C8BEAF" w:themeColor="accent2"/>
          <w:bottom w:val="single" w:sz="8" w:space="0" w:color="C8BEAF" w:themeColor="accent2"/>
          <w:right w:val="single" w:sz="8" w:space="0" w:color="C8BEAF" w:themeColor="accent2"/>
        </w:tcBorders>
      </w:tcPr>
    </w:tblStylePr>
    <w:tblStylePr w:type="band1Horz">
      <w:tblPr/>
      <w:tcPr>
        <w:tcBorders>
          <w:top w:val="single" w:sz="8" w:space="0" w:color="C8BEAF" w:themeColor="accent2"/>
          <w:left w:val="single" w:sz="8" w:space="0" w:color="C8BEAF" w:themeColor="accent2"/>
          <w:bottom w:val="single" w:sz="8" w:space="0" w:color="C8BEAF" w:themeColor="accent2"/>
          <w:right w:val="single" w:sz="8" w:space="0" w:color="C8BEAF" w:themeColor="accent2"/>
        </w:tcBorders>
      </w:tcPr>
    </w:tblStylePr>
  </w:style>
  <w:style w:type="table" w:styleId="LightList-Accent3">
    <w:name w:val="Light List Accent 3"/>
    <w:basedOn w:val="TableNormal"/>
    <w:uiPriority w:val="61"/>
    <w:semiHidden/>
    <w:unhideWhenUsed/>
    <w:rsid w:val="006C286D"/>
    <w:tblPr>
      <w:tblStyleRowBandSize w:val="1"/>
      <w:tblStyleColBandSize w:val="1"/>
      <w:tblBorders>
        <w:top w:val="single" w:sz="8" w:space="0" w:color="00A7B5" w:themeColor="accent3"/>
        <w:left w:val="single" w:sz="8" w:space="0" w:color="00A7B5" w:themeColor="accent3"/>
        <w:bottom w:val="single" w:sz="8" w:space="0" w:color="00A7B5" w:themeColor="accent3"/>
        <w:right w:val="single" w:sz="8" w:space="0" w:color="00A7B5" w:themeColor="accent3"/>
      </w:tblBorders>
    </w:tblPr>
    <w:tblStylePr w:type="firstRow">
      <w:pPr>
        <w:spacing w:before="0" w:after="0" w:line="240" w:lineRule="auto"/>
      </w:pPr>
      <w:rPr>
        <w:b/>
        <w:bCs/>
        <w:color w:val="FFFFFF" w:themeColor="background1"/>
      </w:rPr>
      <w:tblPr/>
      <w:tcPr>
        <w:shd w:val="clear" w:color="auto" w:fill="00A7B5" w:themeFill="accent3"/>
      </w:tcPr>
    </w:tblStylePr>
    <w:tblStylePr w:type="lastRow">
      <w:pPr>
        <w:spacing w:before="0" w:after="0" w:line="240" w:lineRule="auto"/>
      </w:pPr>
      <w:rPr>
        <w:b/>
        <w:bCs/>
      </w:rPr>
      <w:tblPr/>
      <w:tcPr>
        <w:tcBorders>
          <w:top w:val="double" w:sz="6" w:space="0" w:color="00A7B5" w:themeColor="accent3"/>
          <w:left w:val="single" w:sz="8" w:space="0" w:color="00A7B5" w:themeColor="accent3"/>
          <w:bottom w:val="single" w:sz="8" w:space="0" w:color="00A7B5" w:themeColor="accent3"/>
          <w:right w:val="single" w:sz="8" w:space="0" w:color="00A7B5" w:themeColor="accent3"/>
        </w:tcBorders>
      </w:tcPr>
    </w:tblStylePr>
    <w:tblStylePr w:type="firstCol">
      <w:rPr>
        <w:b/>
        <w:bCs/>
      </w:rPr>
    </w:tblStylePr>
    <w:tblStylePr w:type="lastCol">
      <w:rPr>
        <w:b/>
        <w:bCs/>
      </w:rPr>
    </w:tblStylePr>
    <w:tblStylePr w:type="band1Vert">
      <w:tblPr/>
      <w:tcPr>
        <w:tcBorders>
          <w:top w:val="single" w:sz="8" w:space="0" w:color="00A7B5" w:themeColor="accent3"/>
          <w:left w:val="single" w:sz="8" w:space="0" w:color="00A7B5" w:themeColor="accent3"/>
          <w:bottom w:val="single" w:sz="8" w:space="0" w:color="00A7B5" w:themeColor="accent3"/>
          <w:right w:val="single" w:sz="8" w:space="0" w:color="00A7B5" w:themeColor="accent3"/>
        </w:tcBorders>
      </w:tcPr>
    </w:tblStylePr>
    <w:tblStylePr w:type="band1Horz">
      <w:tblPr/>
      <w:tcPr>
        <w:tcBorders>
          <w:top w:val="single" w:sz="8" w:space="0" w:color="00A7B5" w:themeColor="accent3"/>
          <w:left w:val="single" w:sz="8" w:space="0" w:color="00A7B5" w:themeColor="accent3"/>
          <w:bottom w:val="single" w:sz="8" w:space="0" w:color="00A7B5" w:themeColor="accent3"/>
          <w:right w:val="single" w:sz="8" w:space="0" w:color="00A7B5" w:themeColor="accent3"/>
        </w:tcBorders>
      </w:tcPr>
    </w:tblStylePr>
  </w:style>
  <w:style w:type="table" w:styleId="LightList-Accent4">
    <w:name w:val="Light List Accent 4"/>
    <w:basedOn w:val="TableNormal"/>
    <w:uiPriority w:val="61"/>
    <w:semiHidden/>
    <w:unhideWhenUsed/>
    <w:rsid w:val="006C286D"/>
    <w:tblPr>
      <w:tblStyleRowBandSize w:val="1"/>
      <w:tblStyleColBandSize w:val="1"/>
      <w:tblBorders>
        <w:top w:val="single" w:sz="8" w:space="0" w:color="FF7D1E" w:themeColor="accent4"/>
        <w:left w:val="single" w:sz="8" w:space="0" w:color="FF7D1E" w:themeColor="accent4"/>
        <w:bottom w:val="single" w:sz="8" w:space="0" w:color="FF7D1E" w:themeColor="accent4"/>
        <w:right w:val="single" w:sz="8" w:space="0" w:color="FF7D1E" w:themeColor="accent4"/>
      </w:tblBorders>
    </w:tblPr>
    <w:tblStylePr w:type="firstRow">
      <w:pPr>
        <w:spacing w:before="0" w:after="0" w:line="240" w:lineRule="auto"/>
      </w:pPr>
      <w:rPr>
        <w:b/>
        <w:bCs/>
        <w:color w:val="FFFFFF" w:themeColor="background1"/>
      </w:rPr>
      <w:tblPr/>
      <w:tcPr>
        <w:shd w:val="clear" w:color="auto" w:fill="FF7D1E" w:themeFill="accent4"/>
      </w:tcPr>
    </w:tblStylePr>
    <w:tblStylePr w:type="lastRow">
      <w:pPr>
        <w:spacing w:before="0" w:after="0" w:line="240" w:lineRule="auto"/>
      </w:pPr>
      <w:rPr>
        <w:b/>
        <w:bCs/>
      </w:rPr>
      <w:tblPr/>
      <w:tcPr>
        <w:tcBorders>
          <w:top w:val="double" w:sz="6" w:space="0" w:color="FF7D1E" w:themeColor="accent4"/>
          <w:left w:val="single" w:sz="8" w:space="0" w:color="FF7D1E" w:themeColor="accent4"/>
          <w:bottom w:val="single" w:sz="8" w:space="0" w:color="FF7D1E" w:themeColor="accent4"/>
          <w:right w:val="single" w:sz="8" w:space="0" w:color="FF7D1E" w:themeColor="accent4"/>
        </w:tcBorders>
      </w:tcPr>
    </w:tblStylePr>
    <w:tblStylePr w:type="firstCol">
      <w:rPr>
        <w:b/>
        <w:bCs/>
      </w:rPr>
    </w:tblStylePr>
    <w:tblStylePr w:type="lastCol">
      <w:rPr>
        <w:b/>
        <w:bCs/>
      </w:rPr>
    </w:tblStylePr>
    <w:tblStylePr w:type="band1Vert">
      <w:tblPr/>
      <w:tcPr>
        <w:tcBorders>
          <w:top w:val="single" w:sz="8" w:space="0" w:color="FF7D1E" w:themeColor="accent4"/>
          <w:left w:val="single" w:sz="8" w:space="0" w:color="FF7D1E" w:themeColor="accent4"/>
          <w:bottom w:val="single" w:sz="8" w:space="0" w:color="FF7D1E" w:themeColor="accent4"/>
          <w:right w:val="single" w:sz="8" w:space="0" w:color="FF7D1E" w:themeColor="accent4"/>
        </w:tcBorders>
      </w:tcPr>
    </w:tblStylePr>
    <w:tblStylePr w:type="band1Horz">
      <w:tblPr/>
      <w:tcPr>
        <w:tcBorders>
          <w:top w:val="single" w:sz="8" w:space="0" w:color="FF7D1E" w:themeColor="accent4"/>
          <w:left w:val="single" w:sz="8" w:space="0" w:color="FF7D1E" w:themeColor="accent4"/>
          <w:bottom w:val="single" w:sz="8" w:space="0" w:color="FF7D1E" w:themeColor="accent4"/>
          <w:right w:val="single" w:sz="8" w:space="0" w:color="FF7D1E" w:themeColor="accent4"/>
        </w:tcBorders>
      </w:tcPr>
    </w:tblStylePr>
  </w:style>
  <w:style w:type="table" w:styleId="LightList-Accent5">
    <w:name w:val="Light List Accent 5"/>
    <w:basedOn w:val="TableNormal"/>
    <w:uiPriority w:val="61"/>
    <w:semiHidden/>
    <w:unhideWhenUsed/>
    <w:rsid w:val="006C286D"/>
    <w:tblPr>
      <w:tblStyleRowBandSize w:val="1"/>
      <w:tblStyleColBandSize w:val="1"/>
      <w:tblBorders>
        <w:top w:val="single" w:sz="8" w:space="0" w:color="9BD732" w:themeColor="accent5"/>
        <w:left w:val="single" w:sz="8" w:space="0" w:color="9BD732" w:themeColor="accent5"/>
        <w:bottom w:val="single" w:sz="8" w:space="0" w:color="9BD732" w:themeColor="accent5"/>
        <w:right w:val="single" w:sz="8" w:space="0" w:color="9BD732" w:themeColor="accent5"/>
      </w:tblBorders>
    </w:tblPr>
    <w:tblStylePr w:type="firstRow">
      <w:pPr>
        <w:spacing w:before="0" w:after="0" w:line="240" w:lineRule="auto"/>
      </w:pPr>
      <w:rPr>
        <w:b/>
        <w:bCs/>
        <w:color w:val="FFFFFF" w:themeColor="background1"/>
      </w:rPr>
      <w:tblPr/>
      <w:tcPr>
        <w:shd w:val="clear" w:color="auto" w:fill="9BD732" w:themeFill="accent5"/>
      </w:tcPr>
    </w:tblStylePr>
    <w:tblStylePr w:type="lastRow">
      <w:pPr>
        <w:spacing w:before="0" w:after="0" w:line="240" w:lineRule="auto"/>
      </w:pPr>
      <w:rPr>
        <w:b/>
        <w:bCs/>
      </w:rPr>
      <w:tblPr/>
      <w:tcPr>
        <w:tcBorders>
          <w:top w:val="double" w:sz="6" w:space="0" w:color="9BD732" w:themeColor="accent5"/>
          <w:left w:val="single" w:sz="8" w:space="0" w:color="9BD732" w:themeColor="accent5"/>
          <w:bottom w:val="single" w:sz="8" w:space="0" w:color="9BD732" w:themeColor="accent5"/>
          <w:right w:val="single" w:sz="8" w:space="0" w:color="9BD732" w:themeColor="accent5"/>
        </w:tcBorders>
      </w:tcPr>
    </w:tblStylePr>
    <w:tblStylePr w:type="firstCol">
      <w:rPr>
        <w:b/>
        <w:bCs/>
      </w:rPr>
    </w:tblStylePr>
    <w:tblStylePr w:type="lastCol">
      <w:rPr>
        <w:b/>
        <w:bCs/>
      </w:rPr>
    </w:tblStylePr>
    <w:tblStylePr w:type="band1Vert">
      <w:tblPr/>
      <w:tcPr>
        <w:tcBorders>
          <w:top w:val="single" w:sz="8" w:space="0" w:color="9BD732" w:themeColor="accent5"/>
          <w:left w:val="single" w:sz="8" w:space="0" w:color="9BD732" w:themeColor="accent5"/>
          <w:bottom w:val="single" w:sz="8" w:space="0" w:color="9BD732" w:themeColor="accent5"/>
          <w:right w:val="single" w:sz="8" w:space="0" w:color="9BD732" w:themeColor="accent5"/>
        </w:tcBorders>
      </w:tcPr>
    </w:tblStylePr>
    <w:tblStylePr w:type="band1Horz">
      <w:tblPr/>
      <w:tcPr>
        <w:tcBorders>
          <w:top w:val="single" w:sz="8" w:space="0" w:color="9BD732" w:themeColor="accent5"/>
          <w:left w:val="single" w:sz="8" w:space="0" w:color="9BD732" w:themeColor="accent5"/>
          <w:bottom w:val="single" w:sz="8" w:space="0" w:color="9BD732" w:themeColor="accent5"/>
          <w:right w:val="single" w:sz="8" w:space="0" w:color="9BD732" w:themeColor="accent5"/>
        </w:tcBorders>
      </w:tcPr>
    </w:tblStylePr>
  </w:style>
  <w:style w:type="table" w:styleId="LightList-Accent6">
    <w:name w:val="Light List Accent 6"/>
    <w:basedOn w:val="TableNormal"/>
    <w:uiPriority w:val="61"/>
    <w:semiHidden/>
    <w:unhideWhenUsed/>
    <w:rsid w:val="006C286D"/>
    <w:tblPr>
      <w:tblStyleRowBandSize w:val="1"/>
      <w:tblStyleColBandSize w:val="1"/>
      <w:tblBorders>
        <w:top w:val="single" w:sz="8" w:space="0" w:color="E92841" w:themeColor="accent6"/>
        <w:left w:val="single" w:sz="8" w:space="0" w:color="E92841" w:themeColor="accent6"/>
        <w:bottom w:val="single" w:sz="8" w:space="0" w:color="E92841" w:themeColor="accent6"/>
        <w:right w:val="single" w:sz="8" w:space="0" w:color="E92841" w:themeColor="accent6"/>
      </w:tblBorders>
    </w:tblPr>
    <w:tblStylePr w:type="firstRow">
      <w:pPr>
        <w:spacing w:before="0" w:after="0" w:line="240" w:lineRule="auto"/>
      </w:pPr>
      <w:rPr>
        <w:b/>
        <w:bCs/>
        <w:color w:val="FFFFFF" w:themeColor="background1"/>
      </w:rPr>
      <w:tblPr/>
      <w:tcPr>
        <w:shd w:val="clear" w:color="auto" w:fill="E92841" w:themeFill="accent6"/>
      </w:tcPr>
    </w:tblStylePr>
    <w:tblStylePr w:type="lastRow">
      <w:pPr>
        <w:spacing w:before="0" w:after="0" w:line="240" w:lineRule="auto"/>
      </w:pPr>
      <w:rPr>
        <w:b/>
        <w:bCs/>
      </w:rPr>
      <w:tblPr/>
      <w:tcPr>
        <w:tcBorders>
          <w:top w:val="double" w:sz="6" w:space="0" w:color="E92841" w:themeColor="accent6"/>
          <w:left w:val="single" w:sz="8" w:space="0" w:color="E92841" w:themeColor="accent6"/>
          <w:bottom w:val="single" w:sz="8" w:space="0" w:color="E92841" w:themeColor="accent6"/>
          <w:right w:val="single" w:sz="8" w:space="0" w:color="E92841" w:themeColor="accent6"/>
        </w:tcBorders>
      </w:tcPr>
    </w:tblStylePr>
    <w:tblStylePr w:type="firstCol">
      <w:rPr>
        <w:b/>
        <w:bCs/>
      </w:rPr>
    </w:tblStylePr>
    <w:tblStylePr w:type="lastCol">
      <w:rPr>
        <w:b/>
        <w:bCs/>
      </w:rPr>
    </w:tblStylePr>
    <w:tblStylePr w:type="band1Vert">
      <w:tblPr/>
      <w:tcPr>
        <w:tcBorders>
          <w:top w:val="single" w:sz="8" w:space="0" w:color="E92841" w:themeColor="accent6"/>
          <w:left w:val="single" w:sz="8" w:space="0" w:color="E92841" w:themeColor="accent6"/>
          <w:bottom w:val="single" w:sz="8" w:space="0" w:color="E92841" w:themeColor="accent6"/>
          <w:right w:val="single" w:sz="8" w:space="0" w:color="E92841" w:themeColor="accent6"/>
        </w:tcBorders>
      </w:tcPr>
    </w:tblStylePr>
    <w:tblStylePr w:type="band1Horz">
      <w:tblPr/>
      <w:tcPr>
        <w:tcBorders>
          <w:top w:val="single" w:sz="8" w:space="0" w:color="E92841" w:themeColor="accent6"/>
          <w:left w:val="single" w:sz="8" w:space="0" w:color="E92841" w:themeColor="accent6"/>
          <w:bottom w:val="single" w:sz="8" w:space="0" w:color="E92841" w:themeColor="accent6"/>
          <w:right w:val="single" w:sz="8" w:space="0" w:color="E92841" w:themeColor="accent6"/>
        </w:tcBorders>
      </w:tcPr>
    </w:tblStylePr>
  </w:style>
  <w:style w:type="table" w:styleId="LightShading">
    <w:name w:val="Light Shading"/>
    <w:basedOn w:val="TableNormal"/>
    <w:uiPriority w:val="60"/>
    <w:semiHidden/>
    <w:unhideWhenUsed/>
    <w:rsid w:val="006C286D"/>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6C286D"/>
    <w:rPr>
      <w:color w:val="3A215E" w:themeColor="accent1" w:themeShade="BF"/>
    </w:rPr>
    <w:tblPr>
      <w:tblStyleRowBandSize w:val="1"/>
      <w:tblStyleColBandSize w:val="1"/>
      <w:tblBorders>
        <w:top w:val="single" w:sz="8" w:space="0" w:color="4F2D7F" w:themeColor="accent1"/>
        <w:bottom w:val="single" w:sz="8" w:space="0" w:color="4F2D7F" w:themeColor="accent1"/>
      </w:tblBorders>
    </w:tblPr>
    <w:tblStylePr w:type="firstRow">
      <w:pPr>
        <w:spacing w:before="0" w:after="0" w:line="240" w:lineRule="auto"/>
      </w:pPr>
      <w:rPr>
        <w:b/>
        <w:bCs/>
      </w:rPr>
      <w:tblPr/>
      <w:tcPr>
        <w:tcBorders>
          <w:top w:val="single" w:sz="8" w:space="0" w:color="4F2D7F" w:themeColor="accent1"/>
          <w:left w:val="nil"/>
          <w:bottom w:val="single" w:sz="8" w:space="0" w:color="4F2D7F" w:themeColor="accent1"/>
          <w:right w:val="nil"/>
          <w:insideH w:val="nil"/>
          <w:insideV w:val="nil"/>
        </w:tcBorders>
      </w:tcPr>
    </w:tblStylePr>
    <w:tblStylePr w:type="lastRow">
      <w:pPr>
        <w:spacing w:before="0" w:after="0" w:line="240" w:lineRule="auto"/>
      </w:pPr>
      <w:rPr>
        <w:b/>
        <w:bCs/>
      </w:rPr>
      <w:tblPr/>
      <w:tcPr>
        <w:tcBorders>
          <w:top w:val="single" w:sz="8" w:space="0" w:color="4F2D7F" w:themeColor="accent1"/>
          <w:left w:val="nil"/>
          <w:bottom w:val="single" w:sz="8" w:space="0" w:color="4F2D7F"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1C1E9" w:themeFill="accent1" w:themeFillTint="3F"/>
      </w:tcPr>
    </w:tblStylePr>
    <w:tblStylePr w:type="band1Horz">
      <w:tblPr/>
      <w:tcPr>
        <w:tcBorders>
          <w:left w:val="nil"/>
          <w:right w:val="nil"/>
          <w:insideH w:val="nil"/>
          <w:insideV w:val="nil"/>
        </w:tcBorders>
        <w:shd w:val="clear" w:color="auto" w:fill="D1C1E9" w:themeFill="accent1" w:themeFillTint="3F"/>
      </w:tcPr>
    </w:tblStylePr>
  </w:style>
  <w:style w:type="table" w:styleId="LightShading-Accent2">
    <w:name w:val="Light Shading Accent 2"/>
    <w:basedOn w:val="TableNormal"/>
    <w:uiPriority w:val="60"/>
    <w:semiHidden/>
    <w:unhideWhenUsed/>
    <w:rsid w:val="006C286D"/>
    <w:rPr>
      <w:color w:val="A19077" w:themeColor="accent2" w:themeShade="BF"/>
    </w:rPr>
    <w:tblPr>
      <w:tblStyleRowBandSize w:val="1"/>
      <w:tblStyleColBandSize w:val="1"/>
      <w:tblBorders>
        <w:top w:val="single" w:sz="8" w:space="0" w:color="C8BEAF" w:themeColor="accent2"/>
        <w:bottom w:val="single" w:sz="8" w:space="0" w:color="C8BEAF" w:themeColor="accent2"/>
      </w:tblBorders>
    </w:tblPr>
    <w:tblStylePr w:type="firstRow">
      <w:pPr>
        <w:spacing w:before="0" w:after="0" w:line="240" w:lineRule="auto"/>
      </w:pPr>
      <w:rPr>
        <w:b/>
        <w:bCs/>
      </w:rPr>
      <w:tblPr/>
      <w:tcPr>
        <w:tcBorders>
          <w:top w:val="single" w:sz="8" w:space="0" w:color="C8BEAF" w:themeColor="accent2"/>
          <w:left w:val="nil"/>
          <w:bottom w:val="single" w:sz="8" w:space="0" w:color="C8BEAF" w:themeColor="accent2"/>
          <w:right w:val="nil"/>
          <w:insideH w:val="nil"/>
          <w:insideV w:val="nil"/>
        </w:tcBorders>
      </w:tcPr>
    </w:tblStylePr>
    <w:tblStylePr w:type="lastRow">
      <w:pPr>
        <w:spacing w:before="0" w:after="0" w:line="240" w:lineRule="auto"/>
      </w:pPr>
      <w:rPr>
        <w:b/>
        <w:bCs/>
      </w:rPr>
      <w:tblPr/>
      <w:tcPr>
        <w:tcBorders>
          <w:top w:val="single" w:sz="8" w:space="0" w:color="C8BEAF" w:themeColor="accent2"/>
          <w:left w:val="nil"/>
          <w:bottom w:val="single" w:sz="8" w:space="0" w:color="C8BEAF"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1EEEB" w:themeFill="accent2" w:themeFillTint="3F"/>
      </w:tcPr>
    </w:tblStylePr>
    <w:tblStylePr w:type="band1Horz">
      <w:tblPr/>
      <w:tcPr>
        <w:tcBorders>
          <w:left w:val="nil"/>
          <w:right w:val="nil"/>
          <w:insideH w:val="nil"/>
          <w:insideV w:val="nil"/>
        </w:tcBorders>
        <w:shd w:val="clear" w:color="auto" w:fill="F1EEEB" w:themeFill="accent2" w:themeFillTint="3F"/>
      </w:tcPr>
    </w:tblStylePr>
  </w:style>
  <w:style w:type="table" w:styleId="LightShading-Accent3">
    <w:name w:val="Light Shading Accent 3"/>
    <w:basedOn w:val="TableNormal"/>
    <w:uiPriority w:val="60"/>
    <w:semiHidden/>
    <w:unhideWhenUsed/>
    <w:rsid w:val="006C286D"/>
    <w:rPr>
      <w:color w:val="007C87" w:themeColor="accent3" w:themeShade="BF"/>
    </w:rPr>
    <w:tblPr>
      <w:tblStyleRowBandSize w:val="1"/>
      <w:tblStyleColBandSize w:val="1"/>
      <w:tblBorders>
        <w:top w:val="single" w:sz="8" w:space="0" w:color="00A7B5" w:themeColor="accent3"/>
        <w:bottom w:val="single" w:sz="8" w:space="0" w:color="00A7B5" w:themeColor="accent3"/>
      </w:tblBorders>
    </w:tblPr>
    <w:tblStylePr w:type="firstRow">
      <w:pPr>
        <w:spacing w:before="0" w:after="0" w:line="240" w:lineRule="auto"/>
      </w:pPr>
      <w:rPr>
        <w:b/>
        <w:bCs/>
      </w:rPr>
      <w:tblPr/>
      <w:tcPr>
        <w:tcBorders>
          <w:top w:val="single" w:sz="8" w:space="0" w:color="00A7B5" w:themeColor="accent3"/>
          <w:left w:val="nil"/>
          <w:bottom w:val="single" w:sz="8" w:space="0" w:color="00A7B5" w:themeColor="accent3"/>
          <w:right w:val="nil"/>
          <w:insideH w:val="nil"/>
          <w:insideV w:val="nil"/>
        </w:tcBorders>
      </w:tcPr>
    </w:tblStylePr>
    <w:tblStylePr w:type="lastRow">
      <w:pPr>
        <w:spacing w:before="0" w:after="0" w:line="240" w:lineRule="auto"/>
      </w:pPr>
      <w:rPr>
        <w:b/>
        <w:bCs/>
      </w:rPr>
      <w:tblPr/>
      <w:tcPr>
        <w:tcBorders>
          <w:top w:val="single" w:sz="8" w:space="0" w:color="00A7B5" w:themeColor="accent3"/>
          <w:left w:val="nil"/>
          <w:bottom w:val="single" w:sz="8" w:space="0" w:color="00A7B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DF8FF" w:themeFill="accent3" w:themeFillTint="3F"/>
      </w:tcPr>
    </w:tblStylePr>
    <w:tblStylePr w:type="band1Horz">
      <w:tblPr/>
      <w:tcPr>
        <w:tcBorders>
          <w:left w:val="nil"/>
          <w:right w:val="nil"/>
          <w:insideH w:val="nil"/>
          <w:insideV w:val="nil"/>
        </w:tcBorders>
        <w:shd w:val="clear" w:color="auto" w:fill="ADF8FF" w:themeFill="accent3" w:themeFillTint="3F"/>
      </w:tcPr>
    </w:tblStylePr>
  </w:style>
  <w:style w:type="table" w:styleId="LightShading-Accent4">
    <w:name w:val="Light Shading Accent 4"/>
    <w:basedOn w:val="TableNormal"/>
    <w:uiPriority w:val="60"/>
    <w:semiHidden/>
    <w:unhideWhenUsed/>
    <w:rsid w:val="006C286D"/>
    <w:rPr>
      <w:color w:val="D55900" w:themeColor="accent4" w:themeShade="BF"/>
    </w:rPr>
    <w:tblPr>
      <w:tblStyleRowBandSize w:val="1"/>
      <w:tblStyleColBandSize w:val="1"/>
      <w:tblBorders>
        <w:top w:val="single" w:sz="8" w:space="0" w:color="FF7D1E" w:themeColor="accent4"/>
        <w:bottom w:val="single" w:sz="8" w:space="0" w:color="FF7D1E" w:themeColor="accent4"/>
      </w:tblBorders>
    </w:tblPr>
    <w:tblStylePr w:type="firstRow">
      <w:pPr>
        <w:spacing w:before="0" w:after="0" w:line="240" w:lineRule="auto"/>
      </w:pPr>
      <w:rPr>
        <w:b/>
        <w:bCs/>
      </w:rPr>
      <w:tblPr/>
      <w:tcPr>
        <w:tcBorders>
          <w:top w:val="single" w:sz="8" w:space="0" w:color="FF7D1E" w:themeColor="accent4"/>
          <w:left w:val="nil"/>
          <w:bottom w:val="single" w:sz="8" w:space="0" w:color="FF7D1E" w:themeColor="accent4"/>
          <w:right w:val="nil"/>
          <w:insideH w:val="nil"/>
          <w:insideV w:val="nil"/>
        </w:tcBorders>
      </w:tcPr>
    </w:tblStylePr>
    <w:tblStylePr w:type="lastRow">
      <w:pPr>
        <w:spacing w:before="0" w:after="0" w:line="240" w:lineRule="auto"/>
      </w:pPr>
      <w:rPr>
        <w:b/>
        <w:bCs/>
      </w:rPr>
      <w:tblPr/>
      <w:tcPr>
        <w:tcBorders>
          <w:top w:val="single" w:sz="8" w:space="0" w:color="FF7D1E" w:themeColor="accent4"/>
          <w:left w:val="nil"/>
          <w:bottom w:val="single" w:sz="8" w:space="0" w:color="FF7D1E"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EC7" w:themeFill="accent4" w:themeFillTint="3F"/>
      </w:tcPr>
    </w:tblStylePr>
    <w:tblStylePr w:type="band1Horz">
      <w:tblPr/>
      <w:tcPr>
        <w:tcBorders>
          <w:left w:val="nil"/>
          <w:right w:val="nil"/>
          <w:insideH w:val="nil"/>
          <w:insideV w:val="nil"/>
        </w:tcBorders>
        <w:shd w:val="clear" w:color="auto" w:fill="FFDEC7" w:themeFill="accent4" w:themeFillTint="3F"/>
      </w:tcPr>
    </w:tblStylePr>
  </w:style>
  <w:style w:type="table" w:styleId="LightShading-Accent5">
    <w:name w:val="Light Shading Accent 5"/>
    <w:basedOn w:val="TableNormal"/>
    <w:uiPriority w:val="60"/>
    <w:semiHidden/>
    <w:unhideWhenUsed/>
    <w:rsid w:val="006C286D"/>
    <w:rPr>
      <w:color w:val="75A520" w:themeColor="accent5" w:themeShade="BF"/>
    </w:rPr>
    <w:tblPr>
      <w:tblStyleRowBandSize w:val="1"/>
      <w:tblStyleColBandSize w:val="1"/>
      <w:tblBorders>
        <w:top w:val="single" w:sz="8" w:space="0" w:color="9BD732" w:themeColor="accent5"/>
        <w:bottom w:val="single" w:sz="8" w:space="0" w:color="9BD732" w:themeColor="accent5"/>
      </w:tblBorders>
    </w:tblPr>
    <w:tblStylePr w:type="firstRow">
      <w:pPr>
        <w:spacing w:before="0" w:after="0" w:line="240" w:lineRule="auto"/>
      </w:pPr>
      <w:rPr>
        <w:b/>
        <w:bCs/>
      </w:rPr>
      <w:tblPr/>
      <w:tcPr>
        <w:tcBorders>
          <w:top w:val="single" w:sz="8" w:space="0" w:color="9BD732" w:themeColor="accent5"/>
          <w:left w:val="nil"/>
          <w:bottom w:val="single" w:sz="8" w:space="0" w:color="9BD732" w:themeColor="accent5"/>
          <w:right w:val="nil"/>
          <w:insideH w:val="nil"/>
          <w:insideV w:val="nil"/>
        </w:tcBorders>
      </w:tcPr>
    </w:tblStylePr>
    <w:tblStylePr w:type="lastRow">
      <w:pPr>
        <w:spacing w:before="0" w:after="0" w:line="240" w:lineRule="auto"/>
      </w:pPr>
      <w:rPr>
        <w:b/>
        <w:bCs/>
      </w:rPr>
      <w:tblPr/>
      <w:tcPr>
        <w:tcBorders>
          <w:top w:val="single" w:sz="8" w:space="0" w:color="9BD732" w:themeColor="accent5"/>
          <w:left w:val="nil"/>
          <w:bottom w:val="single" w:sz="8" w:space="0" w:color="9BD732"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F5CC" w:themeFill="accent5" w:themeFillTint="3F"/>
      </w:tcPr>
    </w:tblStylePr>
    <w:tblStylePr w:type="band1Horz">
      <w:tblPr/>
      <w:tcPr>
        <w:tcBorders>
          <w:left w:val="nil"/>
          <w:right w:val="nil"/>
          <w:insideH w:val="nil"/>
          <w:insideV w:val="nil"/>
        </w:tcBorders>
        <w:shd w:val="clear" w:color="auto" w:fill="E6F5CC" w:themeFill="accent5" w:themeFillTint="3F"/>
      </w:tcPr>
    </w:tblStylePr>
  </w:style>
  <w:style w:type="table" w:styleId="LightShading-Accent6">
    <w:name w:val="Light Shading Accent 6"/>
    <w:basedOn w:val="TableNormal"/>
    <w:uiPriority w:val="60"/>
    <w:semiHidden/>
    <w:unhideWhenUsed/>
    <w:rsid w:val="006C286D"/>
    <w:rPr>
      <w:color w:val="B91328" w:themeColor="accent6" w:themeShade="BF"/>
    </w:rPr>
    <w:tblPr>
      <w:tblStyleRowBandSize w:val="1"/>
      <w:tblStyleColBandSize w:val="1"/>
      <w:tblBorders>
        <w:top w:val="single" w:sz="8" w:space="0" w:color="E92841" w:themeColor="accent6"/>
        <w:bottom w:val="single" w:sz="8" w:space="0" w:color="E92841" w:themeColor="accent6"/>
      </w:tblBorders>
    </w:tblPr>
    <w:tblStylePr w:type="firstRow">
      <w:pPr>
        <w:spacing w:before="0" w:after="0" w:line="240" w:lineRule="auto"/>
      </w:pPr>
      <w:rPr>
        <w:b/>
        <w:bCs/>
      </w:rPr>
      <w:tblPr/>
      <w:tcPr>
        <w:tcBorders>
          <w:top w:val="single" w:sz="8" w:space="0" w:color="E92841" w:themeColor="accent6"/>
          <w:left w:val="nil"/>
          <w:bottom w:val="single" w:sz="8" w:space="0" w:color="E92841" w:themeColor="accent6"/>
          <w:right w:val="nil"/>
          <w:insideH w:val="nil"/>
          <w:insideV w:val="nil"/>
        </w:tcBorders>
      </w:tcPr>
    </w:tblStylePr>
    <w:tblStylePr w:type="lastRow">
      <w:pPr>
        <w:spacing w:before="0" w:after="0" w:line="240" w:lineRule="auto"/>
      </w:pPr>
      <w:rPr>
        <w:b/>
        <w:bCs/>
      </w:rPr>
      <w:tblPr/>
      <w:tcPr>
        <w:tcBorders>
          <w:top w:val="single" w:sz="8" w:space="0" w:color="E92841" w:themeColor="accent6"/>
          <w:left w:val="nil"/>
          <w:bottom w:val="single" w:sz="8" w:space="0" w:color="E92841"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C9CF" w:themeFill="accent6" w:themeFillTint="3F"/>
      </w:tcPr>
    </w:tblStylePr>
    <w:tblStylePr w:type="band1Horz">
      <w:tblPr/>
      <w:tcPr>
        <w:tcBorders>
          <w:left w:val="nil"/>
          <w:right w:val="nil"/>
          <w:insideH w:val="nil"/>
          <w:insideV w:val="nil"/>
        </w:tcBorders>
        <w:shd w:val="clear" w:color="auto" w:fill="F9C9CF" w:themeFill="accent6" w:themeFillTint="3F"/>
      </w:tcPr>
    </w:tblStylePr>
  </w:style>
  <w:style w:type="character" w:styleId="LineNumber">
    <w:name w:val="line number"/>
    <w:basedOn w:val="DefaultParagraphFont"/>
    <w:semiHidden/>
    <w:unhideWhenUsed/>
    <w:rsid w:val="006C286D"/>
    <w:rPr>
      <w:lang w:val="en-US"/>
    </w:rPr>
  </w:style>
  <w:style w:type="paragraph" w:styleId="List">
    <w:name w:val="List"/>
    <w:basedOn w:val="Normal"/>
    <w:semiHidden/>
    <w:unhideWhenUsed/>
    <w:rsid w:val="006C286D"/>
    <w:pPr>
      <w:ind w:left="283" w:hanging="283"/>
      <w:contextualSpacing/>
    </w:pPr>
  </w:style>
  <w:style w:type="paragraph" w:styleId="List2">
    <w:name w:val="List 2"/>
    <w:basedOn w:val="Normal"/>
    <w:semiHidden/>
    <w:rsid w:val="006C286D"/>
    <w:pPr>
      <w:ind w:left="566" w:hanging="283"/>
      <w:contextualSpacing/>
    </w:pPr>
  </w:style>
  <w:style w:type="paragraph" w:styleId="List3">
    <w:name w:val="List 3"/>
    <w:basedOn w:val="Normal"/>
    <w:semiHidden/>
    <w:unhideWhenUsed/>
    <w:rsid w:val="006C286D"/>
    <w:pPr>
      <w:ind w:left="849" w:hanging="283"/>
      <w:contextualSpacing/>
    </w:pPr>
  </w:style>
  <w:style w:type="paragraph" w:styleId="List4">
    <w:name w:val="List 4"/>
    <w:basedOn w:val="Normal"/>
    <w:semiHidden/>
    <w:unhideWhenUsed/>
    <w:rsid w:val="006C286D"/>
    <w:pPr>
      <w:ind w:left="1132" w:hanging="283"/>
      <w:contextualSpacing/>
    </w:pPr>
  </w:style>
  <w:style w:type="paragraph" w:styleId="List5">
    <w:name w:val="List 5"/>
    <w:basedOn w:val="Normal"/>
    <w:semiHidden/>
    <w:unhideWhenUsed/>
    <w:rsid w:val="006C286D"/>
    <w:pPr>
      <w:ind w:left="1415" w:hanging="283"/>
      <w:contextualSpacing/>
    </w:pPr>
  </w:style>
  <w:style w:type="paragraph" w:styleId="ListBullet3">
    <w:name w:val="List Bullet 3"/>
    <w:basedOn w:val="Normal"/>
    <w:uiPriority w:val="1"/>
    <w:qFormat/>
    <w:rsid w:val="008C4D0D"/>
    <w:pPr>
      <w:numPr>
        <w:ilvl w:val="2"/>
        <w:numId w:val="27"/>
      </w:numPr>
      <w:contextualSpacing/>
    </w:pPr>
    <w:rPr>
      <w:lang w:val="en-GB"/>
    </w:rPr>
  </w:style>
  <w:style w:type="paragraph" w:styleId="ListBullet4">
    <w:name w:val="List Bullet 4"/>
    <w:basedOn w:val="Normal"/>
    <w:semiHidden/>
    <w:unhideWhenUsed/>
    <w:rsid w:val="006C286D"/>
    <w:pPr>
      <w:numPr>
        <w:numId w:val="11"/>
      </w:numPr>
      <w:contextualSpacing/>
    </w:pPr>
  </w:style>
  <w:style w:type="paragraph" w:styleId="ListBullet5">
    <w:name w:val="List Bullet 5"/>
    <w:basedOn w:val="Normal"/>
    <w:semiHidden/>
    <w:unhideWhenUsed/>
    <w:rsid w:val="006C286D"/>
    <w:pPr>
      <w:numPr>
        <w:numId w:val="12"/>
      </w:numPr>
      <w:contextualSpacing/>
    </w:pPr>
  </w:style>
  <w:style w:type="paragraph" w:styleId="ListContinue">
    <w:name w:val="List Continue"/>
    <w:basedOn w:val="Normal"/>
    <w:semiHidden/>
    <w:unhideWhenUsed/>
    <w:rsid w:val="006C286D"/>
    <w:pPr>
      <w:ind w:left="283"/>
      <w:contextualSpacing/>
    </w:pPr>
  </w:style>
  <w:style w:type="paragraph" w:styleId="ListContinue2">
    <w:name w:val="List Continue 2"/>
    <w:basedOn w:val="Normal"/>
    <w:semiHidden/>
    <w:unhideWhenUsed/>
    <w:rsid w:val="006C286D"/>
    <w:pPr>
      <w:ind w:left="566"/>
      <w:contextualSpacing/>
    </w:pPr>
  </w:style>
  <w:style w:type="paragraph" w:styleId="ListContinue3">
    <w:name w:val="List Continue 3"/>
    <w:basedOn w:val="Normal"/>
    <w:semiHidden/>
    <w:unhideWhenUsed/>
    <w:rsid w:val="006C286D"/>
    <w:pPr>
      <w:ind w:left="849"/>
      <w:contextualSpacing/>
    </w:pPr>
  </w:style>
  <w:style w:type="paragraph" w:styleId="ListContinue4">
    <w:name w:val="List Continue 4"/>
    <w:basedOn w:val="Normal"/>
    <w:semiHidden/>
    <w:rsid w:val="006C286D"/>
    <w:pPr>
      <w:ind w:left="1132"/>
      <w:contextualSpacing/>
    </w:pPr>
  </w:style>
  <w:style w:type="paragraph" w:styleId="ListContinue5">
    <w:name w:val="List Continue 5"/>
    <w:basedOn w:val="Normal"/>
    <w:semiHidden/>
    <w:rsid w:val="006C286D"/>
    <w:pPr>
      <w:ind w:left="1415"/>
      <w:contextualSpacing/>
    </w:pPr>
  </w:style>
  <w:style w:type="paragraph" w:styleId="ListNumber4">
    <w:name w:val="List Number 4"/>
    <w:basedOn w:val="Normal"/>
    <w:semiHidden/>
    <w:unhideWhenUsed/>
    <w:rsid w:val="006C286D"/>
    <w:pPr>
      <w:numPr>
        <w:numId w:val="13"/>
      </w:numPr>
      <w:contextualSpacing/>
    </w:pPr>
  </w:style>
  <w:style w:type="paragraph" w:styleId="ListNumber5">
    <w:name w:val="List Number 5"/>
    <w:basedOn w:val="Normal"/>
    <w:semiHidden/>
    <w:unhideWhenUsed/>
    <w:rsid w:val="006C286D"/>
    <w:pPr>
      <w:numPr>
        <w:numId w:val="14"/>
      </w:numPr>
      <w:contextualSpacing/>
    </w:pPr>
  </w:style>
  <w:style w:type="paragraph" w:styleId="ListParagraph">
    <w:name w:val="List Paragraph"/>
    <w:basedOn w:val="Normal"/>
    <w:uiPriority w:val="34"/>
    <w:semiHidden/>
    <w:unhideWhenUsed/>
    <w:rsid w:val="006C286D"/>
    <w:pPr>
      <w:ind w:left="720"/>
      <w:contextualSpacing/>
    </w:pPr>
  </w:style>
  <w:style w:type="table" w:styleId="ListTable1Light">
    <w:name w:val="List Table 1 Light"/>
    <w:basedOn w:val="TableNormal"/>
    <w:uiPriority w:val="46"/>
    <w:rsid w:val="006C286D"/>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6C286D"/>
    <w:tblPr>
      <w:tblStyleRowBandSize w:val="1"/>
      <w:tblStyleColBandSize w:val="1"/>
    </w:tblPr>
    <w:tblStylePr w:type="firstRow">
      <w:rPr>
        <w:b/>
        <w:bCs/>
      </w:rPr>
      <w:tblPr/>
      <w:tcPr>
        <w:tcBorders>
          <w:bottom w:val="single" w:sz="4" w:space="0" w:color="9069CA" w:themeColor="accent1" w:themeTint="99"/>
        </w:tcBorders>
      </w:tcPr>
    </w:tblStylePr>
    <w:tblStylePr w:type="lastRow">
      <w:rPr>
        <w:b/>
        <w:bCs/>
      </w:rPr>
      <w:tblPr/>
      <w:tcPr>
        <w:tcBorders>
          <w:top w:val="single" w:sz="4" w:space="0" w:color="9069CA" w:themeColor="accent1" w:themeTint="99"/>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ListTable1Light-Accent2">
    <w:name w:val="List Table 1 Light Accent 2"/>
    <w:basedOn w:val="TableNormal"/>
    <w:uiPriority w:val="46"/>
    <w:rsid w:val="006C286D"/>
    <w:tblPr>
      <w:tblStyleRowBandSize w:val="1"/>
      <w:tblStyleColBandSize w:val="1"/>
    </w:tblPr>
    <w:tblStylePr w:type="firstRow">
      <w:rPr>
        <w:b/>
        <w:bCs/>
      </w:rPr>
      <w:tblPr/>
      <w:tcPr>
        <w:tcBorders>
          <w:bottom w:val="single" w:sz="4" w:space="0" w:color="DED8CF" w:themeColor="accent2" w:themeTint="99"/>
        </w:tcBorders>
      </w:tcPr>
    </w:tblStylePr>
    <w:tblStylePr w:type="lastRow">
      <w:rPr>
        <w:b/>
        <w:bCs/>
      </w:rPr>
      <w:tblPr/>
      <w:tcPr>
        <w:tcBorders>
          <w:top w:val="single" w:sz="4" w:space="0" w:color="DED8CF" w:themeColor="accent2" w:themeTint="99"/>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ListTable1Light-Accent3">
    <w:name w:val="List Table 1 Light Accent 3"/>
    <w:basedOn w:val="TableNormal"/>
    <w:uiPriority w:val="46"/>
    <w:rsid w:val="006C286D"/>
    <w:tblPr>
      <w:tblStyleRowBandSize w:val="1"/>
      <w:tblStyleColBandSize w:val="1"/>
    </w:tblPr>
    <w:tblStylePr w:type="firstRow">
      <w:rPr>
        <w:b/>
        <w:bCs/>
      </w:rPr>
      <w:tblPr/>
      <w:tcPr>
        <w:tcBorders>
          <w:bottom w:val="single" w:sz="4" w:space="0" w:color="39EFFF" w:themeColor="accent3" w:themeTint="99"/>
        </w:tcBorders>
      </w:tcPr>
    </w:tblStylePr>
    <w:tblStylePr w:type="lastRow">
      <w:rPr>
        <w:b/>
        <w:bCs/>
      </w:rPr>
      <w:tblPr/>
      <w:tcPr>
        <w:tcBorders>
          <w:top w:val="single" w:sz="4" w:space="0" w:color="39EFFF" w:themeColor="accent3" w:themeTint="99"/>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ListTable1Light-Accent4">
    <w:name w:val="List Table 1 Light Accent 4"/>
    <w:basedOn w:val="TableNormal"/>
    <w:uiPriority w:val="46"/>
    <w:rsid w:val="006C286D"/>
    <w:tblPr>
      <w:tblStyleRowBandSize w:val="1"/>
      <w:tblStyleColBandSize w:val="1"/>
    </w:tblPr>
    <w:tblStylePr w:type="firstRow">
      <w:rPr>
        <w:b/>
        <w:bCs/>
      </w:rPr>
      <w:tblPr/>
      <w:tcPr>
        <w:tcBorders>
          <w:bottom w:val="single" w:sz="4" w:space="0" w:color="FFB078" w:themeColor="accent4" w:themeTint="99"/>
        </w:tcBorders>
      </w:tcPr>
    </w:tblStylePr>
    <w:tblStylePr w:type="lastRow">
      <w:rPr>
        <w:b/>
        <w:bCs/>
      </w:rPr>
      <w:tblPr/>
      <w:tcPr>
        <w:tcBorders>
          <w:top w:val="single" w:sz="4" w:space="0" w:color="FFB078" w:themeColor="accent4" w:themeTint="99"/>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ListTable1Light-Accent5">
    <w:name w:val="List Table 1 Light Accent 5"/>
    <w:basedOn w:val="TableNormal"/>
    <w:uiPriority w:val="46"/>
    <w:rsid w:val="006C286D"/>
    <w:tblPr>
      <w:tblStyleRowBandSize w:val="1"/>
      <w:tblStyleColBandSize w:val="1"/>
    </w:tblPr>
    <w:tblStylePr w:type="firstRow">
      <w:rPr>
        <w:b/>
        <w:bCs/>
      </w:rPr>
      <w:tblPr/>
      <w:tcPr>
        <w:tcBorders>
          <w:bottom w:val="single" w:sz="4" w:space="0" w:color="C2E784" w:themeColor="accent5" w:themeTint="99"/>
        </w:tcBorders>
      </w:tcPr>
    </w:tblStylePr>
    <w:tblStylePr w:type="lastRow">
      <w:rPr>
        <w:b/>
        <w:bCs/>
      </w:rPr>
      <w:tblPr/>
      <w:tcPr>
        <w:tcBorders>
          <w:top w:val="single" w:sz="4" w:space="0" w:color="C2E784" w:themeColor="accent5" w:themeTint="99"/>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ListTable1Light-Accent6">
    <w:name w:val="List Table 1 Light Accent 6"/>
    <w:basedOn w:val="TableNormal"/>
    <w:uiPriority w:val="46"/>
    <w:rsid w:val="006C286D"/>
    <w:tblPr>
      <w:tblStyleRowBandSize w:val="1"/>
      <w:tblStyleColBandSize w:val="1"/>
    </w:tblPr>
    <w:tblStylePr w:type="firstRow">
      <w:rPr>
        <w:b/>
        <w:bCs/>
      </w:rPr>
      <w:tblPr/>
      <w:tcPr>
        <w:tcBorders>
          <w:bottom w:val="single" w:sz="4" w:space="0" w:color="F17D8C" w:themeColor="accent6" w:themeTint="99"/>
        </w:tcBorders>
      </w:tcPr>
    </w:tblStylePr>
    <w:tblStylePr w:type="lastRow">
      <w:rPr>
        <w:b/>
        <w:bCs/>
      </w:rPr>
      <w:tblPr/>
      <w:tcPr>
        <w:tcBorders>
          <w:top w:val="single" w:sz="4" w:space="0" w:color="F17D8C" w:themeColor="accent6" w:themeTint="99"/>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ListTable2">
    <w:name w:val="List Table 2"/>
    <w:basedOn w:val="TableNormal"/>
    <w:uiPriority w:val="47"/>
    <w:rsid w:val="006C286D"/>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6C286D"/>
    <w:tblPr>
      <w:tblStyleRowBandSize w:val="1"/>
      <w:tblStyleColBandSize w:val="1"/>
      <w:tblBorders>
        <w:top w:val="single" w:sz="4" w:space="0" w:color="9069CA" w:themeColor="accent1" w:themeTint="99"/>
        <w:bottom w:val="single" w:sz="4" w:space="0" w:color="9069CA" w:themeColor="accent1" w:themeTint="99"/>
        <w:insideH w:val="single" w:sz="4" w:space="0" w:color="9069C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ListTable2-Accent2">
    <w:name w:val="List Table 2 Accent 2"/>
    <w:basedOn w:val="TableNormal"/>
    <w:uiPriority w:val="47"/>
    <w:rsid w:val="006C286D"/>
    <w:tblPr>
      <w:tblStyleRowBandSize w:val="1"/>
      <w:tblStyleColBandSize w:val="1"/>
      <w:tblBorders>
        <w:top w:val="single" w:sz="4" w:space="0" w:color="DED8CF" w:themeColor="accent2" w:themeTint="99"/>
        <w:bottom w:val="single" w:sz="4" w:space="0" w:color="DED8CF" w:themeColor="accent2" w:themeTint="99"/>
        <w:insideH w:val="single" w:sz="4" w:space="0" w:color="DED8C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ListTable2-Accent3">
    <w:name w:val="List Table 2 Accent 3"/>
    <w:basedOn w:val="TableNormal"/>
    <w:uiPriority w:val="47"/>
    <w:rsid w:val="006C286D"/>
    <w:tblPr>
      <w:tblStyleRowBandSize w:val="1"/>
      <w:tblStyleColBandSize w:val="1"/>
      <w:tblBorders>
        <w:top w:val="single" w:sz="4" w:space="0" w:color="39EFFF" w:themeColor="accent3" w:themeTint="99"/>
        <w:bottom w:val="single" w:sz="4" w:space="0" w:color="39EFFF" w:themeColor="accent3" w:themeTint="99"/>
        <w:insideH w:val="single" w:sz="4" w:space="0" w:color="39EF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ListTable2-Accent4">
    <w:name w:val="List Table 2 Accent 4"/>
    <w:basedOn w:val="TableNormal"/>
    <w:uiPriority w:val="47"/>
    <w:rsid w:val="006C286D"/>
    <w:tblPr>
      <w:tblStyleRowBandSize w:val="1"/>
      <w:tblStyleColBandSize w:val="1"/>
      <w:tblBorders>
        <w:top w:val="single" w:sz="4" w:space="0" w:color="FFB078" w:themeColor="accent4" w:themeTint="99"/>
        <w:bottom w:val="single" w:sz="4" w:space="0" w:color="FFB078" w:themeColor="accent4" w:themeTint="99"/>
        <w:insideH w:val="single" w:sz="4" w:space="0" w:color="FFB07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ListTable2-Accent5">
    <w:name w:val="List Table 2 Accent 5"/>
    <w:basedOn w:val="TableNormal"/>
    <w:uiPriority w:val="47"/>
    <w:rsid w:val="006C286D"/>
    <w:tblPr>
      <w:tblStyleRowBandSize w:val="1"/>
      <w:tblStyleColBandSize w:val="1"/>
      <w:tblBorders>
        <w:top w:val="single" w:sz="4" w:space="0" w:color="C2E784" w:themeColor="accent5" w:themeTint="99"/>
        <w:bottom w:val="single" w:sz="4" w:space="0" w:color="C2E784" w:themeColor="accent5" w:themeTint="99"/>
        <w:insideH w:val="single" w:sz="4" w:space="0" w:color="C2E784"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ListTable2-Accent6">
    <w:name w:val="List Table 2 Accent 6"/>
    <w:basedOn w:val="TableNormal"/>
    <w:uiPriority w:val="47"/>
    <w:rsid w:val="006C286D"/>
    <w:tblPr>
      <w:tblStyleRowBandSize w:val="1"/>
      <w:tblStyleColBandSize w:val="1"/>
      <w:tblBorders>
        <w:top w:val="single" w:sz="4" w:space="0" w:color="F17D8C" w:themeColor="accent6" w:themeTint="99"/>
        <w:bottom w:val="single" w:sz="4" w:space="0" w:color="F17D8C" w:themeColor="accent6" w:themeTint="99"/>
        <w:insideH w:val="single" w:sz="4" w:space="0" w:color="F17D8C"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ListTable3">
    <w:name w:val="List Table 3"/>
    <w:basedOn w:val="TableNormal"/>
    <w:uiPriority w:val="48"/>
    <w:rsid w:val="006C286D"/>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6C286D"/>
    <w:tblPr>
      <w:tblStyleRowBandSize w:val="1"/>
      <w:tblStyleColBandSize w:val="1"/>
      <w:tblBorders>
        <w:top w:val="single" w:sz="4" w:space="0" w:color="4F2D7F" w:themeColor="accent1"/>
        <w:left w:val="single" w:sz="4" w:space="0" w:color="4F2D7F" w:themeColor="accent1"/>
        <w:bottom w:val="single" w:sz="4" w:space="0" w:color="4F2D7F" w:themeColor="accent1"/>
        <w:right w:val="single" w:sz="4" w:space="0" w:color="4F2D7F" w:themeColor="accent1"/>
      </w:tblBorders>
    </w:tblPr>
    <w:tblStylePr w:type="firstRow">
      <w:rPr>
        <w:b/>
        <w:bCs/>
        <w:color w:val="FFFFFF" w:themeColor="background1"/>
      </w:rPr>
      <w:tblPr/>
      <w:tcPr>
        <w:shd w:val="clear" w:color="auto" w:fill="4F2D7F" w:themeFill="accent1"/>
      </w:tcPr>
    </w:tblStylePr>
    <w:tblStylePr w:type="lastRow">
      <w:rPr>
        <w:b/>
        <w:bCs/>
      </w:rPr>
      <w:tblPr/>
      <w:tcPr>
        <w:tcBorders>
          <w:top w:val="double" w:sz="4" w:space="0" w:color="4F2D7F"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2D7F" w:themeColor="accent1"/>
          <w:right w:val="single" w:sz="4" w:space="0" w:color="4F2D7F" w:themeColor="accent1"/>
        </w:tcBorders>
      </w:tcPr>
    </w:tblStylePr>
    <w:tblStylePr w:type="band1Horz">
      <w:tblPr/>
      <w:tcPr>
        <w:tcBorders>
          <w:top w:val="single" w:sz="4" w:space="0" w:color="4F2D7F" w:themeColor="accent1"/>
          <w:bottom w:val="single" w:sz="4" w:space="0" w:color="4F2D7F"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2D7F" w:themeColor="accent1"/>
          <w:left w:val="nil"/>
        </w:tcBorders>
      </w:tcPr>
    </w:tblStylePr>
    <w:tblStylePr w:type="swCell">
      <w:tblPr/>
      <w:tcPr>
        <w:tcBorders>
          <w:top w:val="double" w:sz="4" w:space="0" w:color="4F2D7F" w:themeColor="accent1"/>
          <w:right w:val="nil"/>
        </w:tcBorders>
      </w:tcPr>
    </w:tblStylePr>
  </w:style>
  <w:style w:type="table" w:styleId="ListTable3-Accent2">
    <w:name w:val="List Table 3 Accent 2"/>
    <w:basedOn w:val="TableNormal"/>
    <w:uiPriority w:val="48"/>
    <w:rsid w:val="006C286D"/>
    <w:tblPr>
      <w:tblStyleRowBandSize w:val="1"/>
      <w:tblStyleColBandSize w:val="1"/>
      <w:tblBorders>
        <w:top w:val="single" w:sz="4" w:space="0" w:color="C8BEAF" w:themeColor="accent2"/>
        <w:left w:val="single" w:sz="4" w:space="0" w:color="C8BEAF" w:themeColor="accent2"/>
        <w:bottom w:val="single" w:sz="4" w:space="0" w:color="C8BEAF" w:themeColor="accent2"/>
        <w:right w:val="single" w:sz="4" w:space="0" w:color="C8BEAF" w:themeColor="accent2"/>
      </w:tblBorders>
    </w:tblPr>
    <w:tblStylePr w:type="firstRow">
      <w:rPr>
        <w:b/>
        <w:bCs/>
        <w:color w:val="FFFFFF" w:themeColor="background1"/>
      </w:rPr>
      <w:tblPr/>
      <w:tcPr>
        <w:shd w:val="clear" w:color="auto" w:fill="C8BEAF" w:themeFill="accent2"/>
      </w:tcPr>
    </w:tblStylePr>
    <w:tblStylePr w:type="lastRow">
      <w:rPr>
        <w:b/>
        <w:bCs/>
      </w:rPr>
      <w:tblPr/>
      <w:tcPr>
        <w:tcBorders>
          <w:top w:val="double" w:sz="4" w:space="0" w:color="C8BEAF"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8BEAF" w:themeColor="accent2"/>
          <w:right w:val="single" w:sz="4" w:space="0" w:color="C8BEAF" w:themeColor="accent2"/>
        </w:tcBorders>
      </w:tcPr>
    </w:tblStylePr>
    <w:tblStylePr w:type="band1Horz">
      <w:tblPr/>
      <w:tcPr>
        <w:tcBorders>
          <w:top w:val="single" w:sz="4" w:space="0" w:color="C8BEAF" w:themeColor="accent2"/>
          <w:bottom w:val="single" w:sz="4" w:space="0" w:color="C8BEAF"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8BEAF" w:themeColor="accent2"/>
          <w:left w:val="nil"/>
        </w:tcBorders>
      </w:tcPr>
    </w:tblStylePr>
    <w:tblStylePr w:type="swCell">
      <w:tblPr/>
      <w:tcPr>
        <w:tcBorders>
          <w:top w:val="double" w:sz="4" w:space="0" w:color="C8BEAF" w:themeColor="accent2"/>
          <w:right w:val="nil"/>
        </w:tcBorders>
      </w:tcPr>
    </w:tblStylePr>
  </w:style>
  <w:style w:type="table" w:styleId="ListTable3-Accent3">
    <w:name w:val="List Table 3 Accent 3"/>
    <w:basedOn w:val="TableNormal"/>
    <w:uiPriority w:val="48"/>
    <w:rsid w:val="006C286D"/>
    <w:tblPr>
      <w:tblStyleRowBandSize w:val="1"/>
      <w:tblStyleColBandSize w:val="1"/>
      <w:tblBorders>
        <w:top w:val="single" w:sz="4" w:space="0" w:color="00A7B5" w:themeColor="accent3"/>
        <w:left w:val="single" w:sz="4" w:space="0" w:color="00A7B5" w:themeColor="accent3"/>
        <w:bottom w:val="single" w:sz="4" w:space="0" w:color="00A7B5" w:themeColor="accent3"/>
        <w:right w:val="single" w:sz="4" w:space="0" w:color="00A7B5" w:themeColor="accent3"/>
      </w:tblBorders>
    </w:tblPr>
    <w:tblStylePr w:type="firstRow">
      <w:rPr>
        <w:b/>
        <w:bCs/>
        <w:color w:val="FFFFFF" w:themeColor="background1"/>
      </w:rPr>
      <w:tblPr/>
      <w:tcPr>
        <w:shd w:val="clear" w:color="auto" w:fill="00A7B5" w:themeFill="accent3"/>
      </w:tcPr>
    </w:tblStylePr>
    <w:tblStylePr w:type="lastRow">
      <w:rPr>
        <w:b/>
        <w:bCs/>
      </w:rPr>
      <w:tblPr/>
      <w:tcPr>
        <w:tcBorders>
          <w:top w:val="double" w:sz="4" w:space="0" w:color="00A7B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7B5" w:themeColor="accent3"/>
          <w:right w:val="single" w:sz="4" w:space="0" w:color="00A7B5" w:themeColor="accent3"/>
        </w:tcBorders>
      </w:tcPr>
    </w:tblStylePr>
    <w:tblStylePr w:type="band1Horz">
      <w:tblPr/>
      <w:tcPr>
        <w:tcBorders>
          <w:top w:val="single" w:sz="4" w:space="0" w:color="00A7B5" w:themeColor="accent3"/>
          <w:bottom w:val="single" w:sz="4" w:space="0" w:color="00A7B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7B5" w:themeColor="accent3"/>
          <w:left w:val="nil"/>
        </w:tcBorders>
      </w:tcPr>
    </w:tblStylePr>
    <w:tblStylePr w:type="swCell">
      <w:tblPr/>
      <w:tcPr>
        <w:tcBorders>
          <w:top w:val="double" w:sz="4" w:space="0" w:color="00A7B5" w:themeColor="accent3"/>
          <w:right w:val="nil"/>
        </w:tcBorders>
      </w:tcPr>
    </w:tblStylePr>
  </w:style>
  <w:style w:type="table" w:styleId="ListTable3-Accent4">
    <w:name w:val="List Table 3 Accent 4"/>
    <w:basedOn w:val="TableNormal"/>
    <w:uiPriority w:val="48"/>
    <w:rsid w:val="006C286D"/>
    <w:tblPr>
      <w:tblStyleRowBandSize w:val="1"/>
      <w:tblStyleColBandSize w:val="1"/>
      <w:tblBorders>
        <w:top w:val="single" w:sz="4" w:space="0" w:color="FF7D1E" w:themeColor="accent4"/>
        <w:left w:val="single" w:sz="4" w:space="0" w:color="FF7D1E" w:themeColor="accent4"/>
        <w:bottom w:val="single" w:sz="4" w:space="0" w:color="FF7D1E" w:themeColor="accent4"/>
        <w:right w:val="single" w:sz="4" w:space="0" w:color="FF7D1E" w:themeColor="accent4"/>
      </w:tblBorders>
    </w:tblPr>
    <w:tblStylePr w:type="firstRow">
      <w:rPr>
        <w:b/>
        <w:bCs/>
        <w:color w:val="FFFFFF" w:themeColor="background1"/>
      </w:rPr>
      <w:tblPr/>
      <w:tcPr>
        <w:shd w:val="clear" w:color="auto" w:fill="FF7D1E" w:themeFill="accent4"/>
      </w:tcPr>
    </w:tblStylePr>
    <w:tblStylePr w:type="lastRow">
      <w:rPr>
        <w:b/>
        <w:bCs/>
      </w:rPr>
      <w:tblPr/>
      <w:tcPr>
        <w:tcBorders>
          <w:top w:val="double" w:sz="4" w:space="0" w:color="FF7D1E"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7D1E" w:themeColor="accent4"/>
          <w:right w:val="single" w:sz="4" w:space="0" w:color="FF7D1E" w:themeColor="accent4"/>
        </w:tcBorders>
      </w:tcPr>
    </w:tblStylePr>
    <w:tblStylePr w:type="band1Horz">
      <w:tblPr/>
      <w:tcPr>
        <w:tcBorders>
          <w:top w:val="single" w:sz="4" w:space="0" w:color="FF7D1E" w:themeColor="accent4"/>
          <w:bottom w:val="single" w:sz="4" w:space="0" w:color="FF7D1E"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7D1E" w:themeColor="accent4"/>
          <w:left w:val="nil"/>
        </w:tcBorders>
      </w:tcPr>
    </w:tblStylePr>
    <w:tblStylePr w:type="swCell">
      <w:tblPr/>
      <w:tcPr>
        <w:tcBorders>
          <w:top w:val="double" w:sz="4" w:space="0" w:color="FF7D1E" w:themeColor="accent4"/>
          <w:right w:val="nil"/>
        </w:tcBorders>
      </w:tcPr>
    </w:tblStylePr>
  </w:style>
  <w:style w:type="table" w:styleId="ListTable3-Accent5">
    <w:name w:val="List Table 3 Accent 5"/>
    <w:basedOn w:val="TableNormal"/>
    <w:uiPriority w:val="48"/>
    <w:rsid w:val="006C286D"/>
    <w:tblPr>
      <w:tblStyleRowBandSize w:val="1"/>
      <w:tblStyleColBandSize w:val="1"/>
      <w:tblBorders>
        <w:top w:val="single" w:sz="4" w:space="0" w:color="9BD732" w:themeColor="accent5"/>
        <w:left w:val="single" w:sz="4" w:space="0" w:color="9BD732" w:themeColor="accent5"/>
        <w:bottom w:val="single" w:sz="4" w:space="0" w:color="9BD732" w:themeColor="accent5"/>
        <w:right w:val="single" w:sz="4" w:space="0" w:color="9BD732" w:themeColor="accent5"/>
      </w:tblBorders>
    </w:tblPr>
    <w:tblStylePr w:type="firstRow">
      <w:rPr>
        <w:b/>
        <w:bCs/>
        <w:color w:val="FFFFFF" w:themeColor="background1"/>
      </w:rPr>
      <w:tblPr/>
      <w:tcPr>
        <w:shd w:val="clear" w:color="auto" w:fill="9BD732" w:themeFill="accent5"/>
      </w:tcPr>
    </w:tblStylePr>
    <w:tblStylePr w:type="lastRow">
      <w:rPr>
        <w:b/>
        <w:bCs/>
      </w:rPr>
      <w:tblPr/>
      <w:tcPr>
        <w:tcBorders>
          <w:top w:val="double" w:sz="4" w:space="0" w:color="9BD732"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BD732" w:themeColor="accent5"/>
          <w:right w:val="single" w:sz="4" w:space="0" w:color="9BD732" w:themeColor="accent5"/>
        </w:tcBorders>
      </w:tcPr>
    </w:tblStylePr>
    <w:tblStylePr w:type="band1Horz">
      <w:tblPr/>
      <w:tcPr>
        <w:tcBorders>
          <w:top w:val="single" w:sz="4" w:space="0" w:color="9BD732" w:themeColor="accent5"/>
          <w:bottom w:val="single" w:sz="4" w:space="0" w:color="9BD732"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BD732" w:themeColor="accent5"/>
          <w:left w:val="nil"/>
        </w:tcBorders>
      </w:tcPr>
    </w:tblStylePr>
    <w:tblStylePr w:type="swCell">
      <w:tblPr/>
      <w:tcPr>
        <w:tcBorders>
          <w:top w:val="double" w:sz="4" w:space="0" w:color="9BD732" w:themeColor="accent5"/>
          <w:right w:val="nil"/>
        </w:tcBorders>
      </w:tcPr>
    </w:tblStylePr>
  </w:style>
  <w:style w:type="table" w:styleId="ListTable3-Accent6">
    <w:name w:val="List Table 3 Accent 6"/>
    <w:basedOn w:val="TableNormal"/>
    <w:uiPriority w:val="48"/>
    <w:rsid w:val="006C286D"/>
    <w:tblPr>
      <w:tblStyleRowBandSize w:val="1"/>
      <w:tblStyleColBandSize w:val="1"/>
      <w:tblBorders>
        <w:top w:val="single" w:sz="4" w:space="0" w:color="E92841" w:themeColor="accent6"/>
        <w:left w:val="single" w:sz="4" w:space="0" w:color="E92841" w:themeColor="accent6"/>
        <w:bottom w:val="single" w:sz="4" w:space="0" w:color="E92841" w:themeColor="accent6"/>
        <w:right w:val="single" w:sz="4" w:space="0" w:color="E92841" w:themeColor="accent6"/>
      </w:tblBorders>
    </w:tblPr>
    <w:tblStylePr w:type="firstRow">
      <w:rPr>
        <w:b/>
        <w:bCs/>
        <w:color w:val="FFFFFF" w:themeColor="background1"/>
      </w:rPr>
      <w:tblPr/>
      <w:tcPr>
        <w:shd w:val="clear" w:color="auto" w:fill="E92841" w:themeFill="accent6"/>
      </w:tcPr>
    </w:tblStylePr>
    <w:tblStylePr w:type="lastRow">
      <w:rPr>
        <w:b/>
        <w:bCs/>
      </w:rPr>
      <w:tblPr/>
      <w:tcPr>
        <w:tcBorders>
          <w:top w:val="double" w:sz="4" w:space="0" w:color="E92841"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2841" w:themeColor="accent6"/>
          <w:right w:val="single" w:sz="4" w:space="0" w:color="E92841" w:themeColor="accent6"/>
        </w:tcBorders>
      </w:tcPr>
    </w:tblStylePr>
    <w:tblStylePr w:type="band1Horz">
      <w:tblPr/>
      <w:tcPr>
        <w:tcBorders>
          <w:top w:val="single" w:sz="4" w:space="0" w:color="E92841" w:themeColor="accent6"/>
          <w:bottom w:val="single" w:sz="4" w:space="0" w:color="E92841"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2841" w:themeColor="accent6"/>
          <w:left w:val="nil"/>
        </w:tcBorders>
      </w:tcPr>
    </w:tblStylePr>
    <w:tblStylePr w:type="swCell">
      <w:tblPr/>
      <w:tcPr>
        <w:tcBorders>
          <w:top w:val="double" w:sz="4" w:space="0" w:color="E92841" w:themeColor="accent6"/>
          <w:right w:val="nil"/>
        </w:tcBorders>
      </w:tcPr>
    </w:tblStylePr>
  </w:style>
  <w:style w:type="table" w:styleId="ListTable4">
    <w:name w:val="List Table 4"/>
    <w:basedOn w:val="TableNormal"/>
    <w:uiPriority w:val="49"/>
    <w:rsid w:val="006C286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6C286D"/>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tblBorders>
    </w:tblPr>
    <w:tblStylePr w:type="firstRow">
      <w:rPr>
        <w:b/>
        <w:bCs/>
        <w:color w:val="FFFFFF" w:themeColor="background1"/>
      </w:rPr>
      <w:tblPr/>
      <w:tcPr>
        <w:tcBorders>
          <w:top w:val="single" w:sz="4" w:space="0" w:color="4F2D7F" w:themeColor="accent1"/>
          <w:left w:val="single" w:sz="4" w:space="0" w:color="4F2D7F" w:themeColor="accent1"/>
          <w:bottom w:val="single" w:sz="4" w:space="0" w:color="4F2D7F" w:themeColor="accent1"/>
          <w:right w:val="single" w:sz="4" w:space="0" w:color="4F2D7F" w:themeColor="accent1"/>
          <w:insideH w:val="nil"/>
        </w:tcBorders>
        <w:shd w:val="clear" w:color="auto" w:fill="4F2D7F" w:themeFill="accent1"/>
      </w:tcPr>
    </w:tblStylePr>
    <w:tblStylePr w:type="lastRow">
      <w:rPr>
        <w:b/>
        <w:bCs/>
      </w:rPr>
      <w:tblPr/>
      <w:tcPr>
        <w:tcBorders>
          <w:top w:val="double" w:sz="4" w:space="0" w:color="9069CA" w:themeColor="accent1" w:themeTint="99"/>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ListTable4-Accent2">
    <w:name w:val="List Table 4 Accent 2"/>
    <w:basedOn w:val="TableNormal"/>
    <w:uiPriority w:val="49"/>
    <w:rsid w:val="006C286D"/>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tblBorders>
    </w:tblPr>
    <w:tblStylePr w:type="firstRow">
      <w:rPr>
        <w:b/>
        <w:bCs/>
        <w:color w:val="FFFFFF" w:themeColor="background1"/>
      </w:rPr>
      <w:tblPr/>
      <w:tcPr>
        <w:tcBorders>
          <w:top w:val="single" w:sz="4" w:space="0" w:color="C8BEAF" w:themeColor="accent2"/>
          <w:left w:val="single" w:sz="4" w:space="0" w:color="C8BEAF" w:themeColor="accent2"/>
          <w:bottom w:val="single" w:sz="4" w:space="0" w:color="C8BEAF" w:themeColor="accent2"/>
          <w:right w:val="single" w:sz="4" w:space="0" w:color="C8BEAF" w:themeColor="accent2"/>
          <w:insideH w:val="nil"/>
        </w:tcBorders>
        <w:shd w:val="clear" w:color="auto" w:fill="C8BEAF" w:themeFill="accent2"/>
      </w:tcPr>
    </w:tblStylePr>
    <w:tblStylePr w:type="lastRow">
      <w:rPr>
        <w:b/>
        <w:bCs/>
      </w:rPr>
      <w:tblPr/>
      <w:tcPr>
        <w:tcBorders>
          <w:top w:val="double" w:sz="4" w:space="0" w:color="DED8CF" w:themeColor="accent2" w:themeTint="99"/>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ListTable4-Accent3">
    <w:name w:val="List Table 4 Accent 3"/>
    <w:basedOn w:val="TableNormal"/>
    <w:uiPriority w:val="49"/>
    <w:rsid w:val="006C286D"/>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tblBorders>
    </w:tblPr>
    <w:tblStylePr w:type="firstRow">
      <w:rPr>
        <w:b/>
        <w:bCs/>
        <w:color w:val="FFFFFF" w:themeColor="background1"/>
      </w:rPr>
      <w:tblPr/>
      <w:tcPr>
        <w:tcBorders>
          <w:top w:val="single" w:sz="4" w:space="0" w:color="00A7B5" w:themeColor="accent3"/>
          <w:left w:val="single" w:sz="4" w:space="0" w:color="00A7B5" w:themeColor="accent3"/>
          <w:bottom w:val="single" w:sz="4" w:space="0" w:color="00A7B5" w:themeColor="accent3"/>
          <w:right w:val="single" w:sz="4" w:space="0" w:color="00A7B5" w:themeColor="accent3"/>
          <w:insideH w:val="nil"/>
        </w:tcBorders>
        <w:shd w:val="clear" w:color="auto" w:fill="00A7B5" w:themeFill="accent3"/>
      </w:tcPr>
    </w:tblStylePr>
    <w:tblStylePr w:type="lastRow">
      <w:rPr>
        <w:b/>
        <w:bCs/>
      </w:rPr>
      <w:tblPr/>
      <w:tcPr>
        <w:tcBorders>
          <w:top w:val="double" w:sz="4" w:space="0" w:color="39EFFF" w:themeColor="accent3" w:themeTint="99"/>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ListTable4-Accent4">
    <w:name w:val="List Table 4 Accent 4"/>
    <w:basedOn w:val="TableNormal"/>
    <w:uiPriority w:val="49"/>
    <w:rsid w:val="006C286D"/>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tblBorders>
    </w:tblPr>
    <w:tblStylePr w:type="firstRow">
      <w:rPr>
        <w:b/>
        <w:bCs/>
        <w:color w:val="FFFFFF" w:themeColor="background1"/>
      </w:rPr>
      <w:tblPr/>
      <w:tcPr>
        <w:tcBorders>
          <w:top w:val="single" w:sz="4" w:space="0" w:color="FF7D1E" w:themeColor="accent4"/>
          <w:left w:val="single" w:sz="4" w:space="0" w:color="FF7D1E" w:themeColor="accent4"/>
          <w:bottom w:val="single" w:sz="4" w:space="0" w:color="FF7D1E" w:themeColor="accent4"/>
          <w:right w:val="single" w:sz="4" w:space="0" w:color="FF7D1E" w:themeColor="accent4"/>
          <w:insideH w:val="nil"/>
        </w:tcBorders>
        <w:shd w:val="clear" w:color="auto" w:fill="FF7D1E" w:themeFill="accent4"/>
      </w:tcPr>
    </w:tblStylePr>
    <w:tblStylePr w:type="lastRow">
      <w:rPr>
        <w:b/>
        <w:bCs/>
      </w:rPr>
      <w:tblPr/>
      <w:tcPr>
        <w:tcBorders>
          <w:top w:val="double" w:sz="4" w:space="0" w:color="FFB078" w:themeColor="accent4" w:themeTint="99"/>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ListTable4-Accent5">
    <w:name w:val="List Table 4 Accent 5"/>
    <w:basedOn w:val="TableNormal"/>
    <w:uiPriority w:val="49"/>
    <w:rsid w:val="006C286D"/>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tblBorders>
    </w:tblPr>
    <w:tblStylePr w:type="firstRow">
      <w:rPr>
        <w:b/>
        <w:bCs/>
        <w:color w:val="FFFFFF" w:themeColor="background1"/>
      </w:rPr>
      <w:tblPr/>
      <w:tcPr>
        <w:tcBorders>
          <w:top w:val="single" w:sz="4" w:space="0" w:color="9BD732" w:themeColor="accent5"/>
          <w:left w:val="single" w:sz="4" w:space="0" w:color="9BD732" w:themeColor="accent5"/>
          <w:bottom w:val="single" w:sz="4" w:space="0" w:color="9BD732" w:themeColor="accent5"/>
          <w:right w:val="single" w:sz="4" w:space="0" w:color="9BD732" w:themeColor="accent5"/>
          <w:insideH w:val="nil"/>
        </w:tcBorders>
        <w:shd w:val="clear" w:color="auto" w:fill="9BD732" w:themeFill="accent5"/>
      </w:tcPr>
    </w:tblStylePr>
    <w:tblStylePr w:type="lastRow">
      <w:rPr>
        <w:b/>
        <w:bCs/>
      </w:rPr>
      <w:tblPr/>
      <w:tcPr>
        <w:tcBorders>
          <w:top w:val="double" w:sz="4" w:space="0" w:color="C2E784" w:themeColor="accent5" w:themeTint="99"/>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ListTable4-Accent6">
    <w:name w:val="List Table 4 Accent 6"/>
    <w:basedOn w:val="TableNormal"/>
    <w:uiPriority w:val="49"/>
    <w:rsid w:val="006C286D"/>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tblBorders>
    </w:tblPr>
    <w:tblStylePr w:type="firstRow">
      <w:rPr>
        <w:b/>
        <w:bCs/>
        <w:color w:val="FFFFFF" w:themeColor="background1"/>
      </w:rPr>
      <w:tblPr/>
      <w:tcPr>
        <w:tcBorders>
          <w:top w:val="single" w:sz="4" w:space="0" w:color="E92841" w:themeColor="accent6"/>
          <w:left w:val="single" w:sz="4" w:space="0" w:color="E92841" w:themeColor="accent6"/>
          <w:bottom w:val="single" w:sz="4" w:space="0" w:color="E92841" w:themeColor="accent6"/>
          <w:right w:val="single" w:sz="4" w:space="0" w:color="E92841" w:themeColor="accent6"/>
          <w:insideH w:val="nil"/>
        </w:tcBorders>
        <w:shd w:val="clear" w:color="auto" w:fill="E92841" w:themeFill="accent6"/>
      </w:tcPr>
    </w:tblStylePr>
    <w:tblStylePr w:type="lastRow">
      <w:rPr>
        <w:b/>
        <w:bCs/>
      </w:rPr>
      <w:tblPr/>
      <w:tcPr>
        <w:tcBorders>
          <w:top w:val="double" w:sz="4" w:space="0" w:color="F17D8C" w:themeColor="accent6" w:themeTint="99"/>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ListTable5Dark">
    <w:name w:val="List Table 5 Dark"/>
    <w:basedOn w:val="TableNormal"/>
    <w:uiPriority w:val="50"/>
    <w:rsid w:val="006C286D"/>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6C286D"/>
    <w:rPr>
      <w:color w:val="FFFFFF" w:themeColor="background1"/>
    </w:rPr>
    <w:tblPr>
      <w:tblStyleRowBandSize w:val="1"/>
      <w:tblStyleColBandSize w:val="1"/>
      <w:tblBorders>
        <w:top w:val="single" w:sz="24" w:space="0" w:color="4F2D7F" w:themeColor="accent1"/>
        <w:left w:val="single" w:sz="24" w:space="0" w:color="4F2D7F" w:themeColor="accent1"/>
        <w:bottom w:val="single" w:sz="24" w:space="0" w:color="4F2D7F" w:themeColor="accent1"/>
        <w:right w:val="single" w:sz="24" w:space="0" w:color="4F2D7F" w:themeColor="accent1"/>
      </w:tblBorders>
    </w:tblPr>
    <w:tcPr>
      <w:shd w:val="clear" w:color="auto" w:fill="4F2D7F"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6C286D"/>
    <w:rPr>
      <w:color w:val="FFFFFF" w:themeColor="background1"/>
    </w:rPr>
    <w:tblPr>
      <w:tblStyleRowBandSize w:val="1"/>
      <w:tblStyleColBandSize w:val="1"/>
      <w:tblBorders>
        <w:top w:val="single" w:sz="24" w:space="0" w:color="C8BEAF" w:themeColor="accent2"/>
        <w:left w:val="single" w:sz="24" w:space="0" w:color="C8BEAF" w:themeColor="accent2"/>
        <w:bottom w:val="single" w:sz="24" w:space="0" w:color="C8BEAF" w:themeColor="accent2"/>
        <w:right w:val="single" w:sz="24" w:space="0" w:color="C8BEAF" w:themeColor="accent2"/>
      </w:tblBorders>
    </w:tblPr>
    <w:tcPr>
      <w:shd w:val="clear" w:color="auto" w:fill="C8BEAF"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6C286D"/>
    <w:rPr>
      <w:color w:val="FFFFFF" w:themeColor="background1"/>
    </w:rPr>
    <w:tblPr>
      <w:tblStyleRowBandSize w:val="1"/>
      <w:tblStyleColBandSize w:val="1"/>
      <w:tblBorders>
        <w:top w:val="single" w:sz="24" w:space="0" w:color="00A7B5" w:themeColor="accent3"/>
        <w:left w:val="single" w:sz="24" w:space="0" w:color="00A7B5" w:themeColor="accent3"/>
        <w:bottom w:val="single" w:sz="24" w:space="0" w:color="00A7B5" w:themeColor="accent3"/>
        <w:right w:val="single" w:sz="24" w:space="0" w:color="00A7B5" w:themeColor="accent3"/>
      </w:tblBorders>
    </w:tblPr>
    <w:tcPr>
      <w:shd w:val="clear" w:color="auto" w:fill="00A7B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6C286D"/>
    <w:rPr>
      <w:color w:val="FFFFFF" w:themeColor="background1"/>
    </w:rPr>
    <w:tblPr>
      <w:tblStyleRowBandSize w:val="1"/>
      <w:tblStyleColBandSize w:val="1"/>
      <w:tblBorders>
        <w:top w:val="single" w:sz="24" w:space="0" w:color="FF7D1E" w:themeColor="accent4"/>
        <w:left w:val="single" w:sz="24" w:space="0" w:color="FF7D1E" w:themeColor="accent4"/>
        <w:bottom w:val="single" w:sz="24" w:space="0" w:color="FF7D1E" w:themeColor="accent4"/>
        <w:right w:val="single" w:sz="24" w:space="0" w:color="FF7D1E" w:themeColor="accent4"/>
      </w:tblBorders>
    </w:tblPr>
    <w:tcPr>
      <w:shd w:val="clear" w:color="auto" w:fill="FF7D1E"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6C286D"/>
    <w:rPr>
      <w:color w:val="FFFFFF" w:themeColor="background1"/>
    </w:rPr>
    <w:tblPr>
      <w:tblStyleRowBandSize w:val="1"/>
      <w:tblStyleColBandSize w:val="1"/>
      <w:tblBorders>
        <w:top w:val="single" w:sz="24" w:space="0" w:color="9BD732" w:themeColor="accent5"/>
        <w:left w:val="single" w:sz="24" w:space="0" w:color="9BD732" w:themeColor="accent5"/>
        <w:bottom w:val="single" w:sz="24" w:space="0" w:color="9BD732" w:themeColor="accent5"/>
        <w:right w:val="single" w:sz="24" w:space="0" w:color="9BD732" w:themeColor="accent5"/>
      </w:tblBorders>
    </w:tblPr>
    <w:tcPr>
      <w:shd w:val="clear" w:color="auto" w:fill="9BD732"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6C286D"/>
    <w:rPr>
      <w:color w:val="FFFFFF" w:themeColor="background1"/>
    </w:rPr>
    <w:tblPr>
      <w:tblStyleRowBandSize w:val="1"/>
      <w:tblStyleColBandSize w:val="1"/>
      <w:tblBorders>
        <w:top w:val="single" w:sz="24" w:space="0" w:color="E92841" w:themeColor="accent6"/>
        <w:left w:val="single" w:sz="24" w:space="0" w:color="E92841" w:themeColor="accent6"/>
        <w:bottom w:val="single" w:sz="24" w:space="0" w:color="E92841" w:themeColor="accent6"/>
        <w:right w:val="single" w:sz="24" w:space="0" w:color="E92841" w:themeColor="accent6"/>
      </w:tblBorders>
    </w:tblPr>
    <w:tcPr>
      <w:shd w:val="clear" w:color="auto" w:fill="E92841"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6C286D"/>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6C286D"/>
    <w:rPr>
      <w:color w:val="3A215E" w:themeColor="accent1" w:themeShade="BF"/>
    </w:rPr>
    <w:tblPr>
      <w:tblStyleRowBandSize w:val="1"/>
      <w:tblStyleColBandSize w:val="1"/>
      <w:tblBorders>
        <w:top w:val="single" w:sz="4" w:space="0" w:color="4F2D7F" w:themeColor="accent1"/>
        <w:bottom w:val="single" w:sz="4" w:space="0" w:color="4F2D7F" w:themeColor="accent1"/>
      </w:tblBorders>
    </w:tblPr>
    <w:tblStylePr w:type="firstRow">
      <w:rPr>
        <w:b/>
        <w:bCs/>
      </w:rPr>
      <w:tblPr/>
      <w:tcPr>
        <w:tcBorders>
          <w:bottom w:val="single" w:sz="4" w:space="0" w:color="4F2D7F" w:themeColor="accent1"/>
        </w:tcBorders>
      </w:tcPr>
    </w:tblStylePr>
    <w:tblStylePr w:type="lastRow">
      <w:rPr>
        <w:b/>
        <w:bCs/>
      </w:rPr>
      <w:tblPr/>
      <w:tcPr>
        <w:tcBorders>
          <w:top w:val="double" w:sz="4" w:space="0" w:color="4F2D7F" w:themeColor="accent1"/>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ListTable6Colorful-Accent2">
    <w:name w:val="List Table 6 Colorful Accent 2"/>
    <w:basedOn w:val="TableNormal"/>
    <w:uiPriority w:val="51"/>
    <w:rsid w:val="006C286D"/>
    <w:rPr>
      <w:color w:val="A19077" w:themeColor="accent2" w:themeShade="BF"/>
    </w:rPr>
    <w:tblPr>
      <w:tblStyleRowBandSize w:val="1"/>
      <w:tblStyleColBandSize w:val="1"/>
      <w:tblBorders>
        <w:top w:val="single" w:sz="4" w:space="0" w:color="C8BEAF" w:themeColor="accent2"/>
        <w:bottom w:val="single" w:sz="4" w:space="0" w:color="C8BEAF" w:themeColor="accent2"/>
      </w:tblBorders>
    </w:tblPr>
    <w:tblStylePr w:type="firstRow">
      <w:rPr>
        <w:b/>
        <w:bCs/>
      </w:rPr>
      <w:tblPr/>
      <w:tcPr>
        <w:tcBorders>
          <w:bottom w:val="single" w:sz="4" w:space="0" w:color="C8BEAF" w:themeColor="accent2"/>
        </w:tcBorders>
      </w:tcPr>
    </w:tblStylePr>
    <w:tblStylePr w:type="lastRow">
      <w:rPr>
        <w:b/>
        <w:bCs/>
      </w:rPr>
      <w:tblPr/>
      <w:tcPr>
        <w:tcBorders>
          <w:top w:val="double" w:sz="4" w:space="0" w:color="C8BEAF" w:themeColor="accent2"/>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ListTable6Colorful-Accent3">
    <w:name w:val="List Table 6 Colorful Accent 3"/>
    <w:basedOn w:val="TableNormal"/>
    <w:uiPriority w:val="51"/>
    <w:rsid w:val="006C286D"/>
    <w:rPr>
      <w:color w:val="007C87" w:themeColor="accent3" w:themeShade="BF"/>
    </w:rPr>
    <w:tblPr>
      <w:tblStyleRowBandSize w:val="1"/>
      <w:tblStyleColBandSize w:val="1"/>
      <w:tblBorders>
        <w:top w:val="single" w:sz="4" w:space="0" w:color="00A7B5" w:themeColor="accent3"/>
        <w:bottom w:val="single" w:sz="4" w:space="0" w:color="00A7B5" w:themeColor="accent3"/>
      </w:tblBorders>
    </w:tblPr>
    <w:tblStylePr w:type="firstRow">
      <w:rPr>
        <w:b/>
        <w:bCs/>
      </w:rPr>
      <w:tblPr/>
      <w:tcPr>
        <w:tcBorders>
          <w:bottom w:val="single" w:sz="4" w:space="0" w:color="00A7B5" w:themeColor="accent3"/>
        </w:tcBorders>
      </w:tcPr>
    </w:tblStylePr>
    <w:tblStylePr w:type="lastRow">
      <w:rPr>
        <w:b/>
        <w:bCs/>
      </w:rPr>
      <w:tblPr/>
      <w:tcPr>
        <w:tcBorders>
          <w:top w:val="double" w:sz="4" w:space="0" w:color="00A7B5" w:themeColor="accent3"/>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ListTable6Colorful-Accent4">
    <w:name w:val="List Table 6 Colorful Accent 4"/>
    <w:basedOn w:val="TableNormal"/>
    <w:uiPriority w:val="51"/>
    <w:rsid w:val="006C286D"/>
    <w:rPr>
      <w:color w:val="D55900" w:themeColor="accent4" w:themeShade="BF"/>
    </w:rPr>
    <w:tblPr>
      <w:tblStyleRowBandSize w:val="1"/>
      <w:tblStyleColBandSize w:val="1"/>
      <w:tblBorders>
        <w:top w:val="single" w:sz="4" w:space="0" w:color="FF7D1E" w:themeColor="accent4"/>
        <w:bottom w:val="single" w:sz="4" w:space="0" w:color="FF7D1E" w:themeColor="accent4"/>
      </w:tblBorders>
    </w:tblPr>
    <w:tblStylePr w:type="firstRow">
      <w:rPr>
        <w:b/>
        <w:bCs/>
      </w:rPr>
      <w:tblPr/>
      <w:tcPr>
        <w:tcBorders>
          <w:bottom w:val="single" w:sz="4" w:space="0" w:color="FF7D1E" w:themeColor="accent4"/>
        </w:tcBorders>
      </w:tcPr>
    </w:tblStylePr>
    <w:tblStylePr w:type="lastRow">
      <w:rPr>
        <w:b/>
        <w:bCs/>
      </w:rPr>
      <w:tblPr/>
      <w:tcPr>
        <w:tcBorders>
          <w:top w:val="double" w:sz="4" w:space="0" w:color="FF7D1E" w:themeColor="accent4"/>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ListTable6Colorful-Accent5">
    <w:name w:val="List Table 6 Colorful Accent 5"/>
    <w:basedOn w:val="TableNormal"/>
    <w:uiPriority w:val="51"/>
    <w:rsid w:val="006C286D"/>
    <w:rPr>
      <w:color w:val="75A520" w:themeColor="accent5" w:themeShade="BF"/>
    </w:rPr>
    <w:tblPr>
      <w:tblStyleRowBandSize w:val="1"/>
      <w:tblStyleColBandSize w:val="1"/>
      <w:tblBorders>
        <w:top w:val="single" w:sz="4" w:space="0" w:color="9BD732" w:themeColor="accent5"/>
        <w:bottom w:val="single" w:sz="4" w:space="0" w:color="9BD732" w:themeColor="accent5"/>
      </w:tblBorders>
    </w:tblPr>
    <w:tblStylePr w:type="firstRow">
      <w:rPr>
        <w:b/>
        <w:bCs/>
      </w:rPr>
      <w:tblPr/>
      <w:tcPr>
        <w:tcBorders>
          <w:bottom w:val="single" w:sz="4" w:space="0" w:color="9BD732" w:themeColor="accent5"/>
        </w:tcBorders>
      </w:tcPr>
    </w:tblStylePr>
    <w:tblStylePr w:type="lastRow">
      <w:rPr>
        <w:b/>
        <w:bCs/>
      </w:rPr>
      <w:tblPr/>
      <w:tcPr>
        <w:tcBorders>
          <w:top w:val="double" w:sz="4" w:space="0" w:color="9BD732" w:themeColor="accent5"/>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ListTable6Colorful-Accent6">
    <w:name w:val="List Table 6 Colorful Accent 6"/>
    <w:basedOn w:val="TableNormal"/>
    <w:uiPriority w:val="51"/>
    <w:rsid w:val="006C286D"/>
    <w:rPr>
      <w:color w:val="B91328" w:themeColor="accent6" w:themeShade="BF"/>
    </w:rPr>
    <w:tblPr>
      <w:tblStyleRowBandSize w:val="1"/>
      <w:tblStyleColBandSize w:val="1"/>
      <w:tblBorders>
        <w:top w:val="single" w:sz="4" w:space="0" w:color="E92841" w:themeColor="accent6"/>
        <w:bottom w:val="single" w:sz="4" w:space="0" w:color="E92841" w:themeColor="accent6"/>
      </w:tblBorders>
    </w:tblPr>
    <w:tblStylePr w:type="firstRow">
      <w:rPr>
        <w:b/>
        <w:bCs/>
      </w:rPr>
      <w:tblPr/>
      <w:tcPr>
        <w:tcBorders>
          <w:bottom w:val="single" w:sz="4" w:space="0" w:color="E92841" w:themeColor="accent6"/>
        </w:tcBorders>
      </w:tcPr>
    </w:tblStylePr>
    <w:tblStylePr w:type="lastRow">
      <w:rPr>
        <w:b/>
        <w:bCs/>
      </w:rPr>
      <w:tblPr/>
      <w:tcPr>
        <w:tcBorders>
          <w:top w:val="double" w:sz="4" w:space="0" w:color="E92841" w:themeColor="accent6"/>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ListTable7Colorful">
    <w:name w:val="List Table 7 Colorful"/>
    <w:basedOn w:val="TableNormal"/>
    <w:uiPriority w:val="52"/>
    <w:rsid w:val="006C286D"/>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6C286D"/>
    <w:rPr>
      <w:color w:val="3A215E"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2D7F"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2D7F"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2D7F"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2D7F" w:themeColor="accent1"/>
        </w:tcBorders>
        <w:shd w:val="clear" w:color="auto" w:fill="FFFFFF" w:themeFill="background1"/>
      </w:tcPr>
    </w:tblStylePr>
    <w:tblStylePr w:type="band1Vert">
      <w:tblPr/>
      <w:tcPr>
        <w:shd w:val="clear" w:color="auto" w:fill="DACDED" w:themeFill="accent1" w:themeFillTint="33"/>
      </w:tcPr>
    </w:tblStylePr>
    <w:tblStylePr w:type="band1Horz">
      <w:tblPr/>
      <w:tcPr>
        <w:shd w:val="clear" w:color="auto" w:fill="DACDED"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6C286D"/>
    <w:rPr>
      <w:color w:val="A19077"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8BEAF"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8BEAF"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8BEAF"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8BEAF" w:themeColor="accent2"/>
        </w:tcBorders>
        <w:shd w:val="clear" w:color="auto" w:fill="FFFFFF" w:themeFill="background1"/>
      </w:tcPr>
    </w:tblStylePr>
    <w:tblStylePr w:type="band1Vert">
      <w:tblPr/>
      <w:tcPr>
        <w:shd w:val="clear" w:color="auto" w:fill="F4F2EF" w:themeFill="accent2" w:themeFillTint="33"/>
      </w:tcPr>
    </w:tblStylePr>
    <w:tblStylePr w:type="band1Horz">
      <w:tblPr/>
      <w:tcPr>
        <w:shd w:val="clear" w:color="auto" w:fill="F4F2E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6C286D"/>
    <w:rPr>
      <w:color w:val="007C8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7B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7B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7B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7B5" w:themeColor="accent3"/>
        </w:tcBorders>
        <w:shd w:val="clear" w:color="auto" w:fill="FFFFFF" w:themeFill="background1"/>
      </w:tcPr>
    </w:tblStylePr>
    <w:tblStylePr w:type="band1Vert">
      <w:tblPr/>
      <w:tcPr>
        <w:shd w:val="clear" w:color="auto" w:fill="BDF9FF" w:themeFill="accent3" w:themeFillTint="33"/>
      </w:tcPr>
    </w:tblStylePr>
    <w:tblStylePr w:type="band1Horz">
      <w:tblPr/>
      <w:tcPr>
        <w:shd w:val="clear" w:color="auto" w:fill="BDF9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6C286D"/>
    <w:rPr>
      <w:color w:val="D559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7D1E"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7D1E"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7D1E"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7D1E" w:themeColor="accent4"/>
        </w:tcBorders>
        <w:shd w:val="clear" w:color="auto" w:fill="FFFFFF" w:themeFill="background1"/>
      </w:tcPr>
    </w:tblStylePr>
    <w:tblStylePr w:type="band1Vert">
      <w:tblPr/>
      <w:tcPr>
        <w:shd w:val="clear" w:color="auto" w:fill="FFE4D2" w:themeFill="accent4" w:themeFillTint="33"/>
      </w:tcPr>
    </w:tblStylePr>
    <w:tblStylePr w:type="band1Horz">
      <w:tblPr/>
      <w:tcPr>
        <w:shd w:val="clear" w:color="auto" w:fill="FFE4D2"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6C286D"/>
    <w:rPr>
      <w:color w:val="75A52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BD732"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BD732"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BD732"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BD732" w:themeColor="accent5"/>
        </w:tcBorders>
        <w:shd w:val="clear" w:color="auto" w:fill="FFFFFF" w:themeFill="background1"/>
      </w:tcPr>
    </w:tblStylePr>
    <w:tblStylePr w:type="band1Vert">
      <w:tblPr/>
      <w:tcPr>
        <w:shd w:val="clear" w:color="auto" w:fill="EAF7D6" w:themeFill="accent5" w:themeFillTint="33"/>
      </w:tcPr>
    </w:tblStylePr>
    <w:tblStylePr w:type="band1Horz">
      <w:tblPr/>
      <w:tcPr>
        <w:shd w:val="clear" w:color="auto" w:fill="EAF7D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6C286D"/>
    <w:rPr>
      <w:color w:val="B91328"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2841"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2841"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2841"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2841" w:themeColor="accent6"/>
        </w:tcBorders>
        <w:shd w:val="clear" w:color="auto" w:fill="FFFFFF" w:themeFill="background1"/>
      </w:tcPr>
    </w:tblStylePr>
    <w:tblStylePr w:type="band1Vert">
      <w:tblPr/>
      <w:tcPr>
        <w:shd w:val="clear" w:color="auto" w:fill="FAD3D8" w:themeFill="accent6" w:themeFillTint="33"/>
      </w:tcPr>
    </w:tblStylePr>
    <w:tblStylePr w:type="band1Horz">
      <w:tblPr/>
      <w:tcPr>
        <w:shd w:val="clear" w:color="auto" w:fill="FAD3D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6C286D"/>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6C286D"/>
    <w:tblPr>
      <w:tblStyleRowBandSize w:val="1"/>
      <w:tblStyleColBandSize w:val="1"/>
      <w:tblBorders>
        <w:top w:val="single" w:sz="8" w:space="0" w:color="7543BC" w:themeColor="accent1" w:themeTint="BF"/>
        <w:left w:val="single" w:sz="8" w:space="0" w:color="7543BC" w:themeColor="accent1" w:themeTint="BF"/>
        <w:bottom w:val="single" w:sz="8" w:space="0" w:color="7543BC" w:themeColor="accent1" w:themeTint="BF"/>
        <w:right w:val="single" w:sz="8" w:space="0" w:color="7543BC" w:themeColor="accent1" w:themeTint="BF"/>
        <w:insideH w:val="single" w:sz="8" w:space="0" w:color="7543BC" w:themeColor="accent1" w:themeTint="BF"/>
        <w:insideV w:val="single" w:sz="8" w:space="0" w:color="7543BC" w:themeColor="accent1" w:themeTint="BF"/>
      </w:tblBorders>
    </w:tblPr>
    <w:tcPr>
      <w:shd w:val="clear" w:color="auto" w:fill="D1C1E9" w:themeFill="accent1" w:themeFillTint="3F"/>
    </w:tcPr>
    <w:tblStylePr w:type="firstRow">
      <w:rPr>
        <w:b/>
        <w:bCs/>
      </w:rPr>
    </w:tblStylePr>
    <w:tblStylePr w:type="lastRow">
      <w:rPr>
        <w:b/>
        <w:bCs/>
      </w:rPr>
      <w:tblPr/>
      <w:tcPr>
        <w:tcBorders>
          <w:top w:val="single" w:sz="18" w:space="0" w:color="7543BC" w:themeColor="accent1" w:themeTint="BF"/>
        </w:tcBorders>
      </w:tcPr>
    </w:tblStylePr>
    <w:tblStylePr w:type="firstCol">
      <w:rPr>
        <w:b/>
        <w:bCs/>
      </w:rPr>
    </w:tblStylePr>
    <w:tblStylePr w:type="lastCol">
      <w:rPr>
        <w:b/>
        <w:bCs/>
      </w:rPr>
    </w:tblStylePr>
    <w:tblStylePr w:type="band1Vert">
      <w:tblPr/>
      <w:tcPr>
        <w:shd w:val="clear" w:color="auto" w:fill="A382D3" w:themeFill="accent1" w:themeFillTint="7F"/>
      </w:tcPr>
    </w:tblStylePr>
    <w:tblStylePr w:type="band1Horz">
      <w:tblPr/>
      <w:tcPr>
        <w:shd w:val="clear" w:color="auto" w:fill="A382D3" w:themeFill="accent1" w:themeFillTint="7F"/>
      </w:tcPr>
    </w:tblStylePr>
  </w:style>
  <w:style w:type="table" w:styleId="MediumGrid1-Accent2">
    <w:name w:val="Medium Grid 1 Accent 2"/>
    <w:basedOn w:val="TableNormal"/>
    <w:uiPriority w:val="67"/>
    <w:semiHidden/>
    <w:unhideWhenUsed/>
    <w:rsid w:val="006C286D"/>
    <w:tblPr>
      <w:tblStyleRowBandSize w:val="1"/>
      <w:tblStyleColBandSize w:val="1"/>
      <w:tblBorders>
        <w:top w:val="single" w:sz="8" w:space="0" w:color="D5CEC2" w:themeColor="accent2" w:themeTint="BF"/>
        <w:left w:val="single" w:sz="8" w:space="0" w:color="D5CEC2" w:themeColor="accent2" w:themeTint="BF"/>
        <w:bottom w:val="single" w:sz="8" w:space="0" w:color="D5CEC2" w:themeColor="accent2" w:themeTint="BF"/>
        <w:right w:val="single" w:sz="8" w:space="0" w:color="D5CEC2" w:themeColor="accent2" w:themeTint="BF"/>
        <w:insideH w:val="single" w:sz="8" w:space="0" w:color="D5CEC2" w:themeColor="accent2" w:themeTint="BF"/>
        <w:insideV w:val="single" w:sz="8" w:space="0" w:color="D5CEC2" w:themeColor="accent2" w:themeTint="BF"/>
      </w:tblBorders>
    </w:tblPr>
    <w:tcPr>
      <w:shd w:val="clear" w:color="auto" w:fill="F1EEEB" w:themeFill="accent2" w:themeFillTint="3F"/>
    </w:tcPr>
    <w:tblStylePr w:type="firstRow">
      <w:rPr>
        <w:b/>
        <w:bCs/>
      </w:rPr>
    </w:tblStylePr>
    <w:tblStylePr w:type="lastRow">
      <w:rPr>
        <w:b/>
        <w:bCs/>
      </w:rPr>
      <w:tblPr/>
      <w:tcPr>
        <w:tcBorders>
          <w:top w:val="single" w:sz="18" w:space="0" w:color="D5CEC2" w:themeColor="accent2" w:themeTint="BF"/>
        </w:tcBorders>
      </w:tcPr>
    </w:tblStylePr>
    <w:tblStylePr w:type="firstCol">
      <w:rPr>
        <w:b/>
        <w:bCs/>
      </w:rPr>
    </w:tblStylePr>
    <w:tblStylePr w:type="lastCol">
      <w:rPr>
        <w:b/>
        <w:bCs/>
      </w:rPr>
    </w:tblStylePr>
    <w:tblStylePr w:type="band1Vert">
      <w:tblPr/>
      <w:tcPr>
        <w:shd w:val="clear" w:color="auto" w:fill="E3DED7" w:themeFill="accent2" w:themeFillTint="7F"/>
      </w:tcPr>
    </w:tblStylePr>
    <w:tblStylePr w:type="band1Horz">
      <w:tblPr/>
      <w:tcPr>
        <w:shd w:val="clear" w:color="auto" w:fill="E3DED7" w:themeFill="accent2" w:themeFillTint="7F"/>
      </w:tcPr>
    </w:tblStylePr>
  </w:style>
  <w:style w:type="table" w:styleId="MediumGrid1-Accent3">
    <w:name w:val="Medium Grid 1 Accent 3"/>
    <w:basedOn w:val="TableNormal"/>
    <w:uiPriority w:val="67"/>
    <w:semiHidden/>
    <w:unhideWhenUsed/>
    <w:rsid w:val="006C286D"/>
    <w:tblPr>
      <w:tblStyleRowBandSize w:val="1"/>
      <w:tblStyleColBandSize w:val="1"/>
      <w:tblBorders>
        <w:top w:val="single" w:sz="8" w:space="0" w:color="08EBFF" w:themeColor="accent3" w:themeTint="BF"/>
        <w:left w:val="single" w:sz="8" w:space="0" w:color="08EBFF" w:themeColor="accent3" w:themeTint="BF"/>
        <w:bottom w:val="single" w:sz="8" w:space="0" w:color="08EBFF" w:themeColor="accent3" w:themeTint="BF"/>
        <w:right w:val="single" w:sz="8" w:space="0" w:color="08EBFF" w:themeColor="accent3" w:themeTint="BF"/>
        <w:insideH w:val="single" w:sz="8" w:space="0" w:color="08EBFF" w:themeColor="accent3" w:themeTint="BF"/>
        <w:insideV w:val="single" w:sz="8" w:space="0" w:color="08EBFF" w:themeColor="accent3" w:themeTint="BF"/>
      </w:tblBorders>
    </w:tblPr>
    <w:tcPr>
      <w:shd w:val="clear" w:color="auto" w:fill="ADF8FF" w:themeFill="accent3" w:themeFillTint="3F"/>
    </w:tcPr>
    <w:tblStylePr w:type="firstRow">
      <w:rPr>
        <w:b/>
        <w:bCs/>
      </w:rPr>
    </w:tblStylePr>
    <w:tblStylePr w:type="lastRow">
      <w:rPr>
        <w:b/>
        <w:bCs/>
      </w:rPr>
      <w:tblPr/>
      <w:tcPr>
        <w:tcBorders>
          <w:top w:val="single" w:sz="18" w:space="0" w:color="08EBFF" w:themeColor="accent3" w:themeTint="BF"/>
        </w:tcBorders>
      </w:tcPr>
    </w:tblStylePr>
    <w:tblStylePr w:type="firstCol">
      <w:rPr>
        <w:b/>
        <w:bCs/>
      </w:rPr>
    </w:tblStylePr>
    <w:tblStylePr w:type="lastCol">
      <w:rPr>
        <w:b/>
        <w:bCs/>
      </w:rPr>
    </w:tblStylePr>
    <w:tblStylePr w:type="band1Vert">
      <w:tblPr/>
      <w:tcPr>
        <w:shd w:val="clear" w:color="auto" w:fill="5BF2FF" w:themeFill="accent3" w:themeFillTint="7F"/>
      </w:tcPr>
    </w:tblStylePr>
    <w:tblStylePr w:type="band1Horz">
      <w:tblPr/>
      <w:tcPr>
        <w:shd w:val="clear" w:color="auto" w:fill="5BF2FF" w:themeFill="accent3" w:themeFillTint="7F"/>
      </w:tcPr>
    </w:tblStylePr>
  </w:style>
  <w:style w:type="table" w:styleId="MediumGrid1-Accent4">
    <w:name w:val="Medium Grid 1 Accent 4"/>
    <w:basedOn w:val="TableNormal"/>
    <w:uiPriority w:val="67"/>
    <w:semiHidden/>
    <w:unhideWhenUsed/>
    <w:rsid w:val="006C286D"/>
    <w:tblPr>
      <w:tblStyleRowBandSize w:val="1"/>
      <w:tblStyleColBandSize w:val="1"/>
      <w:tblBorders>
        <w:top w:val="single" w:sz="8" w:space="0" w:color="FF9D56" w:themeColor="accent4" w:themeTint="BF"/>
        <w:left w:val="single" w:sz="8" w:space="0" w:color="FF9D56" w:themeColor="accent4" w:themeTint="BF"/>
        <w:bottom w:val="single" w:sz="8" w:space="0" w:color="FF9D56" w:themeColor="accent4" w:themeTint="BF"/>
        <w:right w:val="single" w:sz="8" w:space="0" w:color="FF9D56" w:themeColor="accent4" w:themeTint="BF"/>
        <w:insideH w:val="single" w:sz="8" w:space="0" w:color="FF9D56" w:themeColor="accent4" w:themeTint="BF"/>
        <w:insideV w:val="single" w:sz="8" w:space="0" w:color="FF9D56" w:themeColor="accent4" w:themeTint="BF"/>
      </w:tblBorders>
    </w:tblPr>
    <w:tcPr>
      <w:shd w:val="clear" w:color="auto" w:fill="FFDEC7" w:themeFill="accent4" w:themeFillTint="3F"/>
    </w:tcPr>
    <w:tblStylePr w:type="firstRow">
      <w:rPr>
        <w:b/>
        <w:bCs/>
      </w:rPr>
    </w:tblStylePr>
    <w:tblStylePr w:type="lastRow">
      <w:rPr>
        <w:b/>
        <w:bCs/>
      </w:rPr>
      <w:tblPr/>
      <w:tcPr>
        <w:tcBorders>
          <w:top w:val="single" w:sz="18" w:space="0" w:color="FF9D56" w:themeColor="accent4" w:themeTint="BF"/>
        </w:tcBorders>
      </w:tcPr>
    </w:tblStylePr>
    <w:tblStylePr w:type="firstCol">
      <w:rPr>
        <w:b/>
        <w:bCs/>
      </w:rPr>
    </w:tblStylePr>
    <w:tblStylePr w:type="lastCol">
      <w:rPr>
        <w:b/>
        <w:bCs/>
      </w:rPr>
    </w:tblStylePr>
    <w:tblStylePr w:type="band1Vert">
      <w:tblPr/>
      <w:tcPr>
        <w:shd w:val="clear" w:color="auto" w:fill="FFBD8E" w:themeFill="accent4" w:themeFillTint="7F"/>
      </w:tcPr>
    </w:tblStylePr>
    <w:tblStylePr w:type="band1Horz">
      <w:tblPr/>
      <w:tcPr>
        <w:shd w:val="clear" w:color="auto" w:fill="FFBD8E" w:themeFill="accent4" w:themeFillTint="7F"/>
      </w:tcPr>
    </w:tblStylePr>
  </w:style>
  <w:style w:type="table" w:styleId="MediumGrid1-Accent5">
    <w:name w:val="Medium Grid 1 Accent 5"/>
    <w:basedOn w:val="TableNormal"/>
    <w:uiPriority w:val="67"/>
    <w:semiHidden/>
    <w:unhideWhenUsed/>
    <w:rsid w:val="006C286D"/>
    <w:tblPr>
      <w:tblStyleRowBandSize w:val="1"/>
      <w:tblStyleColBandSize w:val="1"/>
      <w:tblBorders>
        <w:top w:val="single" w:sz="8" w:space="0" w:color="B3E165" w:themeColor="accent5" w:themeTint="BF"/>
        <w:left w:val="single" w:sz="8" w:space="0" w:color="B3E165" w:themeColor="accent5" w:themeTint="BF"/>
        <w:bottom w:val="single" w:sz="8" w:space="0" w:color="B3E165" w:themeColor="accent5" w:themeTint="BF"/>
        <w:right w:val="single" w:sz="8" w:space="0" w:color="B3E165" w:themeColor="accent5" w:themeTint="BF"/>
        <w:insideH w:val="single" w:sz="8" w:space="0" w:color="B3E165" w:themeColor="accent5" w:themeTint="BF"/>
        <w:insideV w:val="single" w:sz="8" w:space="0" w:color="B3E165" w:themeColor="accent5" w:themeTint="BF"/>
      </w:tblBorders>
    </w:tblPr>
    <w:tcPr>
      <w:shd w:val="clear" w:color="auto" w:fill="E6F5CC" w:themeFill="accent5" w:themeFillTint="3F"/>
    </w:tcPr>
    <w:tblStylePr w:type="firstRow">
      <w:rPr>
        <w:b/>
        <w:bCs/>
      </w:rPr>
    </w:tblStylePr>
    <w:tblStylePr w:type="lastRow">
      <w:rPr>
        <w:b/>
        <w:bCs/>
      </w:rPr>
      <w:tblPr/>
      <w:tcPr>
        <w:tcBorders>
          <w:top w:val="single" w:sz="18" w:space="0" w:color="B3E165" w:themeColor="accent5" w:themeTint="BF"/>
        </w:tcBorders>
      </w:tcPr>
    </w:tblStylePr>
    <w:tblStylePr w:type="firstCol">
      <w:rPr>
        <w:b/>
        <w:bCs/>
      </w:rPr>
    </w:tblStylePr>
    <w:tblStylePr w:type="lastCol">
      <w:rPr>
        <w:b/>
        <w:bCs/>
      </w:rPr>
    </w:tblStylePr>
    <w:tblStylePr w:type="band1Vert">
      <w:tblPr/>
      <w:tcPr>
        <w:shd w:val="clear" w:color="auto" w:fill="CDEB98" w:themeFill="accent5" w:themeFillTint="7F"/>
      </w:tcPr>
    </w:tblStylePr>
    <w:tblStylePr w:type="band1Horz">
      <w:tblPr/>
      <w:tcPr>
        <w:shd w:val="clear" w:color="auto" w:fill="CDEB98" w:themeFill="accent5" w:themeFillTint="7F"/>
      </w:tcPr>
    </w:tblStylePr>
  </w:style>
  <w:style w:type="table" w:styleId="MediumGrid1-Accent6">
    <w:name w:val="Medium Grid 1 Accent 6"/>
    <w:basedOn w:val="TableNormal"/>
    <w:uiPriority w:val="67"/>
    <w:semiHidden/>
    <w:unhideWhenUsed/>
    <w:rsid w:val="006C286D"/>
    <w:tblPr>
      <w:tblStyleRowBandSize w:val="1"/>
      <w:tblStyleColBandSize w:val="1"/>
      <w:tblBorders>
        <w:top w:val="single" w:sz="8" w:space="0" w:color="EE5D70" w:themeColor="accent6" w:themeTint="BF"/>
        <w:left w:val="single" w:sz="8" w:space="0" w:color="EE5D70" w:themeColor="accent6" w:themeTint="BF"/>
        <w:bottom w:val="single" w:sz="8" w:space="0" w:color="EE5D70" w:themeColor="accent6" w:themeTint="BF"/>
        <w:right w:val="single" w:sz="8" w:space="0" w:color="EE5D70" w:themeColor="accent6" w:themeTint="BF"/>
        <w:insideH w:val="single" w:sz="8" w:space="0" w:color="EE5D70" w:themeColor="accent6" w:themeTint="BF"/>
        <w:insideV w:val="single" w:sz="8" w:space="0" w:color="EE5D70" w:themeColor="accent6" w:themeTint="BF"/>
      </w:tblBorders>
    </w:tblPr>
    <w:tcPr>
      <w:shd w:val="clear" w:color="auto" w:fill="F9C9CF" w:themeFill="accent6" w:themeFillTint="3F"/>
    </w:tcPr>
    <w:tblStylePr w:type="firstRow">
      <w:rPr>
        <w:b/>
        <w:bCs/>
      </w:rPr>
    </w:tblStylePr>
    <w:tblStylePr w:type="lastRow">
      <w:rPr>
        <w:b/>
        <w:bCs/>
      </w:rPr>
      <w:tblPr/>
      <w:tcPr>
        <w:tcBorders>
          <w:top w:val="single" w:sz="18" w:space="0" w:color="EE5D70" w:themeColor="accent6" w:themeTint="BF"/>
        </w:tcBorders>
      </w:tcPr>
    </w:tblStylePr>
    <w:tblStylePr w:type="firstCol">
      <w:rPr>
        <w:b/>
        <w:bCs/>
      </w:rPr>
    </w:tblStylePr>
    <w:tblStylePr w:type="lastCol">
      <w:rPr>
        <w:b/>
        <w:bCs/>
      </w:rPr>
    </w:tblStylePr>
    <w:tblStylePr w:type="band1Vert">
      <w:tblPr/>
      <w:tcPr>
        <w:shd w:val="clear" w:color="auto" w:fill="F493A0" w:themeFill="accent6" w:themeFillTint="7F"/>
      </w:tcPr>
    </w:tblStylePr>
    <w:tblStylePr w:type="band1Horz">
      <w:tblPr/>
      <w:tcPr>
        <w:shd w:val="clear" w:color="auto" w:fill="F493A0" w:themeFill="accent6" w:themeFillTint="7F"/>
      </w:tcPr>
    </w:tblStylePr>
  </w:style>
  <w:style w:type="table" w:styleId="MediumGrid2">
    <w:name w:val="Medium Grid 2"/>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4F2D7F" w:themeColor="accent1"/>
        <w:left w:val="single" w:sz="8" w:space="0" w:color="4F2D7F" w:themeColor="accent1"/>
        <w:bottom w:val="single" w:sz="8" w:space="0" w:color="4F2D7F" w:themeColor="accent1"/>
        <w:right w:val="single" w:sz="8" w:space="0" w:color="4F2D7F" w:themeColor="accent1"/>
        <w:insideH w:val="single" w:sz="8" w:space="0" w:color="4F2D7F" w:themeColor="accent1"/>
        <w:insideV w:val="single" w:sz="8" w:space="0" w:color="4F2D7F" w:themeColor="accent1"/>
      </w:tblBorders>
    </w:tblPr>
    <w:tcPr>
      <w:shd w:val="clear" w:color="auto" w:fill="D1C1E9" w:themeFill="accent1" w:themeFillTint="3F"/>
    </w:tcPr>
    <w:tblStylePr w:type="firstRow">
      <w:rPr>
        <w:b/>
        <w:bCs/>
        <w:color w:val="000000" w:themeColor="text1"/>
      </w:rPr>
      <w:tblPr/>
      <w:tcPr>
        <w:shd w:val="clear" w:color="auto" w:fill="ECE6F6"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CDED" w:themeFill="accent1" w:themeFillTint="33"/>
      </w:tcPr>
    </w:tblStylePr>
    <w:tblStylePr w:type="band1Vert">
      <w:tblPr/>
      <w:tcPr>
        <w:shd w:val="clear" w:color="auto" w:fill="A382D3" w:themeFill="accent1" w:themeFillTint="7F"/>
      </w:tcPr>
    </w:tblStylePr>
    <w:tblStylePr w:type="band1Horz">
      <w:tblPr/>
      <w:tcPr>
        <w:tcBorders>
          <w:insideH w:val="single" w:sz="6" w:space="0" w:color="4F2D7F" w:themeColor="accent1"/>
          <w:insideV w:val="single" w:sz="6" w:space="0" w:color="4F2D7F" w:themeColor="accent1"/>
        </w:tcBorders>
        <w:shd w:val="clear" w:color="auto" w:fill="A382D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C8BEAF" w:themeColor="accent2"/>
        <w:left w:val="single" w:sz="8" w:space="0" w:color="C8BEAF" w:themeColor="accent2"/>
        <w:bottom w:val="single" w:sz="8" w:space="0" w:color="C8BEAF" w:themeColor="accent2"/>
        <w:right w:val="single" w:sz="8" w:space="0" w:color="C8BEAF" w:themeColor="accent2"/>
        <w:insideH w:val="single" w:sz="8" w:space="0" w:color="C8BEAF" w:themeColor="accent2"/>
        <w:insideV w:val="single" w:sz="8" w:space="0" w:color="C8BEAF" w:themeColor="accent2"/>
      </w:tblBorders>
    </w:tblPr>
    <w:tcPr>
      <w:shd w:val="clear" w:color="auto" w:fill="F1EEEB" w:themeFill="accent2" w:themeFillTint="3F"/>
    </w:tcPr>
    <w:tblStylePr w:type="firstRow">
      <w:rPr>
        <w:b/>
        <w:bCs/>
        <w:color w:val="000000" w:themeColor="text1"/>
      </w:rPr>
      <w:tblPr/>
      <w:tcPr>
        <w:shd w:val="clear" w:color="auto" w:fill="F9F8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F2EF" w:themeFill="accent2" w:themeFillTint="33"/>
      </w:tcPr>
    </w:tblStylePr>
    <w:tblStylePr w:type="band1Vert">
      <w:tblPr/>
      <w:tcPr>
        <w:shd w:val="clear" w:color="auto" w:fill="E3DED7" w:themeFill="accent2" w:themeFillTint="7F"/>
      </w:tcPr>
    </w:tblStylePr>
    <w:tblStylePr w:type="band1Horz">
      <w:tblPr/>
      <w:tcPr>
        <w:tcBorders>
          <w:insideH w:val="single" w:sz="6" w:space="0" w:color="C8BEAF" w:themeColor="accent2"/>
          <w:insideV w:val="single" w:sz="6" w:space="0" w:color="C8BEAF" w:themeColor="accent2"/>
        </w:tcBorders>
        <w:shd w:val="clear" w:color="auto" w:fill="E3DED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00A7B5" w:themeColor="accent3"/>
        <w:left w:val="single" w:sz="8" w:space="0" w:color="00A7B5" w:themeColor="accent3"/>
        <w:bottom w:val="single" w:sz="8" w:space="0" w:color="00A7B5" w:themeColor="accent3"/>
        <w:right w:val="single" w:sz="8" w:space="0" w:color="00A7B5" w:themeColor="accent3"/>
        <w:insideH w:val="single" w:sz="8" w:space="0" w:color="00A7B5" w:themeColor="accent3"/>
        <w:insideV w:val="single" w:sz="8" w:space="0" w:color="00A7B5" w:themeColor="accent3"/>
      </w:tblBorders>
    </w:tblPr>
    <w:tcPr>
      <w:shd w:val="clear" w:color="auto" w:fill="ADF8FF" w:themeFill="accent3" w:themeFillTint="3F"/>
    </w:tcPr>
    <w:tblStylePr w:type="firstRow">
      <w:rPr>
        <w:b/>
        <w:bCs/>
        <w:color w:val="000000" w:themeColor="text1"/>
      </w:rPr>
      <w:tblPr/>
      <w:tcPr>
        <w:shd w:val="clear" w:color="auto" w:fill="DEFCFF"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DF9FF" w:themeFill="accent3" w:themeFillTint="33"/>
      </w:tcPr>
    </w:tblStylePr>
    <w:tblStylePr w:type="band1Vert">
      <w:tblPr/>
      <w:tcPr>
        <w:shd w:val="clear" w:color="auto" w:fill="5BF2FF" w:themeFill="accent3" w:themeFillTint="7F"/>
      </w:tcPr>
    </w:tblStylePr>
    <w:tblStylePr w:type="band1Horz">
      <w:tblPr/>
      <w:tcPr>
        <w:tcBorders>
          <w:insideH w:val="single" w:sz="6" w:space="0" w:color="00A7B5" w:themeColor="accent3"/>
          <w:insideV w:val="single" w:sz="6" w:space="0" w:color="00A7B5" w:themeColor="accent3"/>
        </w:tcBorders>
        <w:shd w:val="clear" w:color="auto" w:fill="5BF2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FF7D1E" w:themeColor="accent4"/>
        <w:left w:val="single" w:sz="8" w:space="0" w:color="FF7D1E" w:themeColor="accent4"/>
        <w:bottom w:val="single" w:sz="8" w:space="0" w:color="FF7D1E" w:themeColor="accent4"/>
        <w:right w:val="single" w:sz="8" w:space="0" w:color="FF7D1E" w:themeColor="accent4"/>
        <w:insideH w:val="single" w:sz="8" w:space="0" w:color="FF7D1E" w:themeColor="accent4"/>
        <w:insideV w:val="single" w:sz="8" w:space="0" w:color="FF7D1E" w:themeColor="accent4"/>
      </w:tblBorders>
    </w:tblPr>
    <w:tcPr>
      <w:shd w:val="clear" w:color="auto" w:fill="FFDEC7" w:themeFill="accent4" w:themeFillTint="3F"/>
    </w:tcPr>
    <w:tblStylePr w:type="firstRow">
      <w:rPr>
        <w:b/>
        <w:bCs/>
        <w:color w:val="000000" w:themeColor="text1"/>
      </w:rPr>
      <w:tblPr/>
      <w:tcPr>
        <w:shd w:val="clear" w:color="auto" w:fill="FFF2E8"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4D2" w:themeFill="accent4" w:themeFillTint="33"/>
      </w:tcPr>
    </w:tblStylePr>
    <w:tblStylePr w:type="band1Vert">
      <w:tblPr/>
      <w:tcPr>
        <w:shd w:val="clear" w:color="auto" w:fill="FFBD8E" w:themeFill="accent4" w:themeFillTint="7F"/>
      </w:tcPr>
    </w:tblStylePr>
    <w:tblStylePr w:type="band1Horz">
      <w:tblPr/>
      <w:tcPr>
        <w:tcBorders>
          <w:insideH w:val="single" w:sz="6" w:space="0" w:color="FF7D1E" w:themeColor="accent4"/>
          <w:insideV w:val="single" w:sz="6" w:space="0" w:color="FF7D1E" w:themeColor="accent4"/>
        </w:tcBorders>
        <w:shd w:val="clear" w:color="auto" w:fill="FFBD8E"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9BD732" w:themeColor="accent5"/>
        <w:left w:val="single" w:sz="8" w:space="0" w:color="9BD732" w:themeColor="accent5"/>
        <w:bottom w:val="single" w:sz="8" w:space="0" w:color="9BD732" w:themeColor="accent5"/>
        <w:right w:val="single" w:sz="8" w:space="0" w:color="9BD732" w:themeColor="accent5"/>
        <w:insideH w:val="single" w:sz="8" w:space="0" w:color="9BD732" w:themeColor="accent5"/>
        <w:insideV w:val="single" w:sz="8" w:space="0" w:color="9BD732" w:themeColor="accent5"/>
      </w:tblBorders>
    </w:tblPr>
    <w:tcPr>
      <w:shd w:val="clear" w:color="auto" w:fill="E6F5CC" w:themeFill="accent5" w:themeFillTint="3F"/>
    </w:tcPr>
    <w:tblStylePr w:type="firstRow">
      <w:rPr>
        <w:b/>
        <w:bCs/>
        <w:color w:val="000000" w:themeColor="text1"/>
      </w:rPr>
      <w:tblPr/>
      <w:tcPr>
        <w:shd w:val="clear" w:color="auto" w:fill="F5FB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7D6" w:themeFill="accent5" w:themeFillTint="33"/>
      </w:tcPr>
    </w:tblStylePr>
    <w:tblStylePr w:type="band1Vert">
      <w:tblPr/>
      <w:tcPr>
        <w:shd w:val="clear" w:color="auto" w:fill="CDEB98" w:themeFill="accent5" w:themeFillTint="7F"/>
      </w:tcPr>
    </w:tblStylePr>
    <w:tblStylePr w:type="band1Horz">
      <w:tblPr/>
      <w:tcPr>
        <w:tcBorders>
          <w:insideH w:val="single" w:sz="6" w:space="0" w:color="9BD732" w:themeColor="accent5"/>
          <w:insideV w:val="single" w:sz="6" w:space="0" w:color="9BD732" w:themeColor="accent5"/>
        </w:tcBorders>
        <w:shd w:val="clear" w:color="auto" w:fill="CDEB98"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E92841" w:themeColor="accent6"/>
        <w:left w:val="single" w:sz="8" w:space="0" w:color="E92841" w:themeColor="accent6"/>
        <w:bottom w:val="single" w:sz="8" w:space="0" w:color="E92841" w:themeColor="accent6"/>
        <w:right w:val="single" w:sz="8" w:space="0" w:color="E92841" w:themeColor="accent6"/>
        <w:insideH w:val="single" w:sz="8" w:space="0" w:color="E92841" w:themeColor="accent6"/>
        <w:insideV w:val="single" w:sz="8" w:space="0" w:color="E92841" w:themeColor="accent6"/>
      </w:tblBorders>
    </w:tblPr>
    <w:tcPr>
      <w:shd w:val="clear" w:color="auto" w:fill="F9C9CF" w:themeFill="accent6" w:themeFillTint="3F"/>
    </w:tcPr>
    <w:tblStylePr w:type="firstRow">
      <w:rPr>
        <w:b/>
        <w:bCs/>
        <w:color w:val="000000" w:themeColor="text1"/>
      </w:rPr>
      <w:tblPr/>
      <w:tcPr>
        <w:shd w:val="clear" w:color="auto" w:fill="FCE9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D3D8" w:themeFill="accent6" w:themeFillTint="33"/>
      </w:tcPr>
    </w:tblStylePr>
    <w:tblStylePr w:type="band1Vert">
      <w:tblPr/>
      <w:tcPr>
        <w:shd w:val="clear" w:color="auto" w:fill="F493A0" w:themeFill="accent6" w:themeFillTint="7F"/>
      </w:tcPr>
    </w:tblStylePr>
    <w:tblStylePr w:type="band1Horz">
      <w:tblPr/>
      <w:tcPr>
        <w:tcBorders>
          <w:insideH w:val="single" w:sz="6" w:space="0" w:color="E92841" w:themeColor="accent6"/>
          <w:insideV w:val="single" w:sz="6" w:space="0" w:color="E92841" w:themeColor="accent6"/>
        </w:tcBorders>
        <w:shd w:val="clear" w:color="auto" w:fill="F493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1C1E9"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2D7F"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2D7F"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2D7F"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2D7F"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382D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382D3" w:themeFill="accent1" w:themeFillTint="7F"/>
      </w:tcPr>
    </w:tblStylePr>
  </w:style>
  <w:style w:type="table" w:styleId="MediumGrid3-Accent2">
    <w:name w:val="Medium Grid 3 Accent 2"/>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1EE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8BEAF"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8BEAF"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8BEAF"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8BEAF"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3DED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3DED7" w:themeFill="accent2" w:themeFillTint="7F"/>
      </w:tcPr>
    </w:tblStylePr>
  </w:style>
  <w:style w:type="table" w:styleId="MediumGrid3-Accent3">
    <w:name w:val="Medium Grid 3 Accent 3"/>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DF8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7B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7B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7B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7B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BF2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BF2FF" w:themeFill="accent3" w:themeFillTint="7F"/>
      </w:tcPr>
    </w:tblStylePr>
  </w:style>
  <w:style w:type="table" w:styleId="MediumGrid3-Accent4">
    <w:name w:val="Medium Grid 3 Accent 4"/>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EC7"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7D1E"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7D1E"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7D1E"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7D1E"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D8E"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D8E" w:themeFill="accent4" w:themeFillTint="7F"/>
      </w:tcPr>
    </w:tblStylePr>
  </w:style>
  <w:style w:type="table" w:styleId="MediumGrid3-Accent5">
    <w:name w:val="Medium Grid 3 Accent 5"/>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F5C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D732"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D732"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D732"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D732"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EB98"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EB98" w:themeFill="accent5" w:themeFillTint="7F"/>
      </w:tcPr>
    </w:tblStylePr>
  </w:style>
  <w:style w:type="table" w:styleId="MediumGrid3-Accent6">
    <w:name w:val="Medium Grid 3 Accent 6"/>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C9CF"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2841"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2841"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2841"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2841"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93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93A0" w:themeFill="accent6" w:themeFillTint="7F"/>
      </w:tcPr>
    </w:tblStylePr>
  </w:style>
  <w:style w:type="table" w:styleId="MediumList1">
    <w:name w:val="Medium List 1"/>
    <w:basedOn w:val="TableNormal"/>
    <w:uiPriority w:val="65"/>
    <w:semiHidden/>
    <w:unhideWhenUsed/>
    <w:rsid w:val="006C286D"/>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747678"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6C286D"/>
    <w:rPr>
      <w:color w:val="000000" w:themeColor="text1"/>
    </w:rPr>
    <w:tblPr>
      <w:tblStyleRowBandSize w:val="1"/>
      <w:tblStyleColBandSize w:val="1"/>
      <w:tblBorders>
        <w:top w:val="single" w:sz="8" w:space="0" w:color="4F2D7F" w:themeColor="accent1"/>
        <w:bottom w:val="single" w:sz="8" w:space="0" w:color="4F2D7F" w:themeColor="accent1"/>
      </w:tblBorders>
    </w:tblPr>
    <w:tblStylePr w:type="firstRow">
      <w:rPr>
        <w:rFonts w:asciiTheme="majorHAnsi" w:eastAsiaTheme="majorEastAsia" w:hAnsiTheme="majorHAnsi" w:cstheme="majorBidi"/>
      </w:rPr>
      <w:tblPr/>
      <w:tcPr>
        <w:tcBorders>
          <w:top w:val="nil"/>
          <w:bottom w:val="single" w:sz="8" w:space="0" w:color="4F2D7F" w:themeColor="accent1"/>
        </w:tcBorders>
      </w:tcPr>
    </w:tblStylePr>
    <w:tblStylePr w:type="lastRow">
      <w:rPr>
        <w:b/>
        <w:bCs/>
        <w:color w:val="747678" w:themeColor="text2"/>
      </w:rPr>
      <w:tblPr/>
      <w:tcPr>
        <w:tcBorders>
          <w:top w:val="single" w:sz="8" w:space="0" w:color="4F2D7F" w:themeColor="accent1"/>
          <w:bottom w:val="single" w:sz="8" w:space="0" w:color="4F2D7F" w:themeColor="accent1"/>
        </w:tcBorders>
      </w:tcPr>
    </w:tblStylePr>
    <w:tblStylePr w:type="firstCol">
      <w:rPr>
        <w:b/>
        <w:bCs/>
      </w:rPr>
    </w:tblStylePr>
    <w:tblStylePr w:type="lastCol">
      <w:rPr>
        <w:b/>
        <w:bCs/>
      </w:rPr>
      <w:tblPr/>
      <w:tcPr>
        <w:tcBorders>
          <w:top w:val="single" w:sz="8" w:space="0" w:color="4F2D7F" w:themeColor="accent1"/>
          <w:bottom w:val="single" w:sz="8" w:space="0" w:color="4F2D7F" w:themeColor="accent1"/>
        </w:tcBorders>
      </w:tcPr>
    </w:tblStylePr>
    <w:tblStylePr w:type="band1Vert">
      <w:tblPr/>
      <w:tcPr>
        <w:shd w:val="clear" w:color="auto" w:fill="D1C1E9" w:themeFill="accent1" w:themeFillTint="3F"/>
      </w:tcPr>
    </w:tblStylePr>
    <w:tblStylePr w:type="band1Horz">
      <w:tblPr/>
      <w:tcPr>
        <w:shd w:val="clear" w:color="auto" w:fill="D1C1E9" w:themeFill="accent1" w:themeFillTint="3F"/>
      </w:tcPr>
    </w:tblStylePr>
  </w:style>
  <w:style w:type="table" w:styleId="MediumList1-Accent2">
    <w:name w:val="Medium List 1 Accent 2"/>
    <w:basedOn w:val="TableNormal"/>
    <w:uiPriority w:val="65"/>
    <w:semiHidden/>
    <w:unhideWhenUsed/>
    <w:rsid w:val="006C286D"/>
    <w:rPr>
      <w:color w:val="000000" w:themeColor="text1"/>
    </w:rPr>
    <w:tblPr>
      <w:tblStyleRowBandSize w:val="1"/>
      <w:tblStyleColBandSize w:val="1"/>
      <w:tblBorders>
        <w:top w:val="single" w:sz="8" w:space="0" w:color="C8BEAF" w:themeColor="accent2"/>
        <w:bottom w:val="single" w:sz="8" w:space="0" w:color="C8BEAF" w:themeColor="accent2"/>
      </w:tblBorders>
    </w:tblPr>
    <w:tblStylePr w:type="firstRow">
      <w:rPr>
        <w:rFonts w:asciiTheme="majorHAnsi" w:eastAsiaTheme="majorEastAsia" w:hAnsiTheme="majorHAnsi" w:cstheme="majorBidi"/>
      </w:rPr>
      <w:tblPr/>
      <w:tcPr>
        <w:tcBorders>
          <w:top w:val="nil"/>
          <w:bottom w:val="single" w:sz="8" w:space="0" w:color="C8BEAF" w:themeColor="accent2"/>
        </w:tcBorders>
      </w:tcPr>
    </w:tblStylePr>
    <w:tblStylePr w:type="lastRow">
      <w:rPr>
        <w:b/>
        <w:bCs/>
        <w:color w:val="747678" w:themeColor="text2"/>
      </w:rPr>
      <w:tblPr/>
      <w:tcPr>
        <w:tcBorders>
          <w:top w:val="single" w:sz="8" w:space="0" w:color="C8BEAF" w:themeColor="accent2"/>
          <w:bottom w:val="single" w:sz="8" w:space="0" w:color="C8BEAF" w:themeColor="accent2"/>
        </w:tcBorders>
      </w:tcPr>
    </w:tblStylePr>
    <w:tblStylePr w:type="firstCol">
      <w:rPr>
        <w:b/>
        <w:bCs/>
      </w:rPr>
    </w:tblStylePr>
    <w:tblStylePr w:type="lastCol">
      <w:rPr>
        <w:b/>
        <w:bCs/>
      </w:rPr>
      <w:tblPr/>
      <w:tcPr>
        <w:tcBorders>
          <w:top w:val="single" w:sz="8" w:space="0" w:color="C8BEAF" w:themeColor="accent2"/>
          <w:bottom w:val="single" w:sz="8" w:space="0" w:color="C8BEAF" w:themeColor="accent2"/>
        </w:tcBorders>
      </w:tcPr>
    </w:tblStylePr>
    <w:tblStylePr w:type="band1Vert">
      <w:tblPr/>
      <w:tcPr>
        <w:shd w:val="clear" w:color="auto" w:fill="F1EEEB" w:themeFill="accent2" w:themeFillTint="3F"/>
      </w:tcPr>
    </w:tblStylePr>
    <w:tblStylePr w:type="band1Horz">
      <w:tblPr/>
      <w:tcPr>
        <w:shd w:val="clear" w:color="auto" w:fill="F1EEEB" w:themeFill="accent2" w:themeFillTint="3F"/>
      </w:tcPr>
    </w:tblStylePr>
  </w:style>
  <w:style w:type="table" w:styleId="MediumList1-Accent3">
    <w:name w:val="Medium List 1 Accent 3"/>
    <w:basedOn w:val="TableNormal"/>
    <w:uiPriority w:val="65"/>
    <w:semiHidden/>
    <w:unhideWhenUsed/>
    <w:rsid w:val="006C286D"/>
    <w:rPr>
      <w:color w:val="000000" w:themeColor="text1"/>
    </w:rPr>
    <w:tblPr>
      <w:tblStyleRowBandSize w:val="1"/>
      <w:tblStyleColBandSize w:val="1"/>
      <w:tblBorders>
        <w:top w:val="single" w:sz="8" w:space="0" w:color="00A7B5" w:themeColor="accent3"/>
        <w:bottom w:val="single" w:sz="8" w:space="0" w:color="00A7B5" w:themeColor="accent3"/>
      </w:tblBorders>
    </w:tblPr>
    <w:tblStylePr w:type="firstRow">
      <w:rPr>
        <w:rFonts w:asciiTheme="majorHAnsi" w:eastAsiaTheme="majorEastAsia" w:hAnsiTheme="majorHAnsi" w:cstheme="majorBidi"/>
      </w:rPr>
      <w:tblPr/>
      <w:tcPr>
        <w:tcBorders>
          <w:top w:val="nil"/>
          <w:bottom w:val="single" w:sz="8" w:space="0" w:color="00A7B5" w:themeColor="accent3"/>
        </w:tcBorders>
      </w:tcPr>
    </w:tblStylePr>
    <w:tblStylePr w:type="lastRow">
      <w:rPr>
        <w:b/>
        <w:bCs/>
        <w:color w:val="747678" w:themeColor="text2"/>
      </w:rPr>
      <w:tblPr/>
      <w:tcPr>
        <w:tcBorders>
          <w:top w:val="single" w:sz="8" w:space="0" w:color="00A7B5" w:themeColor="accent3"/>
          <w:bottom w:val="single" w:sz="8" w:space="0" w:color="00A7B5" w:themeColor="accent3"/>
        </w:tcBorders>
      </w:tcPr>
    </w:tblStylePr>
    <w:tblStylePr w:type="firstCol">
      <w:rPr>
        <w:b/>
        <w:bCs/>
      </w:rPr>
    </w:tblStylePr>
    <w:tblStylePr w:type="lastCol">
      <w:rPr>
        <w:b/>
        <w:bCs/>
      </w:rPr>
      <w:tblPr/>
      <w:tcPr>
        <w:tcBorders>
          <w:top w:val="single" w:sz="8" w:space="0" w:color="00A7B5" w:themeColor="accent3"/>
          <w:bottom w:val="single" w:sz="8" w:space="0" w:color="00A7B5" w:themeColor="accent3"/>
        </w:tcBorders>
      </w:tcPr>
    </w:tblStylePr>
    <w:tblStylePr w:type="band1Vert">
      <w:tblPr/>
      <w:tcPr>
        <w:shd w:val="clear" w:color="auto" w:fill="ADF8FF" w:themeFill="accent3" w:themeFillTint="3F"/>
      </w:tcPr>
    </w:tblStylePr>
    <w:tblStylePr w:type="band1Horz">
      <w:tblPr/>
      <w:tcPr>
        <w:shd w:val="clear" w:color="auto" w:fill="ADF8FF" w:themeFill="accent3" w:themeFillTint="3F"/>
      </w:tcPr>
    </w:tblStylePr>
  </w:style>
  <w:style w:type="table" w:styleId="MediumList1-Accent4">
    <w:name w:val="Medium List 1 Accent 4"/>
    <w:basedOn w:val="TableNormal"/>
    <w:uiPriority w:val="65"/>
    <w:semiHidden/>
    <w:unhideWhenUsed/>
    <w:rsid w:val="006C286D"/>
    <w:rPr>
      <w:color w:val="000000" w:themeColor="text1"/>
    </w:rPr>
    <w:tblPr>
      <w:tblStyleRowBandSize w:val="1"/>
      <w:tblStyleColBandSize w:val="1"/>
      <w:tblBorders>
        <w:top w:val="single" w:sz="8" w:space="0" w:color="FF7D1E" w:themeColor="accent4"/>
        <w:bottom w:val="single" w:sz="8" w:space="0" w:color="FF7D1E" w:themeColor="accent4"/>
      </w:tblBorders>
    </w:tblPr>
    <w:tblStylePr w:type="firstRow">
      <w:rPr>
        <w:rFonts w:asciiTheme="majorHAnsi" w:eastAsiaTheme="majorEastAsia" w:hAnsiTheme="majorHAnsi" w:cstheme="majorBidi"/>
      </w:rPr>
      <w:tblPr/>
      <w:tcPr>
        <w:tcBorders>
          <w:top w:val="nil"/>
          <w:bottom w:val="single" w:sz="8" w:space="0" w:color="FF7D1E" w:themeColor="accent4"/>
        </w:tcBorders>
      </w:tcPr>
    </w:tblStylePr>
    <w:tblStylePr w:type="lastRow">
      <w:rPr>
        <w:b/>
        <w:bCs/>
        <w:color w:val="747678" w:themeColor="text2"/>
      </w:rPr>
      <w:tblPr/>
      <w:tcPr>
        <w:tcBorders>
          <w:top w:val="single" w:sz="8" w:space="0" w:color="FF7D1E" w:themeColor="accent4"/>
          <w:bottom w:val="single" w:sz="8" w:space="0" w:color="FF7D1E" w:themeColor="accent4"/>
        </w:tcBorders>
      </w:tcPr>
    </w:tblStylePr>
    <w:tblStylePr w:type="firstCol">
      <w:rPr>
        <w:b/>
        <w:bCs/>
      </w:rPr>
    </w:tblStylePr>
    <w:tblStylePr w:type="lastCol">
      <w:rPr>
        <w:b/>
        <w:bCs/>
      </w:rPr>
      <w:tblPr/>
      <w:tcPr>
        <w:tcBorders>
          <w:top w:val="single" w:sz="8" w:space="0" w:color="FF7D1E" w:themeColor="accent4"/>
          <w:bottom w:val="single" w:sz="8" w:space="0" w:color="FF7D1E" w:themeColor="accent4"/>
        </w:tcBorders>
      </w:tcPr>
    </w:tblStylePr>
    <w:tblStylePr w:type="band1Vert">
      <w:tblPr/>
      <w:tcPr>
        <w:shd w:val="clear" w:color="auto" w:fill="FFDEC7" w:themeFill="accent4" w:themeFillTint="3F"/>
      </w:tcPr>
    </w:tblStylePr>
    <w:tblStylePr w:type="band1Horz">
      <w:tblPr/>
      <w:tcPr>
        <w:shd w:val="clear" w:color="auto" w:fill="FFDEC7" w:themeFill="accent4" w:themeFillTint="3F"/>
      </w:tcPr>
    </w:tblStylePr>
  </w:style>
  <w:style w:type="table" w:styleId="MediumList1-Accent5">
    <w:name w:val="Medium List 1 Accent 5"/>
    <w:basedOn w:val="TableNormal"/>
    <w:uiPriority w:val="65"/>
    <w:semiHidden/>
    <w:unhideWhenUsed/>
    <w:rsid w:val="006C286D"/>
    <w:rPr>
      <w:color w:val="000000" w:themeColor="text1"/>
    </w:rPr>
    <w:tblPr>
      <w:tblStyleRowBandSize w:val="1"/>
      <w:tblStyleColBandSize w:val="1"/>
      <w:tblBorders>
        <w:top w:val="single" w:sz="8" w:space="0" w:color="9BD732" w:themeColor="accent5"/>
        <w:bottom w:val="single" w:sz="8" w:space="0" w:color="9BD732" w:themeColor="accent5"/>
      </w:tblBorders>
    </w:tblPr>
    <w:tblStylePr w:type="firstRow">
      <w:rPr>
        <w:rFonts w:asciiTheme="majorHAnsi" w:eastAsiaTheme="majorEastAsia" w:hAnsiTheme="majorHAnsi" w:cstheme="majorBidi"/>
      </w:rPr>
      <w:tblPr/>
      <w:tcPr>
        <w:tcBorders>
          <w:top w:val="nil"/>
          <w:bottom w:val="single" w:sz="8" w:space="0" w:color="9BD732" w:themeColor="accent5"/>
        </w:tcBorders>
      </w:tcPr>
    </w:tblStylePr>
    <w:tblStylePr w:type="lastRow">
      <w:rPr>
        <w:b/>
        <w:bCs/>
        <w:color w:val="747678" w:themeColor="text2"/>
      </w:rPr>
      <w:tblPr/>
      <w:tcPr>
        <w:tcBorders>
          <w:top w:val="single" w:sz="8" w:space="0" w:color="9BD732" w:themeColor="accent5"/>
          <w:bottom w:val="single" w:sz="8" w:space="0" w:color="9BD732" w:themeColor="accent5"/>
        </w:tcBorders>
      </w:tcPr>
    </w:tblStylePr>
    <w:tblStylePr w:type="firstCol">
      <w:rPr>
        <w:b/>
        <w:bCs/>
      </w:rPr>
    </w:tblStylePr>
    <w:tblStylePr w:type="lastCol">
      <w:rPr>
        <w:b/>
        <w:bCs/>
      </w:rPr>
      <w:tblPr/>
      <w:tcPr>
        <w:tcBorders>
          <w:top w:val="single" w:sz="8" w:space="0" w:color="9BD732" w:themeColor="accent5"/>
          <w:bottom w:val="single" w:sz="8" w:space="0" w:color="9BD732" w:themeColor="accent5"/>
        </w:tcBorders>
      </w:tcPr>
    </w:tblStylePr>
    <w:tblStylePr w:type="band1Vert">
      <w:tblPr/>
      <w:tcPr>
        <w:shd w:val="clear" w:color="auto" w:fill="E6F5CC" w:themeFill="accent5" w:themeFillTint="3F"/>
      </w:tcPr>
    </w:tblStylePr>
    <w:tblStylePr w:type="band1Horz">
      <w:tblPr/>
      <w:tcPr>
        <w:shd w:val="clear" w:color="auto" w:fill="E6F5CC" w:themeFill="accent5" w:themeFillTint="3F"/>
      </w:tcPr>
    </w:tblStylePr>
  </w:style>
  <w:style w:type="table" w:styleId="MediumList1-Accent6">
    <w:name w:val="Medium List 1 Accent 6"/>
    <w:basedOn w:val="TableNormal"/>
    <w:uiPriority w:val="65"/>
    <w:semiHidden/>
    <w:unhideWhenUsed/>
    <w:rsid w:val="006C286D"/>
    <w:rPr>
      <w:color w:val="000000" w:themeColor="text1"/>
    </w:rPr>
    <w:tblPr>
      <w:tblStyleRowBandSize w:val="1"/>
      <w:tblStyleColBandSize w:val="1"/>
      <w:tblBorders>
        <w:top w:val="single" w:sz="8" w:space="0" w:color="E92841" w:themeColor="accent6"/>
        <w:bottom w:val="single" w:sz="8" w:space="0" w:color="E92841" w:themeColor="accent6"/>
      </w:tblBorders>
    </w:tblPr>
    <w:tblStylePr w:type="firstRow">
      <w:rPr>
        <w:rFonts w:asciiTheme="majorHAnsi" w:eastAsiaTheme="majorEastAsia" w:hAnsiTheme="majorHAnsi" w:cstheme="majorBidi"/>
      </w:rPr>
      <w:tblPr/>
      <w:tcPr>
        <w:tcBorders>
          <w:top w:val="nil"/>
          <w:bottom w:val="single" w:sz="8" w:space="0" w:color="E92841" w:themeColor="accent6"/>
        </w:tcBorders>
      </w:tcPr>
    </w:tblStylePr>
    <w:tblStylePr w:type="lastRow">
      <w:rPr>
        <w:b/>
        <w:bCs/>
        <w:color w:val="747678" w:themeColor="text2"/>
      </w:rPr>
      <w:tblPr/>
      <w:tcPr>
        <w:tcBorders>
          <w:top w:val="single" w:sz="8" w:space="0" w:color="E92841" w:themeColor="accent6"/>
          <w:bottom w:val="single" w:sz="8" w:space="0" w:color="E92841" w:themeColor="accent6"/>
        </w:tcBorders>
      </w:tcPr>
    </w:tblStylePr>
    <w:tblStylePr w:type="firstCol">
      <w:rPr>
        <w:b/>
        <w:bCs/>
      </w:rPr>
    </w:tblStylePr>
    <w:tblStylePr w:type="lastCol">
      <w:rPr>
        <w:b/>
        <w:bCs/>
      </w:rPr>
      <w:tblPr/>
      <w:tcPr>
        <w:tcBorders>
          <w:top w:val="single" w:sz="8" w:space="0" w:color="E92841" w:themeColor="accent6"/>
          <w:bottom w:val="single" w:sz="8" w:space="0" w:color="E92841" w:themeColor="accent6"/>
        </w:tcBorders>
      </w:tcPr>
    </w:tblStylePr>
    <w:tblStylePr w:type="band1Vert">
      <w:tblPr/>
      <w:tcPr>
        <w:shd w:val="clear" w:color="auto" w:fill="F9C9CF" w:themeFill="accent6" w:themeFillTint="3F"/>
      </w:tcPr>
    </w:tblStylePr>
    <w:tblStylePr w:type="band1Horz">
      <w:tblPr/>
      <w:tcPr>
        <w:shd w:val="clear" w:color="auto" w:fill="F9C9CF" w:themeFill="accent6" w:themeFillTint="3F"/>
      </w:tcPr>
    </w:tblStylePr>
  </w:style>
  <w:style w:type="table" w:styleId="MediumList2">
    <w:name w:val="Medium List 2"/>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4F2D7F" w:themeColor="accent1"/>
        <w:left w:val="single" w:sz="8" w:space="0" w:color="4F2D7F" w:themeColor="accent1"/>
        <w:bottom w:val="single" w:sz="8" w:space="0" w:color="4F2D7F" w:themeColor="accent1"/>
        <w:right w:val="single" w:sz="8" w:space="0" w:color="4F2D7F" w:themeColor="accent1"/>
      </w:tblBorders>
    </w:tblPr>
    <w:tblStylePr w:type="firstRow">
      <w:rPr>
        <w:sz w:val="24"/>
        <w:szCs w:val="24"/>
      </w:rPr>
      <w:tblPr/>
      <w:tcPr>
        <w:tcBorders>
          <w:top w:val="nil"/>
          <w:left w:val="nil"/>
          <w:bottom w:val="single" w:sz="24" w:space="0" w:color="4F2D7F"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2D7F" w:themeColor="accent1"/>
          <w:insideH w:val="nil"/>
          <w:insideV w:val="nil"/>
        </w:tcBorders>
        <w:shd w:val="clear" w:color="auto" w:fill="FFFFFF" w:themeFill="background1"/>
      </w:tcPr>
    </w:tblStylePr>
    <w:tblStylePr w:type="lastCol">
      <w:tblPr/>
      <w:tcPr>
        <w:tcBorders>
          <w:top w:val="nil"/>
          <w:left w:val="single" w:sz="8" w:space="0" w:color="4F2D7F"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1C1E9" w:themeFill="accent1" w:themeFillTint="3F"/>
      </w:tcPr>
    </w:tblStylePr>
    <w:tblStylePr w:type="band1Horz">
      <w:tblPr/>
      <w:tcPr>
        <w:tcBorders>
          <w:top w:val="nil"/>
          <w:bottom w:val="nil"/>
          <w:insideH w:val="nil"/>
          <w:insideV w:val="nil"/>
        </w:tcBorders>
        <w:shd w:val="clear" w:color="auto" w:fill="D1C1E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C8BEAF" w:themeColor="accent2"/>
        <w:left w:val="single" w:sz="8" w:space="0" w:color="C8BEAF" w:themeColor="accent2"/>
        <w:bottom w:val="single" w:sz="8" w:space="0" w:color="C8BEAF" w:themeColor="accent2"/>
        <w:right w:val="single" w:sz="8" w:space="0" w:color="C8BEAF" w:themeColor="accent2"/>
      </w:tblBorders>
    </w:tblPr>
    <w:tblStylePr w:type="firstRow">
      <w:rPr>
        <w:sz w:val="24"/>
        <w:szCs w:val="24"/>
      </w:rPr>
      <w:tblPr/>
      <w:tcPr>
        <w:tcBorders>
          <w:top w:val="nil"/>
          <w:left w:val="nil"/>
          <w:bottom w:val="single" w:sz="24" w:space="0" w:color="C8BEAF"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8BEAF" w:themeColor="accent2"/>
          <w:insideH w:val="nil"/>
          <w:insideV w:val="nil"/>
        </w:tcBorders>
        <w:shd w:val="clear" w:color="auto" w:fill="FFFFFF" w:themeFill="background1"/>
      </w:tcPr>
    </w:tblStylePr>
    <w:tblStylePr w:type="lastCol">
      <w:tblPr/>
      <w:tcPr>
        <w:tcBorders>
          <w:top w:val="nil"/>
          <w:left w:val="single" w:sz="8" w:space="0" w:color="C8BEAF"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1EEEB" w:themeFill="accent2" w:themeFillTint="3F"/>
      </w:tcPr>
    </w:tblStylePr>
    <w:tblStylePr w:type="band1Horz">
      <w:tblPr/>
      <w:tcPr>
        <w:tcBorders>
          <w:top w:val="nil"/>
          <w:bottom w:val="nil"/>
          <w:insideH w:val="nil"/>
          <w:insideV w:val="nil"/>
        </w:tcBorders>
        <w:shd w:val="clear" w:color="auto" w:fill="F1EE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00A7B5" w:themeColor="accent3"/>
        <w:left w:val="single" w:sz="8" w:space="0" w:color="00A7B5" w:themeColor="accent3"/>
        <w:bottom w:val="single" w:sz="8" w:space="0" w:color="00A7B5" w:themeColor="accent3"/>
        <w:right w:val="single" w:sz="8" w:space="0" w:color="00A7B5" w:themeColor="accent3"/>
      </w:tblBorders>
    </w:tblPr>
    <w:tblStylePr w:type="firstRow">
      <w:rPr>
        <w:sz w:val="24"/>
        <w:szCs w:val="24"/>
      </w:rPr>
      <w:tblPr/>
      <w:tcPr>
        <w:tcBorders>
          <w:top w:val="nil"/>
          <w:left w:val="nil"/>
          <w:bottom w:val="single" w:sz="24" w:space="0" w:color="00A7B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7B5" w:themeColor="accent3"/>
          <w:insideH w:val="nil"/>
          <w:insideV w:val="nil"/>
        </w:tcBorders>
        <w:shd w:val="clear" w:color="auto" w:fill="FFFFFF" w:themeFill="background1"/>
      </w:tcPr>
    </w:tblStylePr>
    <w:tblStylePr w:type="lastCol">
      <w:tblPr/>
      <w:tcPr>
        <w:tcBorders>
          <w:top w:val="nil"/>
          <w:left w:val="single" w:sz="8" w:space="0" w:color="00A7B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DF8FF" w:themeFill="accent3" w:themeFillTint="3F"/>
      </w:tcPr>
    </w:tblStylePr>
    <w:tblStylePr w:type="band1Horz">
      <w:tblPr/>
      <w:tcPr>
        <w:tcBorders>
          <w:top w:val="nil"/>
          <w:bottom w:val="nil"/>
          <w:insideH w:val="nil"/>
          <w:insideV w:val="nil"/>
        </w:tcBorders>
        <w:shd w:val="clear" w:color="auto" w:fill="ADF8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FF7D1E" w:themeColor="accent4"/>
        <w:left w:val="single" w:sz="8" w:space="0" w:color="FF7D1E" w:themeColor="accent4"/>
        <w:bottom w:val="single" w:sz="8" w:space="0" w:color="FF7D1E" w:themeColor="accent4"/>
        <w:right w:val="single" w:sz="8" w:space="0" w:color="FF7D1E" w:themeColor="accent4"/>
      </w:tblBorders>
    </w:tblPr>
    <w:tblStylePr w:type="firstRow">
      <w:rPr>
        <w:sz w:val="24"/>
        <w:szCs w:val="24"/>
      </w:rPr>
      <w:tblPr/>
      <w:tcPr>
        <w:tcBorders>
          <w:top w:val="nil"/>
          <w:left w:val="nil"/>
          <w:bottom w:val="single" w:sz="24" w:space="0" w:color="FF7D1E"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7D1E" w:themeColor="accent4"/>
          <w:insideH w:val="nil"/>
          <w:insideV w:val="nil"/>
        </w:tcBorders>
        <w:shd w:val="clear" w:color="auto" w:fill="FFFFFF" w:themeFill="background1"/>
      </w:tcPr>
    </w:tblStylePr>
    <w:tblStylePr w:type="lastCol">
      <w:tblPr/>
      <w:tcPr>
        <w:tcBorders>
          <w:top w:val="nil"/>
          <w:left w:val="single" w:sz="8" w:space="0" w:color="FF7D1E"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EC7" w:themeFill="accent4" w:themeFillTint="3F"/>
      </w:tcPr>
    </w:tblStylePr>
    <w:tblStylePr w:type="band1Horz">
      <w:tblPr/>
      <w:tcPr>
        <w:tcBorders>
          <w:top w:val="nil"/>
          <w:bottom w:val="nil"/>
          <w:insideH w:val="nil"/>
          <w:insideV w:val="nil"/>
        </w:tcBorders>
        <w:shd w:val="clear" w:color="auto" w:fill="FFDEC7"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9BD732" w:themeColor="accent5"/>
        <w:left w:val="single" w:sz="8" w:space="0" w:color="9BD732" w:themeColor="accent5"/>
        <w:bottom w:val="single" w:sz="8" w:space="0" w:color="9BD732" w:themeColor="accent5"/>
        <w:right w:val="single" w:sz="8" w:space="0" w:color="9BD732" w:themeColor="accent5"/>
      </w:tblBorders>
    </w:tblPr>
    <w:tblStylePr w:type="firstRow">
      <w:rPr>
        <w:sz w:val="24"/>
        <w:szCs w:val="24"/>
      </w:rPr>
      <w:tblPr/>
      <w:tcPr>
        <w:tcBorders>
          <w:top w:val="nil"/>
          <w:left w:val="nil"/>
          <w:bottom w:val="single" w:sz="24" w:space="0" w:color="9BD732"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D732" w:themeColor="accent5"/>
          <w:insideH w:val="nil"/>
          <w:insideV w:val="nil"/>
        </w:tcBorders>
        <w:shd w:val="clear" w:color="auto" w:fill="FFFFFF" w:themeFill="background1"/>
      </w:tcPr>
    </w:tblStylePr>
    <w:tblStylePr w:type="lastCol">
      <w:tblPr/>
      <w:tcPr>
        <w:tcBorders>
          <w:top w:val="nil"/>
          <w:left w:val="single" w:sz="8" w:space="0" w:color="9BD732"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F5CC" w:themeFill="accent5" w:themeFillTint="3F"/>
      </w:tcPr>
    </w:tblStylePr>
    <w:tblStylePr w:type="band1Horz">
      <w:tblPr/>
      <w:tcPr>
        <w:tcBorders>
          <w:top w:val="nil"/>
          <w:bottom w:val="nil"/>
          <w:insideH w:val="nil"/>
          <w:insideV w:val="nil"/>
        </w:tcBorders>
        <w:shd w:val="clear" w:color="auto" w:fill="E6F5C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E92841" w:themeColor="accent6"/>
        <w:left w:val="single" w:sz="8" w:space="0" w:color="E92841" w:themeColor="accent6"/>
        <w:bottom w:val="single" w:sz="8" w:space="0" w:color="E92841" w:themeColor="accent6"/>
        <w:right w:val="single" w:sz="8" w:space="0" w:color="E92841" w:themeColor="accent6"/>
      </w:tblBorders>
    </w:tblPr>
    <w:tblStylePr w:type="firstRow">
      <w:rPr>
        <w:sz w:val="24"/>
        <w:szCs w:val="24"/>
      </w:rPr>
      <w:tblPr/>
      <w:tcPr>
        <w:tcBorders>
          <w:top w:val="nil"/>
          <w:left w:val="nil"/>
          <w:bottom w:val="single" w:sz="24" w:space="0" w:color="E92841"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2841" w:themeColor="accent6"/>
          <w:insideH w:val="nil"/>
          <w:insideV w:val="nil"/>
        </w:tcBorders>
        <w:shd w:val="clear" w:color="auto" w:fill="FFFFFF" w:themeFill="background1"/>
      </w:tcPr>
    </w:tblStylePr>
    <w:tblStylePr w:type="lastCol">
      <w:tblPr/>
      <w:tcPr>
        <w:tcBorders>
          <w:top w:val="nil"/>
          <w:left w:val="single" w:sz="8" w:space="0" w:color="E92841"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C9CF" w:themeFill="accent6" w:themeFillTint="3F"/>
      </w:tcPr>
    </w:tblStylePr>
    <w:tblStylePr w:type="band1Horz">
      <w:tblPr/>
      <w:tcPr>
        <w:tcBorders>
          <w:top w:val="nil"/>
          <w:bottom w:val="nil"/>
          <w:insideH w:val="nil"/>
          <w:insideV w:val="nil"/>
        </w:tcBorders>
        <w:shd w:val="clear" w:color="auto" w:fill="F9C9C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6C286D"/>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6C286D"/>
    <w:tblPr>
      <w:tblStyleRowBandSize w:val="1"/>
      <w:tblStyleColBandSize w:val="1"/>
      <w:tblBorders>
        <w:top w:val="single" w:sz="8" w:space="0" w:color="7543BC" w:themeColor="accent1" w:themeTint="BF"/>
        <w:left w:val="single" w:sz="8" w:space="0" w:color="7543BC" w:themeColor="accent1" w:themeTint="BF"/>
        <w:bottom w:val="single" w:sz="8" w:space="0" w:color="7543BC" w:themeColor="accent1" w:themeTint="BF"/>
        <w:right w:val="single" w:sz="8" w:space="0" w:color="7543BC" w:themeColor="accent1" w:themeTint="BF"/>
        <w:insideH w:val="single" w:sz="8" w:space="0" w:color="7543BC" w:themeColor="accent1" w:themeTint="BF"/>
      </w:tblBorders>
    </w:tblPr>
    <w:tblStylePr w:type="firstRow">
      <w:pPr>
        <w:spacing w:before="0" w:after="0" w:line="240" w:lineRule="auto"/>
      </w:pPr>
      <w:rPr>
        <w:b/>
        <w:bCs/>
        <w:color w:val="FFFFFF" w:themeColor="background1"/>
      </w:rPr>
      <w:tblPr/>
      <w:tcPr>
        <w:tcBorders>
          <w:top w:val="single" w:sz="8" w:space="0" w:color="7543BC" w:themeColor="accent1" w:themeTint="BF"/>
          <w:left w:val="single" w:sz="8" w:space="0" w:color="7543BC" w:themeColor="accent1" w:themeTint="BF"/>
          <w:bottom w:val="single" w:sz="8" w:space="0" w:color="7543BC" w:themeColor="accent1" w:themeTint="BF"/>
          <w:right w:val="single" w:sz="8" w:space="0" w:color="7543BC" w:themeColor="accent1" w:themeTint="BF"/>
          <w:insideH w:val="nil"/>
          <w:insideV w:val="nil"/>
        </w:tcBorders>
        <w:shd w:val="clear" w:color="auto" w:fill="4F2D7F" w:themeFill="accent1"/>
      </w:tcPr>
    </w:tblStylePr>
    <w:tblStylePr w:type="lastRow">
      <w:pPr>
        <w:spacing w:before="0" w:after="0" w:line="240" w:lineRule="auto"/>
      </w:pPr>
      <w:rPr>
        <w:b/>
        <w:bCs/>
      </w:rPr>
      <w:tblPr/>
      <w:tcPr>
        <w:tcBorders>
          <w:top w:val="double" w:sz="6" w:space="0" w:color="7543BC" w:themeColor="accent1" w:themeTint="BF"/>
          <w:left w:val="single" w:sz="8" w:space="0" w:color="7543BC" w:themeColor="accent1" w:themeTint="BF"/>
          <w:bottom w:val="single" w:sz="8" w:space="0" w:color="7543BC" w:themeColor="accent1" w:themeTint="BF"/>
          <w:right w:val="single" w:sz="8" w:space="0" w:color="7543BC" w:themeColor="accent1" w:themeTint="BF"/>
          <w:insideH w:val="nil"/>
          <w:insideV w:val="nil"/>
        </w:tcBorders>
      </w:tcPr>
    </w:tblStylePr>
    <w:tblStylePr w:type="firstCol">
      <w:rPr>
        <w:b/>
        <w:bCs/>
      </w:rPr>
    </w:tblStylePr>
    <w:tblStylePr w:type="lastCol">
      <w:rPr>
        <w:b/>
        <w:bCs/>
      </w:rPr>
    </w:tblStylePr>
    <w:tblStylePr w:type="band1Vert">
      <w:tblPr/>
      <w:tcPr>
        <w:shd w:val="clear" w:color="auto" w:fill="D1C1E9" w:themeFill="accent1" w:themeFillTint="3F"/>
      </w:tcPr>
    </w:tblStylePr>
    <w:tblStylePr w:type="band1Horz">
      <w:tblPr/>
      <w:tcPr>
        <w:tcBorders>
          <w:insideH w:val="nil"/>
          <w:insideV w:val="nil"/>
        </w:tcBorders>
        <w:shd w:val="clear" w:color="auto" w:fill="D1C1E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6C286D"/>
    <w:tblPr>
      <w:tblStyleRowBandSize w:val="1"/>
      <w:tblStyleColBandSize w:val="1"/>
      <w:tblBorders>
        <w:top w:val="single" w:sz="8" w:space="0" w:color="D5CEC2" w:themeColor="accent2" w:themeTint="BF"/>
        <w:left w:val="single" w:sz="8" w:space="0" w:color="D5CEC2" w:themeColor="accent2" w:themeTint="BF"/>
        <w:bottom w:val="single" w:sz="8" w:space="0" w:color="D5CEC2" w:themeColor="accent2" w:themeTint="BF"/>
        <w:right w:val="single" w:sz="8" w:space="0" w:color="D5CEC2" w:themeColor="accent2" w:themeTint="BF"/>
        <w:insideH w:val="single" w:sz="8" w:space="0" w:color="D5CEC2" w:themeColor="accent2" w:themeTint="BF"/>
      </w:tblBorders>
    </w:tblPr>
    <w:tblStylePr w:type="firstRow">
      <w:pPr>
        <w:spacing w:before="0" w:after="0" w:line="240" w:lineRule="auto"/>
      </w:pPr>
      <w:rPr>
        <w:b/>
        <w:bCs/>
        <w:color w:val="FFFFFF" w:themeColor="background1"/>
      </w:rPr>
      <w:tblPr/>
      <w:tcPr>
        <w:tcBorders>
          <w:top w:val="single" w:sz="8" w:space="0" w:color="D5CEC2" w:themeColor="accent2" w:themeTint="BF"/>
          <w:left w:val="single" w:sz="8" w:space="0" w:color="D5CEC2" w:themeColor="accent2" w:themeTint="BF"/>
          <w:bottom w:val="single" w:sz="8" w:space="0" w:color="D5CEC2" w:themeColor="accent2" w:themeTint="BF"/>
          <w:right w:val="single" w:sz="8" w:space="0" w:color="D5CEC2" w:themeColor="accent2" w:themeTint="BF"/>
          <w:insideH w:val="nil"/>
          <w:insideV w:val="nil"/>
        </w:tcBorders>
        <w:shd w:val="clear" w:color="auto" w:fill="C8BEAF" w:themeFill="accent2"/>
      </w:tcPr>
    </w:tblStylePr>
    <w:tblStylePr w:type="lastRow">
      <w:pPr>
        <w:spacing w:before="0" w:after="0" w:line="240" w:lineRule="auto"/>
      </w:pPr>
      <w:rPr>
        <w:b/>
        <w:bCs/>
      </w:rPr>
      <w:tblPr/>
      <w:tcPr>
        <w:tcBorders>
          <w:top w:val="double" w:sz="6" w:space="0" w:color="D5CEC2" w:themeColor="accent2" w:themeTint="BF"/>
          <w:left w:val="single" w:sz="8" w:space="0" w:color="D5CEC2" w:themeColor="accent2" w:themeTint="BF"/>
          <w:bottom w:val="single" w:sz="8" w:space="0" w:color="D5CEC2" w:themeColor="accent2" w:themeTint="BF"/>
          <w:right w:val="single" w:sz="8" w:space="0" w:color="D5CEC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1EEEB" w:themeFill="accent2" w:themeFillTint="3F"/>
      </w:tcPr>
    </w:tblStylePr>
    <w:tblStylePr w:type="band1Horz">
      <w:tblPr/>
      <w:tcPr>
        <w:tcBorders>
          <w:insideH w:val="nil"/>
          <w:insideV w:val="nil"/>
        </w:tcBorders>
        <w:shd w:val="clear" w:color="auto" w:fill="F1EE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6C286D"/>
    <w:tblPr>
      <w:tblStyleRowBandSize w:val="1"/>
      <w:tblStyleColBandSize w:val="1"/>
      <w:tblBorders>
        <w:top w:val="single" w:sz="8" w:space="0" w:color="08EBFF" w:themeColor="accent3" w:themeTint="BF"/>
        <w:left w:val="single" w:sz="8" w:space="0" w:color="08EBFF" w:themeColor="accent3" w:themeTint="BF"/>
        <w:bottom w:val="single" w:sz="8" w:space="0" w:color="08EBFF" w:themeColor="accent3" w:themeTint="BF"/>
        <w:right w:val="single" w:sz="8" w:space="0" w:color="08EBFF" w:themeColor="accent3" w:themeTint="BF"/>
        <w:insideH w:val="single" w:sz="8" w:space="0" w:color="08EBFF" w:themeColor="accent3" w:themeTint="BF"/>
      </w:tblBorders>
    </w:tblPr>
    <w:tblStylePr w:type="firstRow">
      <w:pPr>
        <w:spacing w:before="0" w:after="0" w:line="240" w:lineRule="auto"/>
      </w:pPr>
      <w:rPr>
        <w:b/>
        <w:bCs/>
        <w:color w:val="FFFFFF" w:themeColor="background1"/>
      </w:rPr>
      <w:tblPr/>
      <w:tcPr>
        <w:tcBorders>
          <w:top w:val="single" w:sz="8" w:space="0" w:color="08EBFF" w:themeColor="accent3" w:themeTint="BF"/>
          <w:left w:val="single" w:sz="8" w:space="0" w:color="08EBFF" w:themeColor="accent3" w:themeTint="BF"/>
          <w:bottom w:val="single" w:sz="8" w:space="0" w:color="08EBFF" w:themeColor="accent3" w:themeTint="BF"/>
          <w:right w:val="single" w:sz="8" w:space="0" w:color="08EBFF" w:themeColor="accent3" w:themeTint="BF"/>
          <w:insideH w:val="nil"/>
          <w:insideV w:val="nil"/>
        </w:tcBorders>
        <w:shd w:val="clear" w:color="auto" w:fill="00A7B5" w:themeFill="accent3"/>
      </w:tcPr>
    </w:tblStylePr>
    <w:tblStylePr w:type="lastRow">
      <w:pPr>
        <w:spacing w:before="0" w:after="0" w:line="240" w:lineRule="auto"/>
      </w:pPr>
      <w:rPr>
        <w:b/>
        <w:bCs/>
      </w:rPr>
      <w:tblPr/>
      <w:tcPr>
        <w:tcBorders>
          <w:top w:val="double" w:sz="6" w:space="0" w:color="08EBFF" w:themeColor="accent3" w:themeTint="BF"/>
          <w:left w:val="single" w:sz="8" w:space="0" w:color="08EBFF" w:themeColor="accent3" w:themeTint="BF"/>
          <w:bottom w:val="single" w:sz="8" w:space="0" w:color="08EBFF" w:themeColor="accent3" w:themeTint="BF"/>
          <w:right w:val="single" w:sz="8" w:space="0" w:color="08EBFF" w:themeColor="accent3" w:themeTint="BF"/>
          <w:insideH w:val="nil"/>
          <w:insideV w:val="nil"/>
        </w:tcBorders>
      </w:tcPr>
    </w:tblStylePr>
    <w:tblStylePr w:type="firstCol">
      <w:rPr>
        <w:b/>
        <w:bCs/>
      </w:rPr>
    </w:tblStylePr>
    <w:tblStylePr w:type="lastCol">
      <w:rPr>
        <w:b/>
        <w:bCs/>
      </w:rPr>
    </w:tblStylePr>
    <w:tblStylePr w:type="band1Vert">
      <w:tblPr/>
      <w:tcPr>
        <w:shd w:val="clear" w:color="auto" w:fill="ADF8FF" w:themeFill="accent3" w:themeFillTint="3F"/>
      </w:tcPr>
    </w:tblStylePr>
    <w:tblStylePr w:type="band1Horz">
      <w:tblPr/>
      <w:tcPr>
        <w:tcBorders>
          <w:insideH w:val="nil"/>
          <w:insideV w:val="nil"/>
        </w:tcBorders>
        <w:shd w:val="clear" w:color="auto" w:fill="ADF8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6C286D"/>
    <w:tblPr>
      <w:tblStyleRowBandSize w:val="1"/>
      <w:tblStyleColBandSize w:val="1"/>
      <w:tblBorders>
        <w:top w:val="single" w:sz="8" w:space="0" w:color="FF9D56" w:themeColor="accent4" w:themeTint="BF"/>
        <w:left w:val="single" w:sz="8" w:space="0" w:color="FF9D56" w:themeColor="accent4" w:themeTint="BF"/>
        <w:bottom w:val="single" w:sz="8" w:space="0" w:color="FF9D56" w:themeColor="accent4" w:themeTint="BF"/>
        <w:right w:val="single" w:sz="8" w:space="0" w:color="FF9D56" w:themeColor="accent4" w:themeTint="BF"/>
        <w:insideH w:val="single" w:sz="8" w:space="0" w:color="FF9D56" w:themeColor="accent4" w:themeTint="BF"/>
      </w:tblBorders>
    </w:tblPr>
    <w:tblStylePr w:type="firstRow">
      <w:pPr>
        <w:spacing w:before="0" w:after="0" w:line="240" w:lineRule="auto"/>
      </w:pPr>
      <w:rPr>
        <w:b/>
        <w:bCs/>
        <w:color w:val="FFFFFF" w:themeColor="background1"/>
      </w:rPr>
      <w:tblPr/>
      <w:tcPr>
        <w:tcBorders>
          <w:top w:val="single" w:sz="8" w:space="0" w:color="FF9D56" w:themeColor="accent4" w:themeTint="BF"/>
          <w:left w:val="single" w:sz="8" w:space="0" w:color="FF9D56" w:themeColor="accent4" w:themeTint="BF"/>
          <w:bottom w:val="single" w:sz="8" w:space="0" w:color="FF9D56" w:themeColor="accent4" w:themeTint="BF"/>
          <w:right w:val="single" w:sz="8" w:space="0" w:color="FF9D56" w:themeColor="accent4" w:themeTint="BF"/>
          <w:insideH w:val="nil"/>
          <w:insideV w:val="nil"/>
        </w:tcBorders>
        <w:shd w:val="clear" w:color="auto" w:fill="FF7D1E" w:themeFill="accent4"/>
      </w:tcPr>
    </w:tblStylePr>
    <w:tblStylePr w:type="lastRow">
      <w:pPr>
        <w:spacing w:before="0" w:after="0" w:line="240" w:lineRule="auto"/>
      </w:pPr>
      <w:rPr>
        <w:b/>
        <w:bCs/>
      </w:rPr>
      <w:tblPr/>
      <w:tcPr>
        <w:tcBorders>
          <w:top w:val="double" w:sz="6" w:space="0" w:color="FF9D56" w:themeColor="accent4" w:themeTint="BF"/>
          <w:left w:val="single" w:sz="8" w:space="0" w:color="FF9D56" w:themeColor="accent4" w:themeTint="BF"/>
          <w:bottom w:val="single" w:sz="8" w:space="0" w:color="FF9D56" w:themeColor="accent4" w:themeTint="BF"/>
          <w:right w:val="single" w:sz="8" w:space="0" w:color="FF9D56"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DEC7" w:themeFill="accent4" w:themeFillTint="3F"/>
      </w:tcPr>
    </w:tblStylePr>
    <w:tblStylePr w:type="band1Horz">
      <w:tblPr/>
      <w:tcPr>
        <w:tcBorders>
          <w:insideH w:val="nil"/>
          <w:insideV w:val="nil"/>
        </w:tcBorders>
        <w:shd w:val="clear" w:color="auto" w:fill="FFDEC7"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6C286D"/>
    <w:tblPr>
      <w:tblStyleRowBandSize w:val="1"/>
      <w:tblStyleColBandSize w:val="1"/>
      <w:tblBorders>
        <w:top w:val="single" w:sz="8" w:space="0" w:color="B3E165" w:themeColor="accent5" w:themeTint="BF"/>
        <w:left w:val="single" w:sz="8" w:space="0" w:color="B3E165" w:themeColor="accent5" w:themeTint="BF"/>
        <w:bottom w:val="single" w:sz="8" w:space="0" w:color="B3E165" w:themeColor="accent5" w:themeTint="BF"/>
        <w:right w:val="single" w:sz="8" w:space="0" w:color="B3E165" w:themeColor="accent5" w:themeTint="BF"/>
        <w:insideH w:val="single" w:sz="8" w:space="0" w:color="B3E165" w:themeColor="accent5" w:themeTint="BF"/>
      </w:tblBorders>
    </w:tblPr>
    <w:tblStylePr w:type="firstRow">
      <w:pPr>
        <w:spacing w:before="0" w:after="0" w:line="240" w:lineRule="auto"/>
      </w:pPr>
      <w:rPr>
        <w:b/>
        <w:bCs/>
        <w:color w:val="FFFFFF" w:themeColor="background1"/>
      </w:rPr>
      <w:tblPr/>
      <w:tcPr>
        <w:tcBorders>
          <w:top w:val="single" w:sz="8" w:space="0" w:color="B3E165" w:themeColor="accent5" w:themeTint="BF"/>
          <w:left w:val="single" w:sz="8" w:space="0" w:color="B3E165" w:themeColor="accent5" w:themeTint="BF"/>
          <w:bottom w:val="single" w:sz="8" w:space="0" w:color="B3E165" w:themeColor="accent5" w:themeTint="BF"/>
          <w:right w:val="single" w:sz="8" w:space="0" w:color="B3E165" w:themeColor="accent5" w:themeTint="BF"/>
          <w:insideH w:val="nil"/>
          <w:insideV w:val="nil"/>
        </w:tcBorders>
        <w:shd w:val="clear" w:color="auto" w:fill="9BD732" w:themeFill="accent5"/>
      </w:tcPr>
    </w:tblStylePr>
    <w:tblStylePr w:type="lastRow">
      <w:pPr>
        <w:spacing w:before="0" w:after="0" w:line="240" w:lineRule="auto"/>
      </w:pPr>
      <w:rPr>
        <w:b/>
        <w:bCs/>
      </w:rPr>
      <w:tblPr/>
      <w:tcPr>
        <w:tcBorders>
          <w:top w:val="double" w:sz="6" w:space="0" w:color="B3E165" w:themeColor="accent5" w:themeTint="BF"/>
          <w:left w:val="single" w:sz="8" w:space="0" w:color="B3E165" w:themeColor="accent5" w:themeTint="BF"/>
          <w:bottom w:val="single" w:sz="8" w:space="0" w:color="B3E165" w:themeColor="accent5" w:themeTint="BF"/>
          <w:right w:val="single" w:sz="8" w:space="0" w:color="B3E165" w:themeColor="accent5" w:themeTint="BF"/>
          <w:insideH w:val="nil"/>
          <w:insideV w:val="nil"/>
        </w:tcBorders>
      </w:tcPr>
    </w:tblStylePr>
    <w:tblStylePr w:type="firstCol">
      <w:rPr>
        <w:b/>
        <w:bCs/>
      </w:rPr>
    </w:tblStylePr>
    <w:tblStylePr w:type="lastCol">
      <w:rPr>
        <w:b/>
        <w:bCs/>
      </w:rPr>
    </w:tblStylePr>
    <w:tblStylePr w:type="band1Vert">
      <w:tblPr/>
      <w:tcPr>
        <w:shd w:val="clear" w:color="auto" w:fill="E6F5CC" w:themeFill="accent5" w:themeFillTint="3F"/>
      </w:tcPr>
    </w:tblStylePr>
    <w:tblStylePr w:type="band1Horz">
      <w:tblPr/>
      <w:tcPr>
        <w:tcBorders>
          <w:insideH w:val="nil"/>
          <w:insideV w:val="nil"/>
        </w:tcBorders>
        <w:shd w:val="clear" w:color="auto" w:fill="E6F5C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6C286D"/>
    <w:tblPr>
      <w:tblStyleRowBandSize w:val="1"/>
      <w:tblStyleColBandSize w:val="1"/>
      <w:tblBorders>
        <w:top w:val="single" w:sz="8" w:space="0" w:color="EE5D70" w:themeColor="accent6" w:themeTint="BF"/>
        <w:left w:val="single" w:sz="8" w:space="0" w:color="EE5D70" w:themeColor="accent6" w:themeTint="BF"/>
        <w:bottom w:val="single" w:sz="8" w:space="0" w:color="EE5D70" w:themeColor="accent6" w:themeTint="BF"/>
        <w:right w:val="single" w:sz="8" w:space="0" w:color="EE5D70" w:themeColor="accent6" w:themeTint="BF"/>
        <w:insideH w:val="single" w:sz="8" w:space="0" w:color="EE5D70" w:themeColor="accent6" w:themeTint="BF"/>
      </w:tblBorders>
    </w:tblPr>
    <w:tblStylePr w:type="firstRow">
      <w:pPr>
        <w:spacing w:before="0" w:after="0" w:line="240" w:lineRule="auto"/>
      </w:pPr>
      <w:rPr>
        <w:b/>
        <w:bCs/>
        <w:color w:val="FFFFFF" w:themeColor="background1"/>
      </w:rPr>
      <w:tblPr/>
      <w:tcPr>
        <w:tcBorders>
          <w:top w:val="single" w:sz="8" w:space="0" w:color="EE5D70" w:themeColor="accent6" w:themeTint="BF"/>
          <w:left w:val="single" w:sz="8" w:space="0" w:color="EE5D70" w:themeColor="accent6" w:themeTint="BF"/>
          <w:bottom w:val="single" w:sz="8" w:space="0" w:color="EE5D70" w:themeColor="accent6" w:themeTint="BF"/>
          <w:right w:val="single" w:sz="8" w:space="0" w:color="EE5D70" w:themeColor="accent6" w:themeTint="BF"/>
          <w:insideH w:val="nil"/>
          <w:insideV w:val="nil"/>
        </w:tcBorders>
        <w:shd w:val="clear" w:color="auto" w:fill="E92841" w:themeFill="accent6"/>
      </w:tcPr>
    </w:tblStylePr>
    <w:tblStylePr w:type="lastRow">
      <w:pPr>
        <w:spacing w:before="0" w:after="0" w:line="240" w:lineRule="auto"/>
      </w:pPr>
      <w:rPr>
        <w:b/>
        <w:bCs/>
      </w:rPr>
      <w:tblPr/>
      <w:tcPr>
        <w:tcBorders>
          <w:top w:val="double" w:sz="6" w:space="0" w:color="EE5D70" w:themeColor="accent6" w:themeTint="BF"/>
          <w:left w:val="single" w:sz="8" w:space="0" w:color="EE5D70" w:themeColor="accent6" w:themeTint="BF"/>
          <w:bottom w:val="single" w:sz="8" w:space="0" w:color="EE5D70" w:themeColor="accent6" w:themeTint="BF"/>
          <w:right w:val="single" w:sz="8" w:space="0" w:color="EE5D70" w:themeColor="accent6" w:themeTint="BF"/>
          <w:insideH w:val="nil"/>
          <w:insideV w:val="nil"/>
        </w:tcBorders>
      </w:tcPr>
    </w:tblStylePr>
    <w:tblStylePr w:type="firstCol">
      <w:rPr>
        <w:b/>
        <w:bCs/>
      </w:rPr>
    </w:tblStylePr>
    <w:tblStylePr w:type="lastCol">
      <w:rPr>
        <w:b/>
        <w:bCs/>
      </w:rPr>
    </w:tblStylePr>
    <w:tblStylePr w:type="band1Vert">
      <w:tblPr/>
      <w:tcPr>
        <w:shd w:val="clear" w:color="auto" w:fill="F9C9CF" w:themeFill="accent6" w:themeFillTint="3F"/>
      </w:tcPr>
    </w:tblStylePr>
    <w:tblStylePr w:type="band1Horz">
      <w:tblPr/>
      <w:tcPr>
        <w:tcBorders>
          <w:insideH w:val="nil"/>
          <w:insideV w:val="nil"/>
        </w:tcBorders>
        <w:shd w:val="clear" w:color="auto" w:fill="F9C9C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2D7F"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F2D7F" w:themeFill="accent1"/>
      </w:tcPr>
    </w:tblStylePr>
    <w:tblStylePr w:type="lastCol">
      <w:rPr>
        <w:b/>
        <w:bCs/>
        <w:color w:val="FFFFFF" w:themeColor="background1"/>
      </w:rPr>
      <w:tblPr/>
      <w:tcPr>
        <w:tcBorders>
          <w:left w:val="nil"/>
          <w:right w:val="nil"/>
          <w:insideH w:val="nil"/>
          <w:insideV w:val="nil"/>
        </w:tcBorders>
        <w:shd w:val="clear" w:color="auto" w:fill="4F2D7F"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8BEAF"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8BEAF" w:themeFill="accent2"/>
      </w:tcPr>
    </w:tblStylePr>
    <w:tblStylePr w:type="lastCol">
      <w:rPr>
        <w:b/>
        <w:bCs/>
        <w:color w:val="FFFFFF" w:themeColor="background1"/>
      </w:rPr>
      <w:tblPr/>
      <w:tcPr>
        <w:tcBorders>
          <w:left w:val="nil"/>
          <w:right w:val="nil"/>
          <w:insideH w:val="nil"/>
          <w:insideV w:val="nil"/>
        </w:tcBorders>
        <w:shd w:val="clear" w:color="auto" w:fill="C8BEA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7B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7B5" w:themeFill="accent3"/>
      </w:tcPr>
    </w:tblStylePr>
    <w:tblStylePr w:type="lastCol">
      <w:rPr>
        <w:b/>
        <w:bCs/>
        <w:color w:val="FFFFFF" w:themeColor="background1"/>
      </w:rPr>
      <w:tblPr/>
      <w:tcPr>
        <w:tcBorders>
          <w:left w:val="nil"/>
          <w:right w:val="nil"/>
          <w:insideH w:val="nil"/>
          <w:insideV w:val="nil"/>
        </w:tcBorders>
        <w:shd w:val="clear" w:color="auto" w:fill="00A7B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7D1E"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7D1E" w:themeFill="accent4"/>
      </w:tcPr>
    </w:tblStylePr>
    <w:tblStylePr w:type="lastCol">
      <w:rPr>
        <w:b/>
        <w:bCs/>
        <w:color w:val="FFFFFF" w:themeColor="background1"/>
      </w:rPr>
      <w:tblPr/>
      <w:tcPr>
        <w:tcBorders>
          <w:left w:val="nil"/>
          <w:right w:val="nil"/>
          <w:insideH w:val="nil"/>
          <w:insideV w:val="nil"/>
        </w:tcBorders>
        <w:shd w:val="clear" w:color="auto" w:fill="FF7D1E"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D73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BD732" w:themeFill="accent5"/>
      </w:tcPr>
    </w:tblStylePr>
    <w:tblStylePr w:type="lastCol">
      <w:rPr>
        <w:b/>
        <w:bCs/>
        <w:color w:val="FFFFFF" w:themeColor="background1"/>
      </w:rPr>
      <w:tblPr/>
      <w:tcPr>
        <w:tcBorders>
          <w:left w:val="nil"/>
          <w:right w:val="nil"/>
          <w:insideH w:val="nil"/>
          <w:insideV w:val="nil"/>
        </w:tcBorders>
        <w:shd w:val="clear" w:color="auto" w:fill="9BD73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2841"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92841" w:themeFill="accent6"/>
      </w:tcPr>
    </w:tblStylePr>
    <w:tblStylePr w:type="lastCol">
      <w:rPr>
        <w:b/>
        <w:bCs/>
        <w:color w:val="FFFFFF" w:themeColor="background1"/>
      </w:rPr>
      <w:tblPr/>
      <w:tcPr>
        <w:tcBorders>
          <w:left w:val="nil"/>
          <w:right w:val="nil"/>
          <w:insideH w:val="nil"/>
          <w:insideV w:val="nil"/>
        </w:tcBorders>
        <w:shd w:val="clear" w:color="auto" w:fill="E92841"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6C286D"/>
    <w:rPr>
      <w:color w:val="2B579A"/>
      <w:shd w:val="clear" w:color="auto" w:fill="E6E6E6"/>
      <w:lang w:val="en-US"/>
    </w:rPr>
  </w:style>
  <w:style w:type="paragraph" w:styleId="MessageHeader">
    <w:name w:val="Message Header"/>
    <w:basedOn w:val="Normal"/>
    <w:link w:val="MessageHeaderChar"/>
    <w:semiHidden/>
    <w:rsid w:val="006C286D"/>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semiHidden/>
    <w:rsid w:val="006C286D"/>
    <w:rPr>
      <w:rFonts w:asciiTheme="majorHAnsi" w:eastAsiaTheme="majorEastAsia" w:hAnsiTheme="majorHAnsi" w:cstheme="majorBidi"/>
      <w:sz w:val="24"/>
      <w:szCs w:val="24"/>
      <w:shd w:val="pct20" w:color="auto" w:fill="auto"/>
      <w:lang w:val="en-US"/>
    </w:rPr>
  </w:style>
  <w:style w:type="paragraph" w:styleId="NormalWeb">
    <w:name w:val="Normal (Web)"/>
    <w:basedOn w:val="Normal"/>
    <w:semiHidden/>
    <w:unhideWhenUsed/>
    <w:rsid w:val="006C286D"/>
    <w:rPr>
      <w:rFonts w:ascii="Times New Roman" w:hAnsi="Times New Roman" w:cs="Times New Roman"/>
      <w:sz w:val="24"/>
      <w:szCs w:val="24"/>
    </w:rPr>
  </w:style>
  <w:style w:type="paragraph" w:styleId="NormalIndent">
    <w:name w:val="Normal Indent"/>
    <w:basedOn w:val="Normal"/>
    <w:semiHidden/>
    <w:unhideWhenUsed/>
    <w:rsid w:val="006C286D"/>
    <w:pPr>
      <w:ind w:left="720"/>
    </w:pPr>
  </w:style>
  <w:style w:type="paragraph" w:styleId="NoteHeading">
    <w:name w:val="Note Heading"/>
    <w:basedOn w:val="Normal"/>
    <w:next w:val="Normal"/>
    <w:link w:val="NoteHeadingChar"/>
    <w:semiHidden/>
    <w:unhideWhenUsed/>
    <w:rsid w:val="006C286D"/>
    <w:pPr>
      <w:spacing w:after="0" w:line="240" w:lineRule="auto"/>
    </w:pPr>
  </w:style>
  <w:style w:type="character" w:customStyle="1" w:styleId="NoteHeadingChar">
    <w:name w:val="Note Heading Char"/>
    <w:basedOn w:val="DefaultParagraphFont"/>
    <w:link w:val="NoteHeading"/>
    <w:semiHidden/>
    <w:rsid w:val="006C286D"/>
    <w:rPr>
      <w:rFonts w:asciiTheme="minorHAnsi" w:hAnsiTheme="minorHAnsi" w:cs="Arial"/>
      <w:sz w:val="18"/>
      <w:lang w:val="en-US"/>
    </w:rPr>
  </w:style>
  <w:style w:type="character" w:styleId="PlaceholderText">
    <w:name w:val="Placeholder Text"/>
    <w:basedOn w:val="DefaultParagraphFont"/>
    <w:uiPriority w:val="99"/>
    <w:semiHidden/>
    <w:rsid w:val="006C286D"/>
    <w:rPr>
      <w:color w:val="808080"/>
      <w:lang w:val="en-US"/>
    </w:rPr>
  </w:style>
  <w:style w:type="table" w:styleId="PlainTable1">
    <w:name w:val="Plain Table 1"/>
    <w:basedOn w:val="TableNormal"/>
    <w:uiPriority w:val="41"/>
    <w:rsid w:val="006C286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C286D"/>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C286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C286D"/>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C286D"/>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semiHidden/>
    <w:unhideWhenUsed/>
    <w:rsid w:val="006C286D"/>
  </w:style>
  <w:style w:type="character" w:customStyle="1" w:styleId="SalutationChar">
    <w:name w:val="Salutation Char"/>
    <w:basedOn w:val="DefaultParagraphFont"/>
    <w:link w:val="Salutation"/>
    <w:semiHidden/>
    <w:rsid w:val="006C286D"/>
    <w:rPr>
      <w:rFonts w:asciiTheme="minorHAnsi" w:hAnsiTheme="minorHAnsi" w:cs="Arial"/>
      <w:sz w:val="18"/>
      <w:lang w:val="en-US"/>
    </w:rPr>
  </w:style>
  <w:style w:type="paragraph" w:styleId="Signature">
    <w:name w:val="Signature"/>
    <w:basedOn w:val="Normal"/>
    <w:link w:val="SignatureChar"/>
    <w:semiHidden/>
    <w:unhideWhenUsed/>
    <w:rsid w:val="006C286D"/>
    <w:pPr>
      <w:spacing w:after="0" w:line="240" w:lineRule="auto"/>
      <w:ind w:left="4252"/>
    </w:pPr>
  </w:style>
  <w:style w:type="character" w:customStyle="1" w:styleId="SignatureChar">
    <w:name w:val="Signature Char"/>
    <w:basedOn w:val="DefaultParagraphFont"/>
    <w:link w:val="Signature"/>
    <w:semiHidden/>
    <w:rsid w:val="006C286D"/>
    <w:rPr>
      <w:rFonts w:asciiTheme="minorHAnsi" w:hAnsiTheme="minorHAnsi" w:cs="Arial"/>
      <w:sz w:val="18"/>
      <w:lang w:val="en-US"/>
    </w:rPr>
  </w:style>
  <w:style w:type="character" w:customStyle="1" w:styleId="SmartHyperlink1">
    <w:name w:val="Smart Hyperlink1"/>
    <w:basedOn w:val="DefaultParagraphFont"/>
    <w:uiPriority w:val="99"/>
    <w:semiHidden/>
    <w:unhideWhenUsed/>
    <w:rsid w:val="006C286D"/>
    <w:rPr>
      <w:u w:val="dotted"/>
      <w:lang w:val="en-US"/>
    </w:rPr>
  </w:style>
  <w:style w:type="character" w:styleId="Strong">
    <w:name w:val="Strong"/>
    <w:basedOn w:val="DefaultParagraphFont"/>
    <w:unhideWhenUsed/>
    <w:rsid w:val="006C286D"/>
    <w:rPr>
      <w:b/>
      <w:bCs/>
      <w:lang w:val="en-US"/>
    </w:rPr>
  </w:style>
  <w:style w:type="character" w:styleId="SubtleEmphasis">
    <w:name w:val="Subtle Emphasis"/>
    <w:basedOn w:val="DefaultParagraphFont"/>
    <w:uiPriority w:val="19"/>
    <w:semiHidden/>
    <w:unhideWhenUsed/>
    <w:rsid w:val="006C286D"/>
    <w:rPr>
      <w:i/>
      <w:iCs/>
      <w:color w:val="404040" w:themeColor="text1" w:themeTint="BF"/>
      <w:lang w:val="en-US"/>
    </w:rPr>
  </w:style>
  <w:style w:type="character" w:styleId="SubtleReference">
    <w:name w:val="Subtle Reference"/>
    <w:basedOn w:val="DefaultParagraphFont"/>
    <w:uiPriority w:val="31"/>
    <w:semiHidden/>
    <w:unhideWhenUsed/>
    <w:rsid w:val="006C286D"/>
    <w:rPr>
      <w:smallCaps/>
      <w:color w:val="5A5A5A" w:themeColor="text1" w:themeTint="A5"/>
      <w:lang w:val="en-US"/>
    </w:rPr>
  </w:style>
  <w:style w:type="table" w:styleId="Table3Deffects1">
    <w:name w:val="Table 3D effects 1"/>
    <w:basedOn w:val="TableNormal"/>
    <w:semiHidden/>
    <w:unhideWhenUsed/>
    <w:rsid w:val="006C286D"/>
    <w:pPr>
      <w:spacing w:after="120" w:line="240" w:lineRule="atLeast"/>
    </w:p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semiHidden/>
    <w:unhideWhenUsed/>
    <w:rsid w:val="006C286D"/>
    <w:pPr>
      <w:spacing w:after="120" w:line="240" w:lineRule="atLeast"/>
    </w:p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semiHidden/>
    <w:unhideWhenUsed/>
    <w:rsid w:val="006C286D"/>
    <w:pPr>
      <w:spacing w:after="120" w:line="240" w:lineRule="atLeast"/>
    </w:p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semiHidden/>
    <w:unhideWhenUsed/>
    <w:rsid w:val="006C286D"/>
    <w:pPr>
      <w:spacing w:after="120" w:line="240" w:lineRule="atLeast"/>
    </w:p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semiHidden/>
    <w:unhideWhenUsed/>
    <w:rsid w:val="006C286D"/>
    <w:pPr>
      <w:spacing w:after="120" w:line="240" w:lineRule="atLeast"/>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semiHidden/>
    <w:unhideWhenUsed/>
    <w:rsid w:val="006C286D"/>
    <w:pPr>
      <w:spacing w:after="120" w:line="240" w:lineRule="atLeast"/>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semiHidden/>
    <w:unhideWhenUsed/>
    <w:rsid w:val="006C286D"/>
    <w:pPr>
      <w:spacing w:after="120" w:line="240" w:lineRule="atLeast"/>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semiHidden/>
    <w:unhideWhenUsed/>
    <w:rsid w:val="006C286D"/>
    <w:pPr>
      <w:spacing w:after="120" w:line="240" w:lineRule="atLeast"/>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semiHidden/>
    <w:unhideWhenUsed/>
    <w:rsid w:val="006C286D"/>
    <w:pPr>
      <w:spacing w:after="120" w:line="240" w:lineRule="atLeast"/>
    </w:p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semiHidden/>
    <w:unhideWhenUsed/>
    <w:rsid w:val="006C286D"/>
    <w:pPr>
      <w:spacing w:after="120" w:line="240" w:lineRule="atLeast"/>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semiHidden/>
    <w:unhideWhenUsed/>
    <w:rsid w:val="006C286D"/>
    <w:pPr>
      <w:spacing w:after="120" w:line="240" w:lineRule="atLeast"/>
    </w:pPr>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semiHidden/>
    <w:unhideWhenUsed/>
    <w:rsid w:val="006C286D"/>
    <w:pPr>
      <w:spacing w:after="120" w:line="240" w:lineRule="atLeast"/>
    </w:pPr>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semiHidden/>
    <w:unhideWhenUsed/>
    <w:rsid w:val="006C286D"/>
    <w:pPr>
      <w:spacing w:after="120" w:line="240" w:lineRule="atLeast"/>
    </w:pPr>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semiHidden/>
    <w:unhideWhenUsed/>
    <w:rsid w:val="006C286D"/>
    <w:pPr>
      <w:spacing w:after="120" w:line="240" w:lineRule="atLeast"/>
    </w:p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semiHidden/>
    <w:unhideWhenUsed/>
    <w:rsid w:val="006C286D"/>
    <w:pPr>
      <w:spacing w:after="120" w:line="240" w:lineRule="atLeast"/>
    </w:p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semiHidden/>
    <w:unhideWhenUsed/>
    <w:rsid w:val="006C286D"/>
    <w:pPr>
      <w:spacing w:after="120" w:line="240" w:lineRule="atLeast"/>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semiHidden/>
    <w:unhideWhenUsed/>
    <w:rsid w:val="006C286D"/>
    <w:pPr>
      <w:spacing w:after="120" w:line="240" w:lineRule="atLeast"/>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semiHidden/>
    <w:unhideWhenUsed/>
    <w:rsid w:val="006C286D"/>
    <w:pPr>
      <w:spacing w:after="120" w:line="240" w:lineRule="atLeast"/>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semiHidden/>
    <w:unhideWhenUsed/>
    <w:rsid w:val="006C286D"/>
    <w:pPr>
      <w:spacing w:after="120" w:line="240" w:lineRule="atLeast"/>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semiHidden/>
    <w:unhideWhenUsed/>
    <w:rsid w:val="006C286D"/>
    <w:pPr>
      <w:spacing w:after="120" w:line="240" w:lineRule="atLeast"/>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semiHidden/>
    <w:unhideWhenUsed/>
    <w:rsid w:val="006C286D"/>
    <w:pPr>
      <w:spacing w:after="120" w:line="240" w:lineRule="atLeast"/>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semiHidden/>
    <w:unhideWhenUsed/>
    <w:rsid w:val="006C286D"/>
    <w:pPr>
      <w:spacing w:after="120" w:line="240" w:lineRule="atLeast"/>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semiHidden/>
    <w:unhideWhenUsed/>
    <w:rsid w:val="006C286D"/>
    <w:pPr>
      <w:spacing w:after="120" w:line="240" w:lineRule="atLeast"/>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semiHidden/>
    <w:unhideWhenUsed/>
    <w:rsid w:val="006C286D"/>
    <w:pPr>
      <w:spacing w:after="120" w:line="240" w:lineRule="atLeast"/>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semiHidden/>
    <w:unhideWhenUsed/>
    <w:rsid w:val="006C286D"/>
    <w:pPr>
      <w:spacing w:after="120" w:line="240" w:lineRule="atLeast"/>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6C286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semiHidden/>
    <w:unhideWhenUsed/>
    <w:rsid w:val="006C286D"/>
    <w:pPr>
      <w:spacing w:after="120" w:line="240" w:lineRule="atLeast"/>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semiHidden/>
    <w:unhideWhenUsed/>
    <w:rsid w:val="006C286D"/>
    <w:pPr>
      <w:spacing w:after="120" w:line="240" w:lineRule="atLeast"/>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semiHidden/>
    <w:unhideWhenUsed/>
    <w:rsid w:val="006C286D"/>
    <w:pPr>
      <w:spacing w:after="120" w:line="240" w:lineRule="atLeast"/>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semiHidden/>
    <w:unhideWhenUsed/>
    <w:rsid w:val="006C286D"/>
    <w:pPr>
      <w:spacing w:after="120" w:line="240" w:lineRule="atLeast"/>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semiHidden/>
    <w:unhideWhenUsed/>
    <w:rsid w:val="006C286D"/>
    <w:pPr>
      <w:spacing w:after="120" w:line="240" w:lineRule="atLeast"/>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semiHidden/>
    <w:unhideWhenUsed/>
    <w:rsid w:val="006C286D"/>
    <w:pPr>
      <w:spacing w:after="120" w:line="240" w:lineRule="atLeast"/>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semiHidden/>
    <w:unhideWhenUsed/>
    <w:rsid w:val="006C286D"/>
    <w:pPr>
      <w:spacing w:after="120" w:line="240" w:lineRule="atLeast"/>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semiHidden/>
    <w:unhideWhenUsed/>
    <w:rsid w:val="006C286D"/>
    <w:pPr>
      <w:spacing w:after="120" w:line="240" w:lineRule="atLeast"/>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semiHidden/>
    <w:unhideWhenUsed/>
    <w:rsid w:val="006C286D"/>
    <w:pPr>
      <w:spacing w:after="0"/>
      <w:ind w:left="180" w:hanging="180"/>
    </w:pPr>
  </w:style>
  <w:style w:type="paragraph" w:styleId="TableofFigures">
    <w:name w:val="table of figures"/>
    <w:basedOn w:val="Normal"/>
    <w:next w:val="Normal"/>
    <w:semiHidden/>
    <w:unhideWhenUsed/>
    <w:rsid w:val="006C286D"/>
    <w:pPr>
      <w:spacing w:after="0"/>
    </w:pPr>
  </w:style>
  <w:style w:type="table" w:styleId="TableProfessional">
    <w:name w:val="Table Professional"/>
    <w:basedOn w:val="TableNormal"/>
    <w:semiHidden/>
    <w:unhideWhenUsed/>
    <w:rsid w:val="006C286D"/>
    <w:pPr>
      <w:spacing w:after="120" w:line="240" w:lineRule="atLeast"/>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semiHidden/>
    <w:unhideWhenUsed/>
    <w:rsid w:val="006C286D"/>
    <w:pPr>
      <w:spacing w:after="120" w:line="240" w:lineRule="atLeast"/>
    </w:p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semiHidden/>
    <w:unhideWhenUsed/>
    <w:rsid w:val="006C286D"/>
    <w:pPr>
      <w:spacing w:after="120" w:line="240" w:lineRule="atLeast"/>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semiHidden/>
    <w:unhideWhenUsed/>
    <w:rsid w:val="006C286D"/>
    <w:pPr>
      <w:spacing w:after="120" w:line="240" w:lineRule="atLeast"/>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semiHidden/>
    <w:unhideWhenUsed/>
    <w:rsid w:val="006C286D"/>
    <w:pPr>
      <w:spacing w:after="120" w:line="240" w:lineRule="atLeast"/>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semiHidden/>
    <w:unhideWhenUsed/>
    <w:rsid w:val="006C286D"/>
    <w:pPr>
      <w:spacing w:after="120" w:line="240" w:lineRule="atLeast"/>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semiHidden/>
    <w:unhideWhenUsed/>
    <w:rsid w:val="006C286D"/>
    <w:pPr>
      <w:spacing w:after="120" w:line="240" w:lineRule="atLeas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semiHidden/>
    <w:unhideWhenUsed/>
    <w:rsid w:val="006C286D"/>
    <w:pPr>
      <w:spacing w:after="120" w:line="240" w:lineRule="atLeast"/>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semiHidden/>
    <w:unhideWhenUsed/>
    <w:rsid w:val="006C286D"/>
    <w:pPr>
      <w:spacing w:after="120" w:line="240" w:lineRule="atLeast"/>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semiHidden/>
    <w:unhideWhenUsed/>
    <w:rsid w:val="006C286D"/>
    <w:pPr>
      <w:spacing w:after="120" w:line="240" w:lineRule="atLeast"/>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semiHidden/>
    <w:rsid w:val="006C286D"/>
    <w:pPr>
      <w:spacing w:before="120"/>
    </w:pPr>
    <w:rPr>
      <w:rFonts w:asciiTheme="majorHAnsi" w:eastAsiaTheme="majorEastAsia" w:hAnsiTheme="majorHAnsi" w:cstheme="majorBidi"/>
      <w:b/>
      <w:bCs/>
      <w:sz w:val="24"/>
      <w:szCs w:val="24"/>
    </w:rPr>
  </w:style>
  <w:style w:type="paragraph" w:styleId="TOCHeading">
    <w:name w:val="TOC Heading"/>
    <w:basedOn w:val="Heading1"/>
    <w:next w:val="Normal"/>
    <w:uiPriority w:val="39"/>
    <w:unhideWhenUsed/>
    <w:qFormat/>
    <w:rsid w:val="006C286D"/>
    <w:pPr>
      <w:keepLines/>
      <w:spacing w:after="0" w:line="240" w:lineRule="atLeast"/>
      <w:outlineLvl w:val="9"/>
    </w:pPr>
    <w:rPr>
      <w:rFonts w:eastAsiaTheme="majorEastAsia" w:cstheme="majorBidi"/>
      <w:bCs w:val="0"/>
      <w:color w:val="3A215E" w:themeColor="accent1" w:themeShade="BF"/>
      <w:kern w:val="0"/>
      <w:sz w:val="32"/>
      <w:szCs w:val="32"/>
    </w:rPr>
  </w:style>
  <w:style w:type="numbering" w:customStyle="1" w:styleId="GTTableBullets">
    <w:name w:val="GT Table Bullets"/>
    <w:uiPriority w:val="99"/>
    <w:rsid w:val="008C4D0D"/>
    <w:pPr>
      <w:numPr>
        <w:numId w:val="17"/>
      </w:numPr>
    </w:pPr>
  </w:style>
  <w:style w:type="numbering" w:customStyle="1" w:styleId="GTTableNumbers">
    <w:name w:val="GT Table Numbers"/>
    <w:uiPriority w:val="99"/>
    <w:rsid w:val="008C4D0D"/>
    <w:pPr>
      <w:numPr>
        <w:numId w:val="18"/>
      </w:numPr>
    </w:pPr>
  </w:style>
  <w:style w:type="paragraph" w:customStyle="1" w:styleId="TableBullet1">
    <w:name w:val="Table Bullet 1"/>
    <w:basedOn w:val="ListBullet"/>
    <w:uiPriority w:val="9"/>
    <w:qFormat/>
    <w:rsid w:val="008C4D0D"/>
    <w:pPr>
      <w:numPr>
        <w:numId w:val="21"/>
      </w:numPr>
      <w:spacing w:before="60" w:after="60"/>
    </w:pPr>
  </w:style>
  <w:style w:type="paragraph" w:customStyle="1" w:styleId="TableBullet2">
    <w:name w:val="Table Bullet 2"/>
    <w:basedOn w:val="ListBullet2"/>
    <w:uiPriority w:val="9"/>
    <w:qFormat/>
    <w:rsid w:val="008C4D0D"/>
    <w:pPr>
      <w:numPr>
        <w:numId w:val="21"/>
      </w:numPr>
      <w:spacing w:before="60" w:after="60"/>
    </w:pPr>
  </w:style>
  <w:style w:type="paragraph" w:customStyle="1" w:styleId="TableBullet3">
    <w:name w:val="Table Bullet 3"/>
    <w:basedOn w:val="ListBullet3"/>
    <w:uiPriority w:val="9"/>
    <w:qFormat/>
    <w:rsid w:val="008C4D0D"/>
    <w:pPr>
      <w:numPr>
        <w:numId w:val="21"/>
      </w:numPr>
      <w:spacing w:before="60" w:after="60"/>
    </w:pPr>
  </w:style>
  <w:style w:type="paragraph" w:customStyle="1" w:styleId="TableNumber">
    <w:name w:val="Table Number"/>
    <w:basedOn w:val="ListNumber"/>
    <w:uiPriority w:val="9"/>
    <w:qFormat/>
    <w:rsid w:val="008C4D0D"/>
    <w:pPr>
      <w:numPr>
        <w:numId w:val="24"/>
      </w:numPr>
      <w:spacing w:before="60" w:after="60"/>
    </w:pPr>
  </w:style>
  <w:style w:type="paragraph" w:customStyle="1" w:styleId="TableNumber2">
    <w:name w:val="Table Number 2"/>
    <w:basedOn w:val="ListNumber2"/>
    <w:uiPriority w:val="9"/>
    <w:qFormat/>
    <w:rsid w:val="008C4D0D"/>
    <w:pPr>
      <w:numPr>
        <w:numId w:val="24"/>
      </w:numPr>
      <w:spacing w:before="60" w:after="60"/>
    </w:pPr>
  </w:style>
  <w:style w:type="paragraph" w:customStyle="1" w:styleId="TableNumber3">
    <w:name w:val="Table Number 3"/>
    <w:basedOn w:val="ListNumber3"/>
    <w:uiPriority w:val="9"/>
    <w:qFormat/>
    <w:rsid w:val="008C4D0D"/>
    <w:pPr>
      <w:numPr>
        <w:numId w:val="24"/>
      </w:numPr>
      <w:spacing w:before="60" w:after="60"/>
    </w:pPr>
  </w:style>
  <w:style w:type="character" w:customStyle="1" w:styleId="ListBulletChar">
    <w:name w:val="List Bullet Char"/>
    <w:basedOn w:val="DefaultParagraphFont"/>
    <w:link w:val="ListBullet"/>
    <w:uiPriority w:val="1"/>
    <w:rsid w:val="008C4D0D"/>
    <w:rPr>
      <w:rFonts w:asciiTheme="minorHAnsi" w:hAnsiTheme="minorHAnsi" w:cs="Arial"/>
      <w:sz w:val="18"/>
      <w:lang w:val="en-GB"/>
    </w:rPr>
  </w:style>
  <w:style w:type="paragraph" w:customStyle="1" w:styleId="Tabletextdecimal">
    <w:name w:val="Table text decimal"/>
    <w:basedOn w:val="TableText"/>
    <w:uiPriority w:val="9"/>
    <w:rsid w:val="005E6FCA"/>
    <w:pPr>
      <w:tabs>
        <w:tab w:val="decimal" w:pos="1651"/>
      </w:tabs>
    </w:pPr>
    <w:rPr>
      <w:sz w:val="18"/>
      <w:lang w:val="en-GB"/>
    </w:rPr>
  </w:style>
  <w:style w:type="paragraph" w:customStyle="1" w:styleId="Notesandsources">
    <w:name w:val="Notes and sources"/>
    <w:basedOn w:val="BodyText"/>
    <w:rsid w:val="005E6FCA"/>
    <w:pPr>
      <w:tabs>
        <w:tab w:val="left" w:pos="567"/>
      </w:tabs>
      <w:spacing w:before="60" w:after="60" w:line="240" w:lineRule="auto"/>
      <w:ind w:left="754" w:hanging="754"/>
    </w:pPr>
    <w:rPr>
      <w:sz w:val="12"/>
      <w:szCs w:val="12"/>
      <w:lang w:val="en-GB"/>
    </w:rPr>
  </w:style>
  <w:style w:type="paragraph" w:customStyle="1" w:styleId="TableHeadingRight">
    <w:name w:val="Table Heading Right"/>
    <w:basedOn w:val="TableHeading"/>
    <w:uiPriority w:val="9"/>
    <w:rsid w:val="005E6FCA"/>
    <w:pPr>
      <w:jc w:val="right"/>
    </w:pPr>
    <w:rPr>
      <w:color w:val="4F2D7F" w:themeColor="accent1"/>
      <w:sz w:val="18"/>
      <w:lang w:val="en-GB"/>
    </w:rPr>
  </w:style>
  <w:style w:type="paragraph" w:customStyle="1" w:styleId="TableTextRight">
    <w:name w:val="Table Text Right"/>
    <w:basedOn w:val="TableText"/>
    <w:uiPriority w:val="9"/>
    <w:rsid w:val="005E6FCA"/>
    <w:pPr>
      <w:jc w:val="right"/>
    </w:pPr>
    <w:rPr>
      <w:sz w:val="18"/>
      <w:lang w:val="en-GB"/>
    </w:rPr>
  </w:style>
  <w:style w:type="table" w:customStyle="1" w:styleId="GTITableStyle2">
    <w:name w:val="GTI Table Style 2"/>
    <w:basedOn w:val="GTITableStyle1"/>
    <w:uiPriority w:val="99"/>
    <w:rsid w:val="005C23C4"/>
    <w:tblPr/>
    <w:tcPr>
      <w:shd w:val="clear" w:color="auto" w:fill="E9E5DF"/>
    </w:tcPr>
    <w:tblStylePr w:type="firstRow">
      <w:rPr>
        <w:rFonts w:asciiTheme="minorHAnsi" w:hAnsiTheme="minorHAnsi"/>
        <w:color w:val="4F2D7F" w:themeColor="accent1"/>
      </w:rPr>
      <w:tblPr/>
      <w:tcPr>
        <w:tcBorders>
          <w:top w:val="nil"/>
          <w:left w:val="nil"/>
          <w:bottom w:val="single" w:sz="8" w:space="0" w:color="4F2D7F" w:themeColor="accent1"/>
          <w:right w:val="nil"/>
          <w:insideH w:val="nil"/>
          <w:insideV w:val="nil"/>
          <w:tl2br w:val="nil"/>
          <w:tr2bl w:val="nil"/>
        </w:tcBorders>
        <w:shd w:val="clear" w:color="auto" w:fill="auto"/>
      </w:tcPr>
    </w:tblStylePr>
  </w:style>
  <w:style w:type="paragraph" w:customStyle="1" w:styleId="LetterFooterURL">
    <w:name w:val="Letter Footer URL"/>
    <w:basedOn w:val="LetterFooter"/>
    <w:uiPriority w:val="9"/>
    <w:semiHidden/>
    <w:rsid w:val="0093057B"/>
    <w:pPr>
      <w:jc w:val="right"/>
    </w:pPr>
    <w:rPr>
      <w:rFonts w:asciiTheme="minorHAnsi" w:hAnsiTheme="minorHAnsi"/>
      <w:b/>
      <w:sz w:val="14"/>
    </w:rPr>
  </w:style>
  <w:style w:type="paragraph" w:customStyle="1" w:styleId="LicenceNumber">
    <w:name w:val="Licence Number"/>
    <w:basedOn w:val="LetterFooter"/>
    <w:uiPriority w:val="9"/>
    <w:rsid w:val="0093057B"/>
    <w:rPr>
      <w:b/>
      <w:sz w:val="14"/>
    </w:rPr>
  </w:style>
  <w:style w:type="character" w:customStyle="1" w:styleId="FooterChar">
    <w:name w:val="Footer Char"/>
    <w:basedOn w:val="DefaultParagraphFont"/>
    <w:link w:val="Footer"/>
    <w:uiPriority w:val="99"/>
    <w:rsid w:val="008C5563"/>
    <w:rPr>
      <w:rFonts w:asciiTheme="minorHAnsi" w:hAnsiTheme="minorHAnsi" w:cstheme="minorHAnsi"/>
      <w:color w:val="747678" w:themeColor="background2"/>
      <w:sz w:val="12"/>
      <w:szCs w:val="16"/>
    </w:rPr>
  </w:style>
  <w:style w:type="character" w:styleId="UnresolvedMention">
    <w:name w:val="Unresolved Mention"/>
    <w:basedOn w:val="DefaultParagraphFont"/>
    <w:uiPriority w:val="99"/>
    <w:semiHidden/>
    <w:unhideWhenUsed/>
    <w:rsid w:val="007577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482">
      <w:bodyDiv w:val="1"/>
      <w:marLeft w:val="0"/>
      <w:marRight w:val="0"/>
      <w:marTop w:val="0"/>
      <w:marBottom w:val="0"/>
      <w:divBdr>
        <w:top w:val="none" w:sz="0" w:space="0" w:color="auto"/>
        <w:left w:val="none" w:sz="0" w:space="0" w:color="auto"/>
        <w:bottom w:val="none" w:sz="0" w:space="0" w:color="auto"/>
        <w:right w:val="none" w:sz="0" w:space="0" w:color="auto"/>
      </w:divBdr>
      <w:divsChild>
        <w:div w:id="913927741">
          <w:marLeft w:val="0"/>
          <w:marRight w:val="0"/>
          <w:marTop w:val="0"/>
          <w:marBottom w:val="0"/>
          <w:divBdr>
            <w:top w:val="none" w:sz="0" w:space="0" w:color="auto"/>
            <w:left w:val="none" w:sz="0" w:space="0" w:color="auto"/>
            <w:bottom w:val="none" w:sz="0" w:space="0" w:color="auto"/>
            <w:right w:val="none" w:sz="0" w:space="0" w:color="auto"/>
          </w:divBdr>
        </w:div>
      </w:divsChild>
    </w:div>
    <w:div w:id="2586695">
      <w:bodyDiv w:val="1"/>
      <w:marLeft w:val="0"/>
      <w:marRight w:val="0"/>
      <w:marTop w:val="0"/>
      <w:marBottom w:val="0"/>
      <w:divBdr>
        <w:top w:val="none" w:sz="0" w:space="0" w:color="auto"/>
        <w:left w:val="none" w:sz="0" w:space="0" w:color="auto"/>
        <w:bottom w:val="none" w:sz="0" w:space="0" w:color="auto"/>
        <w:right w:val="none" w:sz="0" w:space="0" w:color="auto"/>
      </w:divBdr>
      <w:divsChild>
        <w:div w:id="86200592">
          <w:marLeft w:val="0"/>
          <w:marRight w:val="0"/>
          <w:marTop w:val="0"/>
          <w:marBottom w:val="0"/>
          <w:divBdr>
            <w:top w:val="none" w:sz="0" w:space="0" w:color="auto"/>
            <w:left w:val="none" w:sz="0" w:space="0" w:color="auto"/>
            <w:bottom w:val="none" w:sz="0" w:space="0" w:color="auto"/>
            <w:right w:val="none" w:sz="0" w:space="0" w:color="auto"/>
          </w:divBdr>
          <w:divsChild>
            <w:div w:id="88679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4585">
      <w:bodyDiv w:val="1"/>
      <w:marLeft w:val="0"/>
      <w:marRight w:val="0"/>
      <w:marTop w:val="0"/>
      <w:marBottom w:val="0"/>
      <w:divBdr>
        <w:top w:val="none" w:sz="0" w:space="0" w:color="auto"/>
        <w:left w:val="none" w:sz="0" w:space="0" w:color="auto"/>
        <w:bottom w:val="none" w:sz="0" w:space="0" w:color="auto"/>
        <w:right w:val="none" w:sz="0" w:space="0" w:color="auto"/>
      </w:divBdr>
    </w:div>
    <w:div w:id="8803283">
      <w:bodyDiv w:val="1"/>
      <w:marLeft w:val="0"/>
      <w:marRight w:val="0"/>
      <w:marTop w:val="0"/>
      <w:marBottom w:val="0"/>
      <w:divBdr>
        <w:top w:val="none" w:sz="0" w:space="0" w:color="auto"/>
        <w:left w:val="none" w:sz="0" w:space="0" w:color="auto"/>
        <w:bottom w:val="none" w:sz="0" w:space="0" w:color="auto"/>
        <w:right w:val="none" w:sz="0" w:space="0" w:color="auto"/>
      </w:divBdr>
      <w:divsChild>
        <w:div w:id="2057464199">
          <w:marLeft w:val="0"/>
          <w:marRight w:val="0"/>
          <w:marTop w:val="0"/>
          <w:marBottom w:val="0"/>
          <w:divBdr>
            <w:top w:val="none" w:sz="0" w:space="0" w:color="auto"/>
            <w:left w:val="none" w:sz="0" w:space="0" w:color="auto"/>
            <w:bottom w:val="none" w:sz="0" w:space="0" w:color="auto"/>
            <w:right w:val="none" w:sz="0" w:space="0" w:color="auto"/>
          </w:divBdr>
        </w:div>
      </w:divsChild>
    </w:div>
    <w:div w:id="12269418">
      <w:bodyDiv w:val="1"/>
      <w:marLeft w:val="0"/>
      <w:marRight w:val="0"/>
      <w:marTop w:val="0"/>
      <w:marBottom w:val="0"/>
      <w:divBdr>
        <w:top w:val="none" w:sz="0" w:space="0" w:color="auto"/>
        <w:left w:val="none" w:sz="0" w:space="0" w:color="auto"/>
        <w:bottom w:val="none" w:sz="0" w:space="0" w:color="auto"/>
        <w:right w:val="none" w:sz="0" w:space="0" w:color="auto"/>
      </w:divBdr>
    </w:div>
    <w:div w:id="12807972">
      <w:bodyDiv w:val="1"/>
      <w:marLeft w:val="0"/>
      <w:marRight w:val="0"/>
      <w:marTop w:val="0"/>
      <w:marBottom w:val="0"/>
      <w:divBdr>
        <w:top w:val="none" w:sz="0" w:space="0" w:color="auto"/>
        <w:left w:val="none" w:sz="0" w:space="0" w:color="auto"/>
        <w:bottom w:val="none" w:sz="0" w:space="0" w:color="auto"/>
        <w:right w:val="none" w:sz="0" w:space="0" w:color="auto"/>
      </w:divBdr>
      <w:divsChild>
        <w:div w:id="1402673514">
          <w:marLeft w:val="0"/>
          <w:marRight w:val="0"/>
          <w:marTop w:val="0"/>
          <w:marBottom w:val="0"/>
          <w:divBdr>
            <w:top w:val="none" w:sz="0" w:space="0" w:color="auto"/>
            <w:left w:val="none" w:sz="0" w:space="0" w:color="auto"/>
            <w:bottom w:val="none" w:sz="0" w:space="0" w:color="auto"/>
            <w:right w:val="none" w:sz="0" w:space="0" w:color="auto"/>
          </w:divBdr>
          <w:divsChild>
            <w:div w:id="33110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723">
      <w:bodyDiv w:val="1"/>
      <w:marLeft w:val="0"/>
      <w:marRight w:val="0"/>
      <w:marTop w:val="0"/>
      <w:marBottom w:val="0"/>
      <w:divBdr>
        <w:top w:val="none" w:sz="0" w:space="0" w:color="auto"/>
        <w:left w:val="none" w:sz="0" w:space="0" w:color="auto"/>
        <w:bottom w:val="none" w:sz="0" w:space="0" w:color="auto"/>
        <w:right w:val="none" w:sz="0" w:space="0" w:color="auto"/>
      </w:divBdr>
    </w:div>
    <w:div w:id="49810345">
      <w:bodyDiv w:val="1"/>
      <w:marLeft w:val="0"/>
      <w:marRight w:val="0"/>
      <w:marTop w:val="0"/>
      <w:marBottom w:val="0"/>
      <w:divBdr>
        <w:top w:val="none" w:sz="0" w:space="0" w:color="auto"/>
        <w:left w:val="none" w:sz="0" w:space="0" w:color="auto"/>
        <w:bottom w:val="none" w:sz="0" w:space="0" w:color="auto"/>
        <w:right w:val="none" w:sz="0" w:space="0" w:color="auto"/>
      </w:divBdr>
    </w:div>
    <w:div w:id="56978505">
      <w:bodyDiv w:val="1"/>
      <w:marLeft w:val="0"/>
      <w:marRight w:val="0"/>
      <w:marTop w:val="0"/>
      <w:marBottom w:val="0"/>
      <w:divBdr>
        <w:top w:val="none" w:sz="0" w:space="0" w:color="auto"/>
        <w:left w:val="none" w:sz="0" w:space="0" w:color="auto"/>
        <w:bottom w:val="none" w:sz="0" w:space="0" w:color="auto"/>
        <w:right w:val="none" w:sz="0" w:space="0" w:color="auto"/>
      </w:divBdr>
    </w:div>
    <w:div w:id="59862552">
      <w:bodyDiv w:val="1"/>
      <w:marLeft w:val="0"/>
      <w:marRight w:val="0"/>
      <w:marTop w:val="0"/>
      <w:marBottom w:val="0"/>
      <w:divBdr>
        <w:top w:val="none" w:sz="0" w:space="0" w:color="auto"/>
        <w:left w:val="none" w:sz="0" w:space="0" w:color="auto"/>
        <w:bottom w:val="none" w:sz="0" w:space="0" w:color="auto"/>
        <w:right w:val="none" w:sz="0" w:space="0" w:color="auto"/>
      </w:divBdr>
    </w:div>
    <w:div w:id="79258760">
      <w:bodyDiv w:val="1"/>
      <w:marLeft w:val="0"/>
      <w:marRight w:val="0"/>
      <w:marTop w:val="0"/>
      <w:marBottom w:val="0"/>
      <w:divBdr>
        <w:top w:val="none" w:sz="0" w:space="0" w:color="auto"/>
        <w:left w:val="none" w:sz="0" w:space="0" w:color="auto"/>
        <w:bottom w:val="none" w:sz="0" w:space="0" w:color="auto"/>
        <w:right w:val="none" w:sz="0" w:space="0" w:color="auto"/>
      </w:divBdr>
      <w:divsChild>
        <w:div w:id="951321081">
          <w:marLeft w:val="0"/>
          <w:marRight w:val="0"/>
          <w:marTop w:val="0"/>
          <w:marBottom w:val="0"/>
          <w:divBdr>
            <w:top w:val="none" w:sz="0" w:space="0" w:color="auto"/>
            <w:left w:val="none" w:sz="0" w:space="0" w:color="auto"/>
            <w:bottom w:val="none" w:sz="0" w:space="0" w:color="auto"/>
            <w:right w:val="none" w:sz="0" w:space="0" w:color="auto"/>
          </w:divBdr>
        </w:div>
      </w:divsChild>
    </w:div>
    <w:div w:id="103767523">
      <w:bodyDiv w:val="1"/>
      <w:marLeft w:val="0"/>
      <w:marRight w:val="0"/>
      <w:marTop w:val="0"/>
      <w:marBottom w:val="0"/>
      <w:divBdr>
        <w:top w:val="none" w:sz="0" w:space="0" w:color="auto"/>
        <w:left w:val="none" w:sz="0" w:space="0" w:color="auto"/>
        <w:bottom w:val="none" w:sz="0" w:space="0" w:color="auto"/>
        <w:right w:val="none" w:sz="0" w:space="0" w:color="auto"/>
      </w:divBdr>
    </w:div>
    <w:div w:id="110712424">
      <w:bodyDiv w:val="1"/>
      <w:marLeft w:val="0"/>
      <w:marRight w:val="0"/>
      <w:marTop w:val="0"/>
      <w:marBottom w:val="0"/>
      <w:divBdr>
        <w:top w:val="none" w:sz="0" w:space="0" w:color="auto"/>
        <w:left w:val="none" w:sz="0" w:space="0" w:color="auto"/>
        <w:bottom w:val="none" w:sz="0" w:space="0" w:color="auto"/>
        <w:right w:val="none" w:sz="0" w:space="0" w:color="auto"/>
      </w:divBdr>
    </w:div>
    <w:div w:id="123886872">
      <w:bodyDiv w:val="1"/>
      <w:marLeft w:val="0"/>
      <w:marRight w:val="0"/>
      <w:marTop w:val="0"/>
      <w:marBottom w:val="0"/>
      <w:divBdr>
        <w:top w:val="none" w:sz="0" w:space="0" w:color="auto"/>
        <w:left w:val="none" w:sz="0" w:space="0" w:color="auto"/>
        <w:bottom w:val="none" w:sz="0" w:space="0" w:color="auto"/>
        <w:right w:val="none" w:sz="0" w:space="0" w:color="auto"/>
      </w:divBdr>
    </w:div>
    <w:div w:id="137695922">
      <w:bodyDiv w:val="1"/>
      <w:marLeft w:val="0"/>
      <w:marRight w:val="0"/>
      <w:marTop w:val="0"/>
      <w:marBottom w:val="0"/>
      <w:divBdr>
        <w:top w:val="none" w:sz="0" w:space="0" w:color="auto"/>
        <w:left w:val="none" w:sz="0" w:space="0" w:color="auto"/>
        <w:bottom w:val="none" w:sz="0" w:space="0" w:color="auto"/>
        <w:right w:val="none" w:sz="0" w:space="0" w:color="auto"/>
      </w:divBdr>
    </w:div>
    <w:div w:id="142084926">
      <w:bodyDiv w:val="1"/>
      <w:marLeft w:val="0"/>
      <w:marRight w:val="0"/>
      <w:marTop w:val="0"/>
      <w:marBottom w:val="0"/>
      <w:divBdr>
        <w:top w:val="none" w:sz="0" w:space="0" w:color="auto"/>
        <w:left w:val="none" w:sz="0" w:space="0" w:color="auto"/>
        <w:bottom w:val="none" w:sz="0" w:space="0" w:color="auto"/>
        <w:right w:val="none" w:sz="0" w:space="0" w:color="auto"/>
      </w:divBdr>
    </w:div>
    <w:div w:id="149490658">
      <w:bodyDiv w:val="1"/>
      <w:marLeft w:val="0"/>
      <w:marRight w:val="0"/>
      <w:marTop w:val="0"/>
      <w:marBottom w:val="0"/>
      <w:divBdr>
        <w:top w:val="none" w:sz="0" w:space="0" w:color="auto"/>
        <w:left w:val="none" w:sz="0" w:space="0" w:color="auto"/>
        <w:bottom w:val="none" w:sz="0" w:space="0" w:color="auto"/>
        <w:right w:val="none" w:sz="0" w:space="0" w:color="auto"/>
      </w:divBdr>
    </w:div>
    <w:div w:id="150757442">
      <w:bodyDiv w:val="1"/>
      <w:marLeft w:val="0"/>
      <w:marRight w:val="0"/>
      <w:marTop w:val="0"/>
      <w:marBottom w:val="0"/>
      <w:divBdr>
        <w:top w:val="none" w:sz="0" w:space="0" w:color="auto"/>
        <w:left w:val="none" w:sz="0" w:space="0" w:color="auto"/>
        <w:bottom w:val="none" w:sz="0" w:space="0" w:color="auto"/>
        <w:right w:val="none" w:sz="0" w:space="0" w:color="auto"/>
      </w:divBdr>
    </w:div>
    <w:div w:id="151990397">
      <w:bodyDiv w:val="1"/>
      <w:marLeft w:val="0"/>
      <w:marRight w:val="0"/>
      <w:marTop w:val="0"/>
      <w:marBottom w:val="0"/>
      <w:divBdr>
        <w:top w:val="none" w:sz="0" w:space="0" w:color="auto"/>
        <w:left w:val="none" w:sz="0" w:space="0" w:color="auto"/>
        <w:bottom w:val="none" w:sz="0" w:space="0" w:color="auto"/>
        <w:right w:val="none" w:sz="0" w:space="0" w:color="auto"/>
      </w:divBdr>
    </w:div>
    <w:div w:id="155000027">
      <w:bodyDiv w:val="1"/>
      <w:marLeft w:val="0"/>
      <w:marRight w:val="0"/>
      <w:marTop w:val="0"/>
      <w:marBottom w:val="0"/>
      <w:divBdr>
        <w:top w:val="none" w:sz="0" w:space="0" w:color="auto"/>
        <w:left w:val="none" w:sz="0" w:space="0" w:color="auto"/>
        <w:bottom w:val="none" w:sz="0" w:space="0" w:color="auto"/>
        <w:right w:val="none" w:sz="0" w:space="0" w:color="auto"/>
      </w:divBdr>
      <w:divsChild>
        <w:div w:id="1539197808">
          <w:marLeft w:val="0"/>
          <w:marRight w:val="0"/>
          <w:marTop w:val="0"/>
          <w:marBottom w:val="0"/>
          <w:divBdr>
            <w:top w:val="none" w:sz="0" w:space="0" w:color="auto"/>
            <w:left w:val="none" w:sz="0" w:space="0" w:color="auto"/>
            <w:bottom w:val="none" w:sz="0" w:space="0" w:color="auto"/>
            <w:right w:val="none" w:sz="0" w:space="0" w:color="auto"/>
          </w:divBdr>
        </w:div>
      </w:divsChild>
    </w:div>
    <w:div w:id="164246665">
      <w:bodyDiv w:val="1"/>
      <w:marLeft w:val="0"/>
      <w:marRight w:val="0"/>
      <w:marTop w:val="0"/>
      <w:marBottom w:val="0"/>
      <w:divBdr>
        <w:top w:val="none" w:sz="0" w:space="0" w:color="auto"/>
        <w:left w:val="none" w:sz="0" w:space="0" w:color="auto"/>
        <w:bottom w:val="none" w:sz="0" w:space="0" w:color="auto"/>
        <w:right w:val="none" w:sz="0" w:space="0" w:color="auto"/>
      </w:divBdr>
      <w:divsChild>
        <w:div w:id="1311591997">
          <w:marLeft w:val="0"/>
          <w:marRight w:val="0"/>
          <w:marTop w:val="0"/>
          <w:marBottom w:val="0"/>
          <w:divBdr>
            <w:top w:val="none" w:sz="0" w:space="0" w:color="auto"/>
            <w:left w:val="none" w:sz="0" w:space="0" w:color="auto"/>
            <w:bottom w:val="none" w:sz="0" w:space="0" w:color="auto"/>
            <w:right w:val="none" w:sz="0" w:space="0" w:color="auto"/>
          </w:divBdr>
          <w:divsChild>
            <w:div w:id="165736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36918">
      <w:bodyDiv w:val="1"/>
      <w:marLeft w:val="0"/>
      <w:marRight w:val="0"/>
      <w:marTop w:val="0"/>
      <w:marBottom w:val="0"/>
      <w:divBdr>
        <w:top w:val="none" w:sz="0" w:space="0" w:color="auto"/>
        <w:left w:val="none" w:sz="0" w:space="0" w:color="auto"/>
        <w:bottom w:val="none" w:sz="0" w:space="0" w:color="auto"/>
        <w:right w:val="none" w:sz="0" w:space="0" w:color="auto"/>
      </w:divBdr>
    </w:div>
    <w:div w:id="207494988">
      <w:bodyDiv w:val="1"/>
      <w:marLeft w:val="0"/>
      <w:marRight w:val="0"/>
      <w:marTop w:val="0"/>
      <w:marBottom w:val="0"/>
      <w:divBdr>
        <w:top w:val="none" w:sz="0" w:space="0" w:color="auto"/>
        <w:left w:val="none" w:sz="0" w:space="0" w:color="auto"/>
        <w:bottom w:val="none" w:sz="0" w:space="0" w:color="auto"/>
        <w:right w:val="none" w:sz="0" w:space="0" w:color="auto"/>
      </w:divBdr>
    </w:div>
    <w:div w:id="210121123">
      <w:bodyDiv w:val="1"/>
      <w:marLeft w:val="0"/>
      <w:marRight w:val="0"/>
      <w:marTop w:val="0"/>
      <w:marBottom w:val="0"/>
      <w:divBdr>
        <w:top w:val="none" w:sz="0" w:space="0" w:color="auto"/>
        <w:left w:val="none" w:sz="0" w:space="0" w:color="auto"/>
        <w:bottom w:val="none" w:sz="0" w:space="0" w:color="auto"/>
        <w:right w:val="none" w:sz="0" w:space="0" w:color="auto"/>
      </w:divBdr>
    </w:div>
    <w:div w:id="212009068">
      <w:bodyDiv w:val="1"/>
      <w:marLeft w:val="0"/>
      <w:marRight w:val="0"/>
      <w:marTop w:val="0"/>
      <w:marBottom w:val="0"/>
      <w:divBdr>
        <w:top w:val="none" w:sz="0" w:space="0" w:color="auto"/>
        <w:left w:val="none" w:sz="0" w:space="0" w:color="auto"/>
        <w:bottom w:val="none" w:sz="0" w:space="0" w:color="auto"/>
        <w:right w:val="none" w:sz="0" w:space="0" w:color="auto"/>
      </w:divBdr>
      <w:divsChild>
        <w:div w:id="55981206">
          <w:marLeft w:val="0"/>
          <w:marRight w:val="0"/>
          <w:marTop w:val="0"/>
          <w:marBottom w:val="0"/>
          <w:divBdr>
            <w:top w:val="none" w:sz="0" w:space="0" w:color="auto"/>
            <w:left w:val="none" w:sz="0" w:space="0" w:color="auto"/>
            <w:bottom w:val="none" w:sz="0" w:space="0" w:color="auto"/>
            <w:right w:val="none" w:sz="0" w:space="0" w:color="auto"/>
          </w:divBdr>
        </w:div>
      </w:divsChild>
    </w:div>
    <w:div w:id="212273646">
      <w:bodyDiv w:val="1"/>
      <w:marLeft w:val="0"/>
      <w:marRight w:val="0"/>
      <w:marTop w:val="0"/>
      <w:marBottom w:val="0"/>
      <w:divBdr>
        <w:top w:val="none" w:sz="0" w:space="0" w:color="auto"/>
        <w:left w:val="none" w:sz="0" w:space="0" w:color="auto"/>
        <w:bottom w:val="none" w:sz="0" w:space="0" w:color="auto"/>
        <w:right w:val="none" w:sz="0" w:space="0" w:color="auto"/>
      </w:divBdr>
    </w:div>
    <w:div w:id="220604350">
      <w:bodyDiv w:val="1"/>
      <w:marLeft w:val="0"/>
      <w:marRight w:val="0"/>
      <w:marTop w:val="0"/>
      <w:marBottom w:val="0"/>
      <w:divBdr>
        <w:top w:val="none" w:sz="0" w:space="0" w:color="auto"/>
        <w:left w:val="none" w:sz="0" w:space="0" w:color="auto"/>
        <w:bottom w:val="none" w:sz="0" w:space="0" w:color="auto"/>
        <w:right w:val="none" w:sz="0" w:space="0" w:color="auto"/>
      </w:divBdr>
    </w:div>
    <w:div w:id="248852870">
      <w:bodyDiv w:val="1"/>
      <w:marLeft w:val="0"/>
      <w:marRight w:val="0"/>
      <w:marTop w:val="0"/>
      <w:marBottom w:val="0"/>
      <w:divBdr>
        <w:top w:val="none" w:sz="0" w:space="0" w:color="auto"/>
        <w:left w:val="none" w:sz="0" w:space="0" w:color="auto"/>
        <w:bottom w:val="none" w:sz="0" w:space="0" w:color="auto"/>
        <w:right w:val="none" w:sz="0" w:space="0" w:color="auto"/>
      </w:divBdr>
    </w:div>
    <w:div w:id="266694425">
      <w:bodyDiv w:val="1"/>
      <w:marLeft w:val="0"/>
      <w:marRight w:val="0"/>
      <w:marTop w:val="0"/>
      <w:marBottom w:val="0"/>
      <w:divBdr>
        <w:top w:val="none" w:sz="0" w:space="0" w:color="auto"/>
        <w:left w:val="none" w:sz="0" w:space="0" w:color="auto"/>
        <w:bottom w:val="none" w:sz="0" w:space="0" w:color="auto"/>
        <w:right w:val="none" w:sz="0" w:space="0" w:color="auto"/>
      </w:divBdr>
    </w:div>
    <w:div w:id="268003307">
      <w:bodyDiv w:val="1"/>
      <w:marLeft w:val="0"/>
      <w:marRight w:val="0"/>
      <w:marTop w:val="0"/>
      <w:marBottom w:val="0"/>
      <w:divBdr>
        <w:top w:val="none" w:sz="0" w:space="0" w:color="auto"/>
        <w:left w:val="none" w:sz="0" w:space="0" w:color="auto"/>
        <w:bottom w:val="none" w:sz="0" w:space="0" w:color="auto"/>
        <w:right w:val="none" w:sz="0" w:space="0" w:color="auto"/>
      </w:divBdr>
    </w:div>
    <w:div w:id="276452721">
      <w:bodyDiv w:val="1"/>
      <w:marLeft w:val="0"/>
      <w:marRight w:val="0"/>
      <w:marTop w:val="0"/>
      <w:marBottom w:val="0"/>
      <w:divBdr>
        <w:top w:val="none" w:sz="0" w:space="0" w:color="auto"/>
        <w:left w:val="none" w:sz="0" w:space="0" w:color="auto"/>
        <w:bottom w:val="none" w:sz="0" w:space="0" w:color="auto"/>
        <w:right w:val="none" w:sz="0" w:space="0" w:color="auto"/>
      </w:divBdr>
      <w:divsChild>
        <w:div w:id="864447028">
          <w:marLeft w:val="0"/>
          <w:marRight w:val="0"/>
          <w:marTop w:val="0"/>
          <w:marBottom w:val="0"/>
          <w:divBdr>
            <w:top w:val="none" w:sz="0" w:space="0" w:color="auto"/>
            <w:left w:val="none" w:sz="0" w:space="0" w:color="auto"/>
            <w:bottom w:val="none" w:sz="0" w:space="0" w:color="auto"/>
            <w:right w:val="none" w:sz="0" w:space="0" w:color="auto"/>
          </w:divBdr>
        </w:div>
      </w:divsChild>
    </w:div>
    <w:div w:id="280844417">
      <w:bodyDiv w:val="1"/>
      <w:marLeft w:val="0"/>
      <w:marRight w:val="0"/>
      <w:marTop w:val="0"/>
      <w:marBottom w:val="0"/>
      <w:divBdr>
        <w:top w:val="none" w:sz="0" w:space="0" w:color="auto"/>
        <w:left w:val="none" w:sz="0" w:space="0" w:color="auto"/>
        <w:bottom w:val="none" w:sz="0" w:space="0" w:color="auto"/>
        <w:right w:val="none" w:sz="0" w:space="0" w:color="auto"/>
      </w:divBdr>
    </w:div>
    <w:div w:id="281376275">
      <w:bodyDiv w:val="1"/>
      <w:marLeft w:val="0"/>
      <w:marRight w:val="0"/>
      <w:marTop w:val="0"/>
      <w:marBottom w:val="0"/>
      <w:divBdr>
        <w:top w:val="none" w:sz="0" w:space="0" w:color="auto"/>
        <w:left w:val="none" w:sz="0" w:space="0" w:color="auto"/>
        <w:bottom w:val="none" w:sz="0" w:space="0" w:color="auto"/>
        <w:right w:val="none" w:sz="0" w:space="0" w:color="auto"/>
      </w:divBdr>
    </w:div>
    <w:div w:id="298388522">
      <w:bodyDiv w:val="1"/>
      <w:marLeft w:val="0"/>
      <w:marRight w:val="0"/>
      <w:marTop w:val="0"/>
      <w:marBottom w:val="0"/>
      <w:divBdr>
        <w:top w:val="none" w:sz="0" w:space="0" w:color="auto"/>
        <w:left w:val="none" w:sz="0" w:space="0" w:color="auto"/>
        <w:bottom w:val="none" w:sz="0" w:space="0" w:color="auto"/>
        <w:right w:val="none" w:sz="0" w:space="0" w:color="auto"/>
      </w:divBdr>
    </w:div>
    <w:div w:id="300578060">
      <w:bodyDiv w:val="1"/>
      <w:marLeft w:val="0"/>
      <w:marRight w:val="0"/>
      <w:marTop w:val="0"/>
      <w:marBottom w:val="0"/>
      <w:divBdr>
        <w:top w:val="none" w:sz="0" w:space="0" w:color="auto"/>
        <w:left w:val="none" w:sz="0" w:space="0" w:color="auto"/>
        <w:bottom w:val="none" w:sz="0" w:space="0" w:color="auto"/>
        <w:right w:val="none" w:sz="0" w:space="0" w:color="auto"/>
      </w:divBdr>
      <w:divsChild>
        <w:div w:id="1211185018">
          <w:marLeft w:val="0"/>
          <w:marRight w:val="0"/>
          <w:marTop w:val="0"/>
          <w:marBottom w:val="0"/>
          <w:divBdr>
            <w:top w:val="none" w:sz="0" w:space="0" w:color="auto"/>
            <w:left w:val="none" w:sz="0" w:space="0" w:color="auto"/>
            <w:bottom w:val="none" w:sz="0" w:space="0" w:color="auto"/>
            <w:right w:val="none" w:sz="0" w:space="0" w:color="auto"/>
          </w:divBdr>
          <w:divsChild>
            <w:div w:id="1143497350">
              <w:marLeft w:val="0"/>
              <w:marRight w:val="0"/>
              <w:marTop w:val="0"/>
              <w:marBottom w:val="0"/>
              <w:divBdr>
                <w:top w:val="none" w:sz="0" w:space="0" w:color="auto"/>
                <w:left w:val="none" w:sz="0" w:space="0" w:color="auto"/>
                <w:bottom w:val="none" w:sz="0" w:space="0" w:color="auto"/>
                <w:right w:val="none" w:sz="0" w:space="0" w:color="auto"/>
              </w:divBdr>
              <w:divsChild>
                <w:div w:id="1874806130">
                  <w:marLeft w:val="0"/>
                  <w:marRight w:val="0"/>
                  <w:marTop w:val="0"/>
                  <w:marBottom w:val="0"/>
                  <w:divBdr>
                    <w:top w:val="none" w:sz="0" w:space="0" w:color="auto"/>
                    <w:left w:val="none" w:sz="0" w:space="0" w:color="auto"/>
                    <w:bottom w:val="none" w:sz="0" w:space="0" w:color="auto"/>
                    <w:right w:val="none" w:sz="0" w:space="0" w:color="auto"/>
                  </w:divBdr>
                  <w:divsChild>
                    <w:div w:id="845242414">
                      <w:marLeft w:val="0"/>
                      <w:marRight w:val="0"/>
                      <w:marTop w:val="0"/>
                      <w:marBottom w:val="0"/>
                      <w:divBdr>
                        <w:top w:val="none" w:sz="0" w:space="0" w:color="auto"/>
                        <w:left w:val="none" w:sz="0" w:space="0" w:color="auto"/>
                        <w:bottom w:val="none" w:sz="0" w:space="0" w:color="auto"/>
                        <w:right w:val="none" w:sz="0" w:space="0" w:color="auto"/>
                      </w:divBdr>
                      <w:divsChild>
                        <w:div w:id="1792748942">
                          <w:marLeft w:val="0"/>
                          <w:marRight w:val="0"/>
                          <w:marTop w:val="0"/>
                          <w:marBottom w:val="0"/>
                          <w:divBdr>
                            <w:top w:val="none" w:sz="0" w:space="0" w:color="auto"/>
                            <w:left w:val="none" w:sz="0" w:space="0" w:color="auto"/>
                            <w:bottom w:val="none" w:sz="0" w:space="0" w:color="auto"/>
                            <w:right w:val="none" w:sz="0" w:space="0" w:color="auto"/>
                          </w:divBdr>
                          <w:divsChild>
                            <w:div w:id="181201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2440323">
      <w:bodyDiv w:val="1"/>
      <w:marLeft w:val="0"/>
      <w:marRight w:val="0"/>
      <w:marTop w:val="0"/>
      <w:marBottom w:val="0"/>
      <w:divBdr>
        <w:top w:val="none" w:sz="0" w:space="0" w:color="auto"/>
        <w:left w:val="none" w:sz="0" w:space="0" w:color="auto"/>
        <w:bottom w:val="none" w:sz="0" w:space="0" w:color="auto"/>
        <w:right w:val="none" w:sz="0" w:space="0" w:color="auto"/>
      </w:divBdr>
    </w:div>
    <w:div w:id="328675534">
      <w:bodyDiv w:val="1"/>
      <w:marLeft w:val="0"/>
      <w:marRight w:val="0"/>
      <w:marTop w:val="0"/>
      <w:marBottom w:val="0"/>
      <w:divBdr>
        <w:top w:val="none" w:sz="0" w:space="0" w:color="auto"/>
        <w:left w:val="none" w:sz="0" w:space="0" w:color="auto"/>
        <w:bottom w:val="none" w:sz="0" w:space="0" w:color="auto"/>
        <w:right w:val="none" w:sz="0" w:space="0" w:color="auto"/>
      </w:divBdr>
      <w:divsChild>
        <w:div w:id="1426263967">
          <w:marLeft w:val="0"/>
          <w:marRight w:val="0"/>
          <w:marTop w:val="0"/>
          <w:marBottom w:val="0"/>
          <w:divBdr>
            <w:top w:val="none" w:sz="0" w:space="0" w:color="auto"/>
            <w:left w:val="none" w:sz="0" w:space="0" w:color="auto"/>
            <w:bottom w:val="none" w:sz="0" w:space="0" w:color="auto"/>
            <w:right w:val="none" w:sz="0" w:space="0" w:color="auto"/>
          </w:divBdr>
        </w:div>
      </w:divsChild>
    </w:div>
    <w:div w:id="329137031">
      <w:bodyDiv w:val="1"/>
      <w:marLeft w:val="0"/>
      <w:marRight w:val="0"/>
      <w:marTop w:val="0"/>
      <w:marBottom w:val="0"/>
      <w:divBdr>
        <w:top w:val="none" w:sz="0" w:space="0" w:color="auto"/>
        <w:left w:val="none" w:sz="0" w:space="0" w:color="auto"/>
        <w:bottom w:val="none" w:sz="0" w:space="0" w:color="auto"/>
        <w:right w:val="none" w:sz="0" w:space="0" w:color="auto"/>
      </w:divBdr>
    </w:div>
    <w:div w:id="329915784">
      <w:bodyDiv w:val="1"/>
      <w:marLeft w:val="0"/>
      <w:marRight w:val="0"/>
      <w:marTop w:val="0"/>
      <w:marBottom w:val="0"/>
      <w:divBdr>
        <w:top w:val="none" w:sz="0" w:space="0" w:color="auto"/>
        <w:left w:val="none" w:sz="0" w:space="0" w:color="auto"/>
        <w:bottom w:val="none" w:sz="0" w:space="0" w:color="auto"/>
        <w:right w:val="none" w:sz="0" w:space="0" w:color="auto"/>
      </w:divBdr>
      <w:divsChild>
        <w:div w:id="871267254">
          <w:marLeft w:val="0"/>
          <w:marRight w:val="0"/>
          <w:marTop w:val="0"/>
          <w:marBottom w:val="0"/>
          <w:divBdr>
            <w:top w:val="none" w:sz="0" w:space="0" w:color="auto"/>
            <w:left w:val="none" w:sz="0" w:space="0" w:color="auto"/>
            <w:bottom w:val="none" w:sz="0" w:space="0" w:color="auto"/>
            <w:right w:val="none" w:sz="0" w:space="0" w:color="auto"/>
          </w:divBdr>
          <w:divsChild>
            <w:div w:id="210052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810437">
      <w:bodyDiv w:val="1"/>
      <w:marLeft w:val="0"/>
      <w:marRight w:val="0"/>
      <w:marTop w:val="0"/>
      <w:marBottom w:val="0"/>
      <w:divBdr>
        <w:top w:val="none" w:sz="0" w:space="0" w:color="auto"/>
        <w:left w:val="none" w:sz="0" w:space="0" w:color="auto"/>
        <w:bottom w:val="none" w:sz="0" w:space="0" w:color="auto"/>
        <w:right w:val="none" w:sz="0" w:space="0" w:color="auto"/>
      </w:divBdr>
    </w:div>
    <w:div w:id="361594742">
      <w:bodyDiv w:val="1"/>
      <w:marLeft w:val="0"/>
      <w:marRight w:val="0"/>
      <w:marTop w:val="0"/>
      <w:marBottom w:val="0"/>
      <w:divBdr>
        <w:top w:val="none" w:sz="0" w:space="0" w:color="auto"/>
        <w:left w:val="none" w:sz="0" w:space="0" w:color="auto"/>
        <w:bottom w:val="none" w:sz="0" w:space="0" w:color="auto"/>
        <w:right w:val="none" w:sz="0" w:space="0" w:color="auto"/>
      </w:divBdr>
      <w:divsChild>
        <w:div w:id="506094102">
          <w:marLeft w:val="0"/>
          <w:marRight w:val="0"/>
          <w:marTop w:val="0"/>
          <w:marBottom w:val="0"/>
          <w:divBdr>
            <w:top w:val="none" w:sz="0" w:space="0" w:color="auto"/>
            <w:left w:val="none" w:sz="0" w:space="0" w:color="auto"/>
            <w:bottom w:val="none" w:sz="0" w:space="0" w:color="auto"/>
            <w:right w:val="none" w:sz="0" w:space="0" w:color="auto"/>
          </w:divBdr>
          <w:divsChild>
            <w:div w:id="38345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606902">
      <w:bodyDiv w:val="1"/>
      <w:marLeft w:val="0"/>
      <w:marRight w:val="0"/>
      <w:marTop w:val="0"/>
      <w:marBottom w:val="0"/>
      <w:divBdr>
        <w:top w:val="none" w:sz="0" w:space="0" w:color="auto"/>
        <w:left w:val="none" w:sz="0" w:space="0" w:color="auto"/>
        <w:bottom w:val="none" w:sz="0" w:space="0" w:color="auto"/>
        <w:right w:val="none" w:sz="0" w:space="0" w:color="auto"/>
      </w:divBdr>
    </w:div>
    <w:div w:id="383791526">
      <w:bodyDiv w:val="1"/>
      <w:marLeft w:val="0"/>
      <w:marRight w:val="0"/>
      <w:marTop w:val="0"/>
      <w:marBottom w:val="0"/>
      <w:divBdr>
        <w:top w:val="none" w:sz="0" w:space="0" w:color="auto"/>
        <w:left w:val="none" w:sz="0" w:space="0" w:color="auto"/>
        <w:bottom w:val="none" w:sz="0" w:space="0" w:color="auto"/>
        <w:right w:val="none" w:sz="0" w:space="0" w:color="auto"/>
      </w:divBdr>
    </w:div>
    <w:div w:id="390077555">
      <w:bodyDiv w:val="1"/>
      <w:marLeft w:val="0"/>
      <w:marRight w:val="0"/>
      <w:marTop w:val="0"/>
      <w:marBottom w:val="0"/>
      <w:divBdr>
        <w:top w:val="none" w:sz="0" w:space="0" w:color="auto"/>
        <w:left w:val="none" w:sz="0" w:space="0" w:color="auto"/>
        <w:bottom w:val="none" w:sz="0" w:space="0" w:color="auto"/>
        <w:right w:val="none" w:sz="0" w:space="0" w:color="auto"/>
      </w:divBdr>
    </w:div>
    <w:div w:id="409354377">
      <w:bodyDiv w:val="1"/>
      <w:marLeft w:val="0"/>
      <w:marRight w:val="0"/>
      <w:marTop w:val="0"/>
      <w:marBottom w:val="0"/>
      <w:divBdr>
        <w:top w:val="none" w:sz="0" w:space="0" w:color="auto"/>
        <w:left w:val="none" w:sz="0" w:space="0" w:color="auto"/>
        <w:bottom w:val="none" w:sz="0" w:space="0" w:color="auto"/>
        <w:right w:val="none" w:sz="0" w:space="0" w:color="auto"/>
      </w:divBdr>
    </w:div>
    <w:div w:id="411974464">
      <w:bodyDiv w:val="1"/>
      <w:marLeft w:val="0"/>
      <w:marRight w:val="0"/>
      <w:marTop w:val="0"/>
      <w:marBottom w:val="0"/>
      <w:divBdr>
        <w:top w:val="none" w:sz="0" w:space="0" w:color="auto"/>
        <w:left w:val="none" w:sz="0" w:space="0" w:color="auto"/>
        <w:bottom w:val="none" w:sz="0" w:space="0" w:color="auto"/>
        <w:right w:val="none" w:sz="0" w:space="0" w:color="auto"/>
      </w:divBdr>
      <w:divsChild>
        <w:div w:id="2045279246">
          <w:marLeft w:val="0"/>
          <w:marRight w:val="0"/>
          <w:marTop w:val="0"/>
          <w:marBottom w:val="0"/>
          <w:divBdr>
            <w:top w:val="none" w:sz="0" w:space="0" w:color="auto"/>
            <w:left w:val="none" w:sz="0" w:space="0" w:color="auto"/>
            <w:bottom w:val="none" w:sz="0" w:space="0" w:color="auto"/>
            <w:right w:val="none" w:sz="0" w:space="0" w:color="auto"/>
          </w:divBdr>
        </w:div>
      </w:divsChild>
    </w:div>
    <w:div w:id="412119783">
      <w:bodyDiv w:val="1"/>
      <w:marLeft w:val="0"/>
      <w:marRight w:val="0"/>
      <w:marTop w:val="0"/>
      <w:marBottom w:val="0"/>
      <w:divBdr>
        <w:top w:val="none" w:sz="0" w:space="0" w:color="auto"/>
        <w:left w:val="none" w:sz="0" w:space="0" w:color="auto"/>
        <w:bottom w:val="none" w:sz="0" w:space="0" w:color="auto"/>
        <w:right w:val="none" w:sz="0" w:space="0" w:color="auto"/>
      </w:divBdr>
      <w:divsChild>
        <w:div w:id="789664904">
          <w:marLeft w:val="0"/>
          <w:marRight w:val="0"/>
          <w:marTop w:val="0"/>
          <w:marBottom w:val="0"/>
          <w:divBdr>
            <w:top w:val="none" w:sz="0" w:space="0" w:color="auto"/>
            <w:left w:val="none" w:sz="0" w:space="0" w:color="auto"/>
            <w:bottom w:val="none" w:sz="0" w:space="0" w:color="auto"/>
            <w:right w:val="none" w:sz="0" w:space="0" w:color="auto"/>
          </w:divBdr>
          <w:divsChild>
            <w:div w:id="94477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433933">
      <w:bodyDiv w:val="1"/>
      <w:marLeft w:val="0"/>
      <w:marRight w:val="0"/>
      <w:marTop w:val="0"/>
      <w:marBottom w:val="0"/>
      <w:divBdr>
        <w:top w:val="none" w:sz="0" w:space="0" w:color="auto"/>
        <w:left w:val="none" w:sz="0" w:space="0" w:color="auto"/>
        <w:bottom w:val="none" w:sz="0" w:space="0" w:color="auto"/>
        <w:right w:val="none" w:sz="0" w:space="0" w:color="auto"/>
      </w:divBdr>
    </w:div>
    <w:div w:id="456919224">
      <w:bodyDiv w:val="1"/>
      <w:marLeft w:val="0"/>
      <w:marRight w:val="0"/>
      <w:marTop w:val="0"/>
      <w:marBottom w:val="0"/>
      <w:divBdr>
        <w:top w:val="none" w:sz="0" w:space="0" w:color="auto"/>
        <w:left w:val="none" w:sz="0" w:space="0" w:color="auto"/>
        <w:bottom w:val="none" w:sz="0" w:space="0" w:color="auto"/>
        <w:right w:val="none" w:sz="0" w:space="0" w:color="auto"/>
      </w:divBdr>
    </w:div>
    <w:div w:id="469060049">
      <w:bodyDiv w:val="1"/>
      <w:marLeft w:val="0"/>
      <w:marRight w:val="0"/>
      <w:marTop w:val="0"/>
      <w:marBottom w:val="0"/>
      <w:divBdr>
        <w:top w:val="none" w:sz="0" w:space="0" w:color="auto"/>
        <w:left w:val="none" w:sz="0" w:space="0" w:color="auto"/>
        <w:bottom w:val="none" w:sz="0" w:space="0" w:color="auto"/>
        <w:right w:val="none" w:sz="0" w:space="0" w:color="auto"/>
      </w:divBdr>
      <w:divsChild>
        <w:div w:id="972714963">
          <w:marLeft w:val="0"/>
          <w:marRight w:val="0"/>
          <w:marTop w:val="0"/>
          <w:marBottom w:val="0"/>
          <w:divBdr>
            <w:top w:val="none" w:sz="0" w:space="0" w:color="auto"/>
            <w:left w:val="none" w:sz="0" w:space="0" w:color="auto"/>
            <w:bottom w:val="none" w:sz="0" w:space="0" w:color="auto"/>
            <w:right w:val="none" w:sz="0" w:space="0" w:color="auto"/>
          </w:divBdr>
        </w:div>
      </w:divsChild>
    </w:div>
    <w:div w:id="472530232">
      <w:bodyDiv w:val="1"/>
      <w:marLeft w:val="0"/>
      <w:marRight w:val="0"/>
      <w:marTop w:val="0"/>
      <w:marBottom w:val="0"/>
      <w:divBdr>
        <w:top w:val="none" w:sz="0" w:space="0" w:color="auto"/>
        <w:left w:val="none" w:sz="0" w:space="0" w:color="auto"/>
        <w:bottom w:val="none" w:sz="0" w:space="0" w:color="auto"/>
        <w:right w:val="none" w:sz="0" w:space="0" w:color="auto"/>
      </w:divBdr>
    </w:div>
    <w:div w:id="476070266">
      <w:bodyDiv w:val="1"/>
      <w:marLeft w:val="0"/>
      <w:marRight w:val="0"/>
      <w:marTop w:val="0"/>
      <w:marBottom w:val="0"/>
      <w:divBdr>
        <w:top w:val="none" w:sz="0" w:space="0" w:color="auto"/>
        <w:left w:val="none" w:sz="0" w:space="0" w:color="auto"/>
        <w:bottom w:val="none" w:sz="0" w:space="0" w:color="auto"/>
        <w:right w:val="none" w:sz="0" w:space="0" w:color="auto"/>
      </w:divBdr>
    </w:div>
    <w:div w:id="485632585">
      <w:bodyDiv w:val="1"/>
      <w:marLeft w:val="0"/>
      <w:marRight w:val="0"/>
      <w:marTop w:val="0"/>
      <w:marBottom w:val="0"/>
      <w:divBdr>
        <w:top w:val="none" w:sz="0" w:space="0" w:color="auto"/>
        <w:left w:val="none" w:sz="0" w:space="0" w:color="auto"/>
        <w:bottom w:val="none" w:sz="0" w:space="0" w:color="auto"/>
        <w:right w:val="none" w:sz="0" w:space="0" w:color="auto"/>
      </w:divBdr>
    </w:div>
    <w:div w:id="486361544">
      <w:bodyDiv w:val="1"/>
      <w:marLeft w:val="0"/>
      <w:marRight w:val="0"/>
      <w:marTop w:val="0"/>
      <w:marBottom w:val="0"/>
      <w:divBdr>
        <w:top w:val="none" w:sz="0" w:space="0" w:color="auto"/>
        <w:left w:val="none" w:sz="0" w:space="0" w:color="auto"/>
        <w:bottom w:val="none" w:sz="0" w:space="0" w:color="auto"/>
        <w:right w:val="none" w:sz="0" w:space="0" w:color="auto"/>
      </w:divBdr>
    </w:div>
    <w:div w:id="503589086">
      <w:bodyDiv w:val="1"/>
      <w:marLeft w:val="0"/>
      <w:marRight w:val="0"/>
      <w:marTop w:val="0"/>
      <w:marBottom w:val="0"/>
      <w:divBdr>
        <w:top w:val="none" w:sz="0" w:space="0" w:color="auto"/>
        <w:left w:val="none" w:sz="0" w:space="0" w:color="auto"/>
        <w:bottom w:val="none" w:sz="0" w:space="0" w:color="auto"/>
        <w:right w:val="none" w:sz="0" w:space="0" w:color="auto"/>
      </w:divBdr>
    </w:div>
    <w:div w:id="505290422">
      <w:bodyDiv w:val="1"/>
      <w:marLeft w:val="0"/>
      <w:marRight w:val="0"/>
      <w:marTop w:val="0"/>
      <w:marBottom w:val="0"/>
      <w:divBdr>
        <w:top w:val="none" w:sz="0" w:space="0" w:color="auto"/>
        <w:left w:val="none" w:sz="0" w:space="0" w:color="auto"/>
        <w:bottom w:val="none" w:sz="0" w:space="0" w:color="auto"/>
        <w:right w:val="none" w:sz="0" w:space="0" w:color="auto"/>
      </w:divBdr>
    </w:div>
    <w:div w:id="512841054">
      <w:bodyDiv w:val="1"/>
      <w:marLeft w:val="0"/>
      <w:marRight w:val="0"/>
      <w:marTop w:val="0"/>
      <w:marBottom w:val="0"/>
      <w:divBdr>
        <w:top w:val="none" w:sz="0" w:space="0" w:color="auto"/>
        <w:left w:val="none" w:sz="0" w:space="0" w:color="auto"/>
        <w:bottom w:val="none" w:sz="0" w:space="0" w:color="auto"/>
        <w:right w:val="none" w:sz="0" w:space="0" w:color="auto"/>
      </w:divBdr>
    </w:div>
    <w:div w:id="515266735">
      <w:bodyDiv w:val="1"/>
      <w:marLeft w:val="0"/>
      <w:marRight w:val="0"/>
      <w:marTop w:val="0"/>
      <w:marBottom w:val="0"/>
      <w:divBdr>
        <w:top w:val="none" w:sz="0" w:space="0" w:color="auto"/>
        <w:left w:val="none" w:sz="0" w:space="0" w:color="auto"/>
        <w:bottom w:val="none" w:sz="0" w:space="0" w:color="auto"/>
        <w:right w:val="none" w:sz="0" w:space="0" w:color="auto"/>
      </w:divBdr>
    </w:div>
    <w:div w:id="520583683">
      <w:bodyDiv w:val="1"/>
      <w:marLeft w:val="0"/>
      <w:marRight w:val="0"/>
      <w:marTop w:val="0"/>
      <w:marBottom w:val="0"/>
      <w:divBdr>
        <w:top w:val="none" w:sz="0" w:space="0" w:color="auto"/>
        <w:left w:val="none" w:sz="0" w:space="0" w:color="auto"/>
        <w:bottom w:val="none" w:sz="0" w:space="0" w:color="auto"/>
        <w:right w:val="none" w:sz="0" w:space="0" w:color="auto"/>
      </w:divBdr>
    </w:div>
    <w:div w:id="546334691">
      <w:bodyDiv w:val="1"/>
      <w:marLeft w:val="0"/>
      <w:marRight w:val="0"/>
      <w:marTop w:val="0"/>
      <w:marBottom w:val="0"/>
      <w:divBdr>
        <w:top w:val="none" w:sz="0" w:space="0" w:color="auto"/>
        <w:left w:val="none" w:sz="0" w:space="0" w:color="auto"/>
        <w:bottom w:val="none" w:sz="0" w:space="0" w:color="auto"/>
        <w:right w:val="none" w:sz="0" w:space="0" w:color="auto"/>
      </w:divBdr>
      <w:divsChild>
        <w:div w:id="894582770">
          <w:marLeft w:val="0"/>
          <w:marRight w:val="0"/>
          <w:marTop w:val="0"/>
          <w:marBottom w:val="0"/>
          <w:divBdr>
            <w:top w:val="none" w:sz="0" w:space="0" w:color="auto"/>
            <w:left w:val="none" w:sz="0" w:space="0" w:color="auto"/>
            <w:bottom w:val="none" w:sz="0" w:space="0" w:color="auto"/>
            <w:right w:val="none" w:sz="0" w:space="0" w:color="auto"/>
          </w:divBdr>
        </w:div>
      </w:divsChild>
    </w:div>
    <w:div w:id="550188376">
      <w:bodyDiv w:val="1"/>
      <w:marLeft w:val="0"/>
      <w:marRight w:val="0"/>
      <w:marTop w:val="0"/>
      <w:marBottom w:val="0"/>
      <w:divBdr>
        <w:top w:val="none" w:sz="0" w:space="0" w:color="auto"/>
        <w:left w:val="none" w:sz="0" w:space="0" w:color="auto"/>
        <w:bottom w:val="none" w:sz="0" w:space="0" w:color="auto"/>
        <w:right w:val="none" w:sz="0" w:space="0" w:color="auto"/>
      </w:divBdr>
    </w:div>
    <w:div w:id="556474615">
      <w:bodyDiv w:val="1"/>
      <w:marLeft w:val="0"/>
      <w:marRight w:val="0"/>
      <w:marTop w:val="0"/>
      <w:marBottom w:val="0"/>
      <w:divBdr>
        <w:top w:val="none" w:sz="0" w:space="0" w:color="auto"/>
        <w:left w:val="none" w:sz="0" w:space="0" w:color="auto"/>
        <w:bottom w:val="none" w:sz="0" w:space="0" w:color="auto"/>
        <w:right w:val="none" w:sz="0" w:space="0" w:color="auto"/>
      </w:divBdr>
    </w:div>
    <w:div w:id="560214225">
      <w:bodyDiv w:val="1"/>
      <w:marLeft w:val="0"/>
      <w:marRight w:val="0"/>
      <w:marTop w:val="0"/>
      <w:marBottom w:val="0"/>
      <w:divBdr>
        <w:top w:val="none" w:sz="0" w:space="0" w:color="auto"/>
        <w:left w:val="none" w:sz="0" w:space="0" w:color="auto"/>
        <w:bottom w:val="none" w:sz="0" w:space="0" w:color="auto"/>
        <w:right w:val="none" w:sz="0" w:space="0" w:color="auto"/>
      </w:divBdr>
    </w:div>
    <w:div w:id="561987340">
      <w:bodyDiv w:val="1"/>
      <w:marLeft w:val="0"/>
      <w:marRight w:val="0"/>
      <w:marTop w:val="0"/>
      <w:marBottom w:val="0"/>
      <w:divBdr>
        <w:top w:val="none" w:sz="0" w:space="0" w:color="auto"/>
        <w:left w:val="none" w:sz="0" w:space="0" w:color="auto"/>
        <w:bottom w:val="none" w:sz="0" w:space="0" w:color="auto"/>
        <w:right w:val="none" w:sz="0" w:space="0" w:color="auto"/>
      </w:divBdr>
      <w:divsChild>
        <w:div w:id="469985113">
          <w:marLeft w:val="0"/>
          <w:marRight w:val="0"/>
          <w:marTop w:val="0"/>
          <w:marBottom w:val="0"/>
          <w:divBdr>
            <w:top w:val="none" w:sz="0" w:space="0" w:color="auto"/>
            <w:left w:val="none" w:sz="0" w:space="0" w:color="auto"/>
            <w:bottom w:val="none" w:sz="0" w:space="0" w:color="auto"/>
            <w:right w:val="none" w:sz="0" w:space="0" w:color="auto"/>
          </w:divBdr>
        </w:div>
      </w:divsChild>
    </w:div>
    <w:div w:id="562570662">
      <w:bodyDiv w:val="1"/>
      <w:marLeft w:val="0"/>
      <w:marRight w:val="0"/>
      <w:marTop w:val="0"/>
      <w:marBottom w:val="0"/>
      <w:divBdr>
        <w:top w:val="none" w:sz="0" w:space="0" w:color="auto"/>
        <w:left w:val="none" w:sz="0" w:space="0" w:color="auto"/>
        <w:bottom w:val="none" w:sz="0" w:space="0" w:color="auto"/>
        <w:right w:val="none" w:sz="0" w:space="0" w:color="auto"/>
      </w:divBdr>
      <w:divsChild>
        <w:div w:id="1786995895">
          <w:marLeft w:val="0"/>
          <w:marRight w:val="0"/>
          <w:marTop w:val="0"/>
          <w:marBottom w:val="0"/>
          <w:divBdr>
            <w:top w:val="none" w:sz="0" w:space="0" w:color="auto"/>
            <w:left w:val="none" w:sz="0" w:space="0" w:color="auto"/>
            <w:bottom w:val="none" w:sz="0" w:space="0" w:color="auto"/>
            <w:right w:val="none" w:sz="0" w:space="0" w:color="auto"/>
          </w:divBdr>
        </w:div>
      </w:divsChild>
    </w:div>
    <w:div w:id="567614189">
      <w:bodyDiv w:val="1"/>
      <w:marLeft w:val="0"/>
      <w:marRight w:val="0"/>
      <w:marTop w:val="0"/>
      <w:marBottom w:val="0"/>
      <w:divBdr>
        <w:top w:val="none" w:sz="0" w:space="0" w:color="auto"/>
        <w:left w:val="none" w:sz="0" w:space="0" w:color="auto"/>
        <w:bottom w:val="none" w:sz="0" w:space="0" w:color="auto"/>
        <w:right w:val="none" w:sz="0" w:space="0" w:color="auto"/>
      </w:divBdr>
    </w:div>
    <w:div w:id="583299185">
      <w:bodyDiv w:val="1"/>
      <w:marLeft w:val="0"/>
      <w:marRight w:val="0"/>
      <w:marTop w:val="0"/>
      <w:marBottom w:val="0"/>
      <w:divBdr>
        <w:top w:val="none" w:sz="0" w:space="0" w:color="auto"/>
        <w:left w:val="none" w:sz="0" w:space="0" w:color="auto"/>
        <w:bottom w:val="none" w:sz="0" w:space="0" w:color="auto"/>
        <w:right w:val="none" w:sz="0" w:space="0" w:color="auto"/>
      </w:divBdr>
    </w:div>
    <w:div w:id="593395330">
      <w:bodyDiv w:val="1"/>
      <w:marLeft w:val="0"/>
      <w:marRight w:val="0"/>
      <w:marTop w:val="0"/>
      <w:marBottom w:val="0"/>
      <w:divBdr>
        <w:top w:val="none" w:sz="0" w:space="0" w:color="auto"/>
        <w:left w:val="none" w:sz="0" w:space="0" w:color="auto"/>
        <w:bottom w:val="none" w:sz="0" w:space="0" w:color="auto"/>
        <w:right w:val="none" w:sz="0" w:space="0" w:color="auto"/>
      </w:divBdr>
    </w:div>
    <w:div w:id="610164983">
      <w:bodyDiv w:val="1"/>
      <w:marLeft w:val="0"/>
      <w:marRight w:val="0"/>
      <w:marTop w:val="0"/>
      <w:marBottom w:val="0"/>
      <w:divBdr>
        <w:top w:val="none" w:sz="0" w:space="0" w:color="auto"/>
        <w:left w:val="none" w:sz="0" w:space="0" w:color="auto"/>
        <w:bottom w:val="none" w:sz="0" w:space="0" w:color="auto"/>
        <w:right w:val="none" w:sz="0" w:space="0" w:color="auto"/>
      </w:divBdr>
    </w:div>
    <w:div w:id="638194827">
      <w:bodyDiv w:val="1"/>
      <w:marLeft w:val="0"/>
      <w:marRight w:val="0"/>
      <w:marTop w:val="0"/>
      <w:marBottom w:val="0"/>
      <w:divBdr>
        <w:top w:val="none" w:sz="0" w:space="0" w:color="auto"/>
        <w:left w:val="none" w:sz="0" w:space="0" w:color="auto"/>
        <w:bottom w:val="none" w:sz="0" w:space="0" w:color="auto"/>
        <w:right w:val="none" w:sz="0" w:space="0" w:color="auto"/>
      </w:divBdr>
    </w:div>
    <w:div w:id="655181211">
      <w:bodyDiv w:val="1"/>
      <w:marLeft w:val="0"/>
      <w:marRight w:val="0"/>
      <w:marTop w:val="0"/>
      <w:marBottom w:val="0"/>
      <w:divBdr>
        <w:top w:val="none" w:sz="0" w:space="0" w:color="auto"/>
        <w:left w:val="none" w:sz="0" w:space="0" w:color="auto"/>
        <w:bottom w:val="none" w:sz="0" w:space="0" w:color="auto"/>
        <w:right w:val="none" w:sz="0" w:space="0" w:color="auto"/>
      </w:divBdr>
    </w:div>
    <w:div w:id="655451062">
      <w:bodyDiv w:val="1"/>
      <w:marLeft w:val="0"/>
      <w:marRight w:val="0"/>
      <w:marTop w:val="0"/>
      <w:marBottom w:val="0"/>
      <w:divBdr>
        <w:top w:val="none" w:sz="0" w:space="0" w:color="auto"/>
        <w:left w:val="none" w:sz="0" w:space="0" w:color="auto"/>
        <w:bottom w:val="none" w:sz="0" w:space="0" w:color="auto"/>
        <w:right w:val="none" w:sz="0" w:space="0" w:color="auto"/>
      </w:divBdr>
    </w:div>
    <w:div w:id="658584501">
      <w:bodyDiv w:val="1"/>
      <w:marLeft w:val="0"/>
      <w:marRight w:val="0"/>
      <w:marTop w:val="0"/>
      <w:marBottom w:val="0"/>
      <w:divBdr>
        <w:top w:val="none" w:sz="0" w:space="0" w:color="auto"/>
        <w:left w:val="none" w:sz="0" w:space="0" w:color="auto"/>
        <w:bottom w:val="none" w:sz="0" w:space="0" w:color="auto"/>
        <w:right w:val="none" w:sz="0" w:space="0" w:color="auto"/>
      </w:divBdr>
    </w:div>
    <w:div w:id="668290496">
      <w:bodyDiv w:val="1"/>
      <w:marLeft w:val="0"/>
      <w:marRight w:val="0"/>
      <w:marTop w:val="0"/>
      <w:marBottom w:val="0"/>
      <w:divBdr>
        <w:top w:val="none" w:sz="0" w:space="0" w:color="auto"/>
        <w:left w:val="none" w:sz="0" w:space="0" w:color="auto"/>
        <w:bottom w:val="none" w:sz="0" w:space="0" w:color="auto"/>
        <w:right w:val="none" w:sz="0" w:space="0" w:color="auto"/>
      </w:divBdr>
    </w:div>
    <w:div w:id="674037935">
      <w:bodyDiv w:val="1"/>
      <w:marLeft w:val="0"/>
      <w:marRight w:val="0"/>
      <w:marTop w:val="0"/>
      <w:marBottom w:val="0"/>
      <w:divBdr>
        <w:top w:val="none" w:sz="0" w:space="0" w:color="auto"/>
        <w:left w:val="none" w:sz="0" w:space="0" w:color="auto"/>
        <w:bottom w:val="none" w:sz="0" w:space="0" w:color="auto"/>
        <w:right w:val="none" w:sz="0" w:space="0" w:color="auto"/>
      </w:divBdr>
    </w:div>
    <w:div w:id="676689233">
      <w:bodyDiv w:val="1"/>
      <w:marLeft w:val="0"/>
      <w:marRight w:val="0"/>
      <w:marTop w:val="0"/>
      <w:marBottom w:val="0"/>
      <w:divBdr>
        <w:top w:val="none" w:sz="0" w:space="0" w:color="auto"/>
        <w:left w:val="none" w:sz="0" w:space="0" w:color="auto"/>
        <w:bottom w:val="none" w:sz="0" w:space="0" w:color="auto"/>
        <w:right w:val="none" w:sz="0" w:space="0" w:color="auto"/>
      </w:divBdr>
    </w:div>
    <w:div w:id="697463387">
      <w:bodyDiv w:val="1"/>
      <w:marLeft w:val="0"/>
      <w:marRight w:val="0"/>
      <w:marTop w:val="0"/>
      <w:marBottom w:val="0"/>
      <w:divBdr>
        <w:top w:val="none" w:sz="0" w:space="0" w:color="auto"/>
        <w:left w:val="none" w:sz="0" w:space="0" w:color="auto"/>
        <w:bottom w:val="none" w:sz="0" w:space="0" w:color="auto"/>
        <w:right w:val="none" w:sz="0" w:space="0" w:color="auto"/>
      </w:divBdr>
    </w:div>
    <w:div w:id="700672033">
      <w:bodyDiv w:val="1"/>
      <w:marLeft w:val="0"/>
      <w:marRight w:val="0"/>
      <w:marTop w:val="0"/>
      <w:marBottom w:val="0"/>
      <w:divBdr>
        <w:top w:val="none" w:sz="0" w:space="0" w:color="auto"/>
        <w:left w:val="none" w:sz="0" w:space="0" w:color="auto"/>
        <w:bottom w:val="none" w:sz="0" w:space="0" w:color="auto"/>
        <w:right w:val="none" w:sz="0" w:space="0" w:color="auto"/>
      </w:divBdr>
    </w:div>
    <w:div w:id="738091414">
      <w:bodyDiv w:val="1"/>
      <w:marLeft w:val="0"/>
      <w:marRight w:val="0"/>
      <w:marTop w:val="0"/>
      <w:marBottom w:val="0"/>
      <w:divBdr>
        <w:top w:val="none" w:sz="0" w:space="0" w:color="auto"/>
        <w:left w:val="none" w:sz="0" w:space="0" w:color="auto"/>
        <w:bottom w:val="none" w:sz="0" w:space="0" w:color="auto"/>
        <w:right w:val="none" w:sz="0" w:space="0" w:color="auto"/>
      </w:divBdr>
      <w:divsChild>
        <w:div w:id="1393037657">
          <w:marLeft w:val="0"/>
          <w:marRight w:val="0"/>
          <w:marTop w:val="0"/>
          <w:marBottom w:val="0"/>
          <w:divBdr>
            <w:top w:val="none" w:sz="0" w:space="0" w:color="auto"/>
            <w:left w:val="none" w:sz="0" w:space="0" w:color="auto"/>
            <w:bottom w:val="none" w:sz="0" w:space="0" w:color="auto"/>
            <w:right w:val="none" w:sz="0" w:space="0" w:color="auto"/>
          </w:divBdr>
        </w:div>
      </w:divsChild>
    </w:div>
    <w:div w:id="745422559">
      <w:bodyDiv w:val="1"/>
      <w:marLeft w:val="0"/>
      <w:marRight w:val="0"/>
      <w:marTop w:val="0"/>
      <w:marBottom w:val="0"/>
      <w:divBdr>
        <w:top w:val="none" w:sz="0" w:space="0" w:color="auto"/>
        <w:left w:val="none" w:sz="0" w:space="0" w:color="auto"/>
        <w:bottom w:val="none" w:sz="0" w:space="0" w:color="auto"/>
        <w:right w:val="none" w:sz="0" w:space="0" w:color="auto"/>
      </w:divBdr>
    </w:div>
    <w:div w:id="746070718">
      <w:bodyDiv w:val="1"/>
      <w:marLeft w:val="0"/>
      <w:marRight w:val="0"/>
      <w:marTop w:val="0"/>
      <w:marBottom w:val="0"/>
      <w:divBdr>
        <w:top w:val="none" w:sz="0" w:space="0" w:color="auto"/>
        <w:left w:val="none" w:sz="0" w:space="0" w:color="auto"/>
        <w:bottom w:val="none" w:sz="0" w:space="0" w:color="auto"/>
        <w:right w:val="none" w:sz="0" w:space="0" w:color="auto"/>
      </w:divBdr>
      <w:divsChild>
        <w:div w:id="2083916037">
          <w:marLeft w:val="0"/>
          <w:marRight w:val="0"/>
          <w:marTop w:val="0"/>
          <w:marBottom w:val="0"/>
          <w:divBdr>
            <w:top w:val="none" w:sz="0" w:space="0" w:color="auto"/>
            <w:left w:val="none" w:sz="0" w:space="0" w:color="auto"/>
            <w:bottom w:val="none" w:sz="0" w:space="0" w:color="auto"/>
            <w:right w:val="none" w:sz="0" w:space="0" w:color="auto"/>
          </w:divBdr>
          <w:divsChild>
            <w:div w:id="1009138525">
              <w:marLeft w:val="0"/>
              <w:marRight w:val="0"/>
              <w:marTop w:val="0"/>
              <w:marBottom w:val="0"/>
              <w:divBdr>
                <w:top w:val="none" w:sz="0" w:space="0" w:color="auto"/>
                <w:left w:val="none" w:sz="0" w:space="0" w:color="auto"/>
                <w:bottom w:val="none" w:sz="0" w:space="0" w:color="auto"/>
                <w:right w:val="none" w:sz="0" w:space="0" w:color="auto"/>
              </w:divBdr>
              <w:divsChild>
                <w:div w:id="2081633869">
                  <w:marLeft w:val="0"/>
                  <w:marRight w:val="0"/>
                  <w:marTop w:val="0"/>
                  <w:marBottom w:val="0"/>
                  <w:divBdr>
                    <w:top w:val="none" w:sz="0" w:space="0" w:color="auto"/>
                    <w:left w:val="none" w:sz="0" w:space="0" w:color="auto"/>
                    <w:bottom w:val="none" w:sz="0" w:space="0" w:color="auto"/>
                    <w:right w:val="none" w:sz="0" w:space="0" w:color="auto"/>
                  </w:divBdr>
                  <w:divsChild>
                    <w:div w:id="1670135305">
                      <w:marLeft w:val="0"/>
                      <w:marRight w:val="0"/>
                      <w:marTop w:val="0"/>
                      <w:marBottom w:val="0"/>
                      <w:divBdr>
                        <w:top w:val="none" w:sz="0" w:space="0" w:color="auto"/>
                        <w:left w:val="none" w:sz="0" w:space="0" w:color="auto"/>
                        <w:bottom w:val="none" w:sz="0" w:space="0" w:color="auto"/>
                        <w:right w:val="none" w:sz="0" w:space="0" w:color="auto"/>
                      </w:divBdr>
                      <w:divsChild>
                        <w:div w:id="222914383">
                          <w:marLeft w:val="0"/>
                          <w:marRight w:val="0"/>
                          <w:marTop w:val="0"/>
                          <w:marBottom w:val="0"/>
                          <w:divBdr>
                            <w:top w:val="none" w:sz="0" w:space="0" w:color="auto"/>
                            <w:left w:val="none" w:sz="0" w:space="0" w:color="auto"/>
                            <w:bottom w:val="none" w:sz="0" w:space="0" w:color="auto"/>
                            <w:right w:val="none" w:sz="0" w:space="0" w:color="auto"/>
                          </w:divBdr>
                          <w:divsChild>
                            <w:div w:id="5867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4544958">
      <w:bodyDiv w:val="1"/>
      <w:marLeft w:val="0"/>
      <w:marRight w:val="0"/>
      <w:marTop w:val="0"/>
      <w:marBottom w:val="0"/>
      <w:divBdr>
        <w:top w:val="none" w:sz="0" w:space="0" w:color="auto"/>
        <w:left w:val="none" w:sz="0" w:space="0" w:color="auto"/>
        <w:bottom w:val="none" w:sz="0" w:space="0" w:color="auto"/>
        <w:right w:val="none" w:sz="0" w:space="0" w:color="auto"/>
      </w:divBdr>
    </w:div>
    <w:div w:id="781459783">
      <w:bodyDiv w:val="1"/>
      <w:marLeft w:val="0"/>
      <w:marRight w:val="0"/>
      <w:marTop w:val="0"/>
      <w:marBottom w:val="0"/>
      <w:divBdr>
        <w:top w:val="none" w:sz="0" w:space="0" w:color="auto"/>
        <w:left w:val="none" w:sz="0" w:space="0" w:color="auto"/>
        <w:bottom w:val="none" w:sz="0" w:space="0" w:color="auto"/>
        <w:right w:val="none" w:sz="0" w:space="0" w:color="auto"/>
      </w:divBdr>
    </w:div>
    <w:div w:id="828794326">
      <w:bodyDiv w:val="1"/>
      <w:marLeft w:val="0"/>
      <w:marRight w:val="0"/>
      <w:marTop w:val="0"/>
      <w:marBottom w:val="0"/>
      <w:divBdr>
        <w:top w:val="none" w:sz="0" w:space="0" w:color="auto"/>
        <w:left w:val="none" w:sz="0" w:space="0" w:color="auto"/>
        <w:bottom w:val="none" w:sz="0" w:space="0" w:color="auto"/>
        <w:right w:val="none" w:sz="0" w:space="0" w:color="auto"/>
      </w:divBdr>
    </w:div>
    <w:div w:id="859701845">
      <w:bodyDiv w:val="1"/>
      <w:marLeft w:val="0"/>
      <w:marRight w:val="0"/>
      <w:marTop w:val="0"/>
      <w:marBottom w:val="0"/>
      <w:divBdr>
        <w:top w:val="none" w:sz="0" w:space="0" w:color="auto"/>
        <w:left w:val="none" w:sz="0" w:space="0" w:color="auto"/>
        <w:bottom w:val="none" w:sz="0" w:space="0" w:color="auto"/>
        <w:right w:val="none" w:sz="0" w:space="0" w:color="auto"/>
      </w:divBdr>
    </w:div>
    <w:div w:id="860238103">
      <w:bodyDiv w:val="1"/>
      <w:marLeft w:val="0"/>
      <w:marRight w:val="0"/>
      <w:marTop w:val="0"/>
      <w:marBottom w:val="0"/>
      <w:divBdr>
        <w:top w:val="none" w:sz="0" w:space="0" w:color="auto"/>
        <w:left w:val="none" w:sz="0" w:space="0" w:color="auto"/>
        <w:bottom w:val="none" w:sz="0" w:space="0" w:color="auto"/>
        <w:right w:val="none" w:sz="0" w:space="0" w:color="auto"/>
      </w:divBdr>
    </w:div>
    <w:div w:id="865944603">
      <w:bodyDiv w:val="1"/>
      <w:marLeft w:val="0"/>
      <w:marRight w:val="0"/>
      <w:marTop w:val="0"/>
      <w:marBottom w:val="0"/>
      <w:divBdr>
        <w:top w:val="none" w:sz="0" w:space="0" w:color="auto"/>
        <w:left w:val="none" w:sz="0" w:space="0" w:color="auto"/>
        <w:bottom w:val="none" w:sz="0" w:space="0" w:color="auto"/>
        <w:right w:val="none" w:sz="0" w:space="0" w:color="auto"/>
      </w:divBdr>
    </w:div>
    <w:div w:id="876357428">
      <w:bodyDiv w:val="1"/>
      <w:marLeft w:val="0"/>
      <w:marRight w:val="0"/>
      <w:marTop w:val="0"/>
      <w:marBottom w:val="0"/>
      <w:divBdr>
        <w:top w:val="none" w:sz="0" w:space="0" w:color="auto"/>
        <w:left w:val="none" w:sz="0" w:space="0" w:color="auto"/>
        <w:bottom w:val="none" w:sz="0" w:space="0" w:color="auto"/>
        <w:right w:val="none" w:sz="0" w:space="0" w:color="auto"/>
      </w:divBdr>
    </w:div>
    <w:div w:id="899636271">
      <w:bodyDiv w:val="1"/>
      <w:marLeft w:val="0"/>
      <w:marRight w:val="0"/>
      <w:marTop w:val="0"/>
      <w:marBottom w:val="0"/>
      <w:divBdr>
        <w:top w:val="none" w:sz="0" w:space="0" w:color="auto"/>
        <w:left w:val="none" w:sz="0" w:space="0" w:color="auto"/>
        <w:bottom w:val="none" w:sz="0" w:space="0" w:color="auto"/>
        <w:right w:val="none" w:sz="0" w:space="0" w:color="auto"/>
      </w:divBdr>
    </w:div>
    <w:div w:id="900943830">
      <w:bodyDiv w:val="1"/>
      <w:marLeft w:val="0"/>
      <w:marRight w:val="0"/>
      <w:marTop w:val="0"/>
      <w:marBottom w:val="0"/>
      <w:divBdr>
        <w:top w:val="none" w:sz="0" w:space="0" w:color="auto"/>
        <w:left w:val="none" w:sz="0" w:space="0" w:color="auto"/>
        <w:bottom w:val="none" w:sz="0" w:space="0" w:color="auto"/>
        <w:right w:val="none" w:sz="0" w:space="0" w:color="auto"/>
      </w:divBdr>
      <w:divsChild>
        <w:div w:id="201790397">
          <w:marLeft w:val="0"/>
          <w:marRight w:val="0"/>
          <w:marTop w:val="0"/>
          <w:marBottom w:val="0"/>
          <w:divBdr>
            <w:top w:val="none" w:sz="0" w:space="0" w:color="auto"/>
            <w:left w:val="none" w:sz="0" w:space="0" w:color="auto"/>
            <w:bottom w:val="none" w:sz="0" w:space="0" w:color="auto"/>
            <w:right w:val="none" w:sz="0" w:space="0" w:color="auto"/>
          </w:divBdr>
        </w:div>
      </w:divsChild>
    </w:div>
    <w:div w:id="909778463">
      <w:bodyDiv w:val="1"/>
      <w:marLeft w:val="0"/>
      <w:marRight w:val="0"/>
      <w:marTop w:val="0"/>
      <w:marBottom w:val="0"/>
      <w:divBdr>
        <w:top w:val="none" w:sz="0" w:space="0" w:color="auto"/>
        <w:left w:val="none" w:sz="0" w:space="0" w:color="auto"/>
        <w:bottom w:val="none" w:sz="0" w:space="0" w:color="auto"/>
        <w:right w:val="none" w:sz="0" w:space="0" w:color="auto"/>
      </w:divBdr>
    </w:div>
    <w:div w:id="916549202">
      <w:bodyDiv w:val="1"/>
      <w:marLeft w:val="0"/>
      <w:marRight w:val="0"/>
      <w:marTop w:val="0"/>
      <w:marBottom w:val="0"/>
      <w:divBdr>
        <w:top w:val="none" w:sz="0" w:space="0" w:color="auto"/>
        <w:left w:val="none" w:sz="0" w:space="0" w:color="auto"/>
        <w:bottom w:val="none" w:sz="0" w:space="0" w:color="auto"/>
        <w:right w:val="none" w:sz="0" w:space="0" w:color="auto"/>
      </w:divBdr>
      <w:divsChild>
        <w:div w:id="46732924">
          <w:marLeft w:val="0"/>
          <w:marRight w:val="0"/>
          <w:marTop w:val="0"/>
          <w:marBottom w:val="0"/>
          <w:divBdr>
            <w:top w:val="none" w:sz="0" w:space="0" w:color="auto"/>
            <w:left w:val="none" w:sz="0" w:space="0" w:color="auto"/>
            <w:bottom w:val="none" w:sz="0" w:space="0" w:color="auto"/>
            <w:right w:val="none" w:sz="0" w:space="0" w:color="auto"/>
          </w:divBdr>
        </w:div>
      </w:divsChild>
    </w:div>
    <w:div w:id="935820374">
      <w:bodyDiv w:val="1"/>
      <w:marLeft w:val="0"/>
      <w:marRight w:val="0"/>
      <w:marTop w:val="0"/>
      <w:marBottom w:val="0"/>
      <w:divBdr>
        <w:top w:val="none" w:sz="0" w:space="0" w:color="auto"/>
        <w:left w:val="none" w:sz="0" w:space="0" w:color="auto"/>
        <w:bottom w:val="none" w:sz="0" w:space="0" w:color="auto"/>
        <w:right w:val="none" w:sz="0" w:space="0" w:color="auto"/>
      </w:divBdr>
      <w:divsChild>
        <w:div w:id="431319521">
          <w:marLeft w:val="0"/>
          <w:marRight w:val="0"/>
          <w:marTop w:val="0"/>
          <w:marBottom w:val="0"/>
          <w:divBdr>
            <w:top w:val="none" w:sz="0" w:space="0" w:color="auto"/>
            <w:left w:val="none" w:sz="0" w:space="0" w:color="auto"/>
            <w:bottom w:val="none" w:sz="0" w:space="0" w:color="auto"/>
            <w:right w:val="none" w:sz="0" w:space="0" w:color="auto"/>
          </w:divBdr>
        </w:div>
      </w:divsChild>
    </w:div>
    <w:div w:id="982855628">
      <w:bodyDiv w:val="1"/>
      <w:marLeft w:val="0"/>
      <w:marRight w:val="0"/>
      <w:marTop w:val="0"/>
      <w:marBottom w:val="0"/>
      <w:divBdr>
        <w:top w:val="none" w:sz="0" w:space="0" w:color="auto"/>
        <w:left w:val="none" w:sz="0" w:space="0" w:color="auto"/>
        <w:bottom w:val="none" w:sz="0" w:space="0" w:color="auto"/>
        <w:right w:val="none" w:sz="0" w:space="0" w:color="auto"/>
      </w:divBdr>
    </w:div>
    <w:div w:id="983507614">
      <w:bodyDiv w:val="1"/>
      <w:marLeft w:val="0"/>
      <w:marRight w:val="0"/>
      <w:marTop w:val="0"/>
      <w:marBottom w:val="0"/>
      <w:divBdr>
        <w:top w:val="none" w:sz="0" w:space="0" w:color="auto"/>
        <w:left w:val="none" w:sz="0" w:space="0" w:color="auto"/>
        <w:bottom w:val="none" w:sz="0" w:space="0" w:color="auto"/>
        <w:right w:val="none" w:sz="0" w:space="0" w:color="auto"/>
      </w:divBdr>
    </w:div>
    <w:div w:id="1008599071">
      <w:bodyDiv w:val="1"/>
      <w:marLeft w:val="0"/>
      <w:marRight w:val="0"/>
      <w:marTop w:val="0"/>
      <w:marBottom w:val="0"/>
      <w:divBdr>
        <w:top w:val="none" w:sz="0" w:space="0" w:color="auto"/>
        <w:left w:val="none" w:sz="0" w:space="0" w:color="auto"/>
        <w:bottom w:val="none" w:sz="0" w:space="0" w:color="auto"/>
        <w:right w:val="none" w:sz="0" w:space="0" w:color="auto"/>
      </w:divBdr>
      <w:divsChild>
        <w:div w:id="2090034523">
          <w:marLeft w:val="0"/>
          <w:marRight w:val="0"/>
          <w:marTop w:val="0"/>
          <w:marBottom w:val="0"/>
          <w:divBdr>
            <w:top w:val="none" w:sz="0" w:space="0" w:color="auto"/>
            <w:left w:val="none" w:sz="0" w:space="0" w:color="auto"/>
            <w:bottom w:val="none" w:sz="0" w:space="0" w:color="auto"/>
            <w:right w:val="none" w:sz="0" w:space="0" w:color="auto"/>
          </w:divBdr>
        </w:div>
      </w:divsChild>
    </w:div>
    <w:div w:id="1012418972">
      <w:bodyDiv w:val="1"/>
      <w:marLeft w:val="0"/>
      <w:marRight w:val="0"/>
      <w:marTop w:val="0"/>
      <w:marBottom w:val="0"/>
      <w:divBdr>
        <w:top w:val="none" w:sz="0" w:space="0" w:color="auto"/>
        <w:left w:val="none" w:sz="0" w:space="0" w:color="auto"/>
        <w:bottom w:val="none" w:sz="0" w:space="0" w:color="auto"/>
        <w:right w:val="none" w:sz="0" w:space="0" w:color="auto"/>
      </w:divBdr>
    </w:div>
    <w:div w:id="1016425460">
      <w:bodyDiv w:val="1"/>
      <w:marLeft w:val="0"/>
      <w:marRight w:val="0"/>
      <w:marTop w:val="0"/>
      <w:marBottom w:val="0"/>
      <w:divBdr>
        <w:top w:val="none" w:sz="0" w:space="0" w:color="auto"/>
        <w:left w:val="none" w:sz="0" w:space="0" w:color="auto"/>
        <w:bottom w:val="none" w:sz="0" w:space="0" w:color="auto"/>
        <w:right w:val="none" w:sz="0" w:space="0" w:color="auto"/>
      </w:divBdr>
    </w:div>
    <w:div w:id="1029641864">
      <w:bodyDiv w:val="1"/>
      <w:marLeft w:val="0"/>
      <w:marRight w:val="0"/>
      <w:marTop w:val="0"/>
      <w:marBottom w:val="0"/>
      <w:divBdr>
        <w:top w:val="none" w:sz="0" w:space="0" w:color="auto"/>
        <w:left w:val="none" w:sz="0" w:space="0" w:color="auto"/>
        <w:bottom w:val="none" w:sz="0" w:space="0" w:color="auto"/>
        <w:right w:val="none" w:sz="0" w:space="0" w:color="auto"/>
      </w:divBdr>
    </w:div>
    <w:div w:id="1031765492">
      <w:bodyDiv w:val="1"/>
      <w:marLeft w:val="0"/>
      <w:marRight w:val="0"/>
      <w:marTop w:val="0"/>
      <w:marBottom w:val="0"/>
      <w:divBdr>
        <w:top w:val="none" w:sz="0" w:space="0" w:color="auto"/>
        <w:left w:val="none" w:sz="0" w:space="0" w:color="auto"/>
        <w:bottom w:val="none" w:sz="0" w:space="0" w:color="auto"/>
        <w:right w:val="none" w:sz="0" w:space="0" w:color="auto"/>
      </w:divBdr>
    </w:div>
    <w:div w:id="1068304263">
      <w:bodyDiv w:val="1"/>
      <w:marLeft w:val="0"/>
      <w:marRight w:val="0"/>
      <w:marTop w:val="0"/>
      <w:marBottom w:val="0"/>
      <w:divBdr>
        <w:top w:val="none" w:sz="0" w:space="0" w:color="auto"/>
        <w:left w:val="none" w:sz="0" w:space="0" w:color="auto"/>
        <w:bottom w:val="none" w:sz="0" w:space="0" w:color="auto"/>
        <w:right w:val="none" w:sz="0" w:space="0" w:color="auto"/>
      </w:divBdr>
    </w:div>
    <w:div w:id="1074818357">
      <w:bodyDiv w:val="1"/>
      <w:marLeft w:val="0"/>
      <w:marRight w:val="0"/>
      <w:marTop w:val="0"/>
      <w:marBottom w:val="0"/>
      <w:divBdr>
        <w:top w:val="none" w:sz="0" w:space="0" w:color="auto"/>
        <w:left w:val="none" w:sz="0" w:space="0" w:color="auto"/>
        <w:bottom w:val="none" w:sz="0" w:space="0" w:color="auto"/>
        <w:right w:val="none" w:sz="0" w:space="0" w:color="auto"/>
      </w:divBdr>
    </w:div>
    <w:div w:id="1082875729">
      <w:bodyDiv w:val="1"/>
      <w:marLeft w:val="0"/>
      <w:marRight w:val="0"/>
      <w:marTop w:val="0"/>
      <w:marBottom w:val="0"/>
      <w:divBdr>
        <w:top w:val="none" w:sz="0" w:space="0" w:color="auto"/>
        <w:left w:val="none" w:sz="0" w:space="0" w:color="auto"/>
        <w:bottom w:val="none" w:sz="0" w:space="0" w:color="auto"/>
        <w:right w:val="none" w:sz="0" w:space="0" w:color="auto"/>
      </w:divBdr>
    </w:div>
    <w:div w:id="1098135614">
      <w:bodyDiv w:val="1"/>
      <w:marLeft w:val="0"/>
      <w:marRight w:val="0"/>
      <w:marTop w:val="0"/>
      <w:marBottom w:val="0"/>
      <w:divBdr>
        <w:top w:val="none" w:sz="0" w:space="0" w:color="auto"/>
        <w:left w:val="none" w:sz="0" w:space="0" w:color="auto"/>
        <w:bottom w:val="none" w:sz="0" w:space="0" w:color="auto"/>
        <w:right w:val="none" w:sz="0" w:space="0" w:color="auto"/>
      </w:divBdr>
    </w:div>
    <w:div w:id="1108508650">
      <w:bodyDiv w:val="1"/>
      <w:marLeft w:val="0"/>
      <w:marRight w:val="0"/>
      <w:marTop w:val="0"/>
      <w:marBottom w:val="0"/>
      <w:divBdr>
        <w:top w:val="none" w:sz="0" w:space="0" w:color="auto"/>
        <w:left w:val="none" w:sz="0" w:space="0" w:color="auto"/>
        <w:bottom w:val="none" w:sz="0" w:space="0" w:color="auto"/>
        <w:right w:val="none" w:sz="0" w:space="0" w:color="auto"/>
      </w:divBdr>
      <w:divsChild>
        <w:div w:id="1441804809">
          <w:marLeft w:val="0"/>
          <w:marRight w:val="0"/>
          <w:marTop w:val="0"/>
          <w:marBottom w:val="0"/>
          <w:divBdr>
            <w:top w:val="none" w:sz="0" w:space="0" w:color="auto"/>
            <w:left w:val="none" w:sz="0" w:space="0" w:color="auto"/>
            <w:bottom w:val="none" w:sz="0" w:space="0" w:color="auto"/>
            <w:right w:val="none" w:sz="0" w:space="0" w:color="auto"/>
          </w:divBdr>
        </w:div>
      </w:divsChild>
    </w:div>
    <w:div w:id="1115053054">
      <w:bodyDiv w:val="1"/>
      <w:marLeft w:val="0"/>
      <w:marRight w:val="0"/>
      <w:marTop w:val="0"/>
      <w:marBottom w:val="0"/>
      <w:divBdr>
        <w:top w:val="none" w:sz="0" w:space="0" w:color="auto"/>
        <w:left w:val="none" w:sz="0" w:space="0" w:color="auto"/>
        <w:bottom w:val="none" w:sz="0" w:space="0" w:color="auto"/>
        <w:right w:val="none" w:sz="0" w:space="0" w:color="auto"/>
      </w:divBdr>
    </w:div>
    <w:div w:id="1117795442">
      <w:bodyDiv w:val="1"/>
      <w:marLeft w:val="0"/>
      <w:marRight w:val="0"/>
      <w:marTop w:val="0"/>
      <w:marBottom w:val="0"/>
      <w:divBdr>
        <w:top w:val="none" w:sz="0" w:space="0" w:color="auto"/>
        <w:left w:val="none" w:sz="0" w:space="0" w:color="auto"/>
        <w:bottom w:val="none" w:sz="0" w:space="0" w:color="auto"/>
        <w:right w:val="none" w:sz="0" w:space="0" w:color="auto"/>
      </w:divBdr>
      <w:divsChild>
        <w:div w:id="54474788">
          <w:marLeft w:val="0"/>
          <w:marRight w:val="0"/>
          <w:marTop w:val="0"/>
          <w:marBottom w:val="0"/>
          <w:divBdr>
            <w:top w:val="none" w:sz="0" w:space="0" w:color="auto"/>
            <w:left w:val="none" w:sz="0" w:space="0" w:color="auto"/>
            <w:bottom w:val="none" w:sz="0" w:space="0" w:color="auto"/>
            <w:right w:val="none" w:sz="0" w:space="0" w:color="auto"/>
          </w:divBdr>
        </w:div>
      </w:divsChild>
    </w:div>
    <w:div w:id="1125732053">
      <w:bodyDiv w:val="1"/>
      <w:marLeft w:val="0"/>
      <w:marRight w:val="0"/>
      <w:marTop w:val="0"/>
      <w:marBottom w:val="0"/>
      <w:divBdr>
        <w:top w:val="none" w:sz="0" w:space="0" w:color="auto"/>
        <w:left w:val="none" w:sz="0" w:space="0" w:color="auto"/>
        <w:bottom w:val="none" w:sz="0" w:space="0" w:color="auto"/>
        <w:right w:val="none" w:sz="0" w:space="0" w:color="auto"/>
      </w:divBdr>
    </w:div>
    <w:div w:id="1151215898">
      <w:bodyDiv w:val="1"/>
      <w:marLeft w:val="0"/>
      <w:marRight w:val="0"/>
      <w:marTop w:val="0"/>
      <w:marBottom w:val="0"/>
      <w:divBdr>
        <w:top w:val="none" w:sz="0" w:space="0" w:color="auto"/>
        <w:left w:val="none" w:sz="0" w:space="0" w:color="auto"/>
        <w:bottom w:val="none" w:sz="0" w:space="0" w:color="auto"/>
        <w:right w:val="none" w:sz="0" w:space="0" w:color="auto"/>
      </w:divBdr>
    </w:div>
    <w:div w:id="1151290367">
      <w:bodyDiv w:val="1"/>
      <w:marLeft w:val="0"/>
      <w:marRight w:val="0"/>
      <w:marTop w:val="0"/>
      <w:marBottom w:val="0"/>
      <w:divBdr>
        <w:top w:val="none" w:sz="0" w:space="0" w:color="auto"/>
        <w:left w:val="none" w:sz="0" w:space="0" w:color="auto"/>
        <w:bottom w:val="none" w:sz="0" w:space="0" w:color="auto"/>
        <w:right w:val="none" w:sz="0" w:space="0" w:color="auto"/>
      </w:divBdr>
    </w:div>
    <w:div w:id="1171456333">
      <w:bodyDiv w:val="1"/>
      <w:marLeft w:val="0"/>
      <w:marRight w:val="0"/>
      <w:marTop w:val="0"/>
      <w:marBottom w:val="0"/>
      <w:divBdr>
        <w:top w:val="none" w:sz="0" w:space="0" w:color="auto"/>
        <w:left w:val="none" w:sz="0" w:space="0" w:color="auto"/>
        <w:bottom w:val="none" w:sz="0" w:space="0" w:color="auto"/>
        <w:right w:val="none" w:sz="0" w:space="0" w:color="auto"/>
      </w:divBdr>
    </w:div>
    <w:div w:id="1204059845">
      <w:bodyDiv w:val="1"/>
      <w:marLeft w:val="0"/>
      <w:marRight w:val="0"/>
      <w:marTop w:val="0"/>
      <w:marBottom w:val="0"/>
      <w:divBdr>
        <w:top w:val="none" w:sz="0" w:space="0" w:color="auto"/>
        <w:left w:val="none" w:sz="0" w:space="0" w:color="auto"/>
        <w:bottom w:val="none" w:sz="0" w:space="0" w:color="auto"/>
        <w:right w:val="none" w:sz="0" w:space="0" w:color="auto"/>
      </w:divBdr>
    </w:div>
    <w:div w:id="1213662877">
      <w:bodyDiv w:val="1"/>
      <w:marLeft w:val="0"/>
      <w:marRight w:val="0"/>
      <w:marTop w:val="0"/>
      <w:marBottom w:val="0"/>
      <w:divBdr>
        <w:top w:val="none" w:sz="0" w:space="0" w:color="auto"/>
        <w:left w:val="none" w:sz="0" w:space="0" w:color="auto"/>
        <w:bottom w:val="none" w:sz="0" w:space="0" w:color="auto"/>
        <w:right w:val="none" w:sz="0" w:space="0" w:color="auto"/>
      </w:divBdr>
      <w:divsChild>
        <w:div w:id="1295453483">
          <w:marLeft w:val="0"/>
          <w:marRight w:val="0"/>
          <w:marTop w:val="0"/>
          <w:marBottom w:val="0"/>
          <w:divBdr>
            <w:top w:val="none" w:sz="0" w:space="0" w:color="auto"/>
            <w:left w:val="none" w:sz="0" w:space="0" w:color="auto"/>
            <w:bottom w:val="none" w:sz="0" w:space="0" w:color="auto"/>
            <w:right w:val="none" w:sz="0" w:space="0" w:color="auto"/>
          </w:divBdr>
        </w:div>
      </w:divsChild>
    </w:div>
    <w:div w:id="1227108546">
      <w:bodyDiv w:val="1"/>
      <w:marLeft w:val="0"/>
      <w:marRight w:val="0"/>
      <w:marTop w:val="0"/>
      <w:marBottom w:val="0"/>
      <w:divBdr>
        <w:top w:val="none" w:sz="0" w:space="0" w:color="auto"/>
        <w:left w:val="none" w:sz="0" w:space="0" w:color="auto"/>
        <w:bottom w:val="none" w:sz="0" w:space="0" w:color="auto"/>
        <w:right w:val="none" w:sz="0" w:space="0" w:color="auto"/>
      </w:divBdr>
      <w:divsChild>
        <w:div w:id="515508203">
          <w:marLeft w:val="0"/>
          <w:marRight w:val="0"/>
          <w:marTop w:val="0"/>
          <w:marBottom w:val="0"/>
          <w:divBdr>
            <w:top w:val="none" w:sz="0" w:space="0" w:color="auto"/>
            <w:left w:val="none" w:sz="0" w:space="0" w:color="auto"/>
            <w:bottom w:val="none" w:sz="0" w:space="0" w:color="auto"/>
            <w:right w:val="none" w:sz="0" w:space="0" w:color="auto"/>
          </w:divBdr>
        </w:div>
      </w:divsChild>
    </w:div>
    <w:div w:id="1234927404">
      <w:bodyDiv w:val="1"/>
      <w:marLeft w:val="0"/>
      <w:marRight w:val="0"/>
      <w:marTop w:val="0"/>
      <w:marBottom w:val="0"/>
      <w:divBdr>
        <w:top w:val="none" w:sz="0" w:space="0" w:color="auto"/>
        <w:left w:val="none" w:sz="0" w:space="0" w:color="auto"/>
        <w:bottom w:val="none" w:sz="0" w:space="0" w:color="auto"/>
        <w:right w:val="none" w:sz="0" w:space="0" w:color="auto"/>
      </w:divBdr>
    </w:div>
    <w:div w:id="1240360755">
      <w:bodyDiv w:val="1"/>
      <w:marLeft w:val="0"/>
      <w:marRight w:val="0"/>
      <w:marTop w:val="0"/>
      <w:marBottom w:val="0"/>
      <w:divBdr>
        <w:top w:val="none" w:sz="0" w:space="0" w:color="auto"/>
        <w:left w:val="none" w:sz="0" w:space="0" w:color="auto"/>
        <w:bottom w:val="none" w:sz="0" w:space="0" w:color="auto"/>
        <w:right w:val="none" w:sz="0" w:space="0" w:color="auto"/>
      </w:divBdr>
      <w:divsChild>
        <w:div w:id="439616486">
          <w:marLeft w:val="0"/>
          <w:marRight w:val="0"/>
          <w:marTop w:val="0"/>
          <w:marBottom w:val="0"/>
          <w:divBdr>
            <w:top w:val="none" w:sz="0" w:space="0" w:color="auto"/>
            <w:left w:val="none" w:sz="0" w:space="0" w:color="auto"/>
            <w:bottom w:val="none" w:sz="0" w:space="0" w:color="auto"/>
            <w:right w:val="none" w:sz="0" w:space="0" w:color="auto"/>
          </w:divBdr>
        </w:div>
      </w:divsChild>
    </w:div>
    <w:div w:id="1252079824">
      <w:bodyDiv w:val="1"/>
      <w:marLeft w:val="0"/>
      <w:marRight w:val="0"/>
      <w:marTop w:val="0"/>
      <w:marBottom w:val="0"/>
      <w:divBdr>
        <w:top w:val="none" w:sz="0" w:space="0" w:color="auto"/>
        <w:left w:val="none" w:sz="0" w:space="0" w:color="auto"/>
        <w:bottom w:val="none" w:sz="0" w:space="0" w:color="auto"/>
        <w:right w:val="none" w:sz="0" w:space="0" w:color="auto"/>
      </w:divBdr>
    </w:div>
    <w:div w:id="1253659932">
      <w:bodyDiv w:val="1"/>
      <w:marLeft w:val="0"/>
      <w:marRight w:val="0"/>
      <w:marTop w:val="0"/>
      <w:marBottom w:val="0"/>
      <w:divBdr>
        <w:top w:val="none" w:sz="0" w:space="0" w:color="auto"/>
        <w:left w:val="none" w:sz="0" w:space="0" w:color="auto"/>
        <w:bottom w:val="none" w:sz="0" w:space="0" w:color="auto"/>
        <w:right w:val="none" w:sz="0" w:space="0" w:color="auto"/>
      </w:divBdr>
      <w:divsChild>
        <w:div w:id="450244272">
          <w:marLeft w:val="0"/>
          <w:marRight w:val="0"/>
          <w:marTop w:val="0"/>
          <w:marBottom w:val="0"/>
          <w:divBdr>
            <w:top w:val="none" w:sz="0" w:space="0" w:color="auto"/>
            <w:left w:val="none" w:sz="0" w:space="0" w:color="auto"/>
            <w:bottom w:val="none" w:sz="0" w:space="0" w:color="auto"/>
            <w:right w:val="none" w:sz="0" w:space="0" w:color="auto"/>
          </w:divBdr>
        </w:div>
      </w:divsChild>
    </w:div>
    <w:div w:id="1263609830">
      <w:bodyDiv w:val="1"/>
      <w:marLeft w:val="0"/>
      <w:marRight w:val="0"/>
      <w:marTop w:val="0"/>
      <w:marBottom w:val="0"/>
      <w:divBdr>
        <w:top w:val="none" w:sz="0" w:space="0" w:color="auto"/>
        <w:left w:val="none" w:sz="0" w:space="0" w:color="auto"/>
        <w:bottom w:val="none" w:sz="0" w:space="0" w:color="auto"/>
        <w:right w:val="none" w:sz="0" w:space="0" w:color="auto"/>
      </w:divBdr>
      <w:divsChild>
        <w:div w:id="1595698785">
          <w:marLeft w:val="0"/>
          <w:marRight w:val="0"/>
          <w:marTop w:val="0"/>
          <w:marBottom w:val="0"/>
          <w:divBdr>
            <w:top w:val="none" w:sz="0" w:space="0" w:color="auto"/>
            <w:left w:val="none" w:sz="0" w:space="0" w:color="auto"/>
            <w:bottom w:val="none" w:sz="0" w:space="0" w:color="auto"/>
            <w:right w:val="none" w:sz="0" w:space="0" w:color="auto"/>
          </w:divBdr>
        </w:div>
      </w:divsChild>
    </w:div>
    <w:div w:id="1270157964">
      <w:bodyDiv w:val="1"/>
      <w:marLeft w:val="0"/>
      <w:marRight w:val="0"/>
      <w:marTop w:val="0"/>
      <w:marBottom w:val="0"/>
      <w:divBdr>
        <w:top w:val="none" w:sz="0" w:space="0" w:color="auto"/>
        <w:left w:val="none" w:sz="0" w:space="0" w:color="auto"/>
        <w:bottom w:val="none" w:sz="0" w:space="0" w:color="auto"/>
        <w:right w:val="none" w:sz="0" w:space="0" w:color="auto"/>
      </w:divBdr>
    </w:div>
    <w:div w:id="1276794762">
      <w:bodyDiv w:val="1"/>
      <w:marLeft w:val="0"/>
      <w:marRight w:val="0"/>
      <w:marTop w:val="0"/>
      <w:marBottom w:val="0"/>
      <w:divBdr>
        <w:top w:val="none" w:sz="0" w:space="0" w:color="auto"/>
        <w:left w:val="none" w:sz="0" w:space="0" w:color="auto"/>
        <w:bottom w:val="none" w:sz="0" w:space="0" w:color="auto"/>
        <w:right w:val="none" w:sz="0" w:space="0" w:color="auto"/>
      </w:divBdr>
      <w:divsChild>
        <w:div w:id="1550527766">
          <w:marLeft w:val="0"/>
          <w:marRight w:val="0"/>
          <w:marTop w:val="0"/>
          <w:marBottom w:val="0"/>
          <w:divBdr>
            <w:top w:val="none" w:sz="0" w:space="0" w:color="auto"/>
            <w:left w:val="none" w:sz="0" w:space="0" w:color="auto"/>
            <w:bottom w:val="none" w:sz="0" w:space="0" w:color="auto"/>
            <w:right w:val="none" w:sz="0" w:space="0" w:color="auto"/>
          </w:divBdr>
          <w:divsChild>
            <w:div w:id="97336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079009">
      <w:bodyDiv w:val="1"/>
      <w:marLeft w:val="0"/>
      <w:marRight w:val="0"/>
      <w:marTop w:val="0"/>
      <w:marBottom w:val="0"/>
      <w:divBdr>
        <w:top w:val="none" w:sz="0" w:space="0" w:color="auto"/>
        <w:left w:val="none" w:sz="0" w:space="0" w:color="auto"/>
        <w:bottom w:val="none" w:sz="0" w:space="0" w:color="auto"/>
        <w:right w:val="none" w:sz="0" w:space="0" w:color="auto"/>
      </w:divBdr>
    </w:div>
    <w:div w:id="1307588393">
      <w:bodyDiv w:val="1"/>
      <w:marLeft w:val="0"/>
      <w:marRight w:val="0"/>
      <w:marTop w:val="0"/>
      <w:marBottom w:val="0"/>
      <w:divBdr>
        <w:top w:val="none" w:sz="0" w:space="0" w:color="auto"/>
        <w:left w:val="none" w:sz="0" w:space="0" w:color="auto"/>
        <w:bottom w:val="none" w:sz="0" w:space="0" w:color="auto"/>
        <w:right w:val="none" w:sz="0" w:space="0" w:color="auto"/>
      </w:divBdr>
    </w:div>
    <w:div w:id="1377702192">
      <w:bodyDiv w:val="1"/>
      <w:marLeft w:val="0"/>
      <w:marRight w:val="0"/>
      <w:marTop w:val="0"/>
      <w:marBottom w:val="0"/>
      <w:divBdr>
        <w:top w:val="none" w:sz="0" w:space="0" w:color="auto"/>
        <w:left w:val="none" w:sz="0" w:space="0" w:color="auto"/>
        <w:bottom w:val="none" w:sz="0" w:space="0" w:color="auto"/>
        <w:right w:val="none" w:sz="0" w:space="0" w:color="auto"/>
      </w:divBdr>
    </w:div>
    <w:div w:id="1379206325">
      <w:bodyDiv w:val="1"/>
      <w:marLeft w:val="0"/>
      <w:marRight w:val="0"/>
      <w:marTop w:val="0"/>
      <w:marBottom w:val="0"/>
      <w:divBdr>
        <w:top w:val="none" w:sz="0" w:space="0" w:color="auto"/>
        <w:left w:val="none" w:sz="0" w:space="0" w:color="auto"/>
        <w:bottom w:val="none" w:sz="0" w:space="0" w:color="auto"/>
        <w:right w:val="none" w:sz="0" w:space="0" w:color="auto"/>
      </w:divBdr>
    </w:div>
    <w:div w:id="1387604745">
      <w:bodyDiv w:val="1"/>
      <w:marLeft w:val="0"/>
      <w:marRight w:val="0"/>
      <w:marTop w:val="0"/>
      <w:marBottom w:val="0"/>
      <w:divBdr>
        <w:top w:val="none" w:sz="0" w:space="0" w:color="auto"/>
        <w:left w:val="none" w:sz="0" w:space="0" w:color="auto"/>
        <w:bottom w:val="none" w:sz="0" w:space="0" w:color="auto"/>
        <w:right w:val="none" w:sz="0" w:space="0" w:color="auto"/>
      </w:divBdr>
    </w:div>
    <w:div w:id="1389301077">
      <w:bodyDiv w:val="1"/>
      <w:marLeft w:val="0"/>
      <w:marRight w:val="0"/>
      <w:marTop w:val="0"/>
      <w:marBottom w:val="0"/>
      <w:divBdr>
        <w:top w:val="none" w:sz="0" w:space="0" w:color="auto"/>
        <w:left w:val="none" w:sz="0" w:space="0" w:color="auto"/>
        <w:bottom w:val="none" w:sz="0" w:space="0" w:color="auto"/>
        <w:right w:val="none" w:sz="0" w:space="0" w:color="auto"/>
      </w:divBdr>
      <w:divsChild>
        <w:div w:id="205026880">
          <w:marLeft w:val="0"/>
          <w:marRight w:val="0"/>
          <w:marTop w:val="0"/>
          <w:marBottom w:val="0"/>
          <w:divBdr>
            <w:top w:val="none" w:sz="0" w:space="0" w:color="auto"/>
            <w:left w:val="none" w:sz="0" w:space="0" w:color="auto"/>
            <w:bottom w:val="none" w:sz="0" w:space="0" w:color="auto"/>
            <w:right w:val="none" w:sz="0" w:space="0" w:color="auto"/>
          </w:divBdr>
        </w:div>
      </w:divsChild>
    </w:div>
    <w:div w:id="1408649253">
      <w:bodyDiv w:val="1"/>
      <w:marLeft w:val="0"/>
      <w:marRight w:val="0"/>
      <w:marTop w:val="0"/>
      <w:marBottom w:val="0"/>
      <w:divBdr>
        <w:top w:val="none" w:sz="0" w:space="0" w:color="auto"/>
        <w:left w:val="none" w:sz="0" w:space="0" w:color="auto"/>
        <w:bottom w:val="none" w:sz="0" w:space="0" w:color="auto"/>
        <w:right w:val="none" w:sz="0" w:space="0" w:color="auto"/>
      </w:divBdr>
    </w:div>
    <w:div w:id="1423645655">
      <w:bodyDiv w:val="1"/>
      <w:marLeft w:val="0"/>
      <w:marRight w:val="0"/>
      <w:marTop w:val="0"/>
      <w:marBottom w:val="0"/>
      <w:divBdr>
        <w:top w:val="none" w:sz="0" w:space="0" w:color="auto"/>
        <w:left w:val="none" w:sz="0" w:space="0" w:color="auto"/>
        <w:bottom w:val="none" w:sz="0" w:space="0" w:color="auto"/>
        <w:right w:val="none" w:sz="0" w:space="0" w:color="auto"/>
      </w:divBdr>
    </w:div>
    <w:div w:id="1430009095">
      <w:bodyDiv w:val="1"/>
      <w:marLeft w:val="0"/>
      <w:marRight w:val="0"/>
      <w:marTop w:val="0"/>
      <w:marBottom w:val="0"/>
      <w:divBdr>
        <w:top w:val="none" w:sz="0" w:space="0" w:color="auto"/>
        <w:left w:val="none" w:sz="0" w:space="0" w:color="auto"/>
        <w:bottom w:val="none" w:sz="0" w:space="0" w:color="auto"/>
        <w:right w:val="none" w:sz="0" w:space="0" w:color="auto"/>
      </w:divBdr>
    </w:div>
    <w:div w:id="1443189348">
      <w:bodyDiv w:val="1"/>
      <w:marLeft w:val="0"/>
      <w:marRight w:val="0"/>
      <w:marTop w:val="0"/>
      <w:marBottom w:val="0"/>
      <w:divBdr>
        <w:top w:val="none" w:sz="0" w:space="0" w:color="auto"/>
        <w:left w:val="none" w:sz="0" w:space="0" w:color="auto"/>
        <w:bottom w:val="none" w:sz="0" w:space="0" w:color="auto"/>
        <w:right w:val="none" w:sz="0" w:space="0" w:color="auto"/>
      </w:divBdr>
    </w:div>
    <w:div w:id="1463183465">
      <w:bodyDiv w:val="1"/>
      <w:marLeft w:val="0"/>
      <w:marRight w:val="0"/>
      <w:marTop w:val="0"/>
      <w:marBottom w:val="0"/>
      <w:divBdr>
        <w:top w:val="none" w:sz="0" w:space="0" w:color="auto"/>
        <w:left w:val="none" w:sz="0" w:space="0" w:color="auto"/>
        <w:bottom w:val="none" w:sz="0" w:space="0" w:color="auto"/>
        <w:right w:val="none" w:sz="0" w:space="0" w:color="auto"/>
      </w:divBdr>
    </w:div>
    <w:div w:id="1526092204">
      <w:bodyDiv w:val="1"/>
      <w:marLeft w:val="0"/>
      <w:marRight w:val="0"/>
      <w:marTop w:val="0"/>
      <w:marBottom w:val="0"/>
      <w:divBdr>
        <w:top w:val="none" w:sz="0" w:space="0" w:color="auto"/>
        <w:left w:val="none" w:sz="0" w:space="0" w:color="auto"/>
        <w:bottom w:val="none" w:sz="0" w:space="0" w:color="auto"/>
        <w:right w:val="none" w:sz="0" w:space="0" w:color="auto"/>
      </w:divBdr>
    </w:div>
    <w:div w:id="1535995761">
      <w:bodyDiv w:val="1"/>
      <w:marLeft w:val="0"/>
      <w:marRight w:val="0"/>
      <w:marTop w:val="0"/>
      <w:marBottom w:val="0"/>
      <w:divBdr>
        <w:top w:val="none" w:sz="0" w:space="0" w:color="auto"/>
        <w:left w:val="none" w:sz="0" w:space="0" w:color="auto"/>
        <w:bottom w:val="none" w:sz="0" w:space="0" w:color="auto"/>
        <w:right w:val="none" w:sz="0" w:space="0" w:color="auto"/>
      </w:divBdr>
      <w:divsChild>
        <w:div w:id="99109909">
          <w:marLeft w:val="0"/>
          <w:marRight w:val="0"/>
          <w:marTop w:val="0"/>
          <w:marBottom w:val="0"/>
          <w:divBdr>
            <w:top w:val="none" w:sz="0" w:space="0" w:color="auto"/>
            <w:left w:val="none" w:sz="0" w:space="0" w:color="auto"/>
            <w:bottom w:val="none" w:sz="0" w:space="0" w:color="auto"/>
            <w:right w:val="none" w:sz="0" w:space="0" w:color="auto"/>
          </w:divBdr>
          <w:divsChild>
            <w:div w:id="177586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614277">
      <w:bodyDiv w:val="1"/>
      <w:marLeft w:val="0"/>
      <w:marRight w:val="0"/>
      <w:marTop w:val="0"/>
      <w:marBottom w:val="0"/>
      <w:divBdr>
        <w:top w:val="none" w:sz="0" w:space="0" w:color="auto"/>
        <w:left w:val="none" w:sz="0" w:space="0" w:color="auto"/>
        <w:bottom w:val="none" w:sz="0" w:space="0" w:color="auto"/>
        <w:right w:val="none" w:sz="0" w:space="0" w:color="auto"/>
      </w:divBdr>
    </w:div>
    <w:div w:id="1573276760">
      <w:bodyDiv w:val="1"/>
      <w:marLeft w:val="0"/>
      <w:marRight w:val="0"/>
      <w:marTop w:val="0"/>
      <w:marBottom w:val="0"/>
      <w:divBdr>
        <w:top w:val="none" w:sz="0" w:space="0" w:color="auto"/>
        <w:left w:val="none" w:sz="0" w:space="0" w:color="auto"/>
        <w:bottom w:val="none" w:sz="0" w:space="0" w:color="auto"/>
        <w:right w:val="none" w:sz="0" w:space="0" w:color="auto"/>
      </w:divBdr>
    </w:div>
    <w:div w:id="1573469308">
      <w:bodyDiv w:val="1"/>
      <w:marLeft w:val="0"/>
      <w:marRight w:val="0"/>
      <w:marTop w:val="0"/>
      <w:marBottom w:val="0"/>
      <w:divBdr>
        <w:top w:val="none" w:sz="0" w:space="0" w:color="auto"/>
        <w:left w:val="none" w:sz="0" w:space="0" w:color="auto"/>
        <w:bottom w:val="none" w:sz="0" w:space="0" w:color="auto"/>
        <w:right w:val="none" w:sz="0" w:space="0" w:color="auto"/>
      </w:divBdr>
      <w:divsChild>
        <w:div w:id="292751737">
          <w:marLeft w:val="0"/>
          <w:marRight w:val="0"/>
          <w:marTop w:val="0"/>
          <w:marBottom w:val="0"/>
          <w:divBdr>
            <w:top w:val="none" w:sz="0" w:space="0" w:color="auto"/>
            <w:left w:val="none" w:sz="0" w:space="0" w:color="auto"/>
            <w:bottom w:val="none" w:sz="0" w:space="0" w:color="auto"/>
            <w:right w:val="none" w:sz="0" w:space="0" w:color="auto"/>
          </w:divBdr>
        </w:div>
      </w:divsChild>
    </w:div>
    <w:div w:id="1578855599">
      <w:bodyDiv w:val="1"/>
      <w:marLeft w:val="0"/>
      <w:marRight w:val="0"/>
      <w:marTop w:val="0"/>
      <w:marBottom w:val="0"/>
      <w:divBdr>
        <w:top w:val="none" w:sz="0" w:space="0" w:color="auto"/>
        <w:left w:val="none" w:sz="0" w:space="0" w:color="auto"/>
        <w:bottom w:val="none" w:sz="0" w:space="0" w:color="auto"/>
        <w:right w:val="none" w:sz="0" w:space="0" w:color="auto"/>
      </w:divBdr>
    </w:div>
    <w:div w:id="1594701382">
      <w:bodyDiv w:val="1"/>
      <w:marLeft w:val="0"/>
      <w:marRight w:val="0"/>
      <w:marTop w:val="0"/>
      <w:marBottom w:val="0"/>
      <w:divBdr>
        <w:top w:val="none" w:sz="0" w:space="0" w:color="auto"/>
        <w:left w:val="none" w:sz="0" w:space="0" w:color="auto"/>
        <w:bottom w:val="none" w:sz="0" w:space="0" w:color="auto"/>
        <w:right w:val="none" w:sz="0" w:space="0" w:color="auto"/>
      </w:divBdr>
    </w:div>
    <w:div w:id="1608271076">
      <w:bodyDiv w:val="1"/>
      <w:marLeft w:val="0"/>
      <w:marRight w:val="0"/>
      <w:marTop w:val="0"/>
      <w:marBottom w:val="0"/>
      <w:divBdr>
        <w:top w:val="none" w:sz="0" w:space="0" w:color="auto"/>
        <w:left w:val="none" w:sz="0" w:space="0" w:color="auto"/>
        <w:bottom w:val="none" w:sz="0" w:space="0" w:color="auto"/>
        <w:right w:val="none" w:sz="0" w:space="0" w:color="auto"/>
      </w:divBdr>
      <w:divsChild>
        <w:div w:id="1795363004">
          <w:marLeft w:val="0"/>
          <w:marRight w:val="0"/>
          <w:marTop w:val="0"/>
          <w:marBottom w:val="0"/>
          <w:divBdr>
            <w:top w:val="none" w:sz="0" w:space="0" w:color="auto"/>
            <w:left w:val="none" w:sz="0" w:space="0" w:color="auto"/>
            <w:bottom w:val="none" w:sz="0" w:space="0" w:color="auto"/>
            <w:right w:val="none" w:sz="0" w:space="0" w:color="auto"/>
          </w:divBdr>
        </w:div>
      </w:divsChild>
    </w:div>
    <w:div w:id="1620065102">
      <w:bodyDiv w:val="1"/>
      <w:marLeft w:val="0"/>
      <w:marRight w:val="0"/>
      <w:marTop w:val="0"/>
      <w:marBottom w:val="0"/>
      <w:divBdr>
        <w:top w:val="none" w:sz="0" w:space="0" w:color="auto"/>
        <w:left w:val="none" w:sz="0" w:space="0" w:color="auto"/>
        <w:bottom w:val="none" w:sz="0" w:space="0" w:color="auto"/>
        <w:right w:val="none" w:sz="0" w:space="0" w:color="auto"/>
      </w:divBdr>
      <w:divsChild>
        <w:div w:id="2100173188">
          <w:marLeft w:val="0"/>
          <w:marRight w:val="0"/>
          <w:marTop w:val="0"/>
          <w:marBottom w:val="0"/>
          <w:divBdr>
            <w:top w:val="none" w:sz="0" w:space="0" w:color="auto"/>
            <w:left w:val="none" w:sz="0" w:space="0" w:color="auto"/>
            <w:bottom w:val="none" w:sz="0" w:space="0" w:color="auto"/>
            <w:right w:val="none" w:sz="0" w:space="0" w:color="auto"/>
          </w:divBdr>
        </w:div>
      </w:divsChild>
    </w:div>
    <w:div w:id="1628048338">
      <w:bodyDiv w:val="1"/>
      <w:marLeft w:val="0"/>
      <w:marRight w:val="0"/>
      <w:marTop w:val="0"/>
      <w:marBottom w:val="0"/>
      <w:divBdr>
        <w:top w:val="none" w:sz="0" w:space="0" w:color="auto"/>
        <w:left w:val="none" w:sz="0" w:space="0" w:color="auto"/>
        <w:bottom w:val="none" w:sz="0" w:space="0" w:color="auto"/>
        <w:right w:val="none" w:sz="0" w:space="0" w:color="auto"/>
      </w:divBdr>
      <w:divsChild>
        <w:div w:id="76445639">
          <w:marLeft w:val="0"/>
          <w:marRight w:val="0"/>
          <w:marTop w:val="0"/>
          <w:marBottom w:val="0"/>
          <w:divBdr>
            <w:top w:val="none" w:sz="0" w:space="0" w:color="auto"/>
            <w:left w:val="none" w:sz="0" w:space="0" w:color="auto"/>
            <w:bottom w:val="none" w:sz="0" w:space="0" w:color="auto"/>
            <w:right w:val="none" w:sz="0" w:space="0" w:color="auto"/>
          </w:divBdr>
        </w:div>
      </w:divsChild>
    </w:div>
    <w:div w:id="1671641002">
      <w:bodyDiv w:val="1"/>
      <w:marLeft w:val="0"/>
      <w:marRight w:val="0"/>
      <w:marTop w:val="0"/>
      <w:marBottom w:val="0"/>
      <w:divBdr>
        <w:top w:val="none" w:sz="0" w:space="0" w:color="auto"/>
        <w:left w:val="none" w:sz="0" w:space="0" w:color="auto"/>
        <w:bottom w:val="none" w:sz="0" w:space="0" w:color="auto"/>
        <w:right w:val="none" w:sz="0" w:space="0" w:color="auto"/>
      </w:divBdr>
      <w:divsChild>
        <w:div w:id="1883977918">
          <w:marLeft w:val="0"/>
          <w:marRight w:val="0"/>
          <w:marTop w:val="0"/>
          <w:marBottom w:val="0"/>
          <w:divBdr>
            <w:top w:val="none" w:sz="0" w:space="0" w:color="auto"/>
            <w:left w:val="none" w:sz="0" w:space="0" w:color="auto"/>
            <w:bottom w:val="none" w:sz="0" w:space="0" w:color="auto"/>
            <w:right w:val="none" w:sz="0" w:space="0" w:color="auto"/>
          </w:divBdr>
        </w:div>
      </w:divsChild>
    </w:div>
    <w:div w:id="1680352591">
      <w:bodyDiv w:val="1"/>
      <w:marLeft w:val="0"/>
      <w:marRight w:val="0"/>
      <w:marTop w:val="0"/>
      <w:marBottom w:val="0"/>
      <w:divBdr>
        <w:top w:val="none" w:sz="0" w:space="0" w:color="auto"/>
        <w:left w:val="none" w:sz="0" w:space="0" w:color="auto"/>
        <w:bottom w:val="none" w:sz="0" w:space="0" w:color="auto"/>
        <w:right w:val="none" w:sz="0" w:space="0" w:color="auto"/>
      </w:divBdr>
      <w:divsChild>
        <w:div w:id="971054219">
          <w:marLeft w:val="0"/>
          <w:marRight w:val="0"/>
          <w:marTop w:val="0"/>
          <w:marBottom w:val="0"/>
          <w:divBdr>
            <w:top w:val="none" w:sz="0" w:space="0" w:color="auto"/>
            <w:left w:val="none" w:sz="0" w:space="0" w:color="auto"/>
            <w:bottom w:val="none" w:sz="0" w:space="0" w:color="auto"/>
            <w:right w:val="none" w:sz="0" w:space="0" w:color="auto"/>
          </w:divBdr>
          <w:divsChild>
            <w:div w:id="311831196">
              <w:marLeft w:val="0"/>
              <w:marRight w:val="0"/>
              <w:marTop w:val="0"/>
              <w:marBottom w:val="0"/>
              <w:divBdr>
                <w:top w:val="none" w:sz="0" w:space="0" w:color="auto"/>
                <w:left w:val="none" w:sz="0" w:space="0" w:color="auto"/>
                <w:bottom w:val="none" w:sz="0" w:space="0" w:color="auto"/>
                <w:right w:val="none" w:sz="0" w:space="0" w:color="auto"/>
              </w:divBdr>
              <w:divsChild>
                <w:div w:id="737438611">
                  <w:marLeft w:val="0"/>
                  <w:marRight w:val="0"/>
                  <w:marTop w:val="0"/>
                  <w:marBottom w:val="0"/>
                  <w:divBdr>
                    <w:top w:val="none" w:sz="0" w:space="0" w:color="auto"/>
                    <w:left w:val="none" w:sz="0" w:space="0" w:color="auto"/>
                    <w:bottom w:val="none" w:sz="0" w:space="0" w:color="auto"/>
                    <w:right w:val="none" w:sz="0" w:space="0" w:color="auto"/>
                  </w:divBdr>
                  <w:divsChild>
                    <w:div w:id="24723301">
                      <w:marLeft w:val="0"/>
                      <w:marRight w:val="0"/>
                      <w:marTop w:val="0"/>
                      <w:marBottom w:val="0"/>
                      <w:divBdr>
                        <w:top w:val="none" w:sz="0" w:space="0" w:color="auto"/>
                        <w:left w:val="none" w:sz="0" w:space="0" w:color="auto"/>
                        <w:bottom w:val="none" w:sz="0" w:space="0" w:color="auto"/>
                        <w:right w:val="none" w:sz="0" w:space="0" w:color="auto"/>
                      </w:divBdr>
                      <w:divsChild>
                        <w:div w:id="398409148">
                          <w:marLeft w:val="0"/>
                          <w:marRight w:val="0"/>
                          <w:marTop w:val="0"/>
                          <w:marBottom w:val="0"/>
                          <w:divBdr>
                            <w:top w:val="none" w:sz="0" w:space="0" w:color="auto"/>
                            <w:left w:val="none" w:sz="0" w:space="0" w:color="auto"/>
                            <w:bottom w:val="none" w:sz="0" w:space="0" w:color="auto"/>
                            <w:right w:val="none" w:sz="0" w:space="0" w:color="auto"/>
                          </w:divBdr>
                          <w:divsChild>
                            <w:div w:id="25475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7367150">
      <w:bodyDiv w:val="1"/>
      <w:marLeft w:val="0"/>
      <w:marRight w:val="0"/>
      <w:marTop w:val="0"/>
      <w:marBottom w:val="0"/>
      <w:divBdr>
        <w:top w:val="none" w:sz="0" w:space="0" w:color="auto"/>
        <w:left w:val="none" w:sz="0" w:space="0" w:color="auto"/>
        <w:bottom w:val="none" w:sz="0" w:space="0" w:color="auto"/>
        <w:right w:val="none" w:sz="0" w:space="0" w:color="auto"/>
      </w:divBdr>
    </w:div>
    <w:div w:id="1697998371">
      <w:bodyDiv w:val="1"/>
      <w:marLeft w:val="0"/>
      <w:marRight w:val="0"/>
      <w:marTop w:val="0"/>
      <w:marBottom w:val="0"/>
      <w:divBdr>
        <w:top w:val="none" w:sz="0" w:space="0" w:color="auto"/>
        <w:left w:val="none" w:sz="0" w:space="0" w:color="auto"/>
        <w:bottom w:val="none" w:sz="0" w:space="0" w:color="auto"/>
        <w:right w:val="none" w:sz="0" w:space="0" w:color="auto"/>
      </w:divBdr>
      <w:divsChild>
        <w:div w:id="992023039">
          <w:marLeft w:val="0"/>
          <w:marRight w:val="0"/>
          <w:marTop w:val="0"/>
          <w:marBottom w:val="0"/>
          <w:divBdr>
            <w:top w:val="none" w:sz="0" w:space="0" w:color="auto"/>
            <w:left w:val="none" w:sz="0" w:space="0" w:color="auto"/>
            <w:bottom w:val="none" w:sz="0" w:space="0" w:color="auto"/>
            <w:right w:val="none" w:sz="0" w:space="0" w:color="auto"/>
          </w:divBdr>
          <w:divsChild>
            <w:div w:id="209886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707877">
      <w:bodyDiv w:val="1"/>
      <w:marLeft w:val="0"/>
      <w:marRight w:val="0"/>
      <w:marTop w:val="0"/>
      <w:marBottom w:val="0"/>
      <w:divBdr>
        <w:top w:val="none" w:sz="0" w:space="0" w:color="auto"/>
        <w:left w:val="none" w:sz="0" w:space="0" w:color="auto"/>
        <w:bottom w:val="none" w:sz="0" w:space="0" w:color="auto"/>
        <w:right w:val="none" w:sz="0" w:space="0" w:color="auto"/>
      </w:divBdr>
    </w:div>
    <w:div w:id="1733238066">
      <w:bodyDiv w:val="1"/>
      <w:marLeft w:val="0"/>
      <w:marRight w:val="0"/>
      <w:marTop w:val="0"/>
      <w:marBottom w:val="0"/>
      <w:divBdr>
        <w:top w:val="none" w:sz="0" w:space="0" w:color="auto"/>
        <w:left w:val="none" w:sz="0" w:space="0" w:color="auto"/>
        <w:bottom w:val="none" w:sz="0" w:space="0" w:color="auto"/>
        <w:right w:val="none" w:sz="0" w:space="0" w:color="auto"/>
      </w:divBdr>
    </w:div>
    <w:div w:id="1738552326">
      <w:bodyDiv w:val="1"/>
      <w:marLeft w:val="0"/>
      <w:marRight w:val="0"/>
      <w:marTop w:val="0"/>
      <w:marBottom w:val="0"/>
      <w:divBdr>
        <w:top w:val="none" w:sz="0" w:space="0" w:color="auto"/>
        <w:left w:val="none" w:sz="0" w:space="0" w:color="auto"/>
        <w:bottom w:val="none" w:sz="0" w:space="0" w:color="auto"/>
        <w:right w:val="none" w:sz="0" w:space="0" w:color="auto"/>
      </w:divBdr>
    </w:div>
    <w:div w:id="1746369167">
      <w:bodyDiv w:val="1"/>
      <w:marLeft w:val="0"/>
      <w:marRight w:val="0"/>
      <w:marTop w:val="0"/>
      <w:marBottom w:val="0"/>
      <w:divBdr>
        <w:top w:val="none" w:sz="0" w:space="0" w:color="auto"/>
        <w:left w:val="none" w:sz="0" w:space="0" w:color="auto"/>
        <w:bottom w:val="none" w:sz="0" w:space="0" w:color="auto"/>
        <w:right w:val="none" w:sz="0" w:space="0" w:color="auto"/>
      </w:divBdr>
    </w:div>
    <w:div w:id="1767576962">
      <w:bodyDiv w:val="1"/>
      <w:marLeft w:val="0"/>
      <w:marRight w:val="0"/>
      <w:marTop w:val="0"/>
      <w:marBottom w:val="0"/>
      <w:divBdr>
        <w:top w:val="none" w:sz="0" w:space="0" w:color="auto"/>
        <w:left w:val="none" w:sz="0" w:space="0" w:color="auto"/>
        <w:bottom w:val="none" w:sz="0" w:space="0" w:color="auto"/>
        <w:right w:val="none" w:sz="0" w:space="0" w:color="auto"/>
      </w:divBdr>
    </w:div>
    <w:div w:id="1768772164">
      <w:bodyDiv w:val="1"/>
      <w:marLeft w:val="0"/>
      <w:marRight w:val="0"/>
      <w:marTop w:val="0"/>
      <w:marBottom w:val="0"/>
      <w:divBdr>
        <w:top w:val="none" w:sz="0" w:space="0" w:color="auto"/>
        <w:left w:val="none" w:sz="0" w:space="0" w:color="auto"/>
        <w:bottom w:val="none" w:sz="0" w:space="0" w:color="auto"/>
        <w:right w:val="none" w:sz="0" w:space="0" w:color="auto"/>
      </w:divBdr>
    </w:div>
    <w:div w:id="1780101246">
      <w:bodyDiv w:val="1"/>
      <w:marLeft w:val="0"/>
      <w:marRight w:val="0"/>
      <w:marTop w:val="0"/>
      <w:marBottom w:val="0"/>
      <w:divBdr>
        <w:top w:val="none" w:sz="0" w:space="0" w:color="auto"/>
        <w:left w:val="none" w:sz="0" w:space="0" w:color="auto"/>
        <w:bottom w:val="none" w:sz="0" w:space="0" w:color="auto"/>
        <w:right w:val="none" w:sz="0" w:space="0" w:color="auto"/>
      </w:divBdr>
    </w:div>
    <w:div w:id="1817065063">
      <w:bodyDiv w:val="1"/>
      <w:marLeft w:val="0"/>
      <w:marRight w:val="0"/>
      <w:marTop w:val="0"/>
      <w:marBottom w:val="0"/>
      <w:divBdr>
        <w:top w:val="none" w:sz="0" w:space="0" w:color="auto"/>
        <w:left w:val="none" w:sz="0" w:space="0" w:color="auto"/>
        <w:bottom w:val="none" w:sz="0" w:space="0" w:color="auto"/>
        <w:right w:val="none" w:sz="0" w:space="0" w:color="auto"/>
      </w:divBdr>
    </w:div>
    <w:div w:id="1825387305">
      <w:bodyDiv w:val="1"/>
      <w:marLeft w:val="0"/>
      <w:marRight w:val="0"/>
      <w:marTop w:val="0"/>
      <w:marBottom w:val="0"/>
      <w:divBdr>
        <w:top w:val="none" w:sz="0" w:space="0" w:color="auto"/>
        <w:left w:val="none" w:sz="0" w:space="0" w:color="auto"/>
        <w:bottom w:val="none" w:sz="0" w:space="0" w:color="auto"/>
        <w:right w:val="none" w:sz="0" w:space="0" w:color="auto"/>
      </w:divBdr>
    </w:div>
    <w:div w:id="1827938451">
      <w:bodyDiv w:val="1"/>
      <w:marLeft w:val="0"/>
      <w:marRight w:val="0"/>
      <w:marTop w:val="0"/>
      <w:marBottom w:val="0"/>
      <w:divBdr>
        <w:top w:val="none" w:sz="0" w:space="0" w:color="auto"/>
        <w:left w:val="none" w:sz="0" w:space="0" w:color="auto"/>
        <w:bottom w:val="none" w:sz="0" w:space="0" w:color="auto"/>
        <w:right w:val="none" w:sz="0" w:space="0" w:color="auto"/>
      </w:divBdr>
      <w:divsChild>
        <w:div w:id="1621187556">
          <w:marLeft w:val="0"/>
          <w:marRight w:val="0"/>
          <w:marTop w:val="0"/>
          <w:marBottom w:val="0"/>
          <w:divBdr>
            <w:top w:val="none" w:sz="0" w:space="0" w:color="auto"/>
            <w:left w:val="none" w:sz="0" w:space="0" w:color="auto"/>
            <w:bottom w:val="none" w:sz="0" w:space="0" w:color="auto"/>
            <w:right w:val="none" w:sz="0" w:space="0" w:color="auto"/>
          </w:divBdr>
          <w:divsChild>
            <w:div w:id="128912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162579">
      <w:bodyDiv w:val="1"/>
      <w:marLeft w:val="0"/>
      <w:marRight w:val="0"/>
      <w:marTop w:val="0"/>
      <w:marBottom w:val="0"/>
      <w:divBdr>
        <w:top w:val="none" w:sz="0" w:space="0" w:color="auto"/>
        <w:left w:val="none" w:sz="0" w:space="0" w:color="auto"/>
        <w:bottom w:val="none" w:sz="0" w:space="0" w:color="auto"/>
        <w:right w:val="none" w:sz="0" w:space="0" w:color="auto"/>
      </w:divBdr>
    </w:div>
    <w:div w:id="1855151740">
      <w:bodyDiv w:val="1"/>
      <w:marLeft w:val="0"/>
      <w:marRight w:val="0"/>
      <w:marTop w:val="0"/>
      <w:marBottom w:val="0"/>
      <w:divBdr>
        <w:top w:val="none" w:sz="0" w:space="0" w:color="auto"/>
        <w:left w:val="none" w:sz="0" w:space="0" w:color="auto"/>
        <w:bottom w:val="none" w:sz="0" w:space="0" w:color="auto"/>
        <w:right w:val="none" w:sz="0" w:space="0" w:color="auto"/>
      </w:divBdr>
    </w:div>
    <w:div w:id="1856186748">
      <w:bodyDiv w:val="1"/>
      <w:marLeft w:val="0"/>
      <w:marRight w:val="0"/>
      <w:marTop w:val="0"/>
      <w:marBottom w:val="0"/>
      <w:divBdr>
        <w:top w:val="none" w:sz="0" w:space="0" w:color="auto"/>
        <w:left w:val="none" w:sz="0" w:space="0" w:color="auto"/>
        <w:bottom w:val="none" w:sz="0" w:space="0" w:color="auto"/>
        <w:right w:val="none" w:sz="0" w:space="0" w:color="auto"/>
      </w:divBdr>
    </w:div>
    <w:div w:id="1865438589">
      <w:bodyDiv w:val="1"/>
      <w:marLeft w:val="0"/>
      <w:marRight w:val="0"/>
      <w:marTop w:val="0"/>
      <w:marBottom w:val="0"/>
      <w:divBdr>
        <w:top w:val="none" w:sz="0" w:space="0" w:color="auto"/>
        <w:left w:val="none" w:sz="0" w:space="0" w:color="auto"/>
        <w:bottom w:val="none" w:sz="0" w:space="0" w:color="auto"/>
        <w:right w:val="none" w:sz="0" w:space="0" w:color="auto"/>
      </w:divBdr>
    </w:div>
    <w:div w:id="1870020253">
      <w:bodyDiv w:val="1"/>
      <w:marLeft w:val="0"/>
      <w:marRight w:val="0"/>
      <w:marTop w:val="0"/>
      <w:marBottom w:val="0"/>
      <w:divBdr>
        <w:top w:val="none" w:sz="0" w:space="0" w:color="auto"/>
        <w:left w:val="none" w:sz="0" w:space="0" w:color="auto"/>
        <w:bottom w:val="none" w:sz="0" w:space="0" w:color="auto"/>
        <w:right w:val="none" w:sz="0" w:space="0" w:color="auto"/>
      </w:divBdr>
    </w:div>
    <w:div w:id="1892573664">
      <w:bodyDiv w:val="1"/>
      <w:marLeft w:val="0"/>
      <w:marRight w:val="0"/>
      <w:marTop w:val="0"/>
      <w:marBottom w:val="0"/>
      <w:divBdr>
        <w:top w:val="none" w:sz="0" w:space="0" w:color="auto"/>
        <w:left w:val="none" w:sz="0" w:space="0" w:color="auto"/>
        <w:bottom w:val="none" w:sz="0" w:space="0" w:color="auto"/>
        <w:right w:val="none" w:sz="0" w:space="0" w:color="auto"/>
      </w:divBdr>
    </w:div>
    <w:div w:id="1913419821">
      <w:bodyDiv w:val="1"/>
      <w:marLeft w:val="0"/>
      <w:marRight w:val="0"/>
      <w:marTop w:val="0"/>
      <w:marBottom w:val="0"/>
      <w:divBdr>
        <w:top w:val="none" w:sz="0" w:space="0" w:color="auto"/>
        <w:left w:val="none" w:sz="0" w:space="0" w:color="auto"/>
        <w:bottom w:val="none" w:sz="0" w:space="0" w:color="auto"/>
        <w:right w:val="none" w:sz="0" w:space="0" w:color="auto"/>
      </w:divBdr>
    </w:div>
    <w:div w:id="1922250626">
      <w:bodyDiv w:val="1"/>
      <w:marLeft w:val="0"/>
      <w:marRight w:val="0"/>
      <w:marTop w:val="0"/>
      <w:marBottom w:val="0"/>
      <w:divBdr>
        <w:top w:val="none" w:sz="0" w:space="0" w:color="auto"/>
        <w:left w:val="none" w:sz="0" w:space="0" w:color="auto"/>
        <w:bottom w:val="none" w:sz="0" w:space="0" w:color="auto"/>
        <w:right w:val="none" w:sz="0" w:space="0" w:color="auto"/>
      </w:divBdr>
    </w:div>
    <w:div w:id="1925144755">
      <w:bodyDiv w:val="1"/>
      <w:marLeft w:val="0"/>
      <w:marRight w:val="0"/>
      <w:marTop w:val="0"/>
      <w:marBottom w:val="0"/>
      <w:divBdr>
        <w:top w:val="none" w:sz="0" w:space="0" w:color="auto"/>
        <w:left w:val="none" w:sz="0" w:space="0" w:color="auto"/>
        <w:bottom w:val="none" w:sz="0" w:space="0" w:color="auto"/>
        <w:right w:val="none" w:sz="0" w:space="0" w:color="auto"/>
      </w:divBdr>
    </w:div>
    <w:div w:id="1946113460">
      <w:bodyDiv w:val="1"/>
      <w:marLeft w:val="0"/>
      <w:marRight w:val="0"/>
      <w:marTop w:val="0"/>
      <w:marBottom w:val="0"/>
      <w:divBdr>
        <w:top w:val="none" w:sz="0" w:space="0" w:color="auto"/>
        <w:left w:val="none" w:sz="0" w:space="0" w:color="auto"/>
        <w:bottom w:val="none" w:sz="0" w:space="0" w:color="auto"/>
        <w:right w:val="none" w:sz="0" w:space="0" w:color="auto"/>
      </w:divBdr>
    </w:div>
    <w:div w:id="1952661872">
      <w:bodyDiv w:val="1"/>
      <w:marLeft w:val="0"/>
      <w:marRight w:val="0"/>
      <w:marTop w:val="0"/>
      <w:marBottom w:val="0"/>
      <w:divBdr>
        <w:top w:val="none" w:sz="0" w:space="0" w:color="auto"/>
        <w:left w:val="none" w:sz="0" w:space="0" w:color="auto"/>
        <w:bottom w:val="none" w:sz="0" w:space="0" w:color="auto"/>
        <w:right w:val="none" w:sz="0" w:space="0" w:color="auto"/>
      </w:divBdr>
    </w:div>
    <w:div w:id="1961644462">
      <w:bodyDiv w:val="1"/>
      <w:marLeft w:val="0"/>
      <w:marRight w:val="0"/>
      <w:marTop w:val="0"/>
      <w:marBottom w:val="0"/>
      <w:divBdr>
        <w:top w:val="none" w:sz="0" w:space="0" w:color="auto"/>
        <w:left w:val="none" w:sz="0" w:space="0" w:color="auto"/>
        <w:bottom w:val="none" w:sz="0" w:space="0" w:color="auto"/>
        <w:right w:val="none" w:sz="0" w:space="0" w:color="auto"/>
      </w:divBdr>
    </w:div>
    <w:div w:id="1976254521">
      <w:bodyDiv w:val="1"/>
      <w:marLeft w:val="0"/>
      <w:marRight w:val="0"/>
      <w:marTop w:val="0"/>
      <w:marBottom w:val="0"/>
      <w:divBdr>
        <w:top w:val="none" w:sz="0" w:space="0" w:color="auto"/>
        <w:left w:val="none" w:sz="0" w:space="0" w:color="auto"/>
        <w:bottom w:val="none" w:sz="0" w:space="0" w:color="auto"/>
        <w:right w:val="none" w:sz="0" w:space="0" w:color="auto"/>
      </w:divBdr>
    </w:div>
    <w:div w:id="2000961430">
      <w:bodyDiv w:val="1"/>
      <w:marLeft w:val="0"/>
      <w:marRight w:val="0"/>
      <w:marTop w:val="0"/>
      <w:marBottom w:val="0"/>
      <w:divBdr>
        <w:top w:val="none" w:sz="0" w:space="0" w:color="auto"/>
        <w:left w:val="none" w:sz="0" w:space="0" w:color="auto"/>
        <w:bottom w:val="none" w:sz="0" w:space="0" w:color="auto"/>
        <w:right w:val="none" w:sz="0" w:space="0" w:color="auto"/>
      </w:divBdr>
      <w:divsChild>
        <w:div w:id="820972699">
          <w:marLeft w:val="0"/>
          <w:marRight w:val="0"/>
          <w:marTop w:val="0"/>
          <w:marBottom w:val="0"/>
          <w:divBdr>
            <w:top w:val="none" w:sz="0" w:space="0" w:color="auto"/>
            <w:left w:val="none" w:sz="0" w:space="0" w:color="auto"/>
            <w:bottom w:val="none" w:sz="0" w:space="0" w:color="auto"/>
            <w:right w:val="none" w:sz="0" w:space="0" w:color="auto"/>
          </w:divBdr>
          <w:divsChild>
            <w:div w:id="1406954678">
              <w:marLeft w:val="0"/>
              <w:marRight w:val="0"/>
              <w:marTop w:val="0"/>
              <w:marBottom w:val="0"/>
              <w:divBdr>
                <w:top w:val="none" w:sz="0" w:space="0" w:color="auto"/>
                <w:left w:val="none" w:sz="0" w:space="0" w:color="auto"/>
                <w:bottom w:val="none" w:sz="0" w:space="0" w:color="auto"/>
                <w:right w:val="none" w:sz="0" w:space="0" w:color="auto"/>
              </w:divBdr>
              <w:divsChild>
                <w:div w:id="712777635">
                  <w:marLeft w:val="0"/>
                  <w:marRight w:val="0"/>
                  <w:marTop w:val="0"/>
                  <w:marBottom w:val="0"/>
                  <w:divBdr>
                    <w:top w:val="none" w:sz="0" w:space="0" w:color="auto"/>
                    <w:left w:val="none" w:sz="0" w:space="0" w:color="auto"/>
                    <w:bottom w:val="none" w:sz="0" w:space="0" w:color="auto"/>
                    <w:right w:val="none" w:sz="0" w:space="0" w:color="auto"/>
                  </w:divBdr>
                  <w:divsChild>
                    <w:div w:id="1202282957">
                      <w:marLeft w:val="0"/>
                      <w:marRight w:val="0"/>
                      <w:marTop w:val="0"/>
                      <w:marBottom w:val="0"/>
                      <w:divBdr>
                        <w:top w:val="none" w:sz="0" w:space="0" w:color="auto"/>
                        <w:left w:val="none" w:sz="0" w:space="0" w:color="auto"/>
                        <w:bottom w:val="none" w:sz="0" w:space="0" w:color="auto"/>
                        <w:right w:val="none" w:sz="0" w:space="0" w:color="auto"/>
                      </w:divBdr>
                      <w:divsChild>
                        <w:div w:id="1483157839">
                          <w:marLeft w:val="0"/>
                          <w:marRight w:val="0"/>
                          <w:marTop w:val="0"/>
                          <w:marBottom w:val="0"/>
                          <w:divBdr>
                            <w:top w:val="none" w:sz="0" w:space="0" w:color="auto"/>
                            <w:left w:val="none" w:sz="0" w:space="0" w:color="auto"/>
                            <w:bottom w:val="none" w:sz="0" w:space="0" w:color="auto"/>
                            <w:right w:val="none" w:sz="0" w:space="0" w:color="auto"/>
                          </w:divBdr>
                          <w:divsChild>
                            <w:div w:id="25509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9626751">
      <w:bodyDiv w:val="1"/>
      <w:marLeft w:val="0"/>
      <w:marRight w:val="0"/>
      <w:marTop w:val="0"/>
      <w:marBottom w:val="0"/>
      <w:divBdr>
        <w:top w:val="none" w:sz="0" w:space="0" w:color="auto"/>
        <w:left w:val="none" w:sz="0" w:space="0" w:color="auto"/>
        <w:bottom w:val="none" w:sz="0" w:space="0" w:color="auto"/>
        <w:right w:val="none" w:sz="0" w:space="0" w:color="auto"/>
      </w:divBdr>
    </w:div>
    <w:div w:id="2010598050">
      <w:bodyDiv w:val="1"/>
      <w:marLeft w:val="0"/>
      <w:marRight w:val="0"/>
      <w:marTop w:val="0"/>
      <w:marBottom w:val="0"/>
      <w:divBdr>
        <w:top w:val="none" w:sz="0" w:space="0" w:color="auto"/>
        <w:left w:val="none" w:sz="0" w:space="0" w:color="auto"/>
        <w:bottom w:val="none" w:sz="0" w:space="0" w:color="auto"/>
        <w:right w:val="none" w:sz="0" w:space="0" w:color="auto"/>
      </w:divBdr>
    </w:div>
    <w:div w:id="2020961280">
      <w:bodyDiv w:val="1"/>
      <w:marLeft w:val="0"/>
      <w:marRight w:val="0"/>
      <w:marTop w:val="0"/>
      <w:marBottom w:val="0"/>
      <w:divBdr>
        <w:top w:val="none" w:sz="0" w:space="0" w:color="auto"/>
        <w:left w:val="none" w:sz="0" w:space="0" w:color="auto"/>
        <w:bottom w:val="none" w:sz="0" w:space="0" w:color="auto"/>
        <w:right w:val="none" w:sz="0" w:space="0" w:color="auto"/>
      </w:divBdr>
    </w:div>
    <w:div w:id="2055346147">
      <w:bodyDiv w:val="1"/>
      <w:marLeft w:val="0"/>
      <w:marRight w:val="0"/>
      <w:marTop w:val="0"/>
      <w:marBottom w:val="0"/>
      <w:divBdr>
        <w:top w:val="none" w:sz="0" w:space="0" w:color="auto"/>
        <w:left w:val="none" w:sz="0" w:space="0" w:color="auto"/>
        <w:bottom w:val="none" w:sz="0" w:space="0" w:color="auto"/>
        <w:right w:val="none" w:sz="0" w:space="0" w:color="auto"/>
      </w:divBdr>
      <w:divsChild>
        <w:div w:id="210650440">
          <w:marLeft w:val="0"/>
          <w:marRight w:val="0"/>
          <w:marTop w:val="0"/>
          <w:marBottom w:val="0"/>
          <w:divBdr>
            <w:top w:val="none" w:sz="0" w:space="0" w:color="auto"/>
            <w:left w:val="none" w:sz="0" w:space="0" w:color="auto"/>
            <w:bottom w:val="none" w:sz="0" w:space="0" w:color="auto"/>
            <w:right w:val="none" w:sz="0" w:space="0" w:color="auto"/>
          </w:divBdr>
        </w:div>
      </w:divsChild>
    </w:div>
    <w:div w:id="2073919335">
      <w:bodyDiv w:val="1"/>
      <w:marLeft w:val="0"/>
      <w:marRight w:val="0"/>
      <w:marTop w:val="0"/>
      <w:marBottom w:val="0"/>
      <w:divBdr>
        <w:top w:val="none" w:sz="0" w:space="0" w:color="auto"/>
        <w:left w:val="none" w:sz="0" w:space="0" w:color="auto"/>
        <w:bottom w:val="none" w:sz="0" w:space="0" w:color="auto"/>
        <w:right w:val="none" w:sz="0" w:space="0" w:color="auto"/>
      </w:divBdr>
      <w:divsChild>
        <w:div w:id="896824280">
          <w:marLeft w:val="0"/>
          <w:marRight w:val="0"/>
          <w:marTop w:val="0"/>
          <w:marBottom w:val="0"/>
          <w:divBdr>
            <w:top w:val="none" w:sz="0" w:space="0" w:color="auto"/>
            <w:left w:val="none" w:sz="0" w:space="0" w:color="auto"/>
            <w:bottom w:val="none" w:sz="0" w:space="0" w:color="auto"/>
            <w:right w:val="none" w:sz="0" w:space="0" w:color="auto"/>
          </w:divBdr>
        </w:div>
      </w:divsChild>
    </w:div>
    <w:div w:id="2083482117">
      <w:bodyDiv w:val="1"/>
      <w:marLeft w:val="0"/>
      <w:marRight w:val="0"/>
      <w:marTop w:val="0"/>
      <w:marBottom w:val="0"/>
      <w:divBdr>
        <w:top w:val="none" w:sz="0" w:space="0" w:color="auto"/>
        <w:left w:val="none" w:sz="0" w:space="0" w:color="auto"/>
        <w:bottom w:val="none" w:sz="0" w:space="0" w:color="auto"/>
        <w:right w:val="none" w:sz="0" w:space="0" w:color="auto"/>
      </w:divBdr>
    </w:div>
    <w:div w:id="2092194994">
      <w:bodyDiv w:val="1"/>
      <w:marLeft w:val="0"/>
      <w:marRight w:val="0"/>
      <w:marTop w:val="0"/>
      <w:marBottom w:val="0"/>
      <w:divBdr>
        <w:top w:val="none" w:sz="0" w:space="0" w:color="auto"/>
        <w:left w:val="none" w:sz="0" w:space="0" w:color="auto"/>
        <w:bottom w:val="none" w:sz="0" w:space="0" w:color="auto"/>
        <w:right w:val="none" w:sz="0" w:space="0" w:color="auto"/>
      </w:divBdr>
    </w:div>
    <w:div w:id="2108453700">
      <w:bodyDiv w:val="1"/>
      <w:marLeft w:val="0"/>
      <w:marRight w:val="0"/>
      <w:marTop w:val="0"/>
      <w:marBottom w:val="0"/>
      <w:divBdr>
        <w:top w:val="none" w:sz="0" w:space="0" w:color="auto"/>
        <w:left w:val="none" w:sz="0" w:space="0" w:color="auto"/>
        <w:bottom w:val="none" w:sz="0" w:space="0" w:color="auto"/>
        <w:right w:val="none" w:sz="0" w:space="0" w:color="auto"/>
      </w:divBdr>
    </w:div>
    <w:div w:id="2109306819">
      <w:bodyDiv w:val="1"/>
      <w:marLeft w:val="0"/>
      <w:marRight w:val="0"/>
      <w:marTop w:val="0"/>
      <w:marBottom w:val="0"/>
      <w:divBdr>
        <w:top w:val="none" w:sz="0" w:space="0" w:color="auto"/>
        <w:left w:val="none" w:sz="0" w:space="0" w:color="auto"/>
        <w:bottom w:val="none" w:sz="0" w:space="0" w:color="auto"/>
        <w:right w:val="none" w:sz="0" w:space="0" w:color="auto"/>
      </w:divBdr>
    </w:div>
    <w:div w:id="2122916286">
      <w:bodyDiv w:val="1"/>
      <w:marLeft w:val="0"/>
      <w:marRight w:val="0"/>
      <w:marTop w:val="0"/>
      <w:marBottom w:val="0"/>
      <w:divBdr>
        <w:top w:val="none" w:sz="0" w:space="0" w:color="auto"/>
        <w:left w:val="none" w:sz="0" w:space="0" w:color="auto"/>
        <w:bottom w:val="none" w:sz="0" w:space="0" w:color="auto"/>
        <w:right w:val="none" w:sz="0" w:space="0" w:color="auto"/>
      </w:divBdr>
    </w:div>
    <w:div w:id="2127768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intactone.com/2019/03/01/hrm-u4-topic-2-factors-affecting-employee-compensation/" TargetMode="External"/><Relationship Id="rId18" Type="http://schemas.openxmlformats.org/officeDocument/2006/relationships/hyperlink" Target="https://doi.org/10.4018/978-1-7998-1474-0" TargetMode="External"/><Relationship Id="rId26" Type="http://schemas.openxmlformats.org/officeDocument/2006/relationships/hyperlink" Target="https://www.gallup.com/workplace/236441/employee-recognition-low-cost-high-impact.aspx" TargetMode="External"/><Relationship Id="rId39" Type="http://schemas.openxmlformats.org/officeDocument/2006/relationships/hyperlink" Target="https://www.researchgate.net/publication/236133199_Communication_Climate_and_Organizational_Performances" TargetMode="External"/><Relationship Id="rId21" Type="http://schemas.openxmlformats.org/officeDocument/2006/relationships/hyperlink" Target="https://www.cipd.org/globalassets/media/knowledge/knowledge-hub/reports/2024-pdfs/8662-resource-and-talent-planning-2024-report-web.pdf" TargetMode="External"/><Relationship Id="rId34" Type="http://schemas.openxmlformats.org/officeDocument/2006/relationships/hyperlink" Target="https://www.researchgate.net/publication/255593558_The_Meaning_of_Employee_Engagement" TargetMode="External"/><Relationship Id="rId42" Type="http://schemas.openxmlformats.org/officeDocument/2006/relationships/hyperlink" Target="https://www.researchgate.net/publication/385487184_Employee_participation_in_decision-making_and_organizational_commitment_A_study_of_modern_organizations" TargetMode="External"/><Relationship Id="rId47" Type="http://schemas.openxmlformats.org/officeDocument/2006/relationships/hyperlink" Target="https://www.ons.gov.uk/businessindustryandtrade/business/activitysizeandlocation/articles/coronavirusanditsimpactonukhospitality/january2020tojune2021" TargetMode="External"/><Relationship Id="rId50" Type="http://schemas.openxmlformats.org/officeDocument/2006/relationships/hyperlink" Target="https://www.researchgate.net/publication/313636497_The_Negative_Effect_and_Consequences_of_Employee_Turnover_and_Retention_on_the_Organization_and_Its_Staff"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researchgate.net/publication/388739739_Future_Directions_in_Research_Methodologies_A_Multidisciplinary_Approach" TargetMode="External"/><Relationship Id="rId29" Type="http://schemas.openxmlformats.org/officeDocument/2006/relationships/hyperlink" Target="https://researchmethod.net/limitations-in-research/" TargetMode="External"/><Relationship Id="rId11" Type="http://schemas.openxmlformats.org/officeDocument/2006/relationships/image" Target="media/image1.png"/><Relationship Id="rId24" Type="http://schemas.openxmlformats.org/officeDocument/2006/relationships/hyperlink" Target="https://www.apa.org/topics/healthy-workplaces/growth-opportunities" TargetMode="External"/><Relationship Id="rId32" Type="http://schemas.openxmlformats.org/officeDocument/2006/relationships/hyperlink" Target="https://www.researchgate.net/publication/353260680_DECISION_MAKING_UNDER_PRESSURE_A_BEHAVIORAL_SCIENCE_PERSPECTIVE" TargetMode="External"/><Relationship Id="rId37" Type="http://schemas.openxmlformats.org/officeDocument/2006/relationships/hyperlink" Target="https://doi.org/10.30892/gtg.58144-1429" TargetMode="External"/><Relationship Id="rId40" Type="http://schemas.openxmlformats.org/officeDocument/2006/relationships/hyperlink" Target="https://www.simplypsychology.org/herzbergs-two-factor-theory.html" TargetMode="External"/><Relationship Id="rId45" Type="http://schemas.openxmlformats.org/officeDocument/2006/relationships/hyperlink" Target="https://www.forbes.com/sites/markcperna/2021/06/15/valued-and-seen-why-belonging-is-the-most-essential-feeling-at-work/" TargetMode="External"/><Relationship Id="rId53" Type="http://schemas.openxmlformats.org/officeDocument/2006/relationships/hyperlink" Target="https://ebooks.umu.ac.ug/librarian/books-file/Case%20Study%20Research%20and%20Applications.pdf"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researchgate.net/publication/340224627_Work-Life_Balance_Definitions_Causes_and_Consequences" TargetMode="External"/><Relationship Id="rId31" Type="http://schemas.openxmlformats.org/officeDocument/2006/relationships/hyperlink" Target="https://www.ihgplc.com/en/our-brands" TargetMode="External"/><Relationship Id="rId44" Type="http://schemas.openxmlformats.org/officeDocument/2006/relationships/hyperlink" Target="https://www.business.com/articles/reasons-employees-quit/" TargetMode="External"/><Relationship Id="rId52" Type="http://schemas.openxmlformats.org/officeDocument/2006/relationships/hyperlink" Target="https://www.aihr.com/blog/non-monetary-incentiv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ublication/331635975_Organizational_Commitment_A_Review_of_the_Conceptual_and_Empirical_Literature_and_a_Research_Agenda" TargetMode="External"/><Relationship Id="rId22" Type="http://schemas.openxmlformats.org/officeDocument/2006/relationships/hyperlink" Target="https://www.cipd.org/uk/views-and-insights/thought-leadership/cipd-voice/benchmarking-employee-turnover/" TargetMode="External"/><Relationship Id="rId27" Type="http://schemas.openxmlformats.org/officeDocument/2006/relationships/hyperlink" Target="https://doi.org/10.1108/09596110610681511" TargetMode="External"/><Relationship Id="rId30" Type="http://schemas.openxmlformats.org/officeDocument/2006/relationships/hyperlink" Target="https://www.ihg.com/holidayinn/hotels/gb/en/sunderland/snduk/hoteldetail/hotel-reviews?msockid=09b8012af9c26b2f02ee134ff8226ad4" TargetMode="External"/><Relationship Id="rId35" Type="http://schemas.openxmlformats.org/officeDocument/2006/relationships/hyperlink" Target="https://safetyculture.com/topics/training-strategies/" TargetMode="External"/><Relationship Id="rId43" Type="http://schemas.openxmlformats.org/officeDocument/2006/relationships/hyperlink" Target="https://doi.org/10.1016/j.ijhm.2020.102599" TargetMode="External"/><Relationship Id="rId48" Type="http://schemas.openxmlformats.org/officeDocument/2006/relationships/hyperlink" Target="https://www.researchgate.net/publication/277673774_Psychological_Contracts_in_the_Workplace_Understanding_the_Ties_That_Motivate"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thestrategystory.com/blog/strategy-evaluation-process-importance-example/" TargetMode="External"/><Relationship Id="rId3" Type="http://schemas.openxmlformats.org/officeDocument/2006/relationships/customXml" Target="../customXml/item3.xml"/><Relationship Id="rId12" Type="http://schemas.openxmlformats.org/officeDocument/2006/relationships/hyperlink" Target="https://www.researchgate.net/publication/360474212_Work-life_Balance_The_Conceptual_Framework_and_Review_of_Corporate_Best_Practices" TargetMode="External"/><Relationship Id="rId17" Type="http://schemas.openxmlformats.org/officeDocument/2006/relationships/hyperlink" Target="https://www.researchgate.net/publication/318920807_Factors_Affecting_Employee_Retention" TargetMode="External"/><Relationship Id="rId25" Type="http://schemas.openxmlformats.org/officeDocument/2006/relationships/hyperlink" Target="https://doi.org/10.1016/j.tourman.2023.104783" TargetMode="External"/><Relationship Id="rId33" Type="http://schemas.openxmlformats.org/officeDocument/2006/relationships/hyperlink" Target="https://www.researchgate.net/publication/319613944_Netnography" TargetMode="External"/><Relationship Id="rId38" Type="http://schemas.openxmlformats.org/officeDocument/2006/relationships/hyperlink" Target="https://doi.org/10.5937/menhottur2301051M" TargetMode="External"/><Relationship Id="rId46" Type="http://schemas.openxmlformats.org/officeDocument/2006/relationships/hyperlink" Target="https://prevuehr.com/resources/insights/impact-organizational-culture-fostering-collaboration-engagement-company-success/" TargetMode="External"/><Relationship Id="rId20" Type="http://schemas.openxmlformats.org/officeDocument/2006/relationships/hyperlink" Target="https://www.researchgate.net/publication/342796387_Lack_of_Communication_between_Management_and_Employees" TargetMode="External"/><Relationship Id="rId41" Type="http://schemas.openxmlformats.org/officeDocument/2006/relationships/hyperlink" Target="https://www.ons.gov.uk/employmentandlabourmarket/peopleinwork/employmentandemployeetypes/adhocs/2327onslocaljobsinthehospitalityindustryinlondonandallotherregionsoftheuk2010to2023"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4128/9781606493410" TargetMode="External"/><Relationship Id="rId23" Type="http://schemas.openxmlformats.org/officeDocument/2006/relationships/hyperlink" Target="https://www.forbes.com/advisor/business/employee-retention-strategies/" TargetMode="External"/><Relationship Id="rId28" Type="http://schemas.openxmlformats.org/officeDocument/2006/relationships/hyperlink" Target="https://doi.org/10.1007/978-3-031-52803-3" TargetMode="External"/><Relationship Id="rId36" Type="http://schemas.openxmlformats.org/officeDocument/2006/relationships/hyperlink" Target="https://www.shrm.org/topics-tools/news/talent-acquisition/workers-are-quitting-because-work-life-balance-career-development" TargetMode="External"/><Relationship Id="rId49" Type="http://schemas.openxmlformats.org/officeDocument/2006/relationships/hyperlink" Target="https://www.researchgate.net/publication/261554924_Interpreting_Qualitative_Data_A_Guide_to_the_Principles_of_Qualitative_Research" TargetMode="External"/></Relationships>
</file>

<file path=word/theme/theme1.xml><?xml version="1.0" encoding="utf-8"?>
<a:theme xmlns:a="http://schemas.openxmlformats.org/drawingml/2006/main" name="Office Theme">
  <a:themeElements>
    <a:clrScheme name="GT Theme Colours">
      <a:dk1>
        <a:sysClr val="windowText" lastClr="000000"/>
      </a:dk1>
      <a:lt1>
        <a:sysClr val="window" lastClr="FFFFFF"/>
      </a:lt1>
      <a:dk2>
        <a:srgbClr val="747678"/>
      </a:dk2>
      <a:lt2>
        <a:srgbClr val="747678"/>
      </a:lt2>
      <a:accent1>
        <a:srgbClr val="4F2D7F"/>
      </a:accent1>
      <a:accent2>
        <a:srgbClr val="C8BEAF"/>
      </a:accent2>
      <a:accent3>
        <a:srgbClr val="00A7B5"/>
      </a:accent3>
      <a:accent4>
        <a:srgbClr val="FF7D1E"/>
      </a:accent4>
      <a:accent5>
        <a:srgbClr val="9BD732"/>
      </a:accent5>
      <a:accent6>
        <a:srgbClr val="E92841"/>
      </a:accent6>
      <a:hlink>
        <a:srgbClr val="0000FF"/>
      </a:hlink>
      <a:folHlink>
        <a:srgbClr val="80008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990A81C22F8DB43BCB3F602F7DEC8A5" ma:contentTypeVersion="0" ma:contentTypeDescription="Create a new document." ma:contentTypeScope="" ma:versionID="778a7e44bfdc93b3322af7b54e6b7411">
  <xsd:schema xmlns:xsd="http://www.w3.org/2001/XMLSchema" xmlns:p="http://schemas.microsoft.com/office/2006/metadata/properties" targetNamespace="http://schemas.microsoft.com/office/2006/metadata/properties" ma:root="true" ma:fieldsID="4aeb20c0e3442673af7ee1078645876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ma:readOnly="tru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CF41B1-AD49-44CB-B83F-EA37A3EF4B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2.xml><?xml version="1.0" encoding="utf-8"?>
<ds:datastoreItem xmlns:ds="http://schemas.openxmlformats.org/officeDocument/2006/customXml" ds:itemID="{0D840D1B-1A3C-4C7A-B654-4F559B5EA327}">
  <ds:schemaRefs>
    <ds:schemaRef ds:uri="http://schemas.openxmlformats.org/officeDocument/2006/bibliography"/>
  </ds:schemaRefs>
</ds:datastoreItem>
</file>

<file path=customXml/itemProps3.xml><?xml version="1.0" encoding="utf-8"?>
<ds:datastoreItem xmlns:ds="http://schemas.openxmlformats.org/officeDocument/2006/customXml" ds:itemID="{63340691-3B4F-4820-AFA0-EA46171D87E8}">
  <ds:schemaRefs>
    <ds:schemaRef ds:uri="http://schemas.microsoft.com/office/2006/metadata/properties"/>
  </ds:schemaRefs>
</ds:datastoreItem>
</file>

<file path=customXml/itemProps4.xml><?xml version="1.0" encoding="utf-8"?>
<ds:datastoreItem xmlns:ds="http://schemas.openxmlformats.org/officeDocument/2006/customXml" ds:itemID="{39F7F6C4-C6E9-4C1A-9E58-0DED638B82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50</Pages>
  <Words>10882</Words>
  <Characters>71390</Characters>
  <Application>Microsoft Office Word</Application>
  <DocSecurity>0</DocSecurity>
  <Lines>1252</Lines>
  <Paragraphs>367</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81905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User</dc:creator>
  <cp:keywords/>
  <dc:description/>
  <cp:lastModifiedBy>Andreea Balanescu (2211130)</cp:lastModifiedBy>
  <cp:revision>304</cp:revision>
  <cp:lastPrinted>2007-08-23T16:47:00Z</cp:lastPrinted>
  <dcterms:created xsi:type="dcterms:W3CDTF">2025-06-05T08:19:00Z</dcterms:created>
  <dcterms:modified xsi:type="dcterms:W3CDTF">2025-06-10T14:48:00Z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4d3b7019-ee05-4f71-8ec2-dd9c8e9ccc1f</vt:lpwstr>
  </property>
</Properties>
</file>