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3ECD5" w14:textId="367F3CAC" w:rsidR="004723F2" w:rsidRDefault="001A6BF5" w:rsidP="001A6BF5">
      <w:pPr>
        <w:jc w:val="center"/>
        <w:rPr>
          <w:rFonts w:ascii="Calibri" w:hAnsi="Calibri" w:cs="Calibri"/>
          <w:b/>
          <w:bCs/>
        </w:rPr>
      </w:pPr>
      <w:r w:rsidRPr="001A6BF5">
        <w:rPr>
          <w:rFonts w:ascii="Calibri" w:hAnsi="Calibri" w:cs="Calibri"/>
          <w:b/>
          <w:bCs/>
        </w:rPr>
        <w:t xml:space="preserve">The introduction of </w:t>
      </w:r>
      <w:proofErr w:type="spellStart"/>
      <w:r w:rsidRPr="001A6BF5">
        <w:rPr>
          <w:rFonts w:ascii="Calibri" w:hAnsi="Calibri" w:cs="Calibri"/>
          <w:b/>
          <w:bCs/>
        </w:rPr>
        <w:t>Medr</w:t>
      </w:r>
      <w:proofErr w:type="spellEnd"/>
      <w:r w:rsidRPr="001A6BF5">
        <w:rPr>
          <w:rFonts w:ascii="Calibri" w:hAnsi="Calibri" w:cs="Calibri"/>
          <w:b/>
          <w:bCs/>
        </w:rPr>
        <w:t>, the Commission for Tertiary Education and Research in Wales</w:t>
      </w:r>
    </w:p>
    <w:p w14:paraId="1F00C9B9" w14:textId="77777777" w:rsidR="001A6BF5" w:rsidRDefault="001A6BF5" w:rsidP="001A6BF5">
      <w:pPr>
        <w:jc w:val="center"/>
        <w:rPr>
          <w:rFonts w:ascii="Calibri" w:hAnsi="Calibri" w:cs="Calibri"/>
          <w:b/>
          <w:bCs/>
        </w:rPr>
      </w:pPr>
    </w:p>
    <w:p w14:paraId="7428A043" w14:textId="77777777" w:rsidR="001A6BF5" w:rsidRPr="001A6BF5" w:rsidRDefault="001A6BF5" w:rsidP="001A6BF5">
      <w:pPr>
        <w:rPr>
          <w:rFonts w:ascii="Calibri" w:hAnsi="Calibri" w:cs="Calibri"/>
          <w:b/>
          <w:bCs/>
        </w:rPr>
      </w:pPr>
      <w:r w:rsidRPr="001A6BF5">
        <w:rPr>
          <w:rFonts w:ascii="Calibri" w:hAnsi="Calibri" w:cs="Calibri"/>
          <w:b/>
          <w:bCs/>
        </w:rPr>
        <w:t>Outline the context for change</w:t>
      </w:r>
    </w:p>
    <w:p w14:paraId="559914D0" w14:textId="3A079240" w:rsidR="001A6BF5" w:rsidRPr="001A6BF5" w:rsidRDefault="001A6BF5" w:rsidP="001A6BF5">
      <w:pPr>
        <w:rPr>
          <w:rFonts w:ascii="Calibri" w:hAnsi="Calibri" w:cs="Calibri"/>
        </w:rPr>
      </w:pPr>
      <w:r w:rsidRPr="001A6BF5">
        <w:rPr>
          <w:rFonts w:ascii="Calibri" w:hAnsi="Calibri" w:cs="Calibri"/>
        </w:rPr>
        <w:t xml:space="preserve">The tertiary education system in Wales, often referred to as post-compulsory education and training (PCET), covers all structured learning from age 16 onwards. This includes </w:t>
      </w:r>
      <w:r w:rsidR="00DB6B2C">
        <w:rPr>
          <w:rFonts w:ascii="Calibri" w:hAnsi="Calibri" w:cs="Calibri"/>
        </w:rPr>
        <w:t>H</w:t>
      </w:r>
      <w:r w:rsidRPr="001A6BF5">
        <w:rPr>
          <w:rFonts w:ascii="Calibri" w:hAnsi="Calibri" w:cs="Calibri"/>
        </w:rPr>
        <w:t xml:space="preserve">igher </w:t>
      </w:r>
      <w:r w:rsidR="00DB6B2C">
        <w:rPr>
          <w:rFonts w:ascii="Calibri" w:hAnsi="Calibri" w:cs="Calibri"/>
        </w:rPr>
        <w:t>E</w:t>
      </w:r>
      <w:r w:rsidRPr="001A6BF5">
        <w:rPr>
          <w:rFonts w:ascii="Calibri" w:hAnsi="Calibri" w:cs="Calibri"/>
        </w:rPr>
        <w:t xml:space="preserve">ducation </w:t>
      </w:r>
      <w:r w:rsidR="00DB6B2C">
        <w:rPr>
          <w:rFonts w:ascii="Calibri" w:hAnsi="Calibri" w:cs="Calibri"/>
        </w:rPr>
        <w:t xml:space="preserve">(HE) </w:t>
      </w:r>
      <w:r w:rsidRPr="001A6BF5">
        <w:rPr>
          <w:rFonts w:ascii="Calibri" w:hAnsi="Calibri" w:cs="Calibri"/>
        </w:rPr>
        <w:t xml:space="preserve">institutions, </w:t>
      </w:r>
      <w:r w:rsidR="00DB6B2C">
        <w:rPr>
          <w:rFonts w:ascii="Calibri" w:hAnsi="Calibri" w:cs="Calibri"/>
        </w:rPr>
        <w:t>F</w:t>
      </w:r>
      <w:r w:rsidRPr="001A6BF5">
        <w:rPr>
          <w:rFonts w:ascii="Calibri" w:hAnsi="Calibri" w:cs="Calibri"/>
        </w:rPr>
        <w:t xml:space="preserve">urther </w:t>
      </w:r>
      <w:r w:rsidR="00DB6B2C">
        <w:rPr>
          <w:rFonts w:ascii="Calibri" w:hAnsi="Calibri" w:cs="Calibri"/>
        </w:rPr>
        <w:t>E</w:t>
      </w:r>
      <w:r w:rsidRPr="001A6BF5">
        <w:rPr>
          <w:rFonts w:ascii="Calibri" w:hAnsi="Calibri" w:cs="Calibri"/>
        </w:rPr>
        <w:t xml:space="preserve">ducation </w:t>
      </w:r>
      <w:r w:rsidR="00DB6B2C">
        <w:rPr>
          <w:rFonts w:ascii="Calibri" w:hAnsi="Calibri" w:cs="Calibri"/>
        </w:rPr>
        <w:t xml:space="preserve">(FE) </w:t>
      </w:r>
      <w:r w:rsidRPr="001A6BF5">
        <w:rPr>
          <w:rFonts w:ascii="Calibri" w:hAnsi="Calibri" w:cs="Calibri"/>
        </w:rPr>
        <w:t>colleges, apprenticeships and work-based learning, adult community learning, and school sixth forms. For many years, governance of this system felt noticeably fragmented (</w:t>
      </w:r>
      <w:proofErr w:type="spellStart"/>
      <w:r w:rsidRPr="001A6BF5">
        <w:rPr>
          <w:rFonts w:ascii="Calibri" w:hAnsi="Calibri" w:cs="Calibri"/>
        </w:rPr>
        <w:t>Hazelkorn</w:t>
      </w:r>
      <w:proofErr w:type="spellEnd"/>
      <w:r w:rsidRPr="001A6BF5">
        <w:rPr>
          <w:rFonts w:ascii="Calibri" w:hAnsi="Calibri" w:cs="Calibri"/>
        </w:rPr>
        <w:t>, 2016).</w:t>
      </w:r>
    </w:p>
    <w:p w14:paraId="6CC04DBF" w14:textId="140B3ACA" w:rsidR="001A6BF5" w:rsidRPr="001A6BF5" w:rsidRDefault="001A6BF5" w:rsidP="001A6BF5">
      <w:pPr>
        <w:rPr>
          <w:rFonts w:ascii="Calibri" w:hAnsi="Calibri" w:cs="Calibri"/>
        </w:rPr>
      </w:pPr>
      <w:r w:rsidRPr="001A6BF5">
        <w:rPr>
          <w:rFonts w:ascii="Calibri" w:hAnsi="Calibri" w:cs="Calibri"/>
        </w:rPr>
        <w:t>Higher education was funded and regulated by the Higher Education Funding Council for Wales (HEFCW), an arm’s length body operating</w:t>
      </w:r>
      <w:r w:rsidR="00D2072D">
        <w:rPr>
          <w:rFonts w:ascii="Calibri" w:hAnsi="Calibri" w:cs="Calibri"/>
        </w:rPr>
        <w:t xml:space="preserve"> indirectly</w:t>
      </w:r>
      <w:r w:rsidRPr="001A6BF5">
        <w:rPr>
          <w:rFonts w:ascii="Calibri" w:hAnsi="Calibri" w:cs="Calibri"/>
        </w:rPr>
        <w:t xml:space="preserve"> from ministers. In contrast, further education, apprenticeships, work-based learning and adult community learning sat directly under the Welsh Government’s Department for Education and Skills (DfES), particularly its Further Education and Apprenticeships Division. This split created two quite different oversight models running in parallel, each with its own funding rules, quality processes and accountability arrangements (Audit Wales, 2021).</w:t>
      </w:r>
    </w:p>
    <w:p w14:paraId="28737E97" w14:textId="77777777" w:rsidR="001A6BF5" w:rsidRPr="001A6BF5" w:rsidRDefault="001A6BF5" w:rsidP="001A6BF5">
      <w:pPr>
        <w:rPr>
          <w:rFonts w:ascii="Calibri" w:hAnsi="Calibri" w:cs="Calibri"/>
        </w:rPr>
      </w:pPr>
      <w:r w:rsidRPr="001A6BF5">
        <w:rPr>
          <w:rFonts w:ascii="Calibri" w:hAnsi="Calibri" w:cs="Calibri"/>
        </w:rPr>
        <w:t xml:space="preserve">A key moment came with Professor Ellen </w:t>
      </w:r>
      <w:proofErr w:type="spellStart"/>
      <w:r w:rsidRPr="001A6BF5">
        <w:rPr>
          <w:rFonts w:ascii="Calibri" w:hAnsi="Calibri" w:cs="Calibri"/>
        </w:rPr>
        <w:t>Hazelkorn’s</w:t>
      </w:r>
      <w:proofErr w:type="spellEnd"/>
      <w:r w:rsidRPr="001A6BF5">
        <w:rPr>
          <w:rFonts w:ascii="Calibri" w:hAnsi="Calibri" w:cs="Calibri"/>
        </w:rPr>
        <w:t xml:space="preserve"> independent review in 2016. She described a system marked by duplication of effort, weak collaboration between sectors, inconsistent standards and real difficulties for learners trying to move smoothly between further and higher education (</w:t>
      </w:r>
      <w:proofErr w:type="spellStart"/>
      <w:r w:rsidRPr="001A6BF5">
        <w:rPr>
          <w:rFonts w:ascii="Calibri" w:hAnsi="Calibri" w:cs="Calibri"/>
        </w:rPr>
        <w:t>Hazelkorn</w:t>
      </w:r>
      <w:proofErr w:type="spellEnd"/>
      <w:r w:rsidRPr="001A6BF5">
        <w:rPr>
          <w:rFonts w:ascii="Calibri" w:hAnsi="Calibri" w:cs="Calibri"/>
        </w:rPr>
        <w:t xml:space="preserve">, 2016). </w:t>
      </w:r>
      <w:proofErr w:type="spellStart"/>
      <w:r w:rsidRPr="001A6BF5">
        <w:rPr>
          <w:rFonts w:ascii="Calibri" w:hAnsi="Calibri" w:cs="Calibri"/>
        </w:rPr>
        <w:t>Hazelkorn</w:t>
      </w:r>
      <w:proofErr w:type="spellEnd"/>
      <w:r w:rsidRPr="001A6BF5">
        <w:rPr>
          <w:rFonts w:ascii="Calibri" w:hAnsi="Calibri" w:cs="Calibri"/>
        </w:rPr>
        <w:t xml:space="preserve"> argued that Wales was falling behind countries such as Scotland and New Zealand, which had already adopted more unified approaches to post-secondary oversight.</w:t>
      </w:r>
    </w:p>
    <w:p w14:paraId="71CC3767" w14:textId="77777777" w:rsidR="001A6BF5" w:rsidRPr="001A6BF5" w:rsidRDefault="001A6BF5" w:rsidP="001A6BF5">
      <w:pPr>
        <w:rPr>
          <w:rFonts w:ascii="Calibri" w:hAnsi="Calibri" w:cs="Calibri"/>
        </w:rPr>
      </w:pPr>
      <w:r w:rsidRPr="001A6BF5">
        <w:rPr>
          <w:rFonts w:ascii="Calibri" w:hAnsi="Calibri" w:cs="Calibri"/>
        </w:rPr>
        <w:t xml:space="preserve">The main change this assignment focuses on is the establishment of </w:t>
      </w:r>
      <w:proofErr w:type="spellStart"/>
      <w:r w:rsidRPr="001A6BF5">
        <w:rPr>
          <w:rFonts w:ascii="Calibri" w:hAnsi="Calibri" w:cs="Calibri"/>
          <w:b/>
          <w:bCs/>
        </w:rPr>
        <w:t>Medr</w:t>
      </w:r>
      <w:proofErr w:type="spellEnd"/>
      <w:r w:rsidRPr="001A6BF5">
        <w:rPr>
          <w:rFonts w:ascii="Calibri" w:hAnsi="Calibri" w:cs="Calibri"/>
        </w:rPr>
        <w:t xml:space="preserve">, the Commission for Tertiary Education and Research. Created by the Tertiary Education and Research (Wales) Act 2022, </w:t>
      </w:r>
      <w:proofErr w:type="spellStart"/>
      <w:r w:rsidRPr="001A6BF5">
        <w:rPr>
          <w:rFonts w:ascii="Calibri" w:hAnsi="Calibri" w:cs="Calibri"/>
        </w:rPr>
        <w:t>Medr</w:t>
      </w:r>
      <w:proofErr w:type="spellEnd"/>
      <w:r w:rsidRPr="001A6BF5">
        <w:rPr>
          <w:rFonts w:ascii="Calibri" w:hAnsi="Calibri" w:cs="Calibri"/>
        </w:rPr>
        <w:t xml:space="preserve"> became fully operational on 1 August 2024 as a new arm’s length body of the Welsh Government (Welsh Government, 2022). It now brings together strategic oversight, funding, regulation and quality assurance for the entire tertiary sector, replacing HEFCW and taking over functions previously managed directly by the Department for Education and Skills.</w:t>
      </w:r>
    </w:p>
    <w:p w14:paraId="42764E5F" w14:textId="77777777" w:rsidR="001A6BF5" w:rsidRPr="001A6BF5" w:rsidRDefault="001A6BF5" w:rsidP="001A6BF5">
      <w:pPr>
        <w:rPr>
          <w:rFonts w:ascii="Calibri" w:hAnsi="Calibri" w:cs="Calibri"/>
        </w:rPr>
      </w:pPr>
      <w:r w:rsidRPr="001A6BF5">
        <w:rPr>
          <w:rFonts w:ascii="Calibri" w:hAnsi="Calibri" w:cs="Calibri"/>
        </w:rPr>
        <w:t>This reform requires the whole post-16 system to work towards a shared set of objectives. These include widening participation, supporting lifelong learning, strengthening Welsh-medium provision and aligning education and research more closely with economic and social needs — all framed within the Well-being of Future Generations (Wales) Act 2015 (Welsh Government, 2015). In practice, it asks universities, colleges and other providers to see themselves as part of one interconnected system rather than operating largely in isolation.</w:t>
      </w:r>
    </w:p>
    <w:p w14:paraId="4FA97857" w14:textId="69C176D8" w:rsidR="001A6BF5" w:rsidRDefault="001A6BF5" w:rsidP="001A6BF5">
      <w:pPr>
        <w:rPr>
          <w:rFonts w:ascii="Calibri" w:hAnsi="Calibri" w:cs="Calibri"/>
        </w:rPr>
      </w:pPr>
      <w:r w:rsidRPr="001A6BF5">
        <w:rPr>
          <w:rFonts w:ascii="Calibri" w:hAnsi="Calibri" w:cs="Calibri"/>
        </w:rPr>
        <w:t xml:space="preserve">The introduction of </w:t>
      </w:r>
      <w:proofErr w:type="spellStart"/>
      <w:r w:rsidRPr="001A6BF5">
        <w:rPr>
          <w:rFonts w:ascii="Calibri" w:hAnsi="Calibri" w:cs="Calibri"/>
        </w:rPr>
        <w:t>Medr</w:t>
      </w:r>
      <w:proofErr w:type="spellEnd"/>
      <w:r w:rsidRPr="001A6BF5">
        <w:rPr>
          <w:rFonts w:ascii="Calibri" w:hAnsi="Calibri" w:cs="Calibri"/>
        </w:rPr>
        <w:t xml:space="preserve"> therefore marks a significant macro-level system change</w:t>
      </w:r>
      <w:r w:rsidR="00206851">
        <w:rPr>
          <w:rFonts w:ascii="Calibri" w:hAnsi="Calibri" w:cs="Calibri"/>
        </w:rPr>
        <w:t xml:space="preserve"> in Wales</w:t>
      </w:r>
      <w:r w:rsidRPr="001A6BF5">
        <w:rPr>
          <w:rFonts w:ascii="Calibri" w:hAnsi="Calibri" w:cs="Calibri"/>
        </w:rPr>
        <w:t>. It touches almost every aspect of how the sector functions, from governance and funding models to learner pathways, data sharing and cross-sector collaboration. As Senge (1990) suggests, such reforms call for a genuine systems-led approach in which the whole sector is mobilised around common goals.</w:t>
      </w:r>
    </w:p>
    <w:p w14:paraId="45524BF4" w14:textId="77777777" w:rsidR="00256534" w:rsidRDefault="00256534" w:rsidP="001A6BF5">
      <w:pPr>
        <w:rPr>
          <w:rFonts w:ascii="Calibri" w:hAnsi="Calibri" w:cs="Calibri"/>
        </w:rPr>
      </w:pPr>
    </w:p>
    <w:p w14:paraId="785FC79B" w14:textId="77777777" w:rsidR="00256534" w:rsidRDefault="00256534" w:rsidP="001A6BF5">
      <w:pPr>
        <w:rPr>
          <w:rFonts w:ascii="Calibri" w:hAnsi="Calibri" w:cs="Calibri"/>
        </w:rPr>
      </w:pPr>
    </w:p>
    <w:p w14:paraId="6BF14746" w14:textId="77777777" w:rsidR="00F72B87" w:rsidRDefault="00F72B87" w:rsidP="001A6BF5">
      <w:pPr>
        <w:rPr>
          <w:rFonts w:ascii="Calibri" w:hAnsi="Calibri" w:cs="Calibri"/>
        </w:rPr>
      </w:pPr>
    </w:p>
    <w:p w14:paraId="0BA1BD42" w14:textId="77777777" w:rsidR="00256534" w:rsidRPr="001A6BF5" w:rsidRDefault="00256534" w:rsidP="001A6BF5">
      <w:pPr>
        <w:rPr>
          <w:rFonts w:ascii="Calibri" w:hAnsi="Calibri" w:cs="Calibri"/>
        </w:rPr>
      </w:pPr>
    </w:p>
    <w:p w14:paraId="72962A6C" w14:textId="77777777" w:rsidR="000C409F" w:rsidRPr="000C409F" w:rsidRDefault="000C409F" w:rsidP="000C409F">
      <w:pPr>
        <w:rPr>
          <w:rFonts w:ascii="Calibri" w:hAnsi="Calibri" w:cs="Calibri"/>
          <w:b/>
          <w:bCs/>
        </w:rPr>
      </w:pPr>
      <w:r w:rsidRPr="000C409F">
        <w:rPr>
          <w:rFonts w:ascii="Calibri" w:hAnsi="Calibri" w:cs="Calibri"/>
          <w:b/>
          <w:bCs/>
        </w:rPr>
        <w:lastRenderedPageBreak/>
        <w:t>Summarise the main drivers for change</w:t>
      </w:r>
    </w:p>
    <w:p w14:paraId="05E65365" w14:textId="1E07FE78" w:rsidR="000C409F" w:rsidRPr="000C409F" w:rsidRDefault="000C409F" w:rsidP="000C409F">
      <w:pPr>
        <w:rPr>
          <w:rFonts w:ascii="Calibri" w:hAnsi="Calibri" w:cs="Calibri"/>
        </w:rPr>
      </w:pPr>
      <w:r w:rsidRPr="000C409F">
        <w:rPr>
          <w:rFonts w:ascii="Calibri" w:hAnsi="Calibri" w:cs="Calibri"/>
        </w:rPr>
        <w:t xml:space="preserve">The decision to create </w:t>
      </w:r>
      <w:proofErr w:type="spellStart"/>
      <w:r w:rsidRPr="000C409F">
        <w:rPr>
          <w:rFonts w:ascii="Calibri" w:hAnsi="Calibri" w:cs="Calibri"/>
        </w:rPr>
        <w:t>Medr</w:t>
      </w:r>
      <w:proofErr w:type="spellEnd"/>
      <w:r w:rsidRPr="000C409F">
        <w:rPr>
          <w:rFonts w:ascii="Calibri" w:hAnsi="Calibri" w:cs="Calibri"/>
        </w:rPr>
        <w:t xml:space="preserve"> grew out of several overlapping pressures that had developed over time. At the heart of the case for change was the deep structural fragmentation of the tertiary system. With higher education under HEFCW and the rest of post-16 provision managed directly by the Department for Education and Skills, there was too much duplication and too little coordination across sectors (</w:t>
      </w:r>
      <w:proofErr w:type="spellStart"/>
      <w:r w:rsidRPr="000C409F">
        <w:rPr>
          <w:rFonts w:ascii="Calibri" w:hAnsi="Calibri" w:cs="Calibri"/>
        </w:rPr>
        <w:t>Hazelkorn</w:t>
      </w:r>
      <w:proofErr w:type="spellEnd"/>
      <w:r w:rsidRPr="000C409F">
        <w:rPr>
          <w:rFonts w:ascii="Calibri" w:hAnsi="Calibri" w:cs="Calibri"/>
        </w:rPr>
        <w:t>, 2016).</w:t>
      </w:r>
    </w:p>
    <w:p w14:paraId="7019FB5E" w14:textId="03C9F960" w:rsidR="000C409F" w:rsidRPr="000C409F" w:rsidRDefault="000C409F" w:rsidP="000C409F">
      <w:pPr>
        <w:rPr>
          <w:rFonts w:ascii="Calibri" w:hAnsi="Calibri" w:cs="Calibri"/>
        </w:rPr>
      </w:pPr>
      <w:proofErr w:type="spellStart"/>
      <w:r w:rsidRPr="000C409F">
        <w:rPr>
          <w:rFonts w:ascii="Calibri" w:hAnsi="Calibri" w:cs="Calibri"/>
        </w:rPr>
        <w:t>Hazelkorn’s</w:t>
      </w:r>
      <w:proofErr w:type="spellEnd"/>
      <w:r w:rsidRPr="000C409F">
        <w:rPr>
          <w:rFonts w:ascii="Calibri" w:hAnsi="Calibri" w:cs="Calibri"/>
        </w:rPr>
        <w:t xml:space="preserve"> 2016 review brought these weaknesses into sharp focus. She highlighted confusion around roles and responsibilities, lack of coherent learner pathways, inconsistent quality assurance and an overall absence of strategic direction for the post-compulsory sector as a whole. The review made a persuasive argument for a single arm’s length body that could provide unified oversight and stronger strategic leadership across the entire system.</w:t>
      </w:r>
    </w:p>
    <w:p w14:paraId="2FCD2F66" w14:textId="77777777" w:rsidR="000C409F" w:rsidRPr="000C409F" w:rsidRDefault="000C409F" w:rsidP="000C409F">
      <w:pPr>
        <w:rPr>
          <w:rFonts w:ascii="Calibri" w:hAnsi="Calibri" w:cs="Calibri"/>
        </w:rPr>
      </w:pPr>
      <w:r w:rsidRPr="000C409F">
        <w:rPr>
          <w:rFonts w:ascii="Calibri" w:hAnsi="Calibri" w:cs="Calibri"/>
        </w:rPr>
        <w:t xml:space="preserve">These findings fed directly into the Welsh Government’s 2017 consultation paper, </w:t>
      </w:r>
      <w:r w:rsidRPr="000C409F">
        <w:rPr>
          <w:rFonts w:ascii="Calibri" w:hAnsi="Calibri" w:cs="Calibri"/>
          <w:i/>
          <w:iCs/>
        </w:rPr>
        <w:t>Public Good and a Prosperous Wales – Building a Reformed PCET System</w:t>
      </w:r>
      <w:r w:rsidRPr="000C409F">
        <w:rPr>
          <w:rFonts w:ascii="Calibri" w:hAnsi="Calibri" w:cs="Calibri"/>
        </w:rPr>
        <w:t xml:space="preserve">. The document built on </w:t>
      </w:r>
      <w:proofErr w:type="spellStart"/>
      <w:r w:rsidRPr="000C409F">
        <w:rPr>
          <w:rFonts w:ascii="Calibri" w:hAnsi="Calibri" w:cs="Calibri"/>
        </w:rPr>
        <w:t>Hazelkorn’s</w:t>
      </w:r>
      <w:proofErr w:type="spellEnd"/>
      <w:r w:rsidRPr="000C409F">
        <w:rPr>
          <w:rFonts w:ascii="Calibri" w:hAnsi="Calibri" w:cs="Calibri"/>
        </w:rPr>
        <w:t xml:space="preserve"> analysis and set out the case for establishing a new commission for tertiary education and research in order to achieve greater coherence and a clearer focus on public benefit (Welsh Government, 2017). Many stakeholders supported the direction of travel, although some raised understandable questions about the balance between central oversight and institutional autonomy.</w:t>
      </w:r>
    </w:p>
    <w:p w14:paraId="6DA02568" w14:textId="77777777" w:rsidR="000C409F" w:rsidRPr="000C409F" w:rsidRDefault="000C409F" w:rsidP="000C409F">
      <w:pPr>
        <w:rPr>
          <w:rFonts w:ascii="Calibri" w:hAnsi="Calibri" w:cs="Calibri"/>
        </w:rPr>
      </w:pPr>
      <w:r w:rsidRPr="000C409F">
        <w:rPr>
          <w:rFonts w:ascii="Calibri" w:hAnsi="Calibri" w:cs="Calibri"/>
        </w:rPr>
        <w:t xml:space="preserve">Economic and social factors added further weight to the argument for reform. Persistent skills gaps, the impact of Brexit on the labour market and the continuing challenge of widening participation all pointed to the need for a more joined-up approach. Universities </w:t>
      </w:r>
      <w:proofErr w:type="spellStart"/>
      <w:r w:rsidRPr="000C409F">
        <w:rPr>
          <w:rFonts w:ascii="Calibri" w:hAnsi="Calibri" w:cs="Calibri"/>
        </w:rPr>
        <w:t>Wales’</w:t>
      </w:r>
      <w:proofErr w:type="spellEnd"/>
      <w:r w:rsidRPr="000C409F">
        <w:rPr>
          <w:rFonts w:ascii="Calibri" w:hAnsi="Calibri" w:cs="Calibri"/>
        </w:rPr>
        <w:t xml:space="preserve"> analysis of the economic contribution of higher education underlined how a whole-system perspective could help maximise benefits across Wales, including in areas without a university presence (Kelly and McNicoll, 2021).</w:t>
      </w:r>
    </w:p>
    <w:p w14:paraId="33C80051" w14:textId="77777777" w:rsidR="000C409F" w:rsidRPr="000C409F" w:rsidRDefault="000C409F" w:rsidP="000C409F">
      <w:pPr>
        <w:rPr>
          <w:rFonts w:ascii="Calibri" w:hAnsi="Calibri" w:cs="Calibri"/>
        </w:rPr>
      </w:pPr>
      <w:r w:rsidRPr="000C409F">
        <w:rPr>
          <w:rFonts w:ascii="Calibri" w:hAnsi="Calibri" w:cs="Calibri"/>
        </w:rPr>
        <w:t>Alongside these economic drivers, there was a growing emphasis on lifelong learning as a way of addressing under-skilling among working-age adults and supporting broader societal goals. The Wales Centre for Public Policy review highlighted the importance of the new Commission in creating a more integrated lifelong learning system that could respond to both productivity needs and wider social objectives (</w:t>
      </w:r>
      <w:proofErr w:type="spellStart"/>
      <w:r w:rsidRPr="000C409F">
        <w:rPr>
          <w:rFonts w:ascii="Calibri" w:hAnsi="Calibri" w:cs="Calibri"/>
        </w:rPr>
        <w:t>Pember</w:t>
      </w:r>
      <w:proofErr w:type="spellEnd"/>
      <w:r w:rsidRPr="000C409F">
        <w:rPr>
          <w:rFonts w:ascii="Calibri" w:hAnsi="Calibri" w:cs="Calibri"/>
        </w:rPr>
        <w:t xml:space="preserve"> et al., 2021).</w:t>
      </w:r>
    </w:p>
    <w:p w14:paraId="1AC0EEE2" w14:textId="77777777" w:rsidR="000C409F" w:rsidRPr="000C409F" w:rsidRDefault="000C409F" w:rsidP="000C409F">
      <w:pPr>
        <w:rPr>
          <w:rFonts w:ascii="Calibri" w:hAnsi="Calibri" w:cs="Calibri"/>
        </w:rPr>
      </w:pPr>
      <w:r w:rsidRPr="000C409F">
        <w:rPr>
          <w:rFonts w:ascii="Calibri" w:hAnsi="Calibri" w:cs="Calibri"/>
        </w:rPr>
        <w:t>International evidence also helped strengthen the case. Models such as Scotland’s Scottish Funding Council and New Zealand’s Tertiary Education Commission suggested that bringing further and higher education under one strategic body could improve collaboration, reduce inefficiencies and lead to better learner outcomes — although success would depend on careful implementation (Fullan, 2010). At the same time, scholars of system reform have consistently warned that the real challenge lies in balancing stronger central direction with enough flexibility and trust at institutional level (Hargreaves and Shirley, 2009).</w:t>
      </w:r>
    </w:p>
    <w:p w14:paraId="76990434" w14:textId="77777777" w:rsidR="000C409F" w:rsidRDefault="000C409F" w:rsidP="000C409F">
      <w:pPr>
        <w:rPr>
          <w:rFonts w:ascii="Calibri" w:hAnsi="Calibri" w:cs="Calibri"/>
        </w:rPr>
      </w:pPr>
      <w:r w:rsidRPr="000C409F">
        <w:rPr>
          <w:rFonts w:ascii="Calibri" w:hAnsi="Calibri" w:cs="Calibri"/>
        </w:rPr>
        <w:t xml:space="preserve">Taken together, the drivers for </w:t>
      </w:r>
      <w:proofErr w:type="spellStart"/>
      <w:r w:rsidRPr="000C409F">
        <w:rPr>
          <w:rFonts w:ascii="Calibri" w:hAnsi="Calibri" w:cs="Calibri"/>
        </w:rPr>
        <w:t>Medr</w:t>
      </w:r>
      <w:proofErr w:type="spellEnd"/>
      <w:r w:rsidRPr="000C409F">
        <w:rPr>
          <w:rFonts w:ascii="Calibri" w:hAnsi="Calibri" w:cs="Calibri"/>
        </w:rPr>
        <w:t xml:space="preserve"> reflected both long-standing structural problems and more recent economic and social pressures facing Wales. The pre-2022 evidence base — particularly </w:t>
      </w:r>
      <w:proofErr w:type="spellStart"/>
      <w:r w:rsidRPr="000C409F">
        <w:rPr>
          <w:rFonts w:ascii="Calibri" w:hAnsi="Calibri" w:cs="Calibri"/>
        </w:rPr>
        <w:t>Hazelkorn’s</w:t>
      </w:r>
      <w:proofErr w:type="spellEnd"/>
      <w:r w:rsidRPr="000C409F">
        <w:rPr>
          <w:rFonts w:ascii="Calibri" w:hAnsi="Calibri" w:cs="Calibri"/>
        </w:rPr>
        <w:t xml:space="preserve"> review, the 2017 consultation, and supporting analyses from Audit Wales, the Wales Centre for Public Policy and Universities Wales — provided a clear and well-documented rationale for moving away from a divided system towards one that could operate, and be led, as a more coherent whole.</w:t>
      </w:r>
    </w:p>
    <w:p w14:paraId="58636969" w14:textId="77777777" w:rsidR="00256534" w:rsidRDefault="00256534" w:rsidP="000C409F">
      <w:pPr>
        <w:rPr>
          <w:rFonts w:ascii="Calibri" w:hAnsi="Calibri" w:cs="Calibri"/>
        </w:rPr>
      </w:pPr>
    </w:p>
    <w:p w14:paraId="53DACC01" w14:textId="77777777" w:rsidR="00256534" w:rsidRPr="000C409F" w:rsidRDefault="00256534" w:rsidP="000C409F">
      <w:pPr>
        <w:rPr>
          <w:rFonts w:ascii="Calibri" w:hAnsi="Calibri" w:cs="Calibri"/>
        </w:rPr>
      </w:pPr>
    </w:p>
    <w:p w14:paraId="7419A028" w14:textId="77777777" w:rsidR="00256534" w:rsidRPr="00256534" w:rsidRDefault="00256534" w:rsidP="00256534">
      <w:pPr>
        <w:rPr>
          <w:rFonts w:ascii="Calibri" w:hAnsi="Calibri" w:cs="Calibri"/>
          <w:b/>
          <w:bCs/>
        </w:rPr>
      </w:pPr>
      <w:r w:rsidRPr="00256534">
        <w:rPr>
          <w:rFonts w:ascii="Calibri" w:hAnsi="Calibri" w:cs="Calibri"/>
          <w:b/>
          <w:bCs/>
        </w:rPr>
        <w:lastRenderedPageBreak/>
        <w:t>Outline the role of system leaders - key players, core expectations, actions</w:t>
      </w:r>
    </w:p>
    <w:p w14:paraId="16220CC1" w14:textId="03114FBC" w:rsidR="00256534" w:rsidRPr="00256534" w:rsidRDefault="00256534" w:rsidP="00256534">
      <w:pPr>
        <w:rPr>
          <w:rFonts w:ascii="Calibri" w:hAnsi="Calibri" w:cs="Calibri"/>
        </w:rPr>
      </w:pPr>
      <w:r w:rsidRPr="00256534">
        <w:rPr>
          <w:rFonts w:ascii="Calibri" w:hAnsi="Calibri" w:cs="Calibri"/>
        </w:rPr>
        <w:t xml:space="preserve">System leaders have been central to the introduction of </w:t>
      </w:r>
      <w:proofErr w:type="spellStart"/>
      <w:r w:rsidRPr="00256534">
        <w:rPr>
          <w:rFonts w:ascii="Calibri" w:hAnsi="Calibri" w:cs="Calibri"/>
        </w:rPr>
        <w:t>Medr</w:t>
      </w:r>
      <w:proofErr w:type="spellEnd"/>
      <w:r w:rsidRPr="00256534">
        <w:rPr>
          <w:rFonts w:ascii="Calibri" w:hAnsi="Calibri" w:cs="Calibri"/>
        </w:rPr>
        <w:t xml:space="preserve">, operating at national, organisational and institutional levels. At the highest level, the Welsh Government’s Cabinet Secretary for Education and senior civil servants within the Department for Education and Skills set the overall direction. Their role was to champion the legislation, secure cross-party support and establish the strategic framework that </w:t>
      </w:r>
      <w:proofErr w:type="spellStart"/>
      <w:r w:rsidRPr="00256534">
        <w:rPr>
          <w:rFonts w:ascii="Calibri" w:hAnsi="Calibri" w:cs="Calibri"/>
        </w:rPr>
        <w:t>Medr</w:t>
      </w:r>
      <w:proofErr w:type="spellEnd"/>
      <w:r w:rsidRPr="00256534">
        <w:rPr>
          <w:rFonts w:ascii="Calibri" w:hAnsi="Calibri" w:cs="Calibri"/>
        </w:rPr>
        <w:t xml:space="preserve"> would work within. In practice this meant translating the ambitions of the Tertiary Education and Research (Wales) Act 2022 into clear </w:t>
      </w:r>
      <w:r w:rsidR="00C87198">
        <w:rPr>
          <w:rFonts w:ascii="Calibri" w:hAnsi="Calibri" w:cs="Calibri"/>
        </w:rPr>
        <w:t xml:space="preserve">and solid </w:t>
      </w:r>
      <w:r w:rsidRPr="00256534">
        <w:rPr>
          <w:rFonts w:ascii="Calibri" w:hAnsi="Calibri" w:cs="Calibri"/>
        </w:rPr>
        <w:t>expectations around coherence, equity and lifelong learning (Welsh Government, 2022).</w:t>
      </w:r>
    </w:p>
    <w:p w14:paraId="33500315" w14:textId="7C069350" w:rsidR="00256534" w:rsidRPr="00256534" w:rsidRDefault="00256534" w:rsidP="00256534">
      <w:pPr>
        <w:rPr>
          <w:rFonts w:ascii="Calibri" w:hAnsi="Calibri" w:cs="Calibri"/>
        </w:rPr>
      </w:pPr>
      <w:r w:rsidRPr="00256534">
        <w:rPr>
          <w:rFonts w:ascii="Calibri" w:hAnsi="Calibri" w:cs="Calibri"/>
        </w:rPr>
        <w:t xml:space="preserve">Once </w:t>
      </w:r>
      <w:proofErr w:type="spellStart"/>
      <w:r w:rsidRPr="00256534">
        <w:rPr>
          <w:rFonts w:ascii="Calibri" w:hAnsi="Calibri" w:cs="Calibri"/>
        </w:rPr>
        <w:t>Medr</w:t>
      </w:r>
      <w:proofErr w:type="spellEnd"/>
      <w:r w:rsidRPr="00256534">
        <w:rPr>
          <w:rFonts w:ascii="Calibri" w:hAnsi="Calibri" w:cs="Calibri"/>
        </w:rPr>
        <w:t xml:space="preserve"> became operational in August 2024, its own board and executive team took on the role of central system leaders. Chaired by Professor Dame Julie Lydon, the board is responsible for strategic planning, risk-based regulation, funding decisions and performance monitoring across the entire tertiary sector. The Chief Executive and senior staff have had to balance the need for robust oversight with sufficient flexibility for providers. Their core expectation is to create a single, </w:t>
      </w:r>
      <w:r w:rsidR="00C87198">
        <w:rPr>
          <w:rFonts w:ascii="Calibri" w:hAnsi="Calibri" w:cs="Calibri"/>
        </w:rPr>
        <w:t>interconnected</w:t>
      </w:r>
      <w:r w:rsidRPr="00256534">
        <w:rPr>
          <w:rFonts w:ascii="Calibri" w:hAnsi="Calibri" w:cs="Calibri"/>
        </w:rPr>
        <w:t xml:space="preserve"> system that replaces the previous split between HEFCW and direct departmental control. In doing so they must demonstrate the kind of adaptive, evidence-informed leadership that Fullan (2010) describes as essential when systems are being realigned.</w:t>
      </w:r>
    </w:p>
    <w:p w14:paraId="1F931499" w14:textId="55A9B3B0" w:rsidR="00256534" w:rsidRPr="00256534" w:rsidRDefault="00256534" w:rsidP="00256534">
      <w:pPr>
        <w:rPr>
          <w:rFonts w:ascii="Calibri" w:hAnsi="Calibri" w:cs="Calibri"/>
        </w:rPr>
      </w:pPr>
      <w:r w:rsidRPr="00256534">
        <w:rPr>
          <w:rFonts w:ascii="Calibri" w:hAnsi="Calibri" w:cs="Calibri"/>
        </w:rPr>
        <w:t>At institutional level, leaders such as university vice-chancellors and further education college principals have become crucial system leaders in their own right. They are expected not only to manage their own organisations but to collaborate across traditional boundaries</w:t>
      </w:r>
      <w:r w:rsidR="00C87198">
        <w:rPr>
          <w:rFonts w:ascii="Calibri" w:hAnsi="Calibri" w:cs="Calibri"/>
        </w:rPr>
        <w:t>,</w:t>
      </w:r>
      <w:r w:rsidRPr="00256534">
        <w:rPr>
          <w:rFonts w:ascii="Calibri" w:hAnsi="Calibri" w:cs="Calibri"/>
        </w:rPr>
        <w:t xml:space="preserve"> for example, by aligning apprenticeship frameworks with higher education pathways or contributing to </w:t>
      </w:r>
      <w:proofErr w:type="spellStart"/>
      <w:r w:rsidRPr="00256534">
        <w:rPr>
          <w:rFonts w:ascii="Calibri" w:hAnsi="Calibri" w:cs="Calibri"/>
        </w:rPr>
        <w:t>Medr’s</w:t>
      </w:r>
      <w:proofErr w:type="spellEnd"/>
      <w:r w:rsidRPr="00256534">
        <w:rPr>
          <w:rFonts w:ascii="Calibri" w:hAnsi="Calibri" w:cs="Calibri"/>
        </w:rPr>
        <w:t xml:space="preserve"> consultations on registration conditions. This distributed form of leadership requires them to </w:t>
      </w:r>
      <w:r w:rsidR="00C87198">
        <w:rPr>
          <w:rFonts w:ascii="Calibri" w:hAnsi="Calibri" w:cs="Calibri"/>
        </w:rPr>
        <w:t>look</w:t>
      </w:r>
      <w:r w:rsidRPr="00256534">
        <w:rPr>
          <w:rFonts w:ascii="Calibri" w:hAnsi="Calibri" w:cs="Calibri"/>
        </w:rPr>
        <w:t xml:space="preserve"> beyond their own institutions and </w:t>
      </w:r>
      <w:r w:rsidR="00C87198">
        <w:rPr>
          <w:rFonts w:ascii="Calibri" w:hAnsi="Calibri" w:cs="Calibri"/>
        </w:rPr>
        <w:t>allow a greater perspective</w:t>
      </w:r>
      <w:r w:rsidRPr="00256534">
        <w:rPr>
          <w:rFonts w:ascii="Calibri" w:hAnsi="Calibri" w:cs="Calibri"/>
        </w:rPr>
        <w:t xml:space="preserve"> of the whole tertiary system (</w:t>
      </w:r>
      <w:proofErr w:type="spellStart"/>
      <w:r w:rsidRPr="00256534">
        <w:rPr>
          <w:rFonts w:ascii="Calibri" w:hAnsi="Calibri" w:cs="Calibri"/>
        </w:rPr>
        <w:t>Hazelkorn</w:t>
      </w:r>
      <w:proofErr w:type="spellEnd"/>
      <w:r w:rsidRPr="00256534">
        <w:rPr>
          <w:rFonts w:ascii="Calibri" w:hAnsi="Calibri" w:cs="Calibri"/>
        </w:rPr>
        <w:t>, 2016).</w:t>
      </w:r>
    </w:p>
    <w:p w14:paraId="6889EE7F" w14:textId="5D83B904" w:rsidR="00256534" w:rsidRPr="00256534" w:rsidRDefault="00256534" w:rsidP="00256534">
      <w:pPr>
        <w:rPr>
          <w:rFonts w:ascii="Calibri" w:hAnsi="Calibri" w:cs="Calibri"/>
        </w:rPr>
      </w:pPr>
      <w:r w:rsidRPr="00256534">
        <w:rPr>
          <w:rFonts w:ascii="Calibri" w:hAnsi="Calibri" w:cs="Calibri"/>
        </w:rPr>
        <w:t>The specific skills these leaders need</w:t>
      </w:r>
      <w:r w:rsidR="0061269E">
        <w:rPr>
          <w:rFonts w:ascii="Calibri" w:hAnsi="Calibri" w:cs="Calibri"/>
        </w:rPr>
        <w:t>,</w:t>
      </w:r>
      <w:r w:rsidRPr="00256534">
        <w:rPr>
          <w:rFonts w:ascii="Calibri" w:hAnsi="Calibri" w:cs="Calibri"/>
        </w:rPr>
        <w:t xml:space="preserve"> have been well documented in the further and higher education literature. Jameson and </w:t>
      </w:r>
      <w:proofErr w:type="spellStart"/>
      <w:r w:rsidRPr="00256534">
        <w:rPr>
          <w:rFonts w:ascii="Calibri" w:hAnsi="Calibri" w:cs="Calibri"/>
        </w:rPr>
        <w:t>McNay</w:t>
      </w:r>
      <w:proofErr w:type="spellEnd"/>
      <w:r w:rsidRPr="00256534">
        <w:rPr>
          <w:rFonts w:ascii="Calibri" w:hAnsi="Calibri" w:cs="Calibri"/>
        </w:rPr>
        <w:t xml:space="preserve"> (2007), in their </w:t>
      </w:r>
      <w:r w:rsidRPr="00256534">
        <w:rPr>
          <w:rFonts w:ascii="Calibri" w:hAnsi="Calibri" w:cs="Calibri"/>
          <w:i/>
          <w:iCs/>
        </w:rPr>
        <w:t>Ultimate FE Leadership and Management Handbook</w:t>
      </w:r>
      <w:r w:rsidRPr="00256534">
        <w:rPr>
          <w:rFonts w:ascii="Calibri" w:hAnsi="Calibri" w:cs="Calibri"/>
        </w:rPr>
        <w:t xml:space="preserve">, emphasise the importance of practical, day-to-day leadership that keeps a clear focus on quality, staff development and organisational improvement while navigating external policy pressures. Many FE principals </w:t>
      </w:r>
      <w:r w:rsidR="0061269E">
        <w:rPr>
          <w:rFonts w:ascii="Calibri" w:hAnsi="Calibri" w:cs="Calibri"/>
        </w:rPr>
        <w:t>may</w:t>
      </w:r>
      <w:r w:rsidRPr="00256534">
        <w:rPr>
          <w:rFonts w:ascii="Calibri" w:hAnsi="Calibri" w:cs="Calibri"/>
        </w:rPr>
        <w:t xml:space="preserve"> have drawn on this kind of guidance when trying to balance </w:t>
      </w:r>
      <w:proofErr w:type="spellStart"/>
      <w:r w:rsidRPr="00256534">
        <w:rPr>
          <w:rFonts w:ascii="Calibri" w:hAnsi="Calibri" w:cs="Calibri"/>
        </w:rPr>
        <w:t>Medr’s</w:t>
      </w:r>
      <w:proofErr w:type="spellEnd"/>
      <w:r w:rsidRPr="00256534">
        <w:rPr>
          <w:rFonts w:ascii="Calibri" w:hAnsi="Calibri" w:cs="Calibri"/>
        </w:rPr>
        <w:t xml:space="preserve"> new regulatory demands with the need to protect staff morale and institutional identity</w:t>
      </w:r>
      <w:r w:rsidR="0061269E">
        <w:rPr>
          <w:rFonts w:ascii="Calibri" w:hAnsi="Calibri" w:cs="Calibri"/>
        </w:rPr>
        <w:t xml:space="preserve"> due to </w:t>
      </w:r>
      <w:r w:rsidR="0061269E" w:rsidRPr="0061269E">
        <w:rPr>
          <w:rFonts w:ascii="Calibri" w:hAnsi="Calibri" w:cs="Calibri"/>
        </w:rPr>
        <w:t>new registration categories and reporting requirements</w:t>
      </w:r>
      <w:r w:rsidRPr="00256534">
        <w:rPr>
          <w:rFonts w:ascii="Calibri" w:hAnsi="Calibri" w:cs="Calibri"/>
        </w:rPr>
        <w:t>.</w:t>
      </w:r>
      <w:r w:rsidR="0061269E">
        <w:rPr>
          <w:rFonts w:ascii="Calibri" w:hAnsi="Calibri" w:cs="Calibri"/>
        </w:rPr>
        <w:t xml:space="preserve"> </w:t>
      </w:r>
    </w:p>
    <w:p w14:paraId="43A92638" w14:textId="4CDE66DE" w:rsidR="0069122D" w:rsidRPr="0069122D" w:rsidRDefault="00256534" w:rsidP="0069122D">
      <w:pPr>
        <w:rPr>
          <w:rFonts w:ascii="Calibri" w:hAnsi="Calibri" w:cs="Calibri"/>
        </w:rPr>
      </w:pPr>
      <w:r w:rsidRPr="00256534">
        <w:rPr>
          <w:rFonts w:ascii="Calibri" w:hAnsi="Calibri" w:cs="Calibri"/>
        </w:rPr>
        <w:t xml:space="preserve">Quality assurance has become another key area of responsibility. Gravells (2016) provides a detailed framework for both internal and external quality assurers in the FE and skills sector. System leaders at </w:t>
      </w:r>
      <w:proofErr w:type="spellStart"/>
      <w:r w:rsidRPr="00256534">
        <w:rPr>
          <w:rFonts w:ascii="Calibri" w:hAnsi="Calibri" w:cs="Calibri"/>
        </w:rPr>
        <w:t>Medr</w:t>
      </w:r>
      <w:proofErr w:type="spellEnd"/>
      <w:r w:rsidRPr="00256534">
        <w:rPr>
          <w:rFonts w:ascii="Calibri" w:hAnsi="Calibri" w:cs="Calibri"/>
        </w:rPr>
        <w:t xml:space="preserve"> and within institutions are now expected to apply these principles consistently across what were previously separate sectors. This includes developing shared standards, monitoring processes and mechanisms for continuous improvement. In the </w:t>
      </w:r>
      <w:proofErr w:type="spellStart"/>
      <w:r w:rsidRPr="00256534">
        <w:rPr>
          <w:rFonts w:ascii="Calibri" w:hAnsi="Calibri" w:cs="Calibri"/>
        </w:rPr>
        <w:t>Medr</w:t>
      </w:r>
      <w:proofErr w:type="spellEnd"/>
      <w:r w:rsidRPr="00256534">
        <w:rPr>
          <w:rFonts w:ascii="Calibri" w:hAnsi="Calibri" w:cs="Calibri"/>
        </w:rPr>
        <w:t xml:space="preserve"> context, </w:t>
      </w:r>
      <w:r w:rsidR="0069122D" w:rsidRPr="0069122D">
        <w:rPr>
          <w:rFonts w:ascii="Calibri" w:hAnsi="Calibri" w:cs="Calibri"/>
        </w:rPr>
        <w:t xml:space="preserve">leaders at both national and institutional level are using these principles to develop shared approaches to quality that bridge further and higher education. </w:t>
      </w:r>
      <w:r w:rsidR="00B7058A" w:rsidRPr="00B7058A">
        <w:rPr>
          <w:rFonts w:ascii="Calibri" w:hAnsi="Calibri" w:cs="Calibri"/>
        </w:rPr>
        <w:t>Beyond mere compliance, this is about building a culture where quality enhancement supports better learner experiences across the system.</w:t>
      </w:r>
    </w:p>
    <w:p w14:paraId="300E96E0" w14:textId="4B2C17F2" w:rsidR="00256534" w:rsidRPr="00256534" w:rsidRDefault="00256534" w:rsidP="00256534">
      <w:pPr>
        <w:rPr>
          <w:rFonts w:ascii="Calibri" w:hAnsi="Calibri" w:cs="Calibri"/>
        </w:rPr>
      </w:pPr>
      <w:r w:rsidRPr="00256534">
        <w:rPr>
          <w:rFonts w:ascii="Calibri" w:hAnsi="Calibri" w:cs="Calibri"/>
        </w:rPr>
        <w:t xml:space="preserve">Equally important is the management of teaching and learning itself. Ashcroft and Foreman-Peck (1994) argue that effective leaders in further and higher education must pay close attention to the two-way processes of curriculum design, assessment and learner support. In the new system this skill is being stretched across the FE–HE </w:t>
      </w:r>
      <w:proofErr w:type="gramStart"/>
      <w:r w:rsidRPr="00256534">
        <w:rPr>
          <w:rFonts w:ascii="Calibri" w:hAnsi="Calibri" w:cs="Calibri"/>
        </w:rPr>
        <w:t>divide</w:t>
      </w:r>
      <w:proofErr w:type="gramEnd"/>
      <w:r w:rsidRPr="00256534">
        <w:rPr>
          <w:rFonts w:ascii="Calibri" w:hAnsi="Calibri" w:cs="Calibri"/>
        </w:rPr>
        <w:t>. Leaders are expected to encourage staff to develop flexible pedagogies and assessment approaches that support seamless learner progression — something that was far more difficult under the old fragmented arrangements.</w:t>
      </w:r>
    </w:p>
    <w:p w14:paraId="1D14F5A7" w14:textId="03144A48" w:rsidR="005E339C" w:rsidRPr="005E339C" w:rsidRDefault="00256534" w:rsidP="005E339C">
      <w:pPr>
        <w:rPr>
          <w:rFonts w:ascii="Calibri" w:hAnsi="Calibri" w:cs="Calibri"/>
        </w:rPr>
      </w:pPr>
      <w:r w:rsidRPr="00256534">
        <w:rPr>
          <w:rFonts w:ascii="Calibri" w:hAnsi="Calibri" w:cs="Calibri"/>
        </w:rPr>
        <w:lastRenderedPageBreak/>
        <w:t xml:space="preserve">An international case study helps to illustrate what effective system leadership can look like in practice. </w:t>
      </w:r>
      <w:r w:rsidR="005E339C" w:rsidRPr="005E339C">
        <w:rPr>
          <w:rFonts w:ascii="Calibri" w:hAnsi="Calibri" w:cs="Calibri"/>
        </w:rPr>
        <w:t xml:space="preserve">When New Zealand established its Tertiary Education Commission (TEC) in 2003, system leaders faced similar challenges of integrating vocational and higher education. The OECD’s 2008 review of New Zealand’s tertiary system highlighted the TEC’s leadership in governance, steering and planning, particularly the way leaders negotiated charters and profiles that aligned national priorities with institutional diversity while preserving a high degree of autonomy (OECD, 2008). This approach involved extensive stakeholder engagement, adaptive planning and coalition-building — skills that Boston (2010) and Fullan (2010) also identify as critical in successful system-wide reform. Welsh leaders appear to be adopting comparable approaches through </w:t>
      </w:r>
      <w:proofErr w:type="spellStart"/>
      <w:r w:rsidR="005E339C" w:rsidRPr="005E339C">
        <w:rPr>
          <w:rFonts w:ascii="Calibri" w:hAnsi="Calibri" w:cs="Calibri"/>
        </w:rPr>
        <w:t>Medr’s</w:t>
      </w:r>
      <w:proofErr w:type="spellEnd"/>
      <w:r w:rsidR="005E339C" w:rsidRPr="005E339C">
        <w:rPr>
          <w:rFonts w:ascii="Calibri" w:hAnsi="Calibri" w:cs="Calibri"/>
        </w:rPr>
        <w:t xml:space="preserve"> extensive consultation processes on the Strategic Plan and regulatory framework.</w:t>
      </w:r>
    </w:p>
    <w:p w14:paraId="489B5970" w14:textId="67F47F88" w:rsidR="00256534" w:rsidRPr="00256534" w:rsidRDefault="0004401D" w:rsidP="00256534">
      <w:pPr>
        <w:rPr>
          <w:rFonts w:ascii="Calibri" w:hAnsi="Calibri" w:cs="Calibri"/>
        </w:rPr>
      </w:pPr>
      <w:r w:rsidRPr="0004401D">
        <w:rPr>
          <w:rFonts w:ascii="Calibri" w:hAnsi="Calibri" w:cs="Calibri"/>
        </w:rPr>
        <w:t xml:space="preserve">In practice, the skills needed by system leaders in </w:t>
      </w:r>
      <w:proofErr w:type="spellStart"/>
      <w:r w:rsidRPr="0004401D">
        <w:rPr>
          <w:rFonts w:ascii="Calibri" w:hAnsi="Calibri" w:cs="Calibri"/>
        </w:rPr>
        <w:t>Medr</w:t>
      </w:r>
      <w:proofErr w:type="spellEnd"/>
      <w:r w:rsidRPr="0004401D">
        <w:rPr>
          <w:rFonts w:ascii="Calibri" w:hAnsi="Calibri" w:cs="Calibri"/>
        </w:rPr>
        <w:t xml:space="preserve"> go beyond traditional management. They include strategic foresight to anticipate economic and social needs, the ability to build trust across sectors, and resilience when dealing with funding constraints and institutional anxieties. Hargreaves and Shirley (2009) </w:t>
      </w:r>
      <w:r>
        <w:rPr>
          <w:rFonts w:ascii="Calibri" w:hAnsi="Calibri" w:cs="Calibri"/>
        </w:rPr>
        <w:t>noted</w:t>
      </w:r>
      <w:r w:rsidRPr="0004401D">
        <w:rPr>
          <w:rFonts w:ascii="Calibri" w:hAnsi="Calibri" w:cs="Calibri"/>
        </w:rPr>
        <w:t xml:space="preserve"> that successful system change depends on leadership that is distributed rather than top-down. In Wales this can be seen in the way </w:t>
      </w:r>
      <w:proofErr w:type="spellStart"/>
      <w:r w:rsidRPr="0004401D">
        <w:rPr>
          <w:rFonts w:ascii="Calibri" w:hAnsi="Calibri" w:cs="Calibri"/>
        </w:rPr>
        <w:t>Medr</w:t>
      </w:r>
      <w:proofErr w:type="spellEnd"/>
      <w:r w:rsidRPr="0004401D">
        <w:rPr>
          <w:rFonts w:ascii="Calibri" w:hAnsi="Calibri" w:cs="Calibri"/>
        </w:rPr>
        <w:t xml:space="preserve"> has involved providers in shaping priorities while still maintaining clear strategic direction from </w:t>
      </w:r>
      <w:r>
        <w:rPr>
          <w:rFonts w:ascii="Calibri" w:hAnsi="Calibri" w:cs="Calibri"/>
        </w:rPr>
        <w:t>its</w:t>
      </w:r>
      <w:r w:rsidRPr="0004401D">
        <w:rPr>
          <w:rFonts w:ascii="Calibri" w:hAnsi="Calibri" w:cs="Calibri"/>
        </w:rPr>
        <w:t xml:space="preserve"> centre.</w:t>
      </w:r>
      <w:r>
        <w:rPr>
          <w:rFonts w:ascii="Calibri" w:hAnsi="Calibri" w:cs="Calibri"/>
        </w:rPr>
        <w:t xml:space="preserve"> </w:t>
      </w:r>
      <w:r w:rsidR="00256534" w:rsidRPr="00256534">
        <w:rPr>
          <w:rFonts w:ascii="Calibri" w:hAnsi="Calibri" w:cs="Calibri"/>
        </w:rPr>
        <w:t xml:space="preserve">Nevertheless, the early signs suggest that system leaders who can combine the practical wisdom found in Jameson and </w:t>
      </w:r>
      <w:proofErr w:type="spellStart"/>
      <w:r w:rsidR="00256534" w:rsidRPr="00256534">
        <w:rPr>
          <w:rFonts w:ascii="Calibri" w:hAnsi="Calibri" w:cs="Calibri"/>
        </w:rPr>
        <w:t>McNay</w:t>
      </w:r>
      <w:proofErr w:type="spellEnd"/>
      <w:r w:rsidR="00256534" w:rsidRPr="00256534">
        <w:rPr>
          <w:rFonts w:ascii="Calibri" w:hAnsi="Calibri" w:cs="Calibri"/>
        </w:rPr>
        <w:t>, the quality discipline set out by Gravells, and the learner-focused insight of Ashcroft and Foreman-Peck are better placed to make the reform work</w:t>
      </w:r>
      <w:r>
        <w:rPr>
          <w:rFonts w:ascii="Calibri" w:hAnsi="Calibri" w:cs="Calibri"/>
        </w:rPr>
        <w:t xml:space="preserve"> through openness to change</w:t>
      </w:r>
      <w:r w:rsidR="00256534" w:rsidRPr="00256534">
        <w:rPr>
          <w:rFonts w:ascii="Calibri" w:hAnsi="Calibri" w:cs="Calibri"/>
        </w:rPr>
        <w:t>.</w:t>
      </w:r>
    </w:p>
    <w:p w14:paraId="0AC2F61B" w14:textId="6AFF211D" w:rsidR="00256534" w:rsidRPr="00256534" w:rsidRDefault="00256534" w:rsidP="00256534">
      <w:pPr>
        <w:rPr>
          <w:rFonts w:ascii="Calibri" w:hAnsi="Calibri" w:cs="Calibri"/>
        </w:rPr>
      </w:pPr>
      <w:r w:rsidRPr="00256534">
        <w:rPr>
          <w:rFonts w:ascii="Calibri" w:hAnsi="Calibri" w:cs="Calibri"/>
        </w:rPr>
        <w:t xml:space="preserve">In summary, the introduction of </w:t>
      </w:r>
      <w:proofErr w:type="spellStart"/>
      <w:r w:rsidRPr="00256534">
        <w:rPr>
          <w:rFonts w:ascii="Calibri" w:hAnsi="Calibri" w:cs="Calibri"/>
        </w:rPr>
        <w:t>Medr</w:t>
      </w:r>
      <w:proofErr w:type="spellEnd"/>
      <w:r w:rsidRPr="00256534">
        <w:rPr>
          <w:rFonts w:ascii="Calibri" w:hAnsi="Calibri" w:cs="Calibri"/>
        </w:rPr>
        <w:t xml:space="preserve"> has redefined what it means to be a system leader in Welsh tertiary education. The key players</w:t>
      </w:r>
      <w:r w:rsidR="00CB46EE">
        <w:rPr>
          <w:rFonts w:ascii="Calibri" w:hAnsi="Calibri" w:cs="Calibri"/>
        </w:rPr>
        <w:t>, including</w:t>
      </w:r>
      <w:r w:rsidRPr="00256534">
        <w:rPr>
          <w:rFonts w:ascii="Calibri" w:hAnsi="Calibri" w:cs="Calibri"/>
        </w:rPr>
        <w:t xml:space="preserve"> ministers, </w:t>
      </w:r>
      <w:proofErr w:type="spellStart"/>
      <w:r w:rsidRPr="00256534">
        <w:rPr>
          <w:rFonts w:ascii="Calibri" w:hAnsi="Calibri" w:cs="Calibri"/>
        </w:rPr>
        <w:t>Medr’s</w:t>
      </w:r>
      <w:proofErr w:type="spellEnd"/>
      <w:r w:rsidRPr="00256534">
        <w:rPr>
          <w:rFonts w:ascii="Calibri" w:hAnsi="Calibri" w:cs="Calibri"/>
        </w:rPr>
        <w:t xml:space="preserve"> board and executive, and institutional heads</w:t>
      </w:r>
      <w:r w:rsidR="00CB46EE">
        <w:rPr>
          <w:rFonts w:ascii="Calibri" w:hAnsi="Calibri" w:cs="Calibri"/>
        </w:rPr>
        <w:t>,</w:t>
      </w:r>
      <w:r w:rsidRPr="00256534">
        <w:rPr>
          <w:rFonts w:ascii="Calibri" w:hAnsi="Calibri" w:cs="Calibri"/>
        </w:rPr>
        <w:t xml:space="preserve"> carry clear expectations around strategic coherence, quality and collaboration. The skills required are both technical and relational, and the international evidence shows that success depends on leaders who can think holistically while still supporting the people and organisations on the ground. How well these roles are performed will, to a large extent, determine whether </w:t>
      </w:r>
      <w:proofErr w:type="spellStart"/>
      <w:r w:rsidRPr="00256534">
        <w:rPr>
          <w:rFonts w:ascii="Calibri" w:hAnsi="Calibri" w:cs="Calibri"/>
        </w:rPr>
        <w:t>Medr</w:t>
      </w:r>
      <w:proofErr w:type="spellEnd"/>
      <w:r w:rsidRPr="00256534">
        <w:rPr>
          <w:rFonts w:ascii="Calibri" w:hAnsi="Calibri" w:cs="Calibri"/>
        </w:rPr>
        <w:t xml:space="preserve"> delivers the step-change in tertiary education that </w:t>
      </w:r>
      <w:proofErr w:type="spellStart"/>
      <w:r w:rsidRPr="00256534">
        <w:rPr>
          <w:rFonts w:ascii="Calibri" w:hAnsi="Calibri" w:cs="Calibri"/>
        </w:rPr>
        <w:t>Hazelkorn</w:t>
      </w:r>
      <w:proofErr w:type="spellEnd"/>
      <w:r w:rsidRPr="00256534">
        <w:rPr>
          <w:rFonts w:ascii="Calibri" w:hAnsi="Calibri" w:cs="Calibri"/>
        </w:rPr>
        <w:t xml:space="preserve"> first envisaged.</w:t>
      </w:r>
    </w:p>
    <w:p w14:paraId="024217BB" w14:textId="77777777" w:rsidR="006C373D" w:rsidRPr="006C373D" w:rsidRDefault="006C373D" w:rsidP="006C373D">
      <w:pPr>
        <w:rPr>
          <w:rFonts w:ascii="Calibri" w:hAnsi="Calibri" w:cs="Calibri"/>
          <w:b/>
          <w:bCs/>
        </w:rPr>
      </w:pPr>
      <w:r w:rsidRPr="006C373D">
        <w:rPr>
          <w:rFonts w:ascii="Calibri" w:hAnsi="Calibri" w:cs="Calibri"/>
          <w:b/>
          <w:bCs/>
        </w:rPr>
        <w:t>Give an account of what happened</w:t>
      </w:r>
    </w:p>
    <w:p w14:paraId="4898A0D0" w14:textId="420581A1" w:rsidR="006C373D" w:rsidRPr="006C373D" w:rsidRDefault="006C373D" w:rsidP="006C373D">
      <w:pPr>
        <w:rPr>
          <w:rFonts w:ascii="Calibri" w:hAnsi="Calibri" w:cs="Calibri"/>
        </w:rPr>
      </w:pPr>
      <w:r w:rsidRPr="006C373D">
        <w:rPr>
          <w:rFonts w:ascii="Calibri" w:hAnsi="Calibri" w:cs="Calibri"/>
        </w:rPr>
        <w:t xml:space="preserve">The implementation of </w:t>
      </w:r>
      <w:proofErr w:type="spellStart"/>
      <w:r w:rsidRPr="006C373D">
        <w:rPr>
          <w:rFonts w:ascii="Calibri" w:hAnsi="Calibri" w:cs="Calibri"/>
        </w:rPr>
        <w:t>Medr</w:t>
      </w:r>
      <w:proofErr w:type="spellEnd"/>
      <w:r w:rsidRPr="006C373D">
        <w:rPr>
          <w:rFonts w:ascii="Calibri" w:hAnsi="Calibri" w:cs="Calibri"/>
        </w:rPr>
        <w:t xml:space="preserve"> has been a carefully managed, phased process that has sought to turn the policy vision of the 2022 Act into practice across the entire tertiary system. Following Royal Assent, the Welsh Government spent almost two years in preparatory work, including the appointment of an interim board and the formal dissolution of HEFCW on 31 July 2024. </w:t>
      </w:r>
      <w:proofErr w:type="spellStart"/>
      <w:r w:rsidRPr="006C373D">
        <w:rPr>
          <w:rFonts w:ascii="Calibri" w:hAnsi="Calibri" w:cs="Calibri"/>
        </w:rPr>
        <w:t>Medr</w:t>
      </w:r>
      <w:proofErr w:type="spellEnd"/>
      <w:r w:rsidRPr="006C373D">
        <w:rPr>
          <w:rFonts w:ascii="Calibri" w:hAnsi="Calibri" w:cs="Calibri"/>
        </w:rPr>
        <w:t xml:space="preserve"> became fully operational the next day, on 1 August 2024, marking the official start of the new system-wide arrangements (</w:t>
      </w:r>
      <w:proofErr w:type="spellStart"/>
      <w:r w:rsidRPr="006C373D">
        <w:rPr>
          <w:rFonts w:ascii="Calibri" w:hAnsi="Calibri" w:cs="Calibri"/>
        </w:rPr>
        <w:t>Medr</w:t>
      </w:r>
      <w:proofErr w:type="spellEnd"/>
      <w:r w:rsidRPr="006C373D">
        <w:rPr>
          <w:rFonts w:ascii="Calibri" w:hAnsi="Calibri" w:cs="Calibri"/>
        </w:rPr>
        <w:t>, 2025). From the beginning the change was led with a clear intention to replace the previous</w:t>
      </w:r>
      <w:r w:rsidR="009A7B66">
        <w:rPr>
          <w:rFonts w:ascii="Calibri" w:hAnsi="Calibri" w:cs="Calibri"/>
        </w:rPr>
        <w:t>ly</w:t>
      </w:r>
      <w:r w:rsidRPr="006C373D">
        <w:rPr>
          <w:rFonts w:ascii="Calibri" w:hAnsi="Calibri" w:cs="Calibri"/>
        </w:rPr>
        <w:t xml:space="preserve"> fragmented </w:t>
      </w:r>
      <w:r w:rsidR="009A7B66">
        <w:rPr>
          <w:rFonts w:ascii="Calibri" w:hAnsi="Calibri" w:cs="Calibri"/>
        </w:rPr>
        <w:t>siloed approach to HE, FE, apprenticeships and adult learning</w:t>
      </w:r>
      <w:r w:rsidRPr="006C373D">
        <w:rPr>
          <w:rFonts w:ascii="Calibri" w:hAnsi="Calibri" w:cs="Calibri"/>
        </w:rPr>
        <w:t xml:space="preserve"> with a single, coherent strategic body.</w:t>
      </w:r>
    </w:p>
    <w:p w14:paraId="225E3690" w14:textId="6F4A0B8C" w:rsidR="006C373D" w:rsidRPr="006C373D" w:rsidRDefault="006C373D" w:rsidP="006C373D">
      <w:pPr>
        <w:rPr>
          <w:rFonts w:ascii="Calibri" w:hAnsi="Calibri" w:cs="Calibri"/>
        </w:rPr>
      </w:pPr>
      <w:r w:rsidRPr="006C373D">
        <w:rPr>
          <w:rFonts w:ascii="Calibri" w:hAnsi="Calibri" w:cs="Calibri"/>
        </w:rPr>
        <w:t xml:space="preserve">The implementation process has been deliberately staged rather than instantaneous. In the first twelve months </w:t>
      </w:r>
      <w:proofErr w:type="spellStart"/>
      <w:r w:rsidRPr="006C373D">
        <w:rPr>
          <w:rFonts w:ascii="Calibri" w:hAnsi="Calibri" w:cs="Calibri"/>
        </w:rPr>
        <w:t>Medr’s</w:t>
      </w:r>
      <w:proofErr w:type="spellEnd"/>
      <w:r w:rsidRPr="006C373D">
        <w:rPr>
          <w:rFonts w:ascii="Calibri" w:hAnsi="Calibri" w:cs="Calibri"/>
        </w:rPr>
        <w:t xml:space="preserve"> leadership team concentrated on foundational tasks</w:t>
      </w:r>
      <w:r w:rsidR="009A7B66">
        <w:rPr>
          <w:rFonts w:ascii="Calibri" w:hAnsi="Calibri" w:cs="Calibri"/>
        </w:rPr>
        <w:t>, that included</w:t>
      </w:r>
      <w:r w:rsidRPr="006C373D">
        <w:rPr>
          <w:rFonts w:ascii="Calibri" w:hAnsi="Calibri" w:cs="Calibri"/>
        </w:rPr>
        <w:t xml:space="preserve"> publishing baseline enrolment and apprenticeship data, launching formal consultations on the Strategic Plan 2025–2030, and developing a risk-based regulatory framework with new registration categories for providers. These processes required every institution to engage with </w:t>
      </w:r>
      <w:r w:rsidR="009A7B66">
        <w:rPr>
          <w:rFonts w:ascii="Calibri" w:hAnsi="Calibri" w:cs="Calibri"/>
        </w:rPr>
        <w:t xml:space="preserve">a </w:t>
      </w:r>
      <w:r w:rsidRPr="006C373D">
        <w:rPr>
          <w:rFonts w:ascii="Calibri" w:hAnsi="Calibri" w:cs="Calibri"/>
        </w:rPr>
        <w:t>unified data returns and planning requirement, compelling previously separate sectors to begin aligning their internal systems (</w:t>
      </w:r>
      <w:proofErr w:type="spellStart"/>
      <w:r w:rsidRPr="006C373D">
        <w:rPr>
          <w:rFonts w:ascii="Calibri" w:hAnsi="Calibri" w:cs="Calibri"/>
        </w:rPr>
        <w:t>Medr</w:t>
      </w:r>
      <w:proofErr w:type="spellEnd"/>
      <w:r w:rsidRPr="006C373D">
        <w:rPr>
          <w:rFonts w:ascii="Calibri" w:hAnsi="Calibri" w:cs="Calibri"/>
        </w:rPr>
        <w:t xml:space="preserve">, 2025). The Minister for Further and Higher Education, Vikki Howells MS, has overseen the legislative phasing of </w:t>
      </w:r>
      <w:proofErr w:type="spellStart"/>
      <w:r w:rsidRPr="006C373D">
        <w:rPr>
          <w:rFonts w:ascii="Calibri" w:hAnsi="Calibri" w:cs="Calibri"/>
        </w:rPr>
        <w:t>Medr’s</w:t>
      </w:r>
      <w:proofErr w:type="spellEnd"/>
      <w:r w:rsidRPr="006C373D">
        <w:rPr>
          <w:rFonts w:ascii="Calibri" w:hAnsi="Calibri" w:cs="Calibri"/>
        </w:rPr>
        <w:t xml:space="preserve"> powers, with the</w:t>
      </w:r>
      <w:r w:rsidR="009A7B66">
        <w:rPr>
          <w:rFonts w:ascii="Calibri" w:hAnsi="Calibri" w:cs="Calibri"/>
        </w:rPr>
        <w:t xml:space="preserve"> previous</w:t>
      </w:r>
      <w:r w:rsidRPr="006C373D">
        <w:rPr>
          <w:rFonts w:ascii="Calibri" w:hAnsi="Calibri" w:cs="Calibri"/>
        </w:rPr>
        <w:t xml:space="preserve"> phase implemented in April 2025</w:t>
      </w:r>
      <w:r w:rsidR="009A7B66">
        <w:rPr>
          <w:rFonts w:ascii="Calibri" w:hAnsi="Calibri" w:cs="Calibri"/>
        </w:rPr>
        <w:t>,</w:t>
      </w:r>
      <w:r w:rsidRPr="006C373D">
        <w:rPr>
          <w:rFonts w:ascii="Calibri" w:hAnsi="Calibri" w:cs="Calibri"/>
        </w:rPr>
        <w:t xml:space="preserve"> the next major phase </w:t>
      </w:r>
      <w:r w:rsidR="009A7B66">
        <w:rPr>
          <w:rFonts w:ascii="Calibri" w:hAnsi="Calibri" w:cs="Calibri"/>
        </w:rPr>
        <w:t>rolled out on</w:t>
      </w:r>
      <w:r w:rsidRPr="006C373D">
        <w:rPr>
          <w:rFonts w:ascii="Calibri" w:hAnsi="Calibri" w:cs="Calibri"/>
        </w:rPr>
        <w:t xml:space="preserve"> 1 April 2026. This next stage will bring the securing, funding and inspection of further education and training fully under </w:t>
      </w:r>
      <w:proofErr w:type="spellStart"/>
      <w:r w:rsidRPr="006C373D">
        <w:rPr>
          <w:rFonts w:ascii="Calibri" w:hAnsi="Calibri" w:cs="Calibri"/>
        </w:rPr>
        <w:t>Medr</w:t>
      </w:r>
      <w:proofErr w:type="spellEnd"/>
      <w:r w:rsidRPr="006C373D">
        <w:rPr>
          <w:rFonts w:ascii="Calibri" w:hAnsi="Calibri" w:cs="Calibri"/>
        </w:rPr>
        <w:t xml:space="preserve">, along with its powers to fund eligible </w:t>
      </w:r>
      <w:r w:rsidRPr="006C373D">
        <w:rPr>
          <w:rFonts w:ascii="Calibri" w:hAnsi="Calibri" w:cs="Calibri"/>
        </w:rPr>
        <w:lastRenderedPageBreak/>
        <w:t>higher education courses (Howells, 2025). The phased approach itself has been an important leadership decision, giving the sector time to adapt rather than attempting wholesale change overnight.</w:t>
      </w:r>
    </w:p>
    <w:p w14:paraId="135FF47A" w14:textId="77777777" w:rsidR="006C373D" w:rsidRPr="006C373D" w:rsidRDefault="006C373D" w:rsidP="006C373D">
      <w:pPr>
        <w:rPr>
          <w:rFonts w:ascii="Calibri" w:hAnsi="Calibri" w:cs="Calibri"/>
        </w:rPr>
      </w:pPr>
      <w:r w:rsidRPr="006C373D">
        <w:rPr>
          <w:rFonts w:ascii="Calibri" w:hAnsi="Calibri" w:cs="Calibri"/>
        </w:rPr>
        <w:t xml:space="preserve">System leadership has been exercised at multiple levels and has been largely consistent with the practices described in Section 3. At the centre, </w:t>
      </w:r>
      <w:proofErr w:type="spellStart"/>
      <w:r w:rsidRPr="006C373D">
        <w:rPr>
          <w:rFonts w:ascii="Calibri" w:hAnsi="Calibri" w:cs="Calibri"/>
        </w:rPr>
        <w:t>Medr’s</w:t>
      </w:r>
      <w:proofErr w:type="spellEnd"/>
      <w:r w:rsidRPr="006C373D">
        <w:rPr>
          <w:rFonts w:ascii="Calibri" w:hAnsi="Calibri" w:cs="Calibri"/>
        </w:rPr>
        <w:t xml:space="preserve"> board (chaired by Professor Dame Julie Lydon) and executive team (led by Chief Executive James Owen) have provided strategic direction while actively seeking sector input. Their coalition-building and stakeholder engagement mirror the adaptive planning skills highlighted in the OECD’s 2008 review of New Zealand’s Tertiary Education Commission (OECD, 2008). At institutional level, vice-chancellors and college principals have been critical players. They formed cross-sector working groups to address practical issues such as credit transfer and the integration of apprenticeship frameworks with higher education pathways. Their input has been essential in translating national policy into workable local arrangements. As Jameson and </w:t>
      </w:r>
      <w:proofErr w:type="spellStart"/>
      <w:r w:rsidRPr="006C373D">
        <w:rPr>
          <w:rFonts w:ascii="Calibri" w:hAnsi="Calibri" w:cs="Calibri"/>
        </w:rPr>
        <w:t>McNay</w:t>
      </w:r>
      <w:proofErr w:type="spellEnd"/>
      <w:r w:rsidRPr="006C373D">
        <w:rPr>
          <w:rFonts w:ascii="Calibri" w:hAnsi="Calibri" w:cs="Calibri"/>
        </w:rPr>
        <w:t xml:space="preserve"> (2007) argue, this distributed leadership is vital during periods of major external change, and in Wales it has enabled institutions to maintain day-to-day operations while contributing to system-wide coherence.</w:t>
      </w:r>
    </w:p>
    <w:p w14:paraId="36E52AC0" w14:textId="4DF7E274" w:rsidR="00A25D02" w:rsidRDefault="006C373D" w:rsidP="006C373D">
      <w:pPr>
        <w:rPr>
          <w:rFonts w:ascii="Calibri" w:hAnsi="Calibri" w:cs="Calibri"/>
        </w:rPr>
      </w:pPr>
      <w:r w:rsidRPr="006C373D">
        <w:rPr>
          <w:rFonts w:ascii="Calibri" w:hAnsi="Calibri" w:cs="Calibri"/>
        </w:rPr>
        <w:t xml:space="preserve">The mobilisation of the system to work in tandem has been supported by several specific processes. One of the most visible has been the development of shared quality assurance arrangements. Drawing on the principles in Gravells (2016), </w:t>
      </w:r>
      <w:proofErr w:type="spellStart"/>
      <w:r w:rsidRPr="006C373D">
        <w:rPr>
          <w:rFonts w:ascii="Calibri" w:hAnsi="Calibri" w:cs="Calibri"/>
        </w:rPr>
        <w:t>Medr</w:t>
      </w:r>
      <w:proofErr w:type="spellEnd"/>
      <w:r w:rsidRPr="006C373D">
        <w:rPr>
          <w:rFonts w:ascii="Calibri" w:hAnsi="Calibri" w:cs="Calibri"/>
        </w:rPr>
        <w:t xml:space="preserve"> has encouraged providers to review and align their internal quality processes with the emerging national framework. This has moved quality assurance from being a largely separate activity in further and higher education to a more joined-up system-wide expectation. Similarly, professional learning funding made available through </w:t>
      </w:r>
      <w:proofErr w:type="spellStart"/>
      <w:r w:rsidRPr="006C373D">
        <w:rPr>
          <w:rFonts w:ascii="Calibri" w:hAnsi="Calibri" w:cs="Calibri"/>
        </w:rPr>
        <w:t>Medr</w:t>
      </w:r>
      <w:proofErr w:type="spellEnd"/>
      <w:r w:rsidRPr="006C373D">
        <w:rPr>
          <w:rFonts w:ascii="Calibri" w:hAnsi="Calibri" w:cs="Calibri"/>
        </w:rPr>
        <w:t xml:space="preserve"> has been used to support structured teacher collaboration. Ashcroft and Foreman-Peck (1994) emphasise the importance of treating teaching and learning as a managed, reflective process, and this funding has enabled joint staff development events between FE lecturers and HE academics. In practice, these events have focused on flexible learner pathways, shared assessment approaches and the expansion of degree apprenticeships. </w:t>
      </w:r>
      <w:r w:rsidR="00A25D02" w:rsidRPr="00A25D02">
        <w:rPr>
          <w:rFonts w:ascii="Calibri" w:hAnsi="Calibri" w:cs="Calibri"/>
        </w:rPr>
        <w:t>Consequently, teacher collaboration has evolved from informal, ad-hoc interactions toward structured, cross-sectoral engagement, systematically facilitated by institutional leadership and middle management.</w:t>
      </w:r>
      <w:r w:rsidR="00A25D02">
        <w:rPr>
          <w:rFonts w:ascii="Calibri" w:hAnsi="Calibri" w:cs="Calibri"/>
        </w:rPr>
        <w:t xml:space="preserve"> This ability for staff to view their position within the structure of the </w:t>
      </w:r>
      <w:proofErr w:type="spellStart"/>
      <w:r w:rsidR="00A25D02">
        <w:rPr>
          <w:rFonts w:ascii="Calibri" w:hAnsi="Calibri" w:cs="Calibri"/>
        </w:rPr>
        <w:t>Medr</w:t>
      </w:r>
      <w:proofErr w:type="spellEnd"/>
      <w:r w:rsidR="00A25D02">
        <w:rPr>
          <w:rFonts w:ascii="Calibri" w:hAnsi="Calibri" w:cs="Calibri"/>
        </w:rPr>
        <w:t xml:space="preserve"> framework has opened up networks of cross-curricular, and even cross-college, collaborations through events such as the </w:t>
      </w:r>
      <w:r w:rsidR="00604A69" w:rsidRPr="00604A69">
        <w:rPr>
          <w:rFonts w:ascii="Calibri" w:hAnsi="Calibri" w:cs="Calibri"/>
        </w:rPr>
        <w:t>Inspiring Skills Excellence in Wales</w:t>
      </w:r>
      <w:r w:rsidR="00604A69">
        <w:rPr>
          <w:rFonts w:ascii="Calibri" w:hAnsi="Calibri" w:cs="Calibri"/>
        </w:rPr>
        <w:t xml:space="preserve"> and World Skills competitions </w:t>
      </w:r>
      <w:sdt>
        <w:sdtPr>
          <w:rPr>
            <w:rFonts w:ascii="Calibri" w:hAnsi="Calibri" w:cs="Calibri"/>
          </w:rPr>
          <w:id w:val="1467084458"/>
          <w:citation/>
        </w:sdtPr>
        <w:sdtEndPr/>
        <w:sdtContent>
          <w:r w:rsidR="00147B25">
            <w:rPr>
              <w:rFonts w:ascii="Calibri" w:hAnsi="Calibri" w:cs="Calibri"/>
            </w:rPr>
            <w:fldChar w:fldCharType="begin"/>
          </w:r>
          <w:r w:rsidR="00B93E9A">
            <w:rPr>
              <w:rFonts w:ascii="Calibri" w:hAnsi="Calibri" w:cs="Calibri"/>
            </w:rPr>
            <w:instrText xml:space="preserve">CITATION Unk25 \l 2057 </w:instrText>
          </w:r>
          <w:r w:rsidR="00147B25">
            <w:rPr>
              <w:rFonts w:ascii="Calibri" w:hAnsi="Calibri" w:cs="Calibri"/>
            </w:rPr>
            <w:fldChar w:fldCharType="separate"/>
          </w:r>
          <w:r w:rsidR="00B93E9A" w:rsidRPr="00B93E9A">
            <w:rPr>
              <w:rFonts w:ascii="Calibri" w:hAnsi="Calibri" w:cs="Calibri"/>
              <w:noProof/>
            </w:rPr>
            <w:t>(Inspiring Skills Excellence in Wales, 2025)</w:t>
          </w:r>
          <w:r w:rsidR="00147B25">
            <w:rPr>
              <w:rFonts w:ascii="Calibri" w:hAnsi="Calibri" w:cs="Calibri"/>
            </w:rPr>
            <w:fldChar w:fldCharType="end"/>
          </w:r>
        </w:sdtContent>
      </w:sdt>
    </w:p>
    <w:p w14:paraId="2A652D0C" w14:textId="33ABEC9B" w:rsidR="006C373D" w:rsidRPr="006C373D" w:rsidRDefault="006C373D" w:rsidP="006C373D">
      <w:pPr>
        <w:rPr>
          <w:rFonts w:ascii="Calibri" w:hAnsi="Calibri" w:cs="Calibri"/>
        </w:rPr>
      </w:pPr>
      <w:r w:rsidRPr="006C373D">
        <w:rPr>
          <w:rFonts w:ascii="Calibri" w:hAnsi="Calibri" w:cs="Calibri"/>
        </w:rPr>
        <w:t xml:space="preserve">Not all aspects of leadership practice have been utilised to the same extent. While strategic foresight and stakeholder engagement have been strong, the financial pressures facing parts of the university sector have tested leaders’ resilience and emotional intelligence. </w:t>
      </w:r>
      <w:r w:rsidR="00EB0DE4" w:rsidRPr="00EB0DE4">
        <w:rPr>
          <w:rFonts w:ascii="Calibri" w:hAnsi="Calibri" w:cs="Calibri"/>
        </w:rPr>
        <w:t>A detailed critique by Schram (2026) highlights the scale of the crisis</w:t>
      </w:r>
      <w:r w:rsidR="00F64227">
        <w:rPr>
          <w:rFonts w:ascii="Calibri" w:hAnsi="Calibri" w:cs="Calibri"/>
        </w:rPr>
        <w:t xml:space="preserve"> as</w:t>
      </w:r>
      <w:r w:rsidR="00EB0DE4" w:rsidRPr="00EB0DE4">
        <w:rPr>
          <w:rFonts w:ascii="Calibri" w:hAnsi="Calibri" w:cs="Calibri"/>
        </w:rPr>
        <w:t xml:space="preserve"> Welsh universities are reporting growing deficits, with institutions such as Cardiff, Bangor, South Wales and Aberystwyth announcing hundreds of redundancies</w:t>
      </w:r>
      <w:r w:rsidR="00F64227">
        <w:rPr>
          <w:rFonts w:ascii="Calibri" w:hAnsi="Calibri" w:cs="Calibri"/>
        </w:rPr>
        <w:t xml:space="preserve">. </w:t>
      </w:r>
      <w:r w:rsidR="00F64227" w:rsidRPr="00F64227">
        <w:rPr>
          <w:rFonts w:ascii="Calibri" w:hAnsi="Calibri" w:cs="Calibri"/>
        </w:rPr>
        <w:t xml:space="preserve">Some institutional heads have had to manage large-scale restructuring and job losses at the same time as contributing to national consultations on </w:t>
      </w:r>
      <w:proofErr w:type="spellStart"/>
      <w:r w:rsidR="00F64227" w:rsidRPr="00F64227">
        <w:rPr>
          <w:rFonts w:ascii="Calibri" w:hAnsi="Calibri" w:cs="Calibri"/>
        </w:rPr>
        <w:t>Medr’s</w:t>
      </w:r>
      <w:proofErr w:type="spellEnd"/>
      <w:r w:rsidR="00F64227" w:rsidRPr="00F64227">
        <w:rPr>
          <w:rFonts w:ascii="Calibri" w:hAnsi="Calibri" w:cs="Calibri"/>
        </w:rPr>
        <w:t xml:space="preserve"> regulatory framework and Strategic Plan.</w:t>
      </w:r>
      <w:r w:rsidR="00F64227">
        <w:rPr>
          <w:rFonts w:ascii="Calibri" w:hAnsi="Calibri" w:cs="Calibri"/>
        </w:rPr>
        <w:t xml:space="preserve"> </w:t>
      </w:r>
      <w:r w:rsidR="00F64227" w:rsidRPr="00F64227">
        <w:rPr>
          <w:rFonts w:ascii="Calibri" w:hAnsi="Calibri" w:cs="Calibri"/>
        </w:rPr>
        <w:t xml:space="preserve">Schram (2026) is particularly critical of executive leadership in some universities, pointing to rising senior pay alongside compulsory redundancies and decisions that appear to prioritise international expansion or capital projects over domestic stability. </w:t>
      </w:r>
      <w:proofErr w:type="spellStart"/>
      <w:r w:rsidR="00F64227" w:rsidRPr="00F64227">
        <w:rPr>
          <w:rFonts w:ascii="Calibri" w:hAnsi="Calibri" w:cs="Calibri"/>
        </w:rPr>
        <w:t>Medr’s</w:t>
      </w:r>
      <w:proofErr w:type="spellEnd"/>
      <w:r w:rsidR="00F64227" w:rsidRPr="00F64227">
        <w:rPr>
          <w:rFonts w:ascii="Calibri" w:hAnsi="Calibri" w:cs="Calibri"/>
        </w:rPr>
        <w:t xml:space="preserve"> “prudent” regulatory stance, which emphasises dialogue and institutional autonomy rather than direct intervention, has left some leaders feeling that the new system offers limited practical support during the crisis.</w:t>
      </w:r>
      <w:r w:rsidR="00F64227">
        <w:rPr>
          <w:rFonts w:ascii="Calibri" w:hAnsi="Calibri" w:cs="Calibri"/>
        </w:rPr>
        <w:t xml:space="preserve"> </w:t>
      </w:r>
      <w:r w:rsidRPr="006C373D">
        <w:rPr>
          <w:rFonts w:ascii="Calibri" w:hAnsi="Calibri" w:cs="Calibri"/>
        </w:rPr>
        <w:t xml:space="preserve">Nevertheless, </w:t>
      </w:r>
      <w:proofErr w:type="spellStart"/>
      <w:r w:rsidRPr="006C373D">
        <w:rPr>
          <w:rFonts w:ascii="Calibri" w:hAnsi="Calibri" w:cs="Calibri"/>
        </w:rPr>
        <w:t>Medr’s</w:t>
      </w:r>
      <w:proofErr w:type="spellEnd"/>
      <w:r w:rsidRPr="006C373D">
        <w:rPr>
          <w:rFonts w:ascii="Calibri" w:hAnsi="Calibri" w:cs="Calibri"/>
        </w:rPr>
        <w:t xml:space="preserve"> regular publication of data and responsive adjustments to funding allocations demonstrate the evidence-informed decision-making that was highlighted as a core skill in Section 3.</w:t>
      </w:r>
    </w:p>
    <w:p w14:paraId="067DF04B" w14:textId="4769877A" w:rsidR="006C373D" w:rsidRPr="006C373D" w:rsidRDefault="006C373D" w:rsidP="006C373D">
      <w:pPr>
        <w:rPr>
          <w:rFonts w:ascii="Calibri" w:hAnsi="Calibri" w:cs="Calibri"/>
        </w:rPr>
      </w:pPr>
      <w:r w:rsidRPr="006C373D">
        <w:rPr>
          <w:rFonts w:ascii="Calibri" w:hAnsi="Calibri" w:cs="Calibri"/>
        </w:rPr>
        <w:lastRenderedPageBreak/>
        <w:t xml:space="preserve">Overall, the first eighteen months of implementation show that system leadership has been enacted in practice through a combination of central direction from </w:t>
      </w:r>
      <w:proofErr w:type="spellStart"/>
      <w:r w:rsidRPr="006C373D">
        <w:rPr>
          <w:rFonts w:ascii="Calibri" w:hAnsi="Calibri" w:cs="Calibri"/>
        </w:rPr>
        <w:t>Medr</w:t>
      </w:r>
      <w:proofErr w:type="spellEnd"/>
      <w:r w:rsidRPr="006C373D">
        <w:rPr>
          <w:rFonts w:ascii="Calibri" w:hAnsi="Calibri" w:cs="Calibri"/>
        </w:rPr>
        <w:t xml:space="preserve"> and the Welsh Government, active contribution from institutional leaders, and structured opportunities for teacher collaboration. The phased processes and consultative approach have helped mobilise the previously fragmented system to begin working in tandem. While some challenges remai</w:t>
      </w:r>
      <w:r w:rsidR="00901D48">
        <w:rPr>
          <w:rFonts w:ascii="Calibri" w:hAnsi="Calibri" w:cs="Calibri"/>
        </w:rPr>
        <w:t>n,</w:t>
      </w:r>
      <w:r w:rsidRPr="006C373D">
        <w:rPr>
          <w:rFonts w:ascii="Calibri" w:hAnsi="Calibri" w:cs="Calibri"/>
        </w:rPr>
        <w:t xml:space="preserve"> particularly around the pace of change and financial constraints</w:t>
      </w:r>
      <w:r w:rsidR="00901D48">
        <w:rPr>
          <w:rFonts w:ascii="Calibri" w:hAnsi="Calibri" w:cs="Calibri"/>
        </w:rPr>
        <w:t xml:space="preserve">, </w:t>
      </w:r>
      <w:r w:rsidRPr="006C373D">
        <w:rPr>
          <w:rFonts w:ascii="Calibri" w:hAnsi="Calibri" w:cs="Calibri"/>
        </w:rPr>
        <w:t xml:space="preserve">the leadership practices and skills discussed earlier have been utilised to a considerable extent. The critical input of ministers, </w:t>
      </w:r>
      <w:proofErr w:type="spellStart"/>
      <w:r w:rsidRPr="006C373D">
        <w:rPr>
          <w:rFonts w:ascii="Calibri" w:hAnsi="Calibri" w:cs="Calibri"/>
        </w:rPr>
        <w:t>Medr’s</w:t>
      </w:r>
      <w:proofErr w:type="spellEnd"/>
      <w:r w:rsidRPr="006C373D">
        <w:rPr>
          <w:rFonts w:ascii="Calibri" w:hAnsi="Calibri" w:cs="Calibri"/>
        </w:rPr>
        <w:t xml:space="preserve"> executive, and institutional leaders at all levels has been decisive in moving the reform from legislation into operational reality.</w:t>
      </w:r>
    </w:p>
    <w:p w14:paraId="11CF3EB0" w14:textId="77777777" w:rsidR="00D07B03" w:rsidRPr="00D07B03" w:rsidRDefault="00D07B03" w:rsidP="00D07B03">
      <w:pPr>
        <w:rPr>
          <w:rFonts w:ascii="Calibri" w:hAnsi="Calibri" w:cs="Calibri"/>
          <w:b/>
          <w:bCs/>
        </w:rPr>
      </w:pPr>
      <w:r w:rsidRPr="00D07B03">
        <w:rPr>
          <w:rFonts w:ascii="Calibri" w:hAnsi="Calibri" w:cs="Calibri"/>
          <w:b/>
          <w:bCs/>
        </w:rPr>
        <w:t>Provide a critical assessment of the impact of the change and conclude whether system leaders/ship made a difference or not</w:t>
      </w:r>
    </w:p>
    <w:p w14:paraId="56A4A6C0" w14:textId="26C38676" w:rsidR="00D07B03" w:rsidRPr="00D07B03" w:rsidRDefault="00D07B03" w:rsidP="00D07B03">
      <w:pPr>
        <w:rPr>
          <w:rFonts w:ascii="Calibri" w:hAnsi="Calibri" w:cs="Calibri"/>
        </w:rPr>
      </w:pPr>
      <w:r>
        <w:rPr>
          <w:rFonts w:ascii="Calibri" w:hAnsi="Calibri" w:cs="Calibri"/>
        </w:rPr>
        <w:t>It could be seen, that</w:t>
      </w:r>
      <w:r w:rsidRPr="00D07B03">
        <w:rPr>
          <w:rFonts w:ascii="Calibri" w:hAnsi="Calibri" w:cs="Calibri"/>
        </w:rPr>
        <w:t xml:space="preserve"> after roughly twenty months of </w:t>
      </w:r>
      <w:proofErr w:type="spellStart"/>
      <w:r w:rsidRPr="00D07B03">
        <w:rPr>
          <w:rFonts w:ascii="Calibri" w:hAnsi="Calibri" w:cs="Calibri"/>
        </w:rPr>
        <w:t>Medr</w:t>
      </w:r>
      <w:proofErr w:type="spellEnd"/>
      <w:r w:rsidRPr="00D07B03">
        <w:rPr>
          <w:rFonts w:ascii="Calibri" w:hAnsi="Calibri" w:cs="Calibri"/>
        </w:rPr>
        <w:t xml:space="preserve"> being operational, the impact of this major system change feels decidedly mixed. On the one hand, the creation of a single arm’s length body has begun to bring a degree of coherence that simply did not exist before. On the other, the deep financial pressures facing much of the university sector have tested the new arrangements in ways that expose both the strengths and the current limitations of a systems-led approach.</w:t>
      </w:r>
    </w:p>
    <w:p w14:paraId="059DF22A" w14:textId="09B02277" w:rsidR="00D07B03" w:rsidRPr="00D07B03" w:rsidRDefault="00D07B03" w:rsidP="00D07B03">
      <w:pPr>
        <w:rPr>
          <w:rFonts w:ascii="Calibri" w:hAnsi="Calibri" w:cs="Calibri"/>
        </w:rPr>
      </w:pPr>
      <w:r w:rsidRPr="00D07B03">
        <w:rPr>
          <w:rFonts w:ascii="Calibri" w:hAnsi="Calibri" w:cs="Calibri"/>
        </w:rPr>
        <w:t xml:space="preserve">There have been some clear, if </w:t>
      </w:r>
      <w:r>
        <w:rPr>
          <w:rFonts w:ascii="Calibri" w:hAnsi="Calibri" w:cs="Calibri"/>
        </w:rPr>
        <w:t xml:space="preserve">notably </w:t>
      </w:r>
      <w:r w:rsidRPr="00D07B03">
        <w:rPr>
          <w:rFonts w:ascii="Calibri" w:hAnsi="Calibri" w:cs="Calibri"/>
        </w:rPr>
        <w:t xml:space="preserve">early, positive outcomes. The publication of the Strategic Plan 2025–2030 and the associated Operational Plan have given the whole tertiary sector a shared set of ambitions for the first time. </w:t>
      </w:r>
      <w:proofErr w:type="spellStart"/>
      <w:r w:rsidRPr="00D07B03">
        <w:rPr>
          <w:rFonts w:ascii="Calibri" w:hAnsi="Calibri" w:cs="Calibri"/>
        </w:rPr>
        <w:t>Medr’s</w:t>
      </w:r>
      <w:proofErr w:type="spellEnd"/>
      <w:r w:rsidRPr="00D07B03">
        <w:rPr>
          <w:rFonts w:ascii="Calibri" w:hAnsi="Calibri" w:cs="Calibri"/>
        </w:rPr>
        <w:t xml:space="preserve"> work on baseline data, the subject review published in April 2026, and the phased development of a risk-based regulatory framework have started to create a more </w:t>
      </w:r>
      <w:r>
        <w:rPr>
          <w:rFonts w:ascii="Calibri" w:hAnsi="Calibri" w:cs="Calibri"/>
        </w:rPr>
        <w:t>cohesive</w:t>
      </w:r>
      <w:r w:rsidRPr="00D07B03">
        <w:rPr>
          <w:rFonts w:ascii="Calibri" w:hAnsi="Calibri" w:cs="Calibri"/>
        </w:rPr>
        <w:t xml:space="preserve"> picture of provision across further and higher education. Professional learning funding has supported some genuine cross-sector collaboration, and there are signs of improved dialogue around flexible pathways and apprenticeships. </w:t>
      </w:r>
      <w:r>
        <w:rPr>
          <w:rFonts w:ascii="Calibri" w:hAnsi="Calibri" w:cs="Calibri"/>
        </w:rPr>
        <w:t>The increased roll-out of the Enhanced Pathways, a series of programmes that combine courses with work placements outside of apprenticeships to increase learn</w:t>
      </w:r>
      <w:r w:rsidR="009B12C0">
        <w:rPr>
          <w:rFonts w:ascii="Calibri" w:hAnsi="Calibri" w:cs="Calibri"/>
        </w:rPr>
        <w:t>er experience</w:t>
      </w:r>
      <w:r>
        <w:rPr>
          <w:rFonts w:ascii="Calibri" w:hAnsi="Calibri" w:cs="Calibri"/>
        </w:rPr>
        <w:t xml:space="preserve"> for FE students and improved funding for colleges. </w:t>
      </w:r>
      <w:r w:rsidRPr="00D07B03">
        <w:rPr>
          <w:rFonts w:ascii="Calibri" w:hAnsi="Calibri" w:cs="Calibri"/>
        </w:rPr>
        <w:t>In that sense, the systems-led approach has begun to facilitate the kind of collaboration across professional boundaries that the 2022 Act intended (</w:t>
      </w:r>
      <w:proofErr w:type="spellStart"/>
      <w:r w:rsidRPr="00D07B03">
        <w:rPr>
          <w:rFonts w:ascii="Calibri" w:hAnsi="Calibri" w:cs="Calibri"/>
        </w:rPr>
        <w:t>Medr</w:t>
      </w:r>
      <w:proofErr w:type="spellEnd"/>
      <w:r w:rsidRPr="00D07B03">
        <w:rPr>
          <w:rFonts w:ascii="Calibri" w:hAnsi="Calibri" w:cs="Calibri"/>
        </w:rPr>
        <w:t>, 2025).</w:t>
      </w:r>
    </w:p>
    <w:p w14:paraId="175FE3A4" w14:textId="0B0EEDE5" w:rsidR="00D07B03" w:rsidRPr="00D07B03" w:rsidRDefault="00D07B03" w:rsidP="00D07B03">
      <w:pPr>
        <w:rPr>
          <w:rFonts w:ascii="Calibri" w:hAnsi="Calibri" w:cs="Calibri"/>
        </w:rPr>
      </w:pPr>
      <w:r w:rsidRPr="00D07B03">
        <w:rPr>
          <w:rFonts w:ascii="Calibri" w:hAnsi="Calibri" w:cs="Calibri"/>
        </w:rPr>
        <w:t xml:space="preserve">However, the financial reality on the ground tells a more sobering story. Welsh universities collectively reported an underlying operating deficit of around £94 million in early 2026 with several institutions announcing large-scale redundancies and course closures. Cardiff, Bangor, Aberystwyth and the University of South Wales have all been through painful restructuring processes. International student numbers have fallen sharply because of UK-wide visa changes, and domestic undergraduate growth has been modest at best. In this context, the “prudent” regulatory stance adopted by </w:t>
      </w:r>
      <w:proofErr w:type="spellStart"/>
      <w:r w:rsidRPr="00D07B03">
        <w:rPr>
          <w:rFonts w:ascii="Calibri" w:hAnsi="Calibri" w:cs="Calibri"/>
        </w:rPr>
        <w:t>Medr</w:t>
      </w:r>
      <w:proofErr w:type="spellEnd"/>
      <w:r w:rsidR="00066DDD">
        <w:rPr>
          <w:rFonts w:ascii="Calibri" w:hAnsi="Calibri" w:cs="Calibri"/>
        </w:rPr>
        <w:t xml:space="preserve">, </w:t>
      </w:r>
      <w:r w:rsidRPr="00D07B03">
        <w:rPr>
          <w:rFonts w:ascii="Calibri" w:hAnsi="Calibri" w:cs="Calibri"/>
        </w:rPr>
        <w:t>emphasising dialogue and institutional autonomy rather than direct intervention</w:t>
      </w:r>
      <w:r w:rsidR="00066DDD">
        <w:rPr>
          <w:rFonts w:ascii="Calibri" w:hAnsi="Calibri" w:cs="Calibri"/>
        </w:rPr>
        <w:t>,</w:t>
      </w:r>
      <w:r w:rsidRPr="00D07B03">
        <w:rPr>
          <w:rFonts w:ascii="Calibri" w:hAnsi="Calibri" w:cs="Calibri"/>
        </w:rPr>
        <w:t xml:space="preserve"> has left some institutional leaders feeling somewhat exposed (Schram, 2026; Times Higher Education, 2026). While no university is currently at risk of disorderly failure, the pace of cost-cutting decisions has often been made in isolation, raising concerns about the emergence of subject “cold spots” and reduced learner choice in certain parts of Wales.</w:t>
      </w:r>
    </w:p>
    <w:p w14:paraId="54ACCEC3" w14:textId="3A5C6407" w:rsidR="00D07B03" w:rsidRPr="00D07B03" w:rsidRDefault="00D07B03" w:rsidP="00D07B03">
      <w:pPr>
        <w:rPr>
          <w:rFonts w:ascii="Calibri" w:hAnsi="Calibri" w:cs="Calibri"/>
        </w:rPr>
      </w:pPr>
      <w:r w:rsidRPr="00D07B03">
        <w:rPr>
          <w:rFonts w:ascii="Calibri" w:hAnsi="Calibri" w:cs="Calibri"/>
        </w:rPr>
        <w:t xml:space="preserve">A systems-led approach has undoubtedly made </w:t>
      </w:r>
      <w:r w:rsidRPr="00D07B03">
        <w:rPr>
          <w:rFonts w:ascii="Calibri" w:hAnsi="Calibri" w:cs="Calibri"/>
          <w:i/>
          <w:iCs/>
        </w:rPr>
        <w:t>some</w:t>
      </w:r>
      <w:r w:rsidRPr="00D07B03">
        <w:rPr>
          <w:rFonts w:ascii="Calibri" w:hAnsi="Calibri" w:cs="Calibri"/>
        </w:rPr>
        <w:t xml:space="preserve"> difference. It has created new structures for collaboration</w:t>
      </w:r>
      <w:r w:rsidR="00066DDD">
        <w:rPr>
          <w:rFonts w:ascii="Calibri" w:hAnsi="Calibri" w:cs="Calibri"/>
        </w:rPr>
        <w:t>,</w:t>
      </w:r>
      <w:r w:rsidRPr="00D07B03">
        <w:rPr>
          <w:rFonts w:ascii="Calibri" w:hAnsi="Calibri" w:cs="Calibri"/>
        </w:rPr>
        <w:t xml:space="preserve"> such as the North Wales Tertiary Alliance and various doctoral training partnerships</w:t>
      </w:r>
      <w:r w:rsidR="00066DDD">
        <w:rPr>
          <w:rFonts w:ascii="Calibri" w:hAnsi="Calibri" w:cs="Calibri"/>
        </w:rPr>
        <w:t>,</w:t>
      </w:r>
      <w:r w:rsidRPr="00D07B03">
        <w:rPr>
          <w:rFonts w:ascii="Calibri" w:hAnsi="Calibri" w:cs="Calibri"/>
        </w:rPr>
        <w:t xml:space="preserve"> that would have been far harder under the old fragmented arrangements. Teacher and lecturer collaboration has increased in targeted areas, particularly where </w:t>
      </w:r>
      <w:proofErr w:type="spellStart"/>
      <w:r w:rsidRPr="00D07B03">
        <w:rPr>
          <w:rFonts w:ascii="Calibri" w:hAnsi="Calibri" w:cs="Calibri"/>
        </w:rPr>
        <w:t>Medr</w:t>
      </w:r>
      <w:proofErr w:type="spellEnd"/>
      <w:r w:rsidRPr="00D07B03">
        <w:rPr>
          <w:rFonts w:ascii="Calibri" w:hAnsi="Calibri" w:cs="Calibri"/>
        </w:rPr>
        <w:t xml:space="preserve"> funding has supported joint projects. Yet the deeper structural barriers</w:t>
      </w:r>
      <w:r w:rsidR="00066DDD">
        <w:rPr>
          <w:rFonts w:ascii="Calibri" w:hAnsi="Calibri" w:cs="Calibri"/>
        </w:rPr>
        <w:t xml:space="preserve">, </w:t>
      </w:r>
      <w:r w:rsidRPr="00D07B03">
        <w:rPr>
          <w:rFonts w:ascii="Calibri" w:hAnsi="Calibri" w:cs="Calibri"/>
        </w:rPr>
        <w:t>chronic under-funding, demographic pressures, and the limits of devolved student finance policy</w:t>
      </w:r>
      <w:r w:rsidR="00066DDD">
        <w:rPr>
          <w:rFonts w:ascii="Calibri" w:hAnsi="Calibri" w:cs="Calibri"/>
        </w:rPr>
        <w:t>,</w:t>
      </w:r>
      <w:r w:rsidRPr="00D07B03">
        <w:rPr>
          <w:rFonts w:ascii="Calibri" w:hAnsi="Calibri" w:cs="Calibri"/>
        </w:rPr>
        <w:t xml:space="preserve"> have not been resolved by the establishment of </w:t>
      </w:r>
      <w:proofErr w:type="spellStart"/>
      <w:r w:rsidRPr="00D07B03">
        <w:rPr>
          <w:rFonts w:ascii="Calibri" w:hAnsi="Calibri" w:cs="Calibri"/>
        </w:rPr>
        <w:t>Medr</w:t>
      </w:r>
      <w:proofErr w:type="spellEnd"/>
      <w:r w:rsidRPr="00D07B03">
        <w:rPr>
          <w:rFonts w:ascii="Calibri" w:hAnsi="Calibri" w:cs="Calibri"/>
        </w:rPr>
        <w:t xml:space="preserve"> alone. In reality, the new system has had to operate in an extremely challenging fiscal environment, </w:t>
      </w:r>
      <w:r w:rsidRPr="00D07B03">
        <w:rPr>
          <w:rFonts w:ascii="Calibri" w:hAnsi="Calibri" w:cs="Calibri"/>
        </w:rPr>
        <w:lastRenderedPageBreak/>
        <w:t>and this has constrained its ability to deliver the more ambitious, transformative change that many hoped for.</w:t>
      </w:r>
    </w:p>
    <w:p w14:paraId="0484F3EC" w14:textId="6AB81C1D" w:rsidR="00D07B03" w:rsidRPr="00D07B03" w:rsidRDefault="00D07B03" w:rsidP="00D07B03">
      <w:pPr>
        <w:rPr>
          <w:rFonts w:ascii="Calibri" w:hAnsi="Calibri" w:cs="Calibri"/>
        </w:rPr>
      </w:pPr>
      <w:r w:rsidRPr="00D07B03">
        <w:rPr>
          <w:rFonts w:ascii="Calibri" w:hAnsi="Calibri" w:cs="Calibri"/>
        </w:rPr>
        <w:t>Unintended outcomes are already visible. The pressure to achieve financial sustainability has sometimes worked against the goal of greater collaboration</w:t>
      </w:r>
      <w:r w:rsidR="00F351A5">
        <w:rPr>
          <w:rFonts w:ascii="Calibri" w:hAnsi="Calibri" w:cs="Calibri"/>
        </w:rPr>
        <w:t>, as</w:t>
      </w:r>
      <w:r w:rsidRPr="00D07B03">
        <w:rPr>
          <w:rFonts w:ascii="Calibri" w:hAnsi="Calibri" w:cs="Calibri"/>
        </w:rPr>
        <w:t xml:space="preserve"> institutions have understandably prioritised their own survival, leading to independent rather than coordinated decisions about course provision. There is also a risk that the emphasis on regulation and data collection adds to institutional workload at a time when staff morale </w:t>
      </w:r>
      <w:r w:rsidR="00F351A5">
        <w:rPr>
          <w:rFonts w:ascii="Calibri" w:hAnsi="Calibri" w:cs="Calibri"/>
        </w:rPr>
        <w:t>may</w:t>
      </w:r>
      <w:r w:rsidRPr="00D07B03">
        <w:rPr>
          <w:rFonts w:ascii="Calibri" w:hAnsi="Calibri" w:cs="Calibri"/>
        </w:rPr>
        <w:t xml:space="preserve"> already </w:t>
      </w:r>
      <w:r w:rsidR="00F351A5">
        <w:rPr>
          <w:rFonts w:ascii="Calibri" w:hAnsi="Calibri" w:cs="Calibri"/>
        </w:rPr>
        <w:t xml:space="preserve">be </w:t>
      </w:r>
      <w:r w:rsidRPr="00D07B03">
        <w:rPr>
          <w:rFonts w:ascii="Calibri" w:hAnsi="Calibri" w:cs="Calibri"/>
        </w:rPr>
        <w:t xml:space="preserve">low. On the positive side, </w:t>
      </w:r>
      <w:proofErr w:type="spellStart"/>
      <w:r w:rsidRPr="00D07B03">
        <w:rPr>
          <w:rFonts w:ascii="Calibri" w:hAnsi="Calibri" w:cs="Calibri"/>
        </w:rPr>
        <w:t>Medr’s</w:t>
      </w:r>
      <w:proofErr w:type="spellEnd"/>
      <w:r w:rsidRPr="00D07B03">
        <w:rPr>
          <w:rFonts w:ascii="Calibri" w:hAnsi="Calibri" w:cs="Calibri"/>
        </w:rPr>
        <w:t xml:space="preserve"> regular publication of transparent financial and enrolment data has at least made these pressures more visible and evidence-based, which is an improvement on the previous patchwork of oversight</w:t>
      </w:r>
      <w:sdt>
        <w:sdtPr>
          <w:rPr>
            <w:rFonts w:ascii="Calibri" w:hAnsi="Calibri" w:cs="Calibri"/>
          </w:rPr>
          <w:id w:val="1413967112"/>
          <w:citation/>
        </w:sdtPr>
        <w:sdtEndPr/>
        <w:sdtContent>
          <w:r w:rsidR="00F351A5">
            <w:rPr>
              <w:rFonts w:ascii="Calibri" w:hAnsi="Calibri" w:cs="Calibri"/>
            </w:rPr>
            <w:fldChar w:fldCharType="begin"/>
          </w:r>
          <w:r w:rsidR="00F351A5">
            <w:rPr>
              <w:rFonts w:ascii="Calibri" w:hAnsi="Calibri" w:cs="Calibri"/>
            </w:rPr>
            <w:instrText xml:space="preserve"> CITATION Med26 \l 2057 </w:instrText>
          </w:r>
          <w:r w:rsidR="00F351A5">
            <w:rPr>
              <w:rFonts w:ascii="Calibri" w:hAnsi="Calibri" w:cs="Calibri"/>
            </w:rPr>
            <w:fldChar w:fldCharType="separate"/>
          </w:r>
          <w:r w:rsidR="00F351A5">
            <w:rPr>
              <w:rFonts w:ascii="Calibri" w:hAnsi="Calibri" w:cs="Calibri"/>
              <w:noProof/>
            </w:rPr>
            <w:t xml:space="preserve"> </w:t>
          </w:r>
          <w:r w:rsidR="00F351A5" w:rsidRPr="00F351A5">
            <w:rPr>
              <w:rFonts w:ascii="Calibri" w:hAnsi="Calibri" w:cs="Calibri"/>
              <w:noProof/>
            </w:rPr>
            <w:t>(Medr, 2026)</w:t>
          </w:r>
          <w:r w:rsidR="00F351A5">
            <w:rPr>
              <w:rFonts w:ascii="Calibri" w:hAnsi="Calibri" w:cs="Calibri"/>
            </w:rPr>
            <w:fldChar w:fldCharType="end"/>
          </w:r>
        </w:sdtContent>
      </w:sdt>
      <w:r w:rsidRPr="00D07B03">
        <w:rPr>
          <w:rFonts w:ascii="Calibri" w:hAnsi="Calibri" w:cs="Calibri"/>
        </w:rPr>
        <w:t>.</w:t>
      </w:r>
    </w:p>
    <w:p w14:paraId="7B8E597B" w14:textId="641FC0B0" w:rsidR="00D07B03" w:rsidRDefault="00D07B03" w:rsidP="00D07B03">
      <w:pPr>
        <w:rPr>
          <w:rFonts w:ascii="Calibri" w:hAnsi="Calibri" w:cs="Calibri"/>
        </w:rPr>
      </w:pPr>
      <w:r w:rsidRPr="00D07B03">
        <w:rPr>
          <w:rFonts w:ascii="Calibri" w:hAnsi="Calibri" w:cs="Calibri"/>
        </w:rPr>
        <w:t xml:space="preserve">Critically, system leaders and system leadership have been important catalysts, but they have not been decisive in the way that perhaps the original vision intended. Ministers, </w:t>
      </w:r>
      <w:proofErr w:type="spellStart"/>
      <w:r w:rsidRPr="00D07B03">
        <w:rPr>
          <w:rFonts w:ascii="Calibri" w:hAnsi="Calibri" w:cs="Calibri"/>
        </w:rPr>
        <w:t>Medr’s</w:t>
      </w:r>
      <w:proofErr w:type="spellEnd"/>
      <w:r w:rsidRPr="00D07B03">
        <w:rPr>
          <w:rFonts w:ascii="Calibri" w:hAnsi="Calibri" w:cs="Calibri"/>
        </w:rPr>
        <w:t xml:space="preserve"> board and executive, and institutional heads have all shown strategic foresight and a genuine commitment to dialogue. The phased implementation and the emphasis on consultation have prevented the kind of chaotic rollout that could have damaged learner experience. However, as </w:t>
      </w:r>
      <w:proofErr w:type="spellStart"/>
      <w:r w:rsidRPr="00D07B03">
        <w:rPr>
          <w:rFonts w:ascii="Calibri" w:hAnsi="Calibri" w:cs="Calibri"/>
        </w:rPr>
        <w:t>Hazelkorn</w:t>
      </w:r>
      <w:proofErr w:type="spellEnd"/>
      <w:r w:rsidRPr="00D07B03">
        <w:rPr>
          <w:rFonts w:ascii="Calibri" w:hAnsi="Calibri" w:cs="Calibri"/>
        </w:rPr>
        <w:t xml:space="preserve"> (2016) warned several years ago, structural reform without adequate resourcing can only achieve so much. The leadership skills discussed in Section 3</w:t>
      </w:r>
      <w:r w:rsidR="00F351A5">
        <w:rPr>
          <w:rFonts w:ascii="Calibri" w:hAnsi="Calibri" w:cs="Calibri"/>
        </w:rPr>
        <w:t>,</w:t>
      </w:r>
      <w:r w:rsidRPr="00D07B03">
        <w:rPr>
          <w:rFonts w:ascii="Calibri" w:hAnsi="Calibri" w:cs="Calibri"/>
        </w:rPr>
        <w:t xml:space="preserve"> distributed leadership, emotional intelligence, coalition-building</w:t>
      </w:r>
      <w:r w:rsidR="00F351A5">
        <w:rPr>
          <w:rFonts w:ascii="Calibri" w:hAnsi="Calibri" w:cs="Calibri"/>
        </w:rPr>
        <w:t>,</w:t>
      </w:r>
      <w:r w:rsidRPr="00D07B03">
        <w:rPr>
          <w:rFonts w:ascii="Calibri" w:hAnsi="Calibri" w:cs="Calibri"/>
        </w:rPr>
        <w:t xml:space="preserve"> have been tested to the limit by the financial crisis. In some </w:t>
      </w:r>
      <w:r w:rsidR="00F351A5" w:rsidRPr="00D07B03">
        <w:rPr>
          <w:rFonts w:ascii="Calibri" w:hAnsi="Calibri" w:cs="Calibri"/>
        </w:rPr>
        <w:t>cases,</w:t>
      </w:r>
      <w:r w:rsidRPr="00D07B03">
        <w:rPr>
          <w:rFonts w:ascii="Calibri" w:hAnsi="Calibri" w:cs="Calibri"/>
        </w:rPr>
        <w:t xml:space="preserve"> they have helped mitigate the worst effects</w:t>
      </w:r>
      <w:r w:rsidR="00F351A5">
        <w:rPr>
          <w:rFonts w:ascii="Calibri" w:hAnsi="Calibri" w:cs="Calibri"/>
        </w:rPr>
        <w:t>, however,</w:t>
      </w:r>
      <w:r w:rsidRPr="00D07B03">
        <w:rPr>
          <w:rFonts w:ascii="Calibri" w:hAnsi="Calibri" w:cs="Calibri"/>
        </w:rPr>
        <w:t xml:space="preserve"> in others, the constraints of the wider policy and funding environment have limited what leaders could realistically achieve.</w:t>
      </w:r>
    </w:p>
    <w:p w14:paraId="42F272AD" w14:textId="0399B617" w:rsidR="007D4FBB" w:rsidRPr="007D4FBB" w:rsidRDefault="007D4FBB" w:rsidP="007D4FBB">
      <w:pPr>
        <w:rPr>
          <w:rFonts w:ascii="Calibri" w:hAnsi="Calibri" w:cs="Calibri"/>
        </w:rPr>
      </w:pPr>
      <w:r w:rsidRPr="007D4FBB">
        <w:rPr>
          <w:rFonts w:ascii="Calibri" w:hAnsi="Calibri" w:cs="Calibri"/>
        </w:rPr>
        <w:t xml:space="preserve">A further test of system leadership has been the development and early operation of </w:t>
      </w:r>
      <w:proofErr w:type="spellStart"/>
      <w:r w:rsidRPr="007D4FBB">
        <w:rPr>
          <w:rFonts w:ascii="Calibri" w:hAnsi="Calibri" w:cs="Calibri"/>
        </w:rPr>
        <w:t>Medr’s</w:t>
      </w:r>
      <w:proofErr w:type="spellEnd"/>
      <w:r w:rsidRPr="007D4FBB">
        <w:rPr>
          <w:rFonts w:ascii="Calibri" w:hAnsi="Calibri" w:cs="Calibri"/>
        </w:rPr>
        <w:t xml:space="preserve"> risk-based regulatory framework. The framework aims to blend assurance that minimum standards are met with a stronger focus on continuous improvement, using proportional monitoring and a self-reporting culture where providers are expected to be transparent about emerging risks (</w:t>
      </w:r>
      <w:proofErr w:type="spellStart"/>
      <w:r w:rsidRPr="007D4FBB">
        <w:rPr>
          <w:rFonts w:ascii="Calibri" w:hAnsi="Calibri" w:cs="Calibri"/>
        </w:rPr>
        <w:t>Medr</w:t>
      </w:r>
      <w:proofErr w:type="spellEnd"/>
      <w:r w:rsidRPr="007D4FBB">
        <w:rPr>
          <w:rFonts w:ascii="Calibri" w:hAnsi="Calibri" w:cs="Calibri"/>
        </w:rPr>
        <w:t xml:space="preserve">, 2026). In principle this respects institutional diversity and autonomy while still holding providers accountable. Yet in practice it remains largely untested. The only public example so far is </w:t>
      </w:r>
      <w:proofErr w:type="spellStart"/>
      <w:r w:rsidRPr="007D4FBB">
        <w:rPr>
          <w:rFonts w:ascii="Calibri" w:hAnsi="Calibri" w:cs="Calibri"/>
        </w:rPr>
        <w:t>Medr’s</w:t>
      </w:r>
      <w:proofErr w:type="spellEnd"/>
      <w:r w:rsidRPr="007D4FBB">
        <w:rPr>
          <w:rFonts w:ascii="Calibri" w:hAnsi="Calibri" w:cs="Calibri"/>
        </w:rPr>
        <w:t xml:space="preserve"> decision to reclaim funding from Coleg Sir Gar following an earlier allocation, though this has not yet been formally linked to regulatory non-compliance </w:t>
      </w:r>
      <w:sdt>
        <w:sdtPr>
          <w:rPr>
            <w:rFonts w:ascii="Calibri" w:hAnsi="Calibri" w:cs="Calibri"/>
          </w:rPr>
          <w:id w:val="426393929"/>
          <w:citation/>
        </w:sdtPr>
        <w:sdtEndPr/>
        <w:sdtContent>
          <w:r>
            <w:rPr>
              <w:rFonts w:ascii="Calibri" w:hAnsi="Calibri" w:cs="Calibri"/>
            </w:rPr>
            <w:fldChar w:fldCharType="begin"/>
          </w:r>
          <w:r>
            <w:rPr>
              <w:rFonts w:ascii="Calibri" w:hAnsi="Calibri" w:cs="Calibri"/>
            </w:rPr>
            <w:instrText xml:space="preserve"> CITATION Med26 \l 2057 </w:instrText>
          </w:r>
          <w:r>
            <w:rPr>
              <w:rFonts w:ascii="Calibri" w:hAnsi="Calibri" w:cs="Calibri"/>
            </w:rPr>
            <w:fldChar w:fldCharType="separate"/>
          </w:r>
          <w:r w:rsidRPr="007D4FBB">
            <w:rPr>
              <w:rFonts w:ascii="Calibri" w:hAnsi="Calibri" w:cs="Calibri"/>
              <w:noProof/>
            </w:rPr>
            <w:t>(Medr, 2026)</w:t>
          </w:r>
          <w:r>
            <w:rPr>
              <w:rFonts w:ascii="Calibri" w:hAnsi="Calibri" w:cs="Calibri"/>
            </w:rPr>
            <w:fldChar w:fldCharType="end"/>
          </w:r>
        </w:sdtContent>
      </w:sdt>
      <w:r w:rsidRPr="007D4FBB">
        <w:rPr>
          <w:rFonts w:ascii="Calibri" w:hAnsi="Calibri" w:cs="Calibri"/>
        </w:rPr>
        <w:t>. With full registration not due until 2027, it is still too early to judge whether this lighter-touch, risk-based model will genuinely drive improvement or simply add another layer of reporting at a time when many institutions are already under severe financial strain.</w:t>
      </w:r>
    </w:p>
    <w:p w14:paraId="1F0BBF18" w14:textId="6251DF63" w:rsidR="00D07B03" w:rsidRPr="00D07B03" w:rsidRDefault="00D07B03" w:rsidP="00D07B03">
      <w:pPr>
        <w:rPr>
          <w:rFonts w:ascii="Calibri" w:hAnsi="Calibri" w:cs="Calibri"/>
        </w:rPr>
      </w:pPr>
      <w:r w:rsidRPr="00D07B03">
        <w:rPr>
          <w:rFonts w:ascii="Calibri" w:hAnsi="Calibri" w:cs="Calibri"/>
        </w:rPr>
        <w:t xml:space="preserve">In conclusion, system leadership has made a meaningful difference. It has begun the long process of turning a fragmented tertiary sector into something more coherent and collaborative. Without the creation of </w:t>
      </w:r>
      <w:proofErr w:type="spellStart"/>
      <w:r w:rsidRPr="00D07B03">
        <w:rPr>
          <w:rFonts w:ascii="Calibri" w:hAnsi="Calibri" w:cs="Calibri"/>
        </w:rPr>
        <w:t>Medr</w:t>
      </w:r>
      <w:proofErr w:type="spellEnd"/>
      <w:r w:rsidRPr="00D07B03">
        <w:rPr>
          <w:rFonts w:ascii="Calibri" w:hAnsi="Calibri" w:cs="Calibri"/>
        </w:rPr>
        <w:t xml:space="preserve"> and the determined efforts of leaders at every level, the situation would almost certainly be </w:t>
      </w:r>
      <w:r w:rsidR="00F351A5">
        <w:rPr>
          <w:rFonts w:ascii="Calibri" w:hAnsi="Calibri" w:cs="Calibri"/>
        </w:rPr>
        <w:t xml:space="preserve">subject to an emergency </w:t>
      </w:r>
      <w:r w:rsidR="00BA55E2">
        <w:rPr>
          <w:rFonts w:ascii="Calibri" w:hAnsi="Calibri" w:cs="Calibri"/>
        </w:rPr>
        <w:t>intervention</w:t>
      </w:r>
      <w:r w:rsidRPr="00D07B03">
        <w:rPr>
          <w:rFonts w:ascii="Calibri" w:hAnsi="Calibri" w:cs="Calibri"/>
        </w:rPr>
        <w:t>. Yet the change is still young, and its ultimate success will depend on whether the systems-led approach can evolve to tackle the deeper financial and structural challenges that remain. At this point, system leaders have been a necessary catalyst</w:t>
      </w:r>
      <w:r w:rsidR="00BA55E2">
        <w:rPr>
          <w:rFonts w:ascii="Calibri" w:hAnsi="Calibri" w:cs="Calibri"/>
        </w:rPr>
        <w:t xml:space="preserve"> through the implementation phase,</w:t>
      </w:r>
      <w:r w:rsidRPr="00D07B03">
        <w:rPr>
          <w:rFonts w:ascii="Calibri" w:hAnsi="Calibri" w:cs="Calibri"/>
        </w:rPr>
        <w:t xml:space="preserve"> but not yet a sufficient </w:t>
      </w:r>
      <w:r w:rsidR="00BA55E2">
        <w:rPr>
          <w:rFonts w:ascii="Calibri" w:hAnsi="Calibri" w:cs="Calibri"/>
        </w:rPr>
        <w:t>handover to allow institutions to fully utilise the changes that have been developed and ultimately provide staff and learners the benefits of this new central organisation</w:t>
      </w:r>
      <w:r w:rsidRPr="00D07B03">
        <w:rPr>
          <w:rFonts w:ascii="Calibri" w:hAnsi="Calibri" w:cs="Calibri"/>
        </w:rPr>
        <w:t>. The next few years, and the responses to the Welsh Government’s current call for evidence on the future of tertiary education, will show whether this new system can deliver the genuine, sustained improvement that Wales needs.</w:t>
      </w:r>
    </w:p>
    <w:p w14:paraId="409B7D67" w14:textId="77777777" w:rsidR="004E5BC8" w:rsidRDefault="004E5BC8" w:rsidP="004E5BC8">
      <w:pPr>
        <w:rPr>
          <w:rFonts w:ascii="Calibri" w:hAnsi="Calibri" w:cs="Calibri"/>
          <w:b/>
          <w:bCs/>
        </w:rPr>
      </w:pPr>
    </w:p>
    <w:p w14:paraId="6E217033" w14:textId="77777777" w:rsidR="004E5BC8" w:rsidRDefault="004E5BC8" w:rsidP="004E5BC8">
      <w:pPr>
        <w:rPr>
          <w:rFonts w:ascii="Calibri" w:hAnsi="Calibri" w:cs="Calibri"/>
          <w:b/>
          <w:bCs/>
        </w:rPr>
      </w:pPr>
    </w:p>
    <w:p w14:paraId="4A512926" w14:textId="2826A8AB" w:rsidR="004E5BC8" w:rsidRPr="004E5BC8" w:rsidRDefault="004E5BC8" w:rsidP="004E5BC8">
      <w:pPr>
        <w:rPr>
          <w:rFonts w:ascii="Calibri" w:hAnsi="Calibri" w:cs="Calibri"/>
          <w:b/>
          <w:bCs/>
        </w:rPr>
      </w:pPr>
      <w:r w:rsidRPr="004E5BC8">
        <w:rPr>
          <w:rFonts w:ascii="Calibri" w:hAnsi="Calibri" w:cs="Calibri"/>
          <w:b/>
          <w:bCs/>
        </w:rPr>
        <w:lastRenderedPageBreak/>
        <w:t>References</w:t>
      </w:r>
    </w:p>
    <w:p w14:paraId="26A47C56" w14:textId="77777777" w:rsidR="004E5BC8" w:rsidRPr="004E5BC8" w:rsidRDefault="004E5BC8" w:rsidP="004E5BC8">
      <w:pPr>
        <w:rPr>
          <w:rFonts w:ascii="Calibri" w:hAnsi="Calibri" w:cs="Calibri"/>
        </w:rPr>
      </w:pPr>
      <w:r w:rsidRPr="004E5BC8">
        <w:rPr>
          <w:rFonts w:ascii="Calibri" w:hAnsi="Calibri" w:cs="Calibri"/>
        </w:rPr>
        <w:t xml:space="preserve">Ashcroft, K. and Foreman-Peck, L. (1994) </w:t>
      </w:r>
      <w:r w:rsidRPr="004E5BC8">
        <w:rPr>
          <w:rFonts w:ascii="Calibri" w:hAnsi="Calibri" w:cs="Calibri"/>
          <w:i/>
          <w:iCs/>
        </w:rPr>
        <w:t>Managing teaching and learning in further and higher education</w:t>
      </w:r>
      <w:r w:rsidRPr="004E5BC8">
        <w:rPr>
          <w:rFonts w:ascii="Calibri" w:hAnsi="Calibri" w:cs="Calibri"/>
        </w:rPr>
        <w:t>. London: Routledge.</w:t>
      </w:r>
    </w:p>
    <w:p w14:paraId="0F42A771" w14:textId="77777777" w:rsidR="004E5BC8" w:rsidRPr="004E5BC8" w:rsidRDefault="004E5BC8" w:rsidP="004E5BC8">
      <w:pPr>
        <w:rPr>
          <w:rFonts w:ascii="Calibri" w:hAnsi="Calibri" w:cs="Calibri"/>
        </w:rPr>
      </w:pPr>
      <w:r w:rsidRPr="004E5BC8">
        <w:rPr>
          <w:rFonts w:ascii="Calibri" w:hAnsi="Calibri" w:cs="Calibri"/>
        </w:rPr>
        <w:t xml:space="preserve">Audit Wales (2021) </w:t>
      </w:r>
      <w:r w:rsidRPr="004E5BC8">
        <w:rPr>
          <w:rFonts w:ascii="Calibri" w:hAnsi="Calibri" w:cs="Calibri"/>
          <w:i/>
          <w:iCs/>
        </w:rPr>
        <w:t>A picture of higher and further education</w:t>
      </w:r>
      <w:r w:rsidRPr="004E5BC8">
        <w:rPr>
          <w:rFonts w:ascii="Calibri" w:hAnsi="Calibri" w:cs="Calibri"/>
        </w:rPr>
        <w:t>. Cardiff: Audit Wales.</w:t>
      </w:r>
    </w:p>
    <w:p w14:paraId="0B1E565F" w14:textId="77777777" w:rsidR="004E5BC8" w:rsidRPr="004E5BC8" w:rsidRDefault="004E5BC8" w:rsidP="004E5BC8">
      <w:pPr>
        <w:rPr>
          <w:rFonts w:ascii="Calibri" w:hAnsi="Calibri" w:cs="Calibri"/>
        </w:rPr>
      </w:pPr>
      <w:r w:rsidRPr="004E5BC8">
        <w:rPr>
          <w:rFonts w:ascii="Calibri" w:hAnsi="Calibri" w:cs="Calibri"/>
        </w:rPr>
        <w:t xml:space="preserve">Boston, J. (2010) </w:t>
      </w:r>
      <w:r w:rsidRPr="004E5BC8">
        <w:rPr>
          <w:rFonts w:ascii="Calibri" w:hAnsi="Calibri" w:cs="Calibri"/>
          <w:i/>
          <w:iCs/>
        </w:rPr>
        <w:t>Reforming public sector management</w:t>
      </w:r>
      <w:r w:rsidRPr="004E5BC8">
        <w:rPr>
          <w:rFonts w:ascii="Calibri" w:hAnsi="Calibri" w:cs="Calibri"/>
        </w:rPr>
        <w:t>. Wellington: Victoria University Press.</w:t>
      </w:r>
    </w:p>
    <w:p w14:paraId="25E43675" w14:textId="77777777" w:rsidR="004E5BC8" w:rsidRPr="004E5BC8" w:rsidRDefault="004E5BC8" w:rsidP="004E5BC8">
      <w:pPr>
        <w:rPr>
          <w:rFonts w:ascii="Calibri" w:hAnsi="Calibri" w:cs="Calibri"/>
        </w:rPr>
      </w:pPr>
      <w:r w:rsidRPr="004E5BC8">
        <w:rPr>
          <w:rFonts w:ascii="Calibri" w:hAnsi="Calibri" w:cs="Calibri"/>
        </w:rPr>
        <w:t xml:space="preserve">Fullan, M. (2010) </w:t>
      </w:r>
      <w:r w:rsidRPr="004E5BC8">
        <w:rPr>
          <w:rFonts w:ascii="Calibri" w:hAnsi="Calibri" w:cs="Calibri"/>
          <w:i/>
          <w:iCs/>
        </w:rPr>
        <w:t>All systems go: The change imperative for whole system reform</w:t>
      </w:r>
      <w:r w:rsidRPr="004E5BC8">
        <w:rPr>
          <w:rFonts w:ascii="Calibri" w:hAnsi="Calibri" w:cs="Calibri"/>
        </w:rPr>
        <w:t>. Thousand Oaks, CA: Corwin.</w:t>
      </w:r>
    </w:p>
    <w:p w14:paraId="3F09E5F8" w14:textId="77777777" w:rsidR="004E5BC8" w:rsidRPr="004E5BC8" w:rsidRDefault="004E5BC8" w:rsidP="004E5BC8">
      <w:pPr>
        <w:rPr>
          <w:rFonts w:ascii="Calibri" w:hAnsi="Calibri" w:cs="Calibri"/>
        </w:rPr>
      </w:pPr>
      <w:r w:rsidRPr="004E5BC8">
        <w:rPr>
          <w:rFonts w:ascii="Calibri" w:hAnsi="Calibri" w:cs="Calibri"/>
        </w:rPr>
        <w:t xml:space="preserve">Gravells, A. (2016) </w:t>
      </w:r>
      <w:r w:rsidRPr="004E5BC8">
        <w:rPr>
          <w:rFonts w:ascii="Calibri" w:hAnsi="Calibri" w:cs="Calibri"/>
          <w:i/>
          <w:iCs/>
        </w:rPr>
        <w:t>Principles and practices of quality assurance: A guide for internal and external quality assurers in the FE and skills sector</w:t>
      </w:r>
      <w:r w:rsidRPr="004E5BC8">
        <w:rPr>
          <w:rFonts w:ascii="Calibri" w:hAnsi="Calibri" w:cs="Calibri"/>
        </w:rPr>
        <w:t>. London: Sage.</w:t>
      </w:r>
    </w:p>
    <w:p w14:paraId="79C82F29" w14:textId="77777777" w:rsidR="004E5BC8" w:rsidRPr="004E5BC8" w:rsidRDefault="004E5BC8" w:rsidP="004E5BC8">
      <w:pPr>
        <w:rPr>
          <w:rFonts w:ascii="Calibri" w:hAnsi="Calibri" w:cs="Calibri"/>
        </w:rPr>
      </w:pPr>
      <w:r w:rsidRPr="004E5BC8">
        <w:rPr>
          <w:rFonts w:ascii="Calibri" w:hAnsi="Calibri" w:cs="Calibri"/>
        </w:rPr>
        <w:t xml:space="preserve">Hargreaves, A. and Shirley, D. (2009) </w:t>
      </w:r>
      <w:r w:rsidRPr="004E5BC8">
        <w:rPr>
          <w:rFonts w:ascii="Calibri" w:hAnsi="Calibri" w:cs="Calibri"/>
          <w:i/>
          <w:iCs/>
        </w:rPr>
        <w:t>The fourth way: The inspiring future for educational change</w:t>
      </w:r>
      <w:r w:rsidRPr="004E5BC8">
        <w:rPr>
          <w:rFonts w:ascii="Calibri" w:hAnsi="Calibri" w:cs="Calibri"/>
        </w:rPr>
        <w:t>. Thousand Oaks, CA: Corwin.</w:t>
      </w:r>
    </w:p>
    <w:p w14:paraId="0FC63075" w14:textId="77777777" w:rsidR="004E5BC8" w:rsidRPr="004E5BC8" w:rsidRDefault="004E5BC8" w:rsidP="004E5BC8">
      <w:pPr>
        <w:rPr>
          <w:rFonts w:ascii="Calibri" w:hAnsi="Calibri" w:cs="Calibri"/>
        </w:rPr>
      </w:pPr>
      <w:proofErr w:type="spellStart"/>
      <w:r w:rsidRPr="004E5BC8">
        <w:rPr>
          <w:rFonts w:ascii="Calibri" w:hAnsi="Calibri" w:cs="Calibri"/>
        </w:rPr>
        <w:t>Hazelkorn</w:t>
      </w:r>
      <w:proofErr w:type="spellEnd"/>
      <w:r w:rsidRPr="004E5BC8">
        <w:rPr>
          <w:rFonts w:ascii="Calibri" w:hAnsi="Calibri" w:cs="Calibri"/>
        </w:rPr>
        <w:t xml:space="preserve">, E. (2016) </w:t>
      </w:r>
      <w:r w:rsidRPr="004E5BC8">
        <w:rPr>
          <w:rFonts w:ascii="Calibri" w:hAnsi="Calibri" w:cs="Calibri"/>
          <w:i/>
          <w:iCs/>
        </w:rPr>
        <w:t>Towards 2030: A framework for building a world-class post-compulsory education system for Wales</w:t>
      </w:r>
      <w:r w:rsidRPr="004E5BC8">
        <w:rPr>
          <w:rFonts w:ascii="Calibri" w:hAnsi="Calibri" w:cs="Calibri"/>
        </w:rPr>
        <w:t>. Cardiff: Welsh Government.</w:t>
      </w:r>
    </w:p>
    <w:p w14:paraId="413DB605" w14:textId="77777777" w:rsidR="004E5BC8" w:rsidRPr="004E5BC8" w:rsidRDefault="004E5BC8" w:rsidP="004E5BC8">
      <w:pPr>
        <w:rPr>
          <w:rFonts w:ascii="Calibri" w:hAnsi="Calibri" w:cs="Calibri"/>
        </w:rPr>
      </w:pPr>
      <w:r w:rsidRPr="004E5BC8">
        <w:rPr>
          <w:rFonts w:ascii="Calibri" w:hAnsi="Calibri" w:cs="Calibri"/>
        </w:rPr>
        <w:t xml:space="preserve">Howells, V. (2025) </w:t>
      </w:r>
      <w:r w:rsidRPr="004E5BC8">
        <w:rPr>
          <w:rFonts w:ascii="Calibri" w:hAnsi="Calibri" w:cs="Calibri"/>
          <w:i/>
          <w:iCs/>
        </w:rPr>
        <w:t>Written statement: Implementation of the Tertiary Education and Research (Wales) Act 2022</w:t>
      </w:r>
      <w:r w:rsidRPr="004E5BC8">
        <w:rPr>
          <w:rFonts w:ascii="Calibri" w:hAnsi="Calibri" w:cs="Calibri"/>
        </w:rPr>
        <w:t>. Cardiff: Welsh Government, 2 December.</w:t>
      </w:r>
    </w:p>
    <w:p w14:paraId="777CBC86" w14:textId="77777777" w:rsidR="004E5BC8" w:rsidRPr="004E5BC8" w:rsidRDefault="004E5BC8" w:rsidP="004E5BC8">
      <w:pPr>
        <w:rPr>
          <w:rFonts w:ascii="Calibri" w:hAnsi="Calibri" w:cs="Calibri"/>
        </w:rPr>
      </w:pPr>
      <w:r w:rsidRPr="004E5BC8">
        <w:rPr>
          <w:rFonts w:ascii="Calibri" w:hAnsi="Calibri" w:cs="Calibri"/>
        </w:rPr>
        <w:t xml:space="preserve">Jameson, J. and </w:t>
      </w:r>
      <w:proofErr w:type="spellStart"/>
      <w:r w:rsidRPr="004E5BC8">
        <w:rPr>
          <w:rFonts w:ascii="Calibri" w:hAnsi="Calibri" w:cs="Calibri"/>
        </w:rPr>
        <w:t>McNay</w:t>
      </w:r>
      <w:proofErr w:type="spellEnd"/>
      <w:r w:rsidRPr="004E5BC8">
        <w:rPr>
          <w:rFonts w:ascii="Calibri" w:hAnsi="Calibri" w:cs="Calibri"/>
        </w:rPr>
        <w:t xml:space="preserve">, I. (2007) </w:t>
      </w:r>
      <w:r w:rsidRPr="004E5BC8">
        <w:rPr>
          <w:rFonts w:ascii="Calibri" w:hAnsi="Calibri" w:cs="Calibri"/>
          <w:i/>
          <w:iCs/>
        </w:rPr>
        <w:t>The ultimate FE leadership and management handbook</w:t>
      </w:r>
      <w:r w:rsidRPr="004E5BC8">
        <w:rPr>
          <w:rFonts w:ascii="Calibri" w:hAnsi="Calibri" w:cs="Calibri"/>
        </w:rPr>
        <w:t>. London: Continuum.</w:t>
      </w:r>
    </w:p>
    <w:p w14:paraId="0759514D" w14:textId="77777777" w:rsidR="004E5BC8" w:rsidRPr="004E5BC8" w:rsidRDefault="004E5BC8" w:rsidP="004E5BC8">
      <w:pPr>
        <w:rPr>
          <w:rFonts w:ascii="Calibri" w:hAnsi="Calibri" w:cs="Calibri"/>
        </w:rPr>
      </w:pPr>
      <w:r w:rsidRPr="004E5BC8">
        <w:rPr>
          <w:rFonts w:ascii="Calibri" w:hAnsi="Calibri" w:cs="Calibri"/>
        </w:rPr>
        <w:t xml:space="preserve">Kelly, U. and McNicoll, I. (2021) </w:t>
      </w:r>
      <w:r w:rsidRPr="004E5BC8">
        <w:rPr>
          <w:rFonts w:ascii="Calibri" w:hAnsi="Calibri" w:cs="Calibri"/>
          <w:i/>
          <w:iCs/>
        </w:rPr>
        <w:t>The economic impact of higher education in Wales</w:t>
      </w:r>
      <w:r w:rsidRPr="004E5BC8">
        <w:rPr>
          <w:rFonts w:ascii="Calibri" w:hAnsi="Calibri" w:cs="Calibri"/>
        </w:rPr>
        <w:t xml:space="preserve">. Cardiff: Universities Wales / </w:t>
      </w:r>
      <w:proofErr w:type="spellStart"/>
      <w:r w:rsidRPr="004E5BC8">
        <w:rPr>
          <w:rFonts w:ascii="Calibri" w:hAnsi="Calibri" w:cs="Calibri"/>
        </w:rPr>
        <w:t>Viewforth</w:t>
      </w:r>
      <w:proofErr w:type="spellEnd"/>
      <w:r w:rsidRPr="004E5BC8">
        <w:rPr>
          <w:rFonts w:ascii="Calibri" w:hAnsi="Calibri" w:cs="Calibri"/>
        </w:rPr>
        <w:t xml:space="preserve"> Consulting.</w:t>
      </w:r>
    </w:p>
    <w:p w14:paraId="0890AAC0" w14:textId="77777777" w:rsidR="004E5BC8" w:rsidRPr="004E5BC8" w:rsidRDefault="004E5BC8" w:rsidP="004E5BC8">
      <w:pPr>
        <w:rPr>
          <w:rFonts w:ascii="Calibri" w:hAnsi="Calibri" w:cs="Calibri"/>
        </w:rPr>
      </w:pPr>
      <w:proofErr w:type="spellStart"/>
      <w:r w:rsidRPr="004E5BC8">
        <w:rPr>
          <w:rFonts w:ascii="Calibri" w:hAnsi="Calibri" w:cs="Calibri"/>
        </w:rPr>
        <w:t>Medr</w:t>
      </w:r>
      <w:proofErr w:type="spellEnd"/>
      <w:r w:rsidRPr="004E5BC8">
        <w:rPr>
          <w:rFonts w:ascii="Calibri" w:hAnsi="Calibri" w:cs="Calibri"/>
        </w:rPr>
        <w:t xml:space="preserve"> (2025) </w:t>
      </w:r>
      <w:r w:rsidRPr="004E5BC8">
        <w:rPr>
          <w:rFonts w:ascii="Calibri" w:hAnsi="Calibri" w:cs="Calibri"/>
          <w:i/>
          <w:iCs/>
        </w:rPr>
        <w:t>Strategic plan 2025–2030</w:t>
      </w:r>
      <w:r w:rsidRPr="004E5BC8">
        <w:rPr>
          <w:rFonts w:ascii="Calibri" w:hAnsi="Calibri" w:cs="Calibri"/>
        </w:rPr>
        <w:t xml:space="preserve">. Cardiff: </w:t>
      </w:r>
      <w:proofErr w:type="spellStart"/>
      <w:r w:rsidRPr="004E5BC8">
        <w:rPr>
          <w:rFonts w:ascii="Calibri" w:hAnsi="Calibri" w:cs="Calibri"/>
        </w:rPr>
        <w:t>Medr</w:t>
      </w:r>
      <w:proofErr w:type="spellEnd"/>
      <w:r w:rsidRPr="004E5BC8">
        <w:rPr>
          <w:rFonts w:ascii="Calibri" w:hAnsi="Calibri" w:cs="Calibri"/>
        </w:rPr>
        <w:t>.</w:t>
      </w:r>
    </w:p>
    <w:p w14:paraId="30F34EEF" w14:textId="77777777" w:rsidR="004E5BC8" w:rsidRPr="004E5BC8" w:rsidRDefault="004E5BC8" w:rsidP="004E5BC8">
      <w:pPr>
        <w:rPr>
          <w:rFonts w:ascii="Calibri" w:hAnsi="Calibri" w:cs="Calibri"/>
        </w:rPr>
      </w:pPr>
      <w:proofErr w:type="spellStart"/>
      <w:r w:rsidRPr="004E5BC8">
        <w:rPr>
          <w:rFonts w:ascii="Calibri" w:hAnsi="Calibri" w:cs="Calibri"/>
        </w:rPr>
        <w:t>Medr</w:t>
      </w:r>
      <w:proofErr w:type="spellEnd"/>
      <w:r w:rsidRPr="004E5BC8">
        <w:rPr>
          <w:rFonts w:ascii="Calibri" w:hAnsi="Calibri" w:cs="Calibri"/>
        </w:rPr>
        <w:t xml:space="preserve"> (2026) </w:t>
      </w:r>
      <w:r w:rsidRPr="004E5BC8">
        <w:rPr>
          <w:rFonts w:ascii="Calibri" w:hAnsi="Calibri" w:cs="Calibri"/>
          <w:i/>
          <w:iCs/>
        </w:rPr>
        <w:t>Funding data and regulatory updates</w:t>
      </w:r>
      <w:r w:rsidRPr="004E5BC8">
        <w:rPr>
          <w:rFonts w:ascii="Calibri" w:hAnsi="Calibri" w:cs="Calibri"/>
        </w:rPr>
        <w:t xml:space="preserve">. Cardiff: </w:t>
      </w:r>
      <w:proofErr w:type="spellStart"/>
      <w:r w:rsidRPr="004E5BC8">
        <w:rPr>
          <w:rFonts w:ascii="Calibri" w:hAnsi="Calibri" w:cs="Calibri"/>
        </w:rPr>
        <w:t>Medr</w:t>
      </w:r>
      <w:proofErr w:type="spellEnd"/>
      <w:r w:rsidRPr="004E5BC8">
        <w:rPr>
          <w:rFonts w:ascii="Calibri" w:hAnsi="Calibri" w:cs="Calibri"/>
        </w:rPr>
        <w:t>.</w:t>
      </w:r>
    </w:p>
    <w:p w14:paraId="0127EFBC" w14:textId="77777777" w:rsidR="004E5BC8" w:rsidRPr="004E5BC8" w:rsidRDefault="004E5BC8" w:rsidP="004E5BC8">
      <w:pPr>
        <w:rPr>
          <w:rFonts w:ascii="Calibri" w:hAnsi="Calibri" w:cs="Calibri"/>
        </w:rPr>
      </w:pPr>
      <w:r w:rsidRPr="004E5BC8">
        <w:rPr>
          <w:rFonts w:ascii="Calibri" w:hAnsi="Calibri" w:cs="Calibri"/>
        </w:rPr>
        <w:t xml:space="preserve">OECD (2008) </w:t>
      </w:r>
      <w:r w:rsidRPr="004E5BC8">
        <w:rPr>
          <w:rFonts w:ascii="Calibri" w:hAnsi="Calibri" w:cs="Calibri"/>
          <w:i/>
          <w:iCs/>
        </w:rPr>
        <w:t>OECD reviews of tertiary education: New Zealand</w:t>
      </w:r>
      <w:r w:rsidRPr="004E5BC8">
        <w:rPr>
          <w:rFonts w:ascii="Calibri" w:hAnsi="Calibri" w:cs="Calibri"/>
        </w:rPr>
        <w:t>. Paris: OECD Publishing.</w:t>
      </w:r>
    </w:p>
    <w:p w14:paraId="7424A8A8" w14:textId="77777777" w:rsidR="004E5BC8" w:rsidRPr="004E5BC8" w:rsidRDefault="004E5BC8" w:rsidP="004E5BC8">
      <w:pPr>
        <w:rPr>
          <w:rFonts w:ascii="Calibri" w:hAnsi="Calibri" w:cs="Calibri"/>
        </w:rPr>
      </w:pPr>
      <w:proofErr w:type="spellStart"/>
      <w:r w:rsidRPr="004E5BC8">
        <w:rPr>
          <w:rFonts w:ascii="Calibri" w:hAnsi="Calibri" w:cs="Calibri"/>
        </w:rPr>
        <w:t>Pember</w:t>
      </w:r>
      <w:proofErr w:type="spellEnd"/>
      <w:r w:rsidRPr="004E5BC8">
        <w:rPr>
          <w:rFonts w:ascii="Calibri" w:hAnsi="Calibri" w:cs="Calibri"/>
        </w:rPr>
        <w:t xml:space="preserve">, S. et al. (2021) </w:t>
      </w:r>
      <w:r w:rsidRPr="004E5BC8">
        <w:rPr>
          <w:rFonts w:ascii="Calibri" w:hAnsi="Calibri" w:cs="Calibri"/>
          <w:i/>
          <w:iCs/>
        </w:rPr>
        <w:t>Supporting the Welsh lifelong learning system</w:t>
      </w:r>
      <w:r w:rsidRPr="004E5BC8">
        <w:rPr>
          <w:rFonts w:ascii="Calibri" w:hAnsi="Calibri" w:cs="Calibri"/>
        </w:rPr>
        <w:t>. Cardiff: Wales Centre for Public Policy.</w:t>
      </w:r>
    </w:p>
    <w:p w14:paraId="3D671910" w14:textId="38702D03" w:rsidR="004E5BC8" w:rsidRPr="004E5BC8" w:rsidRDefault="004E5BC8" w:rsidP="004E5BC8">
      <w:pPr>
        <w:rPr>
          <w:rFonts w:ascii="Calibri" w:hAnsi="Calibri" w:cs="Calibri"/>
        </w:rPr>
      </w:pPr>
      <w:r w:rsidRPr="004E5BC8">
        <w:rPr>
          <w:rFonts w:ascii="Calibri" w:hAnsi="Calibri" w:cs="Calibri"/>
        </w:rPr>
        <w:t xml:space="preserve">Schram, A. (2026) ‘Structural collapse in Welsh higher education: A crisis of executive leadership?’ </w:t>
      </w:r>
      <w:r w:rsidRPr="004E5BC8">
        <w:rPr>
          <w:rFonts w:ascii="Calibri" w:hAnsi="Calibri" w:cs="Calibri"/>
          <w:i/>
          <w:iCs/>
        </w:rPr>
        <w:t>LinkedIn Pulse</w:t>
      </w:r>
      <w:r w:rsidRPr="004E5BC8">
        <w:rPr>
          <w:rFonts w:ascii="Calibri" w:hAnsi="Calibri" w:cs="Calibri"/>
        </w:rPr>
        <w:t xml:space="preserve">, 12 March. Available at: </w:t>
      </w:r>
      <w:hyperlink r:id="rId8" w:tgtFrame="_blank" w:history="1">
        <w:r w:rsidRPr="004E5BC8">
          <w:rPr>
            <w:rStyle w:val="Hyperlink"/>
            <w:rFonts w:ascii="Calibri" w:hAnsi="Calibri" w:cs="Calibri"/>
          </w:rPr>
          <w:t>https://www.linkedin.com/pulse/structural-collapse-welsh-higher-education-crisis-executive-schram-qcvvf/</w:t>
        </w:r>
      </w:hyperlink>
      <w:r w:rsidRPr="004E5BC8">
        <w:rPr>
          <w:rFonts w:ascii="Calibri" w:hAnsi="Calibri" w:cs="Calibri"/>
        </w:rPr>
        <w:t xml:space="preserve"> (Accessed: 1</w:t>
      </w:r>
      <w:r>
        <w:rPr>
          <w:rFonts w:ascii="Calibri" w:hAnsi="Calibri" w:cs="Calibri"/>
        </w:rPr>
        <w:t>2</w:t>
      </w:r>
      <w:r w:rsidRPr="004E5BC8">
        <w:rPr>
          <w:rFonts w:ascii="Calibri" w:hAnsi="Calibri" w:cs="Calibri"/>
        </w:rPr>
        <w:t xml:space="preserve"> April 2026).</w:t>
      </w:r>
    </w:p>
    <w:p w14:paraId="37394CB6" w14:textId="77777777" w:rsidR="004E5BC8" w:rsidRPr="004E5BC8" w:rsidRDefault="004E5BC8" w:rsidP="004E5BC8">
      <w:pPr>
        <w:rPr>
          <w:rFonts w:ascii="Calibri" w:hAnsi="Calibri" w:cs="Calibri"/>
        </w:rPr>
      </w:pPr>
      <w:r w:rsidRPr="004E5BC8">
        <w:rPr>
          <w:rFonts w:ascii="Calibri" w:hAnsi="Calibri" w:cs="Calibri"/>
        </w:rPr>
        <w:t xml:space="preserve">Senge, P.M. (1990) </w:t>
      </w:r>
      <w:r w:rsidRPr="004E5BC8">
        <w:rPr>
          <w:rFonts w:ascii="Calibri" w:hAnsi="Calibri" w:cs="Calibri"/>
          <w:i/>
          <w:iCs/>
        </w:rPr>
        <w:t>The fifth discipline: The art and practice of the learning organization</w:t>
      </w:r>
      <w:r w:rsidRPr="004E5BC8">
        <w:rPr>
          <w:rFonts w:ascii="Calibri" w:hAnsi="Calibri" w:cs="Calibri"/>
        </w:rPr>
        <w:t>. New York: Doubleday.</w:t>
      </w:r>
    </w:p>
    <w:p w14:paraId="2C40AA0D" w14:textId="1A1869FA" w:rsidR="004E5BC8" w:rsidRPr="004E5BC8" w:rsidRDefault="004E5BC8" w:rsidP="004E5BC8">
      <w:pPr>
        <w:rPr>
          <w:rFonts w:ascii="Calibri" w:hAnsi="Calibri" w:cs="Calibri"/>
        </w:rPr>
      </w:pPr>
      <w:r w:rsidRPr="004E5BC8">
        <w:rPr>
          <w:rFonts w:ascii="Calibri" w:hAnsi="Calibri" w:cs="Calibri"/>
        </w:rPr>
        <w:t xml:space="preserve">Times Higher Education (2026) ‘Welsh universities face record deficits as redundancies mount’, 18 February. Available at: </w:t>
      </w:r>
      <w:hyperlink r:id="rId9" w:tgtFrame="_blank" w:history="1">
        <w:r w:rsidRPr="004E5BC8">
          <w:rPr>
            <w:rStyle w:val="Hyperlink"/>
            <w:rFonts w:ascii="Calibri" w:hAnsi="Calibri" w:cs="Calibri"/>
          </w:rPr>
          <w:t>www.timeshighereducation.com</w:t>
        </w:r>
      </w:hyperlink>
      <w:r w:rsidRPr="004E5BC8">
        <w:rPr>
          <w:rFonts w:ascii="Calibri" w:hAnsi="Calibri" w:cs="Calibri"/>
        </w:rPr>
        <w:t xml:space="preserve"> (Accessed: 1</w:t>
      </w:r>
      <w:r>
        <w:rPr>
          <w:rFonts w:ascii="Calibri" w:hAnsi="Calibri" w:cs="Calibri"/>
        </w:rPr>
        <w:t>2</w:t>
      </w:r>
      <w:r w:rsidRPr="004E5BC8">
        <w:rPr>
          <w:rFonts w:ascii="Calibri" w:hAnsi="Calibri" w:cs="Calibri"/>
        </w:rPr>
        <w:t xml:space="preserve"> April 2026).</w:t>
      </w:r>
    </w:p>
    <w:p w14:paraId="47C87696" w14:textId="77777777" w:rsidR="004E5BC8" w:rsidRPr="004E5BC8" w:rsidRDefault="004E5BC8" w:rsidP="004E5BC8">
      <w:pPr>
        <w:rPr>
          <w:rFonts w:ascii="Calibri" w:hAnsi="Calibri" w:cs="Calibri"/>
        </w:rPr>
      </w:pPr>
      <w:r w:rsidRPr="004E5BC8">
        <w:rPr>
          <w:rFonts w:ascii="Calibri" w:hAnsi="Calibri" w:cs="Calibri"/>
        </w:rPr>
        <w:t xml:space="preserve">Welsh Government (2015) </w:t>
      </w:r>
      <w:r w:rsidRPr="004E5BC8">
        <w:rPr>
          <w:rFonts w:ascii="Calibri" w:hAnsi="Calibri" w:cs="Calibri"/>
          <w:i/>
          <w:iCs/>
        </w:rPr>
        <w:t>Well-being of Future Generations (Wales) Act 2015</w:t>
      </w:r>
      <w:r w:rsidRPr="004E5BC8">
        <w:rPr>
          <w:rFonts w:ascii="Calibri" w:hAnsi="Calibri" w:cs="Calibri"/>
        </w:rPr>
        <w:t>. Cardiff: Welsh Government.</w:t>
      </w:r>
    </w:p>
    <w:p w14:paraId="707A255E" w14:textId="77777777" w:rsidR="004E5BC8" w:rsidRPr="004E5BC8" w:rsidRDefault="004E5BC8" w:rsidP="004E5BC8">
      <w:pPr>
        <w:rPr>
          <w:rFonts w:ascii="Calibri" w:hAnsi="Calibri" w:cs="Calibri"/>
        </w:rPr>
      </w:pPr>
      <w:r w:rsidRPr="004E5BC8">
        <w:rPr>
          <w:rFonts w:ascii="Calibri" w:hAnsi="Calibri" w:cs="Calibri"/>
        </w:rPr>
        <w:t xml:space="preserve">Welsh Government (2017) </w:t>
      </w:r>
      <w:r w:rsidRPr="004E5BC8">
        <w:rPr>
          <w:rFonts w:ascii="Calibri" w:hAnsi="Calibri" w:cs="Calibri"/>
          <w:i/>
          <w:iCs/>
        </w:rPr>
        <w:t>Public good and a prosperous Wales – Building a reformed PCET system</w:t>
      </w:r>
      <w:r w:rsidRPr="004E5BC8">
        <w:rPr>
          <w:rFonts w:ascii="Calibri" w:hAnsi="Calibri" w:cs="Calibri"/>
        </w:rPr>
        <w:t>. Cardiff: Welsh Government.</w:t>
      </w:r>
    </w:p>
    <w:p w14:paraId="5DCF8200" w14:textId="35A64D20" w:rsidR="001A6BF5" w:rsidRPr="001A6BF5" w:rsidRDefault="004E5BC8" w:rsidP="001A6BF5">
      <w:pPr>
        <w:rPr>
          <w:rFonts w:ascii="Calibri" w:hAnsi="Calibri" w:cs="Calibri"/>
        </w:rPr>
      </w:pPr>
      <w:r w:rsidRPr="004E5BC8">
        <w:rPr>
          <w:rFonts w:ascii="Calibri" w:hAnsi="Calibri" w:cs="Calibri"/>
        </w:rPr>
        <w:t xml:space="preserve">Welsh Government (2022) </w:t>
      </w:r>
      <w:r w:rsidRPr="004E5BC8">
        <w:rPr>
          <w:rFonts w:ascii="Calibri" w:hAnsi="Calibri" w:cs="Calibri"/>
          <w:i/>
          <w:iCs/>
        </w:rPr>
        <w:t>Tertiary Education and Research (Wales) Act 2022</w:t>
      </w:r>
      <w:r w:rsidRPr="004E5BC8">
        <w:rPr>
          <w:rFonts w:ascii="Calibri" w:hAnsi="Calibri" w:cs="Calibri"/>
        </w:rPr>
        <w:t>. Cardiff: Welsh Government.</w:t>
      </w:r>
    </w:p>
    <w:sectPr w:rsidR="001A6BF5" w:rsidRPr="001A6BF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47E55" w14:textId="77777777" w:rsidR="00F72B87" w:rsidRDefault="00F72B87" w:rsidP="00F72B87">
      <w:pPr>
        <w:spacing w:after="0" w:line="240" w:lineRule="auto"/>
      </w:pPr>
      <w:r>
        <w:separator/>
      </w:r>
    </w:p>
  </w:endnote>
  <w:endnote w:type="continuationSeparator" w:id="0">
    <w:p w14:paraId="24A19B4A" w14:textId="77777777" w:rsidR="00F72B87" w:rsidRDefault="00F72B87" w:rsidP="00F72B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C66C6" w14:textId="77777777" w:rsidR="00F72B87" w:rsidRDefault="00F72B87" w:rsidP="00F72B87">
      <w:pPr>
        <w:spacing w:after="0" w:line="240" w:lineRule="auto"/>
      </w:pPr>
      <w:r>
        <w:separator/>
      </w:r>
    </w:p>
  </w:footnote>
  <w:footnote w:type="continuationSeparator" w:id="0">
    <w:p w14:paraId="274F8257" w14:textId="77777777" w:rsidR="00F72B87" w:rsidRDefault="00F72B87" w:rsidP="00F72B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90FDF" w14:textId="021F3B0B" w:rsidR="00F72B87" w:rsidRDefault="00F72B87">
    <w:pPr>
      <w:pStyle w:val="Header"/>
    </w:pPr>
    <w:r>
      <w:t>David Jones-Evans</w:t>
    </w:r>
    <w:r>
      <w:tab/>
      <w:t>2517683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C73DC"/>
    <w:multiLevelType w:val="multilevel"/>
    <w:tmpl w:val="20FA9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F55C76"/>
    <w:multiLevelType w:val="multilevel"/>
    <w:tmpl w:val="D0422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3780270">
    <w:abstractNumId w:val="0"/>
  </w:num>
  <w:num w:numId="2" w16cid:durableId="5596804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BF5"/>
    <w:rsid w:val="00035530"/>
    <w:rsid w:val="0004401D"/>
    <w:rsid w:val="00051453"/>
    <w:rsid w:val="00066DDD"/>
    <w:rsid w:val="000C409F"/>
    <w:rsid w:val="00147B25"/>
    <w:rsid w:val="001A6BF5"/>
    <w:rsid w:val="00206851"/>
    <w:rsid w:val="00256534"/>
    <w:rsid w:val="00296481"/>
    <w:rsid w:val="00427B5D"/>
    <w:rsid w:val="00451AC1"/>
    <w:rsid w:val="004723F2"/>
    <w:rsid w:val="004E5BC8"/>
    <w:rsid w:val="00580796"/>
    <w:rsid w:val="005E339C"/>
    <w:rsid w:val="005F21F4"/>
    <w:rsid w:val="00604A69"/>
    <w:rsid w:val="0061269E"/>
    <w:rsid w:val="00670E61"/>
    <w:rsid w:val="00675560"/>
    <w:rsid w:val="0069122D"/>
    <w:rsid w:val="006C373D"/>
    <w:rsid w:val="007D4FBB"/>
    <w:rsid w:val="008F33D6"/>
    <w:rsid w:val="00901D48"/>
    <w:rsid w:val="009349CC"/>
    <w:rsid w:val="009A7B66"/>
    <w:rsid w:val="009B12C0"/>
    <w:rsid w:val="00A259D2"/>
    <w:rsid w:val="00A25D02"/>
    <w:rsid w:val="00A66894"/>
    <w:rsid w:val="00AB37CD"/>
    <w:rsid w:val="00B7058A"/>
    <w:rsid w:val="00B93E9A"/>
    <w:rsid w:val="00BA55E2"/>
    <w:rsid w:val="00C87198"/>
    <w:rsid w:val="00CB46EE"/>
    <w:rsid w:val="00CE71E8"/>
    <w:rsid w:val="00D07B03"/>
    <w:rsid w:val="00D2072D"/>
    <w:rsid w:val="00D66776"/>
    <w:rsid w:val="00DB6B2C"/>
    <w:rsid w:val="00EB0DE4"/>
    <w:rsid w:val="00F351A5"/>
    <w:rsid w:val="00F42A70"/>
    <w:rsid w:val="00F64227"/>
    <w:rsid w:val="00F72B87"/>
    <w:rsid w:val="00FB0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A8884"/>
  <w15:chartTrackingRefBased/>
  <w15:docId w15:val="{CC61FB28-926F-47B0-821C-6BAB77869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6B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6B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6B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6B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6B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6B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6B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6B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6B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6B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6B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6B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6B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6B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6B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6B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6B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6BF5"/>
    <w:rPr>
      <w:rFonts w:eastAsiaTheme="majorEastAsia" w:cstheme="majorBidi"/>
      <w:color w:val="272727" w:themeColor="text1" w:themeTint="D8"/>
    </w:rPr>
  </w:style>
  <w:style w:type="paragraph" w:styleId="Title">
    <w:name w:val="Title"/>
    <w:basedOn w:val="Normal"/>
    <w:next w:val="Normal"/>
    <w:link w:val="TitleChar"/>
    <w:uiPriority w:val="10"/>
    <w:qFormat/>
    <w:rsid w:val="001A6B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6B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6B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6B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6BF5"/>
    <w:pPr>
      <w:spacing w:before="160"/>
      <w:jc w:val="center"/>
    </w:pPr>
    <w:rPr>
      <w:i/>
      <w:iCs/>
      <w:color w:val="404040" w:themeColor="text1" w:themeTint="BF"/>
    </w:rPr>
  </w:style>
  <w:style w:type="character" w:customStyle="1" w:styleId="QuoteChar">
    <w:name w:val="Quote Char"/>
    <w:basedOn w:val="DefaultParagraphFont"/>
    <w:link w:val="Quote"/>
    <w:uiPriority w:val="29"/>
    <w:rsid w:val="001A6BF5"/>
    <w:rPr>
      <w:i/>
      <w:iCs/>
      <w:color w:val="404040" w:themeColor="text1" w:themeTint="BF"/>
    </w:rPr>
  </w:style>
  <w:style w:type="paragraph" w:styleId="ListParagraph">
    <w:name w:val="List Paragraph"/>
    <w:basedOn w:val="Normal"/>
    <w:uiPriority w:val="34"/>
    <w:qFormat/>
    <w:rsid w:val="001A6BF5"/>
    <w:pPr>
      <w:ind w:left="720"/>
      <w:contextualSpacing/>
    </w:pPr>
  </w:style>
  <w:style w:type="character" w:styleId="IntenseEmphasis">
    <w:name w:val="Intense Emphasis"/>
    <w:basedOn w:val="DefaultParagraphFont"/>
    <w:uiPriority w:val="21"/>
    <w:qFormat/>
    <w:rsid w:val="001A6BF5"/>
    <w:rPr>
      <w:i/>
      <w:iCs/>
      <w:color w:val="0F4761" w:themeColor="accent1" w:themeShade="BF"/>
    </w:rPr>
  </w:style>
  <w:style w:type="paragraph" w:styleId="IntenseQuote">
    <w:name w:val="Intense Quote"/>
    <w:basedOn w:val="Normal"/>
    <w:next w:val="Normal"/>
    <w:link w:val="IntenseQuoteChar"/>
    <w:uiPriority w:val="30"/>
    <w:qFormat/>
    <w:rsid w:val="001A6B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6BF5"/>
    <w:rPr>
      <w:i/>
      <w:iCs/>
      <w:color w:val="0F4761" w:themeColor="accent1" w:themeShade="BF"/>
    </w:rPr>
  </w:style>
  <w:style w:type="character" w:styleId="IntenseReference">
    <w:name w:val="Intense Reference"/>
    <w:basedOn w:val="DefaultParagraphFont"/>
    <w:uiPriority w:val="32"/>
    <w:qFormat/>
    <w:rsid w:val="001A6BF5"/>
    <w:rPr>
      <w:b/>
      <w:bCs/>
      <w:smallCaps/>
      <w:color w:val="0F4761" w:themeColor="accent1" w:themeShade="BF"/>
      <w:spacing w:val="5"/>
    </w:rPr>
  </w:style>
  <w:style w:type="paragraph" w:styleId="NormalWeb">
    <w:name w:val="Normal (Web)"/>
    <w:basedOn w:val="Normal"/>
    <w:uiPriority w:val="99"/>
    <w:semiHidden/>
    <w:unhideWhenUsed/>
    <w:rsid w:val="0061269E"/>
    <w:rPr>
      <w:rFonts w:ascii="Times New Roman" w:hAnsi="Times New Roman" w:cs="Times New Roman"/>
      <w:sz w:val="24"/>
      <w:szCs w:val="24"/>
    </w:rPr>
  </w:style>
  <w:style w:type="character" w:styleId="Hyperlink">
    <w:name w:val="Hyperlink"/>
    <w:basedOn w:val="DefaultParagraphFont"/>
    <w:uiPriority w:val="99"/>
    <w:unhideWhenUsed/>
    <w:rsid w:val="004E5BC8"/>
    <w:rPr>
      <w:color w:val="467886" w:themeColor="hyperlink"/>
      <w:u w:val="single"/>
    </w:rPr>
  </w:style>
  <w:style w:type="character" w:styleId="UnresolvedMention">
    <w:name w:val="Unresolved Mention"/>
    <w:basedOn w:val="DefaultParagraphFont"/>
    <w:uiPriority w:val="99"/>
    <w:semiHidden/>
    <w:unhideWhenUsed/>
    <w:rsid w:val="004E5BC8"/>
    <w:rPr>
      <w:color w:val="605E5C"/>
      <w:shd w:val="clear" w:color="auto" w:fill="E1DFDD"/>
    </w:rPr>
  </w:style>
  <w:style w:type="paragraph" w:styleId="Header">
    <w:name w:val="header"/>
    <w:basedOn w:val="Normal"/>
    <w:link w:val="HeaderChar"/>
    <w:uiPriority w:val="99"/>
    <w:unhideWhenUsed/>
    <w:rsid w:val="00F72B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B87"/>
  </w:style>
  <w:style w:type="paragraph" w:styleId="Footer">
    <w:name w:val="footer"/>
    <w:basedOn w:val="Normal"/>
    <w:link w:val="FooterChar"/>
    <w:uiPriority w:val="99"/>
    <w:unhideWhenUsed/>
    <w:rsid w:val="00F72B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B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3346">
      <w:bodyDiv w:val="1"/>
      <w:marLeft w:val="0"/>
      <w:marRight w:val="0"/>
      <w:marTop w:val="0"/>
      <w:marBottom w:val="0"/>
      <w:divBdr>
        <w:top w:val="none" w:sz="0" w:space="0" w:color="auto"/>
        <w:left w:val="none" w:sz="0" w:space="0" w:color="auto"/>
        <w:bottom w:val="none" w:sz="0" w:space="0" w:color="auto"/>
        <w:right w:val="none" w:sz="0" w:space="0" w:color="auto"/>
      </w:divBdr>
      <w:divsChild>
        <w:div w:id="1810125316">
          <w:marLeft w:val="0"/>
          <w:marRight w:val="0"/>
          <w:marTop w:val="0"/>
          <w:marBottom w:val="0"/>
          <w:divBdr>
            <w:top w:val="none" w:sz="0" w:space="0" w:color="auto"/>
            <w:left w:val="none" w:sz="0" w:space="0" w:color="auto"/>
            <w:bottom w:val="none" w:sz="0" w:space="0" w:color="auto"/>
            <w:right w:val="none" w:sz="0" w:space="0" w:color="auto"/>
          </w:divBdr>
        </w:div>
        <w:div w:id="266548104">
          <w:marLeft w:val="0"/>
          <w:marRight w:val="0"/>
          <w:marTop w:val="0"/>
          <w:marBottom w:val="0"/>
          <w:divBdr>
            <w:top w:val="none" w:sz="0" w:space="0" w:color="auto"/>
            <w:left w:val="none" w:sz="0" w:space="0" w:color="auto"/>
            <w:bottom w:val="none" w:sz="0" w:space="0" w:color="auto"/>
            <w:right w:val="none" w:sz="0" w:space="0" w:color="auto"/>
          </w:divBdr>
          <w:divsChild>
            <w:div w:id="8338440">
              <w:marLeft w:val="0"/>
              <w:marRight w:val="0"/>
              <w:marTop w:val="0"/>
              <w:marBottom w:val="0"/>
              <w:divBdr>
                <w:top w:val="none" w:sz="0" w:space="0" w:color="auto"/>
                <w:left w:val="none" w:sz="0" w:space="0" w:color="auto"/>
                <w:bottom w:val="none" w:sz="0" w:space="0" w:color="auto"/>
                <w:right w:val="none" w:sz="0" w:space="0" w:color="auto"/>
              </w:divBdr>
            </w:div>
          </w:divsChild>
        </w:div>
        <w:div w:id="1379742396">
          <w:marLeft w:val="0"/>
          <w:marRight w:val="0"/>
          <w:marTop w:val="0"/>
          <w:marBottom w:val="0"/>
          <w:divBdr>
            <w:top w:val="none" w:sz="0" w:space="0" w:color="auto"/>
            <w:left w:val="none" w:sz="0" w:space="0" w:color="auto"/>
            <w:bottom w:val="none" w:sz="0" w:space="0" w:color="auto"/>
            <w:right w:val="none" w:sz="0" w:space="0" w:color="auto"/>
          </w:divBdr>
        </w:div>
        <w:div w:id="1889143985">
          <w:marLeft w:val="0"/>
          <w:marRight w:val="0"/>
          <w:marTop w:val="0"/>
          <w:marBottom w:val="0"/>
          <w:divBdr>
            <w:top w:val="none" w:sz="0" w:space="0" w:color="auto"/>
            <w:left w:val="none" w:sz="0" w:space="0" w:color="auto"/>
            <w:bottom w:val="none" w:sz="0" w:space="0" w:color="auto"/>
            <w:right w:val="none" w:sz="0" w:space="0" w:color="auto"/>
          </w:divBdr>
        </w:div>
        <w:div w:id="1602445745">
          <w:marLeft w:val="0"/>
          <w:marRight w:val="0"/>
          <w:marTop w:val="0"/>
          <w:marBottom w:val="0"/>
          <w:divBdr>
            <w:top w:val="none" w:sz="0" w:space="0" w:color="auto"/>
            <w:left w:val="none" w:sz="0" w:space="0" w:color="auto"/>
            <w:bottom w:val="none" w:sz="0" w:space="0" w:color="auto"/>
            <w:right w:val="none" w:sz="0" w:space="0" w:color="auto"/>
          </w:divBdr>
        </w:div>
        <w:div w:id="772239591">
          <w:marLeft w:val="0"/>
          <w:marRight w:val="0"/>
          <w:marTop w:val="0"/>
          <w:marBottom w:val="0"/>
          <w:divBdr>
            <w:top w:val="none" w:sz="0" w:space="0" w:color="auto"/>
            <w:left w:val="none" w:sz="0" w:space="0" w:color="auto"/>
            <w:bottom w:val="none" w:sz="0" w:space="0" w:color="auto"/>
            <w:right w:val="none" w:sz="0" w:space="0" w:color="auto"/>
          </w:divBdr>
        </w:div>
      </w:divsChild>
    </w:div>
    <w:div w:id="38750534">
      <w:bodyDiv w:val="1"/>
      <w:marLeft w:val="0"/>
      <w:marRight w:val="0"/>
      <w:marTop w:val="0"/>
      <w:marBottom w:val="0"/>
      <w:divBdr>
        <w:top w:val="none" w:sz="0" w:space="0" w:color="auto"/>
        <w:left w:val="none" w:sz="0" w:space="0" w:color="auto"/>
        <w:bottom w:val="none" w:sz="0" w:space="0" w:color="auto"/>
        <w:right w:val="none" w:sz="0" w:space="0" w:color="auto"/>
      </w:divBdr>
    </w:div>
    <w:div w:id="93477195">
      <w:bodyDiv w:val="1"/>
      <w:marLeft w:val="0"/>
      <w:marRight w:val="0"/>
      <w:marTop w:val="0"/>
      <w:marBottom w:val="0"/>
      <w:divBdr>
        <w:top w:val="none" w:sz="0" w:space="0" w:color="auto"/>
        <w:left w:val="none" w:sz="0" w:space="0" w:color="auto"/>
        <w:bottom w:val="none" w:sz="0" w:space="0" w:color="auto"/>
        <w:right w:val="none" w:sz="0" w:space="0" w:color="auto"/>
      </w:divBdr>
    </w:div>
    <w:div w:id="240601105">
      <w:bodyDiv w:val="1"/>
      <w:marLeft w:val="0"/>
      <w:marRight w:val="0"/>
      <w:marTop w:val="0"/>
      <w:marBottom w:val="0"/>
      <w:divBdr>
        <w:top w:val="none" w:sz="0" w:space="0" w:color="auto"/>
        <w:left w:val="none" w:sz="0" w:space="0" w:color="auto"/>
        <w:bottom w:val="none" w:sz="0" w:space="0" w:color="auto"/>
        <w:right w:val="none" w:sz="0" w:space="0" w:color="auto"/>
      </w:divBdr>
    </w:div>
    <w:div w:id="243615512">
      <w:bodyDiv w:val="1"/>
      <w:marLeft w:val="0"/>
      <w:marRight w:val="0"/>
      <w:marTop w:val="0"/>
      <w:marBottom w:val="0"/>
      <w:divBdr>
        <w:top w:val="none" w:sz="0" w:space="0" w:color="auto"/>
        <w:left w:val="none" w:sz="0" w:space="0" w:color="auto"/>
        <w:bottom w:val="none" w:sz="0" w:space="0" w:color="auto"/>
        <w:right w:val="none" w:sz="0" w:space="0" w:color="auto"/>
      </w:divBdr>
    </w:div>
    <w:div w:id="253634422">
      <w:bodyDiv w:val="1"/>
      <w:marLeft w:val="0"/>
      <w:marRight w:val="0"/>
      <w:marTop w:val="0"/>
      <w:marBottom w:val="0"/>
      <w:divBdr>
        <w:top w:val="none" w:sz="0" w:space="0" w:color="auto"/>
        <w:left w:val="none" w:sz="0" w:space="0" w:color="auto"/>
        <w:bottom w:val="none" w:sz="0" w:space="0" w:color="auto"/>
        <w:right w:val="none" w:sz="0" w:space="0" w:color="auto"/>
      </w:divBdr>
    </w:div>
    <w:div w:id="286861544">
      <w:bodyDiv w:val="1"/>
      <w:marLeft w:val="0"/>
      <w:marRight w:val="0"/>
      <w:marTop w:val="0"/>
      <w:marBottom w:val="0"/>
      <w:divBdr>
        <w:top w:val="none" w:sz="0" w:space="0" w:color="auto"/>
        <w:left w:val="none" w:sz="0" w:space="0" w:color="auto"/>
        <w:bottom w:val="none" w:sz="0" w:space="0" w:color="auto"/>
        <w:right w:val="none" w:sz="0" w:space="0" w:color="auto"/>
      </w:divBdr>
    </w:div>
    <w:div w:id="296953311">
      <w:bodyDiv w:val="1"/>
      <w:marLeft w:val="0"/>
      <w:marRight w:val="0"/>
      <w:marTop w:val="0"/>
      <w:marBottom w:val="0"/>
      <w:divBdr>
        <w:top w:val="none" w:sz="0" w:space="0" w:color="auto"/>
        <w:left w:val="none" w:sz="0" w:space="0" w:color="auto"/>
        <w:bottom w:val="none" w:sz="0" w:space="0" w:color="auto"/>
        <w:right w:val="none" w:sz="0" w:space="0" w:color="auto"/>
      </w:divBdr>
    </w:div>
    <w:div w:id="333534870">
      <w:bodyDiv w:val="1"/>
      <w:marLeft w:val="0"/>
      <w:marRight w:val="0"/>
      <w:marTop w:val="0"/>
      <w:marBottom w:val="0"/>
      <w:divBdr>
        <w:top w:val="none" w:sz="0" w:space="0" w:color="auto"/>
        <w:left w:val="none" w:sz="0" w:space="0" w:color="auto"/>
        <w:bottom w:val="none" w:sz="0" w:space="0" w:color="auto"/>
        <w:right w:val="none" w:sz="0" w:space="0" w:color="auto"/>
      </w:divBdr>
    </w:div>
    <w:div w:id="423454027">
      <w:bodyDiv w:val="1"/>
      <w:marLeft w:val="0"/>
      <w:marRight w:val="0"/>
      <w:marTop w:val="0"/>
      <w:marBottom w:val="0"/>
      <w:divBdr>
        <w:top w:val="none" w:sz="0" w:space="0" w:color="auto"/>
        <w:left w:val="none" w:sz="0" w:space="0" w:color="auto"/>
        <w:bottom w:val="none" w:sz="0" w:space="0" w:color="auto"/>
        <w:right w:val="none" w:sz="0" w:space="0" w:color="auto"/>
      </w:divBdr>
    </w:div>
    <w:div w:id="459424322">
      <w:bodyDiv w:val="1"/>
      <w:marLeft w:val="0"/>
      <w:marRight w:val="0"/>
      <w:marTop w:val="0"/>
      <w:marBottom w:val="0"/>
      <w:divBdr>
        <w:top w:val="none" w:sz="0" w:space="0" w:color="auto"/>
        <w:left w:val="none" w:sz="0" w:space="0" w:color="auto"/>
        <w:bottom w:val="none" w:sz="0" w:space="0" w:color="auto"/>
        <w:right w:val="none" w:sz="0" w:space="0" w:color="auto"/>
      </w:divBdr>
    </w:div>
    <w:div w:id="482083713">
      <w:bodyDiv w:val="1"/>
      <w:marLeft w:val="0"/>
      <w:marRight w:val="0"/>
      <w:marTop w:val="0"/>
      <w:marBottom w:val="0"/>
      <w:divBdr>
        <w:top w:val="none" w:sz="0" w:space="0" w:color="auto"/>
        <w:left w:val="none" w:sz="0" w:space="0" w:color="auto"/>
        <w:bottom w:val="none" w:sz="0" w:space="0" w:color="auto"/>
        <w:right w:val="none" w:sz="0" w:space="0" w:color="auto"/>
      </w:divBdr>
    </w:div>
    <w:div w:id="529028836">
      <w:bodyDiv w:val="1"/>
      <w:marLeft w:val="0"/>
      <w:marRight w:val="0"/>
      <w:marTop w:val="0"/>
      <w:marBottom w:val="0"/>
      <w:divBdr>
        <w:top w:val="none" w:sz="0" w:space="0" w:color="auto"/>
        <w:left w:val="none" w:sz="0" w:space="0" w:color="auto"/>
        <w:bottom w:val="none" w:sz="0" w:space="0" w:color="auto"/>
        <w:right w:val="none" w:sz="0" w:space="0" w:color="auto"/>
      </w:divBdr>
    </w:div>
    <w:div w:id="659188397">
      <w:bodyDiv w:val="1"/>
      <w:marLeft w:val="0"/>
      <w:marRight w:val="0"/>
      <w:marTop w:val="0"/>
      <w:marBottom w:val="0"/>
      <w:divBdr>
        <w:top w:val="none" w:sz="0" w:space="0" w:color="auto"/>
        <w:left w:val="none" w:sz="0" w:space="0" w:color="auto"/>
        <w:bottom w:val="none" w:sz="0" w:space="0" w:color="auto"/>
        <w:right w:val="none" w:sz="0" w:space="0" w:color="auto"/>
      </w:divBdr>
    </w:div>
    <w:div w:id="791897922">
      <w:bodyDiv w:val="1"/>
      <w:marLeft w:val="0"/>
      <w:marRight w:val="0"/>
      <w:marTop w:val="0"/>
      <w:marBottom w:val="0"/>
      <w:divBdr>
        <w:top w:val="none" w:sz="0" w:space="0" w:color="auto"/>
        <w:left w:val="none" w:sz="0" w:space="0" w:color="auto"/>
        <w:bottom w:val="none" w:sz="0" w:space="0" w:color="auto"/>
        <w:right w:val="none" w:sz="0" w:space="0" w:color="auto"/>
      </w:divBdr>
    </w:div>
    <w:div w:id="798766492">
      <w:bodyDiv w:val="1"/>
      <w:marLeft w:val="0"/>
      <w:marRight w:val="0"/>
      <w:marTop w:val="0"/>
      <w:marBottom w:val="0"/>
      <w:divBdr>
        <w:top w:val="none" w:sz="0" w:space="0" w:color="auto"/>
        <w:left w:val="none" w:sz="0" w:space="0" w:color="auto"/>
        <w:bottom w:val="none" w:sz="0" w:space="0" w:color="auto"/>
        <w:right w:val="none" w:sz="0" w:space="0" w:color="auto"/>
      </w:divBdr>
      <w:divsChild>
        <w:div w:id="937951950">
          <w:marLeft w:val="0"/>
          <w:marRight w:val="0"/>
          <w:marTop w:val="0"/>
          <w:marBottom w:val="0"/>
          <w:divBdr>
            <w:top w:val="none" w:sz="0" w:space="0" w:color="auto"/>
            <w:left w:val="none" w:sz="0" w:space="0" w:color="auto"/>
            <w:bottom w:val="none" w:sz="0" w:space="0" w:color="auto"/>
            <w:right w:val="none" w:sz="0" w:space="0" w:color="auto"/>
          </w:divBdr>
        </w:div>
        <w:div w:id="1589188917">
          <w:marLeft w:val="0"/>
          <w:marRight w:val="0"/>
          <w:marTop w:val="0"/>
          <w:marBottom w:val="0"/>
          <w:divBdr>
            <w:top w:val="none" w:sz="0" w:space="0" w:color="auto"/>
            <w:left w:val="none" w:sz="0" w:space="0" w:color="auto"/>
            <w:bottom w:val="none" w:sz="0" w:space="0" w:color="auto"/>
            <w:right w:val="none" w:sz="0" w:space="0" w:color="auto"/>
          </w:divBdr>
          <w:divsChild>
            <w:div w:id="583074208">
              <w:marLeft w:val="0"/>
              <w:marRight w:val="0"/>
              <w:marTop w:val="0"/>
              <w:marBottom w:val="0"/>
              <w:divBdr>
                <w:top w:val="none" w:sz="0" w:space="0" w:color="auto"/>
                <w:left w:val="none" w:sz="0" w:space="0" w:color="auto"/>
                <w:bottom w:val="none" w:sz="0" w:space="0" w:color="auto"/>
                <w:right w:val="none" w:sz="0" w:space="0" w:color="auto"/>
              </w:divBdr>
            </w:div>
          </w:divsChild>
        </w:div>
        <w:div w:id="92215263">
          <w:marLeft w:val="0"/>
          <w:marRight w:val="0"/>
          <w:marTop w:val="0"/>
          <w:marBottom w:val="0"/>
          <w:divBdr>
            <w:top w:val="none" w:sz="0" w:space="0" w:color="auto"/>
            <w:left w:val="none" w:sz="0" w:space="0" w:color="auto"/>
            <w:bottom w:val="none" w:sz="0" w:space="0" w:color="auto"/>
            <w:right w:val="none" w:sz="0" w:space="0" w:color="auto"/>
          </w:divBdr>
        </w:div>
        <w:div w:id="1347755410">
          <w:marLeft w:val="0"/>
          <w:marRight w:val="0"/>
          <w:marTop w:val="0"/>
          <w:marBottom w:val="0"/>
          <w:divBdr>
            <w:top w:val="none" w:sz="0" w:space="0" w:color="auto"/>
            <w:left w:val="none" w:sz="0" w:space="0" w:color="auto"/>
            <w:bottom w:val="none" w:sz="0" w:space="0" w:color="auto"/>
            <w:right w:val="none" w:sz="0" w:space="0" w:color="auto"/>
          </w:divBdr>
        </w:div>
        <w:div w:id="1758209485">
          <w:marLeft w:val="0"/>
          <w:marRight w:val="0"/>
          <w:marTop w:val="0"/>
          <w:marBottom w:val="0"/>
          <w:divBdr>
            <w:top w:val="none" w:sz="0" w:space="0" w:color="auto"/>
            <w:left w:val="none" w:sz="0" w:space="0" w:color="auto"/>
            <w:bottom w:val="none" w:sz="0" w:space="0" w:color="auto"/>
            <w:right w:val="none" w:sz="0" w:space="0" w:color="auto"/>
          </w:divBdr>
        </w:div>
        <w:div w:id="1282178768">
          <w:marLeft w:val="0"/>
          <w:marRight w:val="0"/>
          <w:marTop w:val="0"/>
          <w:marBottom w:val="0"/>
          <w:divBdr>
            <w:top w:val="none" w:sz="0" w:space="0" w:color="auto"/>
            <w:left w:val="none" w:sz="0" w:space="0" w:color="auto"/>
            <w:bottom w:val="none" w:sz="0" w:space="0" w:color="auto"/>
            <w:right w:val="none" w:sz="0" w:space="0" w:color="auto"/>
          </w:divBdr>
        </w:div>
      </w:divsChild>
    </w:div>
    <w:div w:id="831991846">
      <w:bodyDiv w:val="1"/>
      <w:marLeft w:val="0"/>
      <w:marRight w:val="0"/>
      <w:marTop w:val="0"/>
      <w:marBottom w:val="0"/>
      <w:divBdr>
        <w:top w:val="none" w:sz="0" w:space="0" w:color="auto"/>
        <w:left w:val="none" w:sz="0" w:space="0" w:color="auto"/>
        <w:bottom w:val="none" w:sz="0" w:space="0" w:color="auto"/>
        <w:right w:val="none" w:sz="0" w:space="0" w:color="auto"/>
      </w:divBdr>
    </w:div>
    <w:div w:id="848563676">
      <w:bodyDiv w:val="1"/>
      <w:marLeft w:val="0"/>
      <w:marRight w:val="0"/>
      <w:marTop w:val="0"/>
      <w:marBottom w:val="0"/>
      <w:divBdr>
        <w:top w:val="none" w:sz="0" w:space="0" w:color="auto"/>
        <w:left w:val="none" w:sz="0" w:space="0" w:color="auto"/>
        <w:bottom w:val="none" w:sz="0" w:space="0" w:color="auto"/>
        <w:right w:val="none" w:sz="0" w:space="0" w:color="auto"/>
      </w:divBdr>
    </w:div>
    <w:div w:id="887953854">
      <w:bodyDiv w:val="1"/>
      <w:marLeft w:val="0"/>
      <w:marRight w:val="0"/>
      <w:marTop w:val="0"/>
      <w:marBottom w:val="0"/>
      <w:divBdr>
        <w:top w:val="none" w:sz="0" w:space="0" w:color="auto"/>
        <w:left w:val="none" w:sz="0" w:space="0" w:color="auto"/>
        <w:bottom w:val="none" w:sz="0" w:space="0" w:color="auto"/>
        <w:right w:val="none" w:sz="0" w:space="0" w:color="auto"/>
      </w:divBdr>
    </w:div>
    <w:div w:id="915212614">
      <w:bodyDiv w:val="1"/>
      <w:marLeft w:val="0"/>
      <w:marRight w:val="0"/>
      <w:marTop w:val="0"/>
      <w:marBottom w:val="0"/>
      <w:divBdr>
        <w:top w:val="none" w:sz="0" w:space="0" w:color="auto"/>
        <w:left w:val="none" w:sz="0" w:space="0" w:color="auto"/>
        <w:bottom w:val="none" w:sz="0" w:space="0" w:color="auto"/>
        <w:right w:val="none" w:sz="0" w:space="0" w:color="auto"/>
      </w:divBdr>
    </w:div>
    <w:div w:id="927925416">
      <w:bodyDiv w:val="1"/>
      <w:marLeft w:val="0"/>
      <w:marRight w:val="0"/>
      <w:marTop w:val="0"/>
      <w:marBottom w:val="0"/>
      <w:divBdr>
        <w:top w:val="none" w:sz="0" w:space="0" w:color="auto"/>
        <w:left w:val="none" w:sz="0" w:space="0" w:color="auto"/>
        <w:bottom w:val="none" w:sz="0" w:space="0" w:color="auto"/>
        <w:right w:val="none" w:sz="0" w:space="0" w:color="auto"/>
      </w:divBdr>
    </w:div>
    <w:div w:id="1011297998">
      <w:bodyDiv w:val="1"/>
      <w:marLeft w:val="0"/>
      <w:marRight w:val="0"/>
      <w:marTop w:val="0"/>
      <w:marBottom w:val="0"/>
      <w:divBdr>
        <w:top w:val="none" w:sz="0" w:space="0" w:color="auto"/>
        <w:left w:val="none" w:sz="0" w:space="0" w:color="auto"/>
        <w:bottom w:val="none" w:sz="0" w:space="0" w:color="auto"/>
        <w:right w:val="none" w:sz="0" w:space="0" w:color="auto"/>
      </w:divBdr>
    </w:div>
    <w:div w:id="1081487140">
      <w:bodyDiv w:val="1"/>
      <w:marLeft w:val="0"/>
      <w:marRight w:val="0"/>
      <w:marTop w:val="0"/>
      <w:marBottom w:val="0"/>
      <w:divBdr>
        <w:top w:val="none" w:sz="0" w:space="0" w:color="auto"/>
        <w:left w:val="none" w:sz="0" w:space="0" w:color="auto"/>
        <w:bottom w:val="none" w:sz="0" w:space="0" w:color="auto"/>
        <w:right w:val="none" w:sz="0" w:space="0" w:color="auto"/>
      </w:divBdr>
    </w:div>
    <w:div w:id="1117407343">
      <w:bodyDiv w:val="1"/>
      <w:marLeft w:val="0"/>
      <w:marRight w:val="0"/>
      <w:marTop w:val="0"/>
      <w:marBottom w:val="0"/>
      <w:divBdr>
        <w:top w:val="none" w:sz="0" w:space="0" w:color="auto"/>
        <w:left w:val="none" w:sz="0" w:space="0" w:color="auto"/>
        <w:bottom w:val="none" w:sz="0" w:space="0" w:color="auto"/>
        <w:right w:val="none" w:sz="0" w:space="0" w:color="auto"/>
      </w:divBdr>
    </w:div>
    <w:div w:id="1128544218">
      <w:bodyDiv w:val="1"/>
      <w:marLeft w:val="0"/>
      <w:marRight w:val="0"/>
      <w:marTop w:val="0"/>
      <w:marBottom w:val="0"/>
      <w:divBdr>
        <w:top w:val="none" w:sz="0" w:space="0" w:color="auto"/>
        <w:left w:val="none" w:sz="0" w:space="0" w:color="auto"/>
        <w:bottom w:val="none" w:sz="0" w:space="0" w:color="auto"/>
        <w:right w:val="none" w:sz="0" w:space="0" w:color="auto"/>
      </w:divBdr>
    </w:div>
    <w:div w:id="1169903406">
      <w:bodyDiv w:val="1"/>
      <w:marLeft w:val="0"/>
      <w:marRight w:val="0"/>
      <w:marTop w:val="0"/>
      <w:marBottom w:val="0"/>
      <w:divBdr>
        <w:top w:val="none" w:sz="0" w:space="0" w:color="auto"/>
        <w:left w:val="none" w:sz="0" w:space="0" w:color="auto"/>
        <w:bottom w:val="none" w:sz="0" w:space="0" w:color="auto"/>
        <w:right w:val="none" w:sz="0" w:space="0" w:color="auto"/>
      </w:divBdr>
    </w:div>
    <w:div w:id="1203059157">
      <w:bodyDiv w:val="1"/>
      <w:marLeft w:val="0"/>
      <w:marRight w:val="0"/>
      <w:marTop w:val="0"/>
      <w:marBottom w:val="0"/>
      <w:divBdr>
        <w:top w:val="none" w:sz="0" w:space="0" w:color="auto"/>
        <w:left w:val="none" w:sz="0" w:space="0" w:color="auto"/>
        <w:bottom w:val="none" w:sz="0" w:space="0" w:color="auto"/>
        <w:right w:val="none" w:sz="0" w:space="0" w:color="auto"/>
      </w:divBdr>
    </w:div>
    <w:div w:id="1232808818">
      <w:bodyDiv w:val="1"/>
      <w:marLeft w:val="0"/>
      <w:marRight w:val="0"/>
      <w:marTop w:val="0"/>
      <w:marBottom w:val="0"/>
      <w:divBdr>
        <w:top w:val="none" w:sz="0" w:space="0" w:color="auto"/>
        <w:left w:val="none" w:sz="0" w:space="0" w:color="auto"/>
        <w:bottom w:val="none" w:sz="0" w:space="0" w:color="auto"/>
        <w:right w:val="none" w:sz="0" w:space="0" w:color="auto"/>
      </w:divBdr>
    </w:div>
    <w:div w:id="1365784646">
      <w:bodyDiv w:val="1"/>
      <w:marLeft w:val="0"/>
      <w:marRight w:val="0"/>
      <w:marTop w:val="0"/>
      <w:marBottom w:val="0"/>
      <w:divBdr>
        <w:top w:val="none" w:sz="0" w:space="0" w:color="auto"/>
        <w:left w:val="none" w:sz="0" w:space="0" w:color="auto"/>
        <w:bottom w:val="none" w:sz="0" w:space="0" w:color="auto"/>
        <w:right w:val="none" w:sz="0" w:space="0" w:color="auto"/>
      </w:divBdr>
    </w:div>
    <w:div w:id="1397821478">
      <w:bodyDiv w:val="1"/>
      <w:marLeft w:val="0"/>
      <w:marRight w:val="0"/>
      <w:marTop w:val="0"/>
      <w:marBottom w:val="0"/>
      <w:divBdr>
        <w:top w:val="none" w:sz="0" w:space="0" w:color="auto"/>
        <w:left w:val="none" w:sz="0" w:space="0" w:color="auto"/>
        <w:bottom w:val="none" w:sz="0" w:space="0" w:color="auto"/>
        <w:right w:val="none" w:sz="0" w:space="0" w:color="auto"/>
      </w:divBdr>
    </w:div>
    <w:div w:id="1399745504">
      <w:bodyDiv w:val="1"/>
      <w:marLeft w:val="0"/>
      <w:marRight w:val="0"/>
      <w:marTop w:val="0"/>
      <w:marBottom w:val="0"/>
      <w:divBdr>
        <w:top w:val="none" w:sz="0" w:space="0" w:color="auto"/>
        <w:left w:val="none" w:sz="0" w:space="0" w:color="auto"/>
        <w:bottom w:val="none" w:sz="0" w:space="0" w:color="auto"/>
        <w:right w:val="none" w:sz="0" w:space="0" w:color="auto"/>
      </w:divBdr>
    </w:div>
    <w:div w:id="1548451381">
      <w:bodyDiv w:val="1"/>
      <w:marLeft w:val="0"/>
      <w:marRight w:val="0"/>
      <w:marTop w:val="0"/>
      <w:marBottom w:val="0"/>
      <w:divBdr>
        <w:top w:val="none" w:sz="0" w:space="0" w:color="auto"/>
        <w:left w:val="none" w:sz="0" w:space="0" w:color="auto"/>
        <w:bottom w:val="none" w:sz="0" w:space="0" w:color="auto"/>
        <w:right w:val="none" w:sz="0" w:space="0" w:color="auto"/>
      </w:divBdr>
    </w:div>
    <w:div w:id="1643582095">
      <w:bodyDiv w:val="1"/>
      <w:marLeft w:val="0"/>
      <w:marRight w:val="0"/>
      <w:marTop w:val="0"/>
      <w:marBottom w:val="0"/>
      <w:divBdr>
        <w:top w:val="none" w:sz="0" w:space="0" w:color="auto"/>
        <w:left w:val="none" w:sz="0" w:space="0" w:color="auto"/>
        <w:bottom w:val="none" w:sz="0" w:space="0" w:color="auto"/>
        <w:right w:val="none" w:sz="0" w:space="0" w:color="auto"/>
      </w:divBdr>
    </w:div>
    <w:div w:id="1645966701">
      <w:bodyDiv w:val="1"/>
      <w:marLeft w:val="0"/>
      <w:marRight w:val="0"/>
      <w:marTop w:val="0"/>
      <w:marBottom w:val="0"/>
      <w:divBdr>
        <w:top w:val="none" w:sz="0" w:space="0" w:color="auto"/>
        <w:left w:val="none" w:sz="0" w:space="0" w:color="auto"/>
        <w:bottom w:val="none" w:sz="0" w:space="0" w:color="auto"/>
        <w:right w:val="none" w:sz="0" w:space="0" w:color="auto"/>
      </w:divBdr>
    </w:div>
    <w:div w:id="1663697478">
      <w:bodyDiv w:val="1"/>
      <w:marLeft w:val="0"/>
      <w:marRight w:val="0"/>
      <w:marTop w:val="0"/>
      <w:marBottom w:val="0"/>
      <w:divBdr>
        <w:top w:val="none" w:sz="0" w:space="0" w:color="auto"/>
        <w:left w:val="none" w:sz="0" w:space="0" w:color="auto"/>
        <w:bottom w:val="none" w:sz="0" w:space="0" w:color="auto"/>
        <w:right w:val="none" w:sz="0" w:space="0" w:color="auto"/>
      </w:divBdr>
    </w:div>
    <w:div w:id="1757900279">
      <w:bodyDiv w:val="1"/>
      <w:marLeft w:val="0"/>
      <w:marRight w:val="0"/>
      <w:marTop w:val="0"/>
      <w:marBottom w:val="0"/>
      <w:divBdr>
        <w:top w:val="none" w:sz="0" w:space="0" w:color="auto"/>
        <w:left w:val="none" w:sz="0" w:space="0" w:color="auto"/>
        <w:bottom w:val="none" w:sz="0" w:space="0" w:color="auto"/>
        <w:right w:val="none" w:sz="0" w:space="0" w:color="auto"/>
      </w:divBdr>
    </w:div>
    <w:div w:id="1768697462">
      <w:bodyDiv w:val="1"/>
      <w:marLeft w:val="0"/>
      <w:marRight w:val="0"/>
      <w:marTop w:val="0"/>
      <w:marBottom w:val="0"/>
      <w:divBdr>
        <w:top w:val="none" w:sz="0" w:space="0" w:color="auto"/>
        <w:left w:val="none" w:sz="0" w:space="0" w:color="auto"/>
        <w:bottom w:val="none" w:sz="0" w:space="0" w:color="auto"/>
        <w:right w:val="none" w:sz="0" w:space="0" w:color="auto"/>
      </w:divBdr>
    </w:div>
    <w:div w:id="1807548821">
      <w:bodyDiv w:val="1"/>
      <w:marLeft w:val="0"/>
      <w:marRight w:val="0"/>
      <w:marTop w:val="0"/>
      <w:marBottom w:val="0"/>
      <w:divBdr>
        <w:top w:val="none" w:sz="0" w:space="0" w:color="auto"/>
        <w:left w:val="none" w:sz="0" w:space="0" w:color="auto"/>
        <w:bottom w:val="none" w:sz="0" w:space="0" w:color="auto"/>
        <w:right w:val="none" w:sz="0" w:space="0" w:color="auto"/>
      </w:divBdr>
    </w:div>
    <w:div w:id="1853884039">
      <w:bodyDiv w:val="1"/>
      <w:marLeft w:val="0"/>
      <w:marRight w:val="0"/>
      <w:marTop w:val="0"/>
      <w:marBottom w:val="0"/>
      <w:divBdr>
        <w:top w:val="none" w:sz="0" w:space="0" w:color="auto"/>
        <w:left w:val="none" w:sz="0" w:space="0" w:color="auto"/>
        <w:bottom w:val="none" w:sz="0" w:space="0" w:color="auto"/>
        <w:right w:val="none" w:sz="0" w:space="0" w:color="auto"/>
      </w:divBdr>
    </w:div>
    <w:div w:id="1856843741">
      <w:bodyDiv w:val="1"/>
      <w:marLeft w:val="0"/>
      <w:marRight w:val="0"/>
      <w:marTop w:val="0"/>
      <w:marBottom w:val="0"/>
      <w:divBdr>
        <w:top w:val="none" w:sz="0" w:space="0" w:color="auto"/>
        <w:left w:val="none" w:sz="0" w:space="0" w:color="auto"/>
        <w:bottom w:val="none" w:sz="0" w:space="0" w:color="auto"/>
        <w:right w:val="none" w:sz="0" w:space="0" w:color="auto"/>
      </w:divBdr>
    </w:div>
    <w:div w:id="1917008717">
      <w:bodyDiv w:val="1"/>
      <w:marLeft w:val="0"/>
      <w:marRight w:val="0"/>
      <w:marTop w:val="0"/>
      <w:marBottom w:val="0"/>
      <w:divBdr>
        <w:top w:val="none" w:sz="0" w:space="0" w:color="auto"/>
        <w:left w:val="none" w:sz="0" w:space="0" w:color="auto"/>
        <w:bottom w:val="none" w:sz="0" w:space="0" w:color="auto"/>
        <w:right w:val="none" w:sz="0" w:space="0" w:color="auto"/>
      </w:divBdr>
    </w:div>
    <w:div w:id="1930773551">
      <w:bodyDiv w:val="1"/>
      <w:marLeft w:val="0"/>
      <w:marRight w:val="0"/>
      <w:marTop w:val="0"/>
      <w:marBottom w:val="0"/>
      <w:divBdr>
        <w:top w:val="none" w:sz="0" w:space="0" w:color="auto"/>
        <w:left w:val="none" w:sz="0" w:space="0" w:color="auto"/>
        <w:bottom w:val="none" w:sz="0" w:space="0" w:color="auto"/>
        <w:right w:val="none" w:sz="0" w:space="0" w:color="auto"/>
      </w:divBdr>
    </w:div>
    <w:div w:id="1974599761">
      <w:bodyDiv w:val="1"/>
      <w:marLeft w:val="0"/>
      <w:marRight w:val="0"/>
      <w:marTop w:val="0"/>
      <w:marBottom w:val="0"/>
      <w:divBdr>
        <w:top w:val="none" w:sz="0" w:space="0" w:color="auto"/>
        <w:left w:val="none" w:sz="0" w:space="0" w:color="auto"/>
        <w:bottom w:val="none" w:sz="0" w:space="0" w:color="auto"/>
        <w:right w:val="none" w:sz="0" w:space="0" w:color="auto"/>
      </w:divBdr>
    </w:div>
    <w:div w:id="2009940684">
      <w:bodyDiv w:val="1"/>
      <w:marLeft w:val="0"/>
      <w:marRight w:val="0"/>
      <w:marTop w:val="0"/>
      <w:marBottom w:val="0"/>
      <w:divBdr>
        <w:top w:val="none" w:sz="0" w:space="0" w:color="auto"/>
        <w:left w:val="none" w:sz="0" w:space="0" w:color="auto"/>
        <w:bottom w:val="none" w:sz="0" w:space="0" w:color="auto"/>
        <w:right w:val="none" w:sz="0" w:space="0" w:color="auto"/>
      </w:divBdr>
    </w:div>
    <w:div w:id="2112047290">
      <w:bodyDiv w:val="1"/>
      <w:marLeft w:val="0"/>
      <w:marRight w:val="0"/>
      <w:marTop w:val="0"/>
      <w:marBottom w:val="0"/>
      <w:divBdr>
        <w:top w:val="none" w:sz="0" w:space="0" w:color="auto"/>
        <w:left w:val="none" w:sz="0" w:space="0" w:color="auto"/>
        <w:bottom w:val="none" w:sz="0" w:space="0" w:color="auto"/>
        <w:right w:val="none" w:sz="0" w:space="0" w:color="auto"/>
      </w:divBdr>
    </w:div>
    <w:div w:id="2130003393">
      <w:bodyDiv w:val="1"/>
      <w:marLeft w:val="0"/>
      <w:marRight w:val="0"/>
      <w:marTop w:val="0"/>
      <w:marBottom w:val="0"/>
      <w:divBdr>
        <w:top w:val="none" w:sz="0" w:space="0" w:color="auto"/>
        <w:left w:val="none" w:sz="0" w:space="0" w:color="auto"/>
        <w:bottom w:val="none" w:sz="0" w:space="0" w:color="auto"/>
        <w:right w:val="none" w:sz="0" w:space="0" w:color="auto"/>
      </w:divBdr>
    </w:div>
    <w:div w:id="2141334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structural-collapse-welsh-higher-education-crisis-executive-schram-qcvv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timeshighereducati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Unk25</b:Tag>
    <b:SourceType>InternetSite</b:SourceType>
    <b:Guid>{05B9EEB1-7F63-41C2-9730-081C79BC53A5}</b:Guid>
    <b:Title>SkillsFest 2025: Building Skills, Sharing Expertise, Inspiring Change</b:Title>
    <b:Year>2025</b:Year>
    <b:Author>
      <b:Author>
        <b:Corporate>Inspiring Skills Excellence in Wales</b:Corporate>
      </b:Author>
    </b:Author>
    <b:YearAccessed>2026</b:YearAccessed>
    <b:MonthAccessed>April</b:MonthAccessed>
    <b:DayAccessed>12</b:DayAccessed>
    <b:URL>https://inspiringskills.gov.wales/news/skillsfest-2025-building-skills-sharing-expertise-inspiring-change</b:URL>
    <b:RefOrder>1</b:RefOrder>
  </b:Source>
  <b:Source>
    <b:Tag>DrA26</b:Tag>
    <b:SourceType>InternetSite</b:SourceType>
    <b:Guid>{BB30F4ED-56BC-46BA-8305-7EB91D90920C}</b:Guid>
    <b:Author>
      <b:Author>
        <b:NameList>
          <b:Person>
            <b:Last>Schram</b:Last>
            <b:First>Dr</b:First>
            <b:Middle>Albert</b:Middle>
          </b:Person>
        </b:NameList>
      </b:Author>
    </b:Author>
    <b:Title>The Structural Collapse of Welsh Higher Education: A Crisis of Governance, Executive Accountability, and Financial Sustainability</b:Title>
    <b:Year>2026</b:Year>
    <b:YearAccessed>2026</b:YearAccessed>
    <b:MonthAccessed>April</b:MonthAccessed>
    <b:DayAccessed>12</b:DayAccessed>
    <b:URL>https://www.linkedin.com/pulse/structural-collapse-welsh-higher-education-crisis-executive-schram-qcvvf/</b:URL>
    <b:RefOrder>3</b:RefOrder>
  </b:Source>
  <b:Source>
    <b:Tag>Med26</b:Tag>
    <b:SourceType>InternetSite</b:SourceType>
    <b:Guid>{B53A2B58-749E-4AEA-BCBF-73B469038D30}</b:Guid>
    <b:Author>
      <b:Author>
        <b:Corporate>Medr</b:Corporate>
      </b:Author>
    </b:Author>
    <b:Title>Medr/2026/12: Additional funding to support increased participation in further education institutions and local authorities 2025/26</b:Title>
    <b:Year>2026</b:Year>
    <b:YearAccessed>2026</b:YearAccessed>
    <b:MonthAccessed>April</b:MonthAccessed>
    <b:DayAccessed>12</b:DayAccessed>
    <b:URL>https://www.medr.cymru/en/News/medr-2026-12-additional-funding-to-support-increased-participation-in-further-education-institutions-and-local-authorities-2025-26/</b:URL>
    <b:RefOrder>2</b:RefOrder>
  </b:Source>
</b:Sources>
</file>

<file path=customXml/itemProps1.xml><?xml version="1.0" encoding="utf-8"?>
<ds:datastoreItem xmlns:ds="http://schemas.openxmlformats.org/officeDocument/2006/customXml" ds:itemID="{82D9CC07-5EC1-44FA-B1CB-594537E53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8</Pages>
  <Words>4428</Words>
  <Characters>25240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29609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davidjo1</dc:creator>
  <cp:keywords/>
  <dc:description/>
  <cp:lastModifiedBy>davidjo1</cp:lastModifiedBy>
  <cp:revision>28</cp:revision>
  <dcterms:created xsi:type="dcterms:W3CDTF">2026-04-12T17:00:00Z</dcterms:created>
  <dcterms:modified xsi:type="dcterms:W3CDTF">2026-04-13T15:16:00Z</dcterms:modified>
</cp:coreProperties>
</file>