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5A3A5645"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C443AB">
        <w:rPr>
          <w:rFonts w:ascii="Arial" w:hAnsi="Arial" w:cs="Arial"/>
          <w:sz w:val="28"/>
          <w:szCs w:val="28"/>
          <w:lang w:val="nl-NL"/>
        </w:rPr>
        <w:t>Robsoon de Souza Silva</w:t>
      </w:r>
    </w:p>
    <w:p w14:paraId="18D88AE2" w14:textId="11DF2D9A" w:rsidR="00C558B0" w:rsidRPr="00466EAA" w:rsidRDefault="00C558B0" w:rsidP="00C558B0">
      <w:pPr>
        <w:tabs>
          <w:tab w:val="left" w:pos="6540"/>
        </w:tabs>
        <w:spacing w:line="360" w:lineRule="auto"/>
        <w:rPr>
          <w:rFonts w:ascii="Arial" w:hAnsi="Arial" w:cs="Arial"/>
          <w:sz w:val="28"/>
          <w:szCs w:val="28"/>
        </w:rPr>
      </w:pPr>
      <w:r w:rsidRPr="00466EAA">
        <w:rPr>
          <w:rFonts w:ascii="Arial" w:hAnsi="Arial" w:cs="Arial"/>
          <w:b/>
          <w:bCs/>
          <w:sz w:val="28"/>
          <w:szCs w:val="28"/>
        </w:rPr>
        <w:t>Student ID</w:t>
      </w:r>
      <w:r w:rsidRPr="00466EAA">
        <w:rPr>
          <w:rFonts w:ascii="Arial" w:hAnsi="Arial" w:cs="Arial"/>
          <w:sz w:val="28"/>
          <w:szCs w:val="28"/>
        </w:rPr>
        <w:t>:</w:t>
      </w:r>
      <w:r w:rsidR="00C443AB" w:rsidRPr="00466EAA">
        <w:rPr>
          <w:rFonts w:ascii="Arial" w:hAnsi="Arial" w:cs="Arial"/>
          <w:sz w:val="28"/>
          <w:szCs w:val="28"/>
        </w:rPr>
        <w:t>242</w:t>
      </w:r>
      <w:r w:rsidR="00F41A71" w:rsidRPr="00466EAA">
        <w:rPr>
          <w:rFonts w:ascii="Arial" w:hAnsi="Arial" w:cs="Arial"/>
          <w:sz w:val="28"/>
          <w:szCs w:val="28"/>
        </w:rPr>
        <w:t>6585</w:t>
      </w:r>
    </w:p>
    <w:p w14:paraId="4654C81C" w14:textId="77777777" w:rsidR="00C558B0" w:rsidRPr="00F41A71" w:rsidRDefault="00C558B0" w:rsidP="00C558B0">
      <w:pPr>
        <w:tabs>
          <w:tab w:val="left" w:pos="6540"/>
        </w:tabs>
        <w:spacing w:line="360" w:lineRule="auto"/>
        <w:rPr>
          <w:rFonts w:ascii="Arial" w:hAnsi="Arial" w:cs="Arial"/>
          <w:sz w:val="28"/>
          <w:szCs w:val="28"/>
        </w:rPr>
      </w:pPr>
    </w:p>
    <w:p w14:paraId="27A9F400" w14:textId="4999D546" w:rsidR="00F41A71" w:rsidRDefault="00C558B0" w:rsidP="00F41A71">
      <w:pPr>
        <w:pStyle w:val="Default"/>
      </w:pPr>
      <w:r w:rsidRPr="00C443AB">
        <w:rPr>
          <w:b/>
          <w:bCs/>
          <w:sz w:val="28"/>
          <w:szCs w:val="28"/>
        </w:rPr>
        <w:t>Module name</w:t>
      </w:r>
      <w:r w:rsidRPr="00C443AB">
        <w:rPr>
          <w:sz w:val="28"/>
          <w:szCs w:val="28"/>
        </w:rPr>
        <w:t xml:space="preserve">: </w:t>
      </w:r>
      <w:r w:rsidR="0090483B">
        <w:rPr>
          <w:sz w:val="28"/>
          <w:szCs w:val="28"/>
        </w:rPr>
        <w:t>Principles of Health Social Care Practice</w:t>
      </w:r>
    </w:p>
    <w:p w14:paraId="5292ECB5" w14:textId="77777777" w:rsidR="0090483B" w:rsidRDefault="0090483B" w:rsidP="00C558B0">
      <w:pPr>
        <w:tabs>
          <w:tab w:val="left" w:pos="6540"/>
        </w:tabs>
        <w:spacing w:line="360" w:lineRule="auto"/>
        <w:rPr>
          <w:rFonts w:ascii="Arial" w:hAnsi="Arial" w:cs="Arial"/>
          <w:sz w:val="28"/>
          <w:szCs w:val="28"/>
        </w:rPr>
      </w:pPr>
    </w:p>
    <w:p w14:paraId="7DB3261D" w14:textId="1BC4C638"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C22CF9" w:rsidRPr="00C22CF9">
        <w:t xml:space="preserve"> </w:t>
      </w:r>
      <w:r w:rsidR="00C22CF9" w:rsidRPr="00C22CF9">
        <w:rPr>
          <w:rFonts w:ascii="Arial" w:hAnsi="Arial" w:cs="Arial"/>
          <w:sz w:val="28"/>
          <w:szCs w:val="28"/>
        </w:rPr>
        <w:t>BMHP5016</w:t>
      </w:r>
    </w:p>
    <w:p w14:paraId="5CCA350C" w14:textId="76780BF7"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5B0202">
        <w:rPr>
          <w:rFonts w:ascii="Arial" w:hAnsi="Arial" w:cs="Arial"/>
          <w:sz w:val="28"/>
          <w:szCs w:val="28"/>
        </w:rPr>
        <w:t xml:space="preserve"> </w:t>
      </w:r>
      <w:r w:rsidR="003C1D9A" w:rsidRPr="003C1D9A">
        <w:rPr>
          <w:rFonts w:ascii="Arial" w:hAnsi="Arial" w:cs="Arial"/>
          <w:sz w:val="28"/>
          <w:szCs w:val="28"/>
        </w:rPr>
        <w:t>I</w:t>
      </w:r>
      <w:r w:rsidR="00E0353E">
        <w:rPr>
          <w:rFonts w:ascii="Arial" w:hAnsi="Arial" w:cs="Arial"/>
          <w:sz w:val="28"/>
          <w:szCs w:val="28"/>
        </w:rPr>
        <w:t>TSE</w:t>
      </w:r>
      <w:r w:rsidR="003C1D9A" w:rsidRPr="003C1D9A">
        <w:rPr>
          <w:rFonts w:ascii="Arial" w:hAnsi="Arial" w:cs="Arial"/>
          <w:sz w:val="28"/>
          <w:szCs w:val="28"/>
        </w:rPr>
        <w:t xml:space="preserve"> O</w:t>
      </w:r>
      <w:r w:rsidR="00D66FF6">
        <w:rPr>
          <w:rFonts w:ascii="Arial" w:hAnsi="Arial" w:cs="Arial"/>
          <w:sz w:val="28"/>
          <w:szCs w:val="28"/>
        </w:rPr>
        <w:t>LAOYE</w:t>
      </w:r>
    </w:p>
    <w:p w14:paraId="0F78CE95" w14:textId="6E590013" w:rsidR="002F5CDF" w:rsidRPr="00982C12" w:rsidRDefault="002F5CDF" w:rsidP="004A5A64">
      <w:pPr>
        <w:spacing w:line="360" w:lineRule="auto"/>
        <w:rPr>
          <w:sz w:val="23"/>
          <w:szCs w:val="23"/>
        </w:rPr>
      </w:pPr>
    </w:p>
    <w:p w14:paraId="3186D89A" w14:textId="3DB734CE" w:rsidR="002F5CDF" w:rsidRPr="004F3BF7" w:rsidRDefault="002F5CDF" w:rsidP="004A5A64">
      <w:pPr>
        <w:spacing w:line="360" w:lineRule="auto"/>
        <w:rPr>
          <w:rFonts w:ascii="Arial" w:hAnsi="Arial" w:cs="Arial"/>
          <w:b/>
          <w:bCs/>
          <w:szCs w:val="24"/>
        </w:rPr>
      </w:pPr>
      <w:r w:rsidRPr="004F3BF7">
        <w:rPr>
          <w:rFonts w:ascii="Arial" w:hAnsi="Arial" w:cs="Arial"/>
          <w:b/>
          <w:bCs/>
          <w:szCs w:val="24"/>
        </w:rPr>
        <w:t>Component</w:t>
      </w:r>
      <w:r w:rsidR="006E028B" w:rsidRPr="004F3BF7">
        <w:rPr>
          <w:rFonts w:ascii="Arial" w:hAnsi="Arial" w:cs="Arial"/>
          <w:b/>
          <w:bCs/>
          <w:szCs w:val="24"/>
        </w:rPr>
        <w:t>:</w:t>
      </w:r>
      <w:r w:rsidRPr="004F3BF7">
        <w:rPr>
          <w:rFonts w:ascii="Arial" w:hAnsi="Arial" w:cs="Arial"/>
          <w:b/>
          <w:bCs/>
          <w:szCs w:val="24"/>
        </w:rPr>
        <w:t xml:space="preserve"> – Written Assignment (</w:t>
      </w:r>
      <w:r w:rsidR="006E028B" w:rsidRPr="004F3BF7">
        <w:rPr>
          <w:rFonts w:ascii="Arial" w:hAnsi="Arial" w:cs="Arial"/>
          <w:b/>
          <w:bCs/>
          <w:szCs w:val="24"/>
        </w:rPr>
        <w:t>Essay) Social Model of Disability.</w:t>
      </w:r>
    </w:p>
    <w:p w14:paraId="64B7E1F3" w14:textId="77777777" w:rsidR="002F5CDF" w:rsidRDefault="002F5CDF" w:rsidP="004A5A64">
      <w:pPr>
        <w:spacing w:line="360" w:lineRule="auto"/>
        <w:rPr>
          <w:rFonts w:ascii="Arial" w:hAnsi="Arial" w:cs="Arial"/>
          <w:b/>
          <w:bCs/>
          <w:sz w:val="23"/>
          <w:szCs w:val="23"/>
        </w:rPr>
      </w:pPr>
    </w:p>
    <w:p w14:paraId="5DF4A071" w14:textId="735AC7F1" w:rsidR="004F3BF7" w:rsidRPr="004F3BF7" w:rsidRDefault="004F3BF7" w:rsidP="000E507F">
      <w:pPr>
        <w:spacing w:line="360" w:lineRule="auto"/>
        <w:jc w:val="both"/>
        <w:rPr>
          <w:rFonts w:ascii="Arial" w:hAnsi="Arial" w:cs="Arial"/>
          <w:b/>
          <w:bCs/>
          <w:sz w:val="28"/>
          <w:szCs w:val="28"/>
        </w:rPr>
      </w:pPr>
      <w:r w:rsidRPr="004F3BF7">
        <w:rPr>
          <w:rFonts w:ascii="Arial" w:hAnsi="Arial" w:cs="Arial"/>
          <w:b/>
          <w:bCs/>
          <w:sz w:val="28"/>
          <w:szCs w:val="28"/>
        </w:rPr>
        <w:t>Table of Contents</w:t>
      </w:r>
      <w:r>
        <w:rPr>
          <w:rFonts w:ascii="Arial" w:hAnsi="Arial" w:cs="Arial"/>
          <w:b/>
          <w:bCs/>
          <w:sz w:val="28"/>
          <w:szCs w:val="28"/>
        </w:rPr>
        <w:t>:</w:t>
      </w:r>
    </w:p>
    <w:p w14:paraId="0CBBE5E5" w14:textId="3578D163" w:rsidR="004F3BF7" w:rsidRPr="00503DE9" w:rsidRDefault="004F3BF7" w:rsidP="000E507F">
      <w:pPr>
        <w:spacing w:line="360" w:lineRule="auto"/>
        <w:jc w:val="both"/>
        <w:rPr>
          <w:rFonts w:ascii="Arial" w:hAnsi="Arial" w:cs="Arial"/>
          <w:sz w:val="23"/>
          <w:szCs w:val="23"/>
        </w:rPr>
      </w:pPr>
      <w:r w:rsidRPr="00503DE9">
        <w:rPr>
          <w:rFonts w:ascii="Arial" w:hAnsi="Arial" w:cs="Arial"/>
          <w:sz w:val="23"/>
          <w:szCs w:val="23"/>
        </w:rPr>
        <w:t>1. ………………………………………………………………………</w:t>
      </w:r>
      <w:r w:rsidR="00503DE9" w:rsidRPr="00503DE9">
        <w:rPr>
          <w:rFonts w:ascii="Arial" w:hAnsi="Arial" w:cs="Arial"/>
          <w:sz w:val="23"/>
          <w:szCs w:val="23"/>
        </w:rPr>
        <w:t>………</w:t>
      </w:r>
      <w:r w:rsidRPr="00503DE9">
        <w:rPr>
          <w:rFonts w:ascii="Arial" w:hAnsi="Arial" w:cs="Arial"/>
          <w:sz w:val="23"/>
          <w:szCs w:val="23"/>
        </w:rPr>
        <w:tab/>
        <w:t>Introduction</w:t>
      </w:r>
    </w:p>
    <w:p w14:paraId="1F6F49AD" w14:textId="4BBEF6B2" w:rsidR="004F3BF7" w:rsidRPr="000F76DF" w:rsidRDefault="004F3BF7" w:rsidP="000E507F">
      <w:pPr>
        <w:spacing w:line="360" w:lineRule="auto"/>
        <w:jc w:val="both"/>
        <w:rPr>
          <w:rFonts w:ascii="Arial" w:hAnsi="Arial" w:cs="Arial"/>
          <w:b/>
          <w:bCs/>
          <w:sz w:val="28"/>
          <w:szCs w:val="28"/>
        </w:rPr>
      </w:pPr>
      <w:r w:rsidRPr="000F76DF">
        <w:rPr>
          <w:rFonts w:ascii="Arial" w:hAnsi="Arial" w:cs="Arial"/>
          <w:sz w:val="28"/>
          <w:szCs w:val="28"/>
        </w:rPr>
        <w:t>2</w:t>
      </w:r>
      <w:r w:rsidR="000F76DF" w:rsidRPr="000F76DF">
        <w:rPr>
          <w:rFonts w:ascii="Arial" w:hAnsi="Arial" w:cs="Arial"/>
          <w:sz w:val="28"/>
          <w:szCs w:val="28"/>
        </w:rPr>
        <w:t>.</w:t>
      </w:r>
      <w:r w:rsidRPr="000F76DF">
        <w:rPr>
          <w:rFonts w:ascii="Arial" w:hAnsi="Arial" w:cs="Arial"/>
          <w:sz w:val="28"/>
          <w:szCs w:val="28"/>
        </w:rPr>
        <w:t xml:space="preserve"> </w:t>
      </w:r>
      <w:r w:rsidRPr="000F76DF">
        <w:rPr>
          <w:rFonts w:ascii="Arial" w:hAnsi="Arial" w:cs="Arial"/>
          <w:b/>
          <w:bCs/>
          <w:sz w:val="28"/>
          <w:szCs w:val="28"/>
        </w:rPr>
        <w:t>Development of the Concept</w:t>
      </w:r>
    </w:p>
    <w:p w14:paraId="0B6A3044" w14:textId="2967DEAF" w:rsidR="004F3BF7" w:rsidRPr="00503DE9" w:rsidRDefault="004F3BF7" w:rsidP="000E507F">
      <w:pPr>
        <w:spacing w:line="360" w:lineRule="auto"/>
        <w:jc w:val="both"/>
        <w:rPr>
          <w:rFonts w:ascii="Arial" w:hAnsi="Arial" w:cs="Arial"/>
          <w:sz w:val="23"/>
          <w:szCs w:val="23"/>
        </w:rPr>
      </w:pPr>
      <w:r w:rsidRPr="00503DE9">
        <w:rPr>
          <w:rFonts w:ascii="Arial" w:hAnsi="Arial" w:cs="Arial"/>
          <w:sz w:val="23"/>
          <w:szCs w:val="23"/>
        </w:rPr>
        <w:t>2.1</w:t>
      </w:r>
      <w:r w:rsidR="00503DE9" w:rsidRPr="00503DE9">
        <w:rPr>
          <w:rFonts w:ascii="Arial" w:hAnsi="Arial" w:cs="Arial"/>
          <w:sz w:val="23"/>
          <w:szCs w:val="23"/>
        </w:rPr>
        <w:t>……………………………………………………………</w:t>
      </w:r>
      <w:r w:rsidRPr="00503DE9">
        <w:rPr>
          <w:rFonts w:ascii="Arial" w:hAnsi="Arial" w:cs="Arial"/>
          <w:sz w:val="23"/>
          <w:szCs w:val="23"/>
        </w:rPr>
        <w:t xml:space="preserve"> Historical and Political Origins</w:t>
      </w:r>
    </w:p>
    <w:p w14:paraId="03CA5FF2" w14:textId="7FC1C1EF" w:rsidR="004F3BF7" w:rsidRPr="004F3BF7" w:rsidRDefault="004F3BF7" w:rsidP="000E507F">
      <w:pPr>
        <w:spacing w:line="360" w:lineRule="auto"/>
        <w:jc w:val="both"/>
        <w:rPr>
          <w:rFonts w:ascii="Arial" w:hAnsi="Arial" w:cs="Arial"/>
          <w:b/>
          <w:bCs/>
          <w:sz w:val="23"/>
          <w:szCs w:val="23"/>
        </w:rPr>
      </w:pPr>
      <w:r w:rsidRPr="00503DE9">
        <w:rPr>
          <w:rFonts w:ascii="Arial" w:hAnsi="Arial" w:cs="Arial"/>
          <w:sz w:val="23"/>
          <w:szCs w:val="23"/>
        </w:rPr>
        <w:t xml:space="preserve">2.2 </w:t>
      </w:r>
      <w:r w:rsidR="00503DE9" w:rsidRPr="00503DE9">
        <w:rPr>
          <w:rFonts w:ascii="Arial" w:hAnsi="Arial" w:cs="Arial"/>
          <w:sz w:val="23"/>
          <w:szCs w:val="23"/>
        </w:rPr>
        <w:t>…………………………………………………………………</w:t>
      </w:r>
      <w:r w:rsidRPr="00503DE9">
        <w:rPr>
          <w:rFonts w:ascii="Arial" w:hAnsi="Arial" w:cs="Arial"/>
          <w:sz w:val="23"/>
          <w:szCs w:val="23"/>
        </w:rPr>
        <w:t>Theoretical Development</w:t>
      </w:r>
    </w:p>
    <w:p w14:paraId="05CF8615" w14:textId="312B2A2E" w:rsidR="004F3BF7" w:rsidRPr="004F3BF7" w:rsidRDefault="004F3BF7" w:rsidP="000E507F">
      <w:pPr>
        <w:spacing w:line="360" w:lineRule="auto"/>
        <w:jc w:val="both"/>
        <w:rPr>
          <w:rFonts w:ascii="Arial" w:hAnsi="Arial" w:cs="Arial"/>
          <w:b/>
          <w:bCs/>
          <w:sz w:val="23"/>
          <w:szCs w:val="23"/>
        </w:rPr>
      </w:pPr>
      <w:r w:rsidRPr="00503DE9">
        <w:rPr>
          <w:rFonts w:ascii="Arial" w:hAnsi="Arial" w:cs="Arial"/>
          <w:b/>
          <w:bCs/>
          <w:sz w:val="28"/>
          <w:szCs w:val="28"/>
        </w:rPr>
        <w:t>3. Application of the Concept in Practice</w:t>
      </w:r>
    </w:p>
    <w:p w14:paraId="05578BD4" w14:textId="6A7EBF49" w:rsidR="004F3BF7" w:rsidRPr="00CB7A49" w:rsidRDefault="004F3BF7" w:rsidP="000E507F">
      <w:pPr>
        <w:spacing w:line="360" w:lineRule="auto"/>
        <w:jc w:val="both"/>
        <w:rPr>
          <w:rFonts w:ascii="Arial" w:hAnsi="Arial" w:cs="Arial"/>
          <w:sz w:val="23"/>
          <w:szCs w:val="23"/>
        </w:rPr>
      </w:pPr>
      <w:r w:rsidRPr="00CB7A49">
        <w:rPr>
          <w:rFonts w:ascii="Arial" w:hAnsi="Arial" w:cs="Arial"/>
          <w:sz w:val="23"/>
          <w:szCs w:val="23"/>
        </w:rPr>
        <w:t xml:space="preserve">3.1 </w:t>
      </w:r>
      <w:r w:rsidR="00503DE9" w:rsidRPr="00CB7A49">
        <w:rPr>
          <w:rFonts w:ascii="Arial" w:hAnsi="Arial" w:cs="Arial"/>
          <w:sz w:val="23"/>
          <w:szCs w:val="23"/>
        </w:rPr>
        <w:t>…………………………………</w:t>
      </w:r>
      <w:r w:rsidRPr="00CB7A49">
        <w:rPr>
          <w:rFonts w:ascii="Arial" w:hAnsi="Arial" w:cs="Arial"/>
          <w:sz w:val="23"/>
          <w:szCs w:val="23"/>
        </w:rPr>
        <w:t>Social Model of Disability in Health and Social Care</w:t>
      </w:r>
    </w:p>
    <w:p w14:paraId="0A9C0056" w14:textId="105A0FF0" w:rsidR="004F3BF7" w:rsidRPr="00CB7A49" w:rsidRDefault="004F3BF7" w:rsidP="000E507F">
      <w:pPr>
        <w:spacing w:line="360" w:lineRule="auto"/>
        <w:jc w:val="both"/>
        <w:rPr>
          <w:rFonts w:ascii="Arial" w:hAnsi="Arial" w:cs="Arial"/>
          <w:sz w:val="23"/>
          <w:szCs w:val="23"/>
        </w:rPr>
      </w:pPr>
      <w:r w:rsidRPr="00CB7A49">
        <w:rPr>
          <w:rFonts w:ascii="Arial" w:hAnsi="Arial" w:cs="Arial"/>
          <w:sz w:val="23"/>
          <w:szCs w:val="23"/>
        </w:rPr>
        <w:t>3.2</w:t>
      </w:r>
      <w:r w:rsidR="00503DE9" w:rsidRPr="00CB7A49">
        <w:rPr>
          <w:rFonts w:ascii="Arial" w:hAnsi="Arial" w:cs="Arial"/>
          <w:sz w:val="23"/>
          <w:szCs w:val="23"/>
        </w:rPr>
        <w:t>……………………………………….</w:t>
      </w:r>
      <w:r w:rsidRPr="00CB7A49">
        <w:rPr>
          <w:rFonts w:ascii="Arial" w:hAnsi="Arial" w:cs="Arial"/>
          <w:sz w:val="23"/>
          <w:szCs w:val="23"/>
        </w:rPr>
        <w:t xml:space="preserve"> Global Care Chains and Workforce Inequalities</w:t>
      </w:r>
    </w:p>
    <w:p w14:paraId="1DC59F30" w14:textId="4C7E0238" w:rsidR="004F3BF7" w:rsidRPr="00CB7A49" w:rsidRDefault="004F3BF7" w:rsidP="000E507F">
      <w:pPr>
        <w:spacing w:line="360" w:lineRule="auto"/>
        <w:jc w:val="both"/>
        <w:rPr>
          <w:rFonts w:ascii="Arial" w:hAnsi="Arial" w:cs="Arial"/>
          <w:sz w:val="23"/>
          <w:szCs w:val="23"/>
        </w:rPr>
      </w:pPr>
      <w:r w:rsidRPr="00CB7A49">
        <w:rPr>
          <w:rFonts w:ascii="Arial" w:hAnsi="Arial" w:cs="Arial"/>
          <w:sz w:val="23"/>
          <w:szCs w:val="23"/>
        </w:rPr>
        <w:t>3.3</w:t>
      </w:r>
      <w:r w:rsidR="00CB7A49" w:rsidRPr="00CB7A49">
        <w:rPr>
          <w:rFonts w:ascii="Arial" w:hAnsi="Arial" w:cs="Arial"/>
          <w:sz w:val="23"/>
          <w:szCs w:val="23"/>
        </w:rPr>
        <w:t>…………………………………………...</w:t>
      </w:r>
      <w:r w:rsidRPr="00CB7A49">
        <w:rPr>
          <w:rFonts w:ascii="Arial" w:hAnsi="Arial" w:cs="Arial"/>
          <w:sz w:val="23"/>
          <w:szCs w:val="23"/>
        </w:rPr>
        <w:t xml:space="preserve"> Ethics of Care and Person</w:t>
      </w:r>
      <w:r w:rsidRPr="00CB7A49">
        <w:rPr>
          <w:rFonts w:ascii="Cambria Math" w:hAnsi="Cambria Math" w:cs="Cambria Math"/>
          <w:sz w:val="23"/>
          <w:szCs w:val="23"/>
        </w:rPr>
        <w:t>‑</w:t>
      </w:r>
      <w:r w:rsidRPr="00CB7A49">
        <w:rPr>
          <w:rFonts w:ascii="Arial" w:hAnsi="Arial" w:cs="Arial"/>
          <w:sz w:val="23"/>
          <w:szCs w:val="23"/>
        </w:rPr>
        <w:t>Centred Practice</w:t>
      </w:r>
    </w:p>
    <w:p w14:paraId="4178B3E7" w14:textId="5FFE0472" w:rsidR="004F3BF7" w:rsidRPr="00CB7A49" w:rsidRDefault="004F3BF7" w:rsidP="000E507F">
      <w:pPr>
        <w:spacing w:line="360" w:lineRule="auto"/>
        <w:jc w:val="both"/>
        <w:rPr>
          <w:rFonts w:ascii="Arial" w:hAnsi="Arial" w:cs="Arial"/>
          <w:b/>
          <w:bCs/>
          <w:sz w:val="28"/>
          <w:szCs w:val="28"/>
        </w:rPr>
      </w:pPr>
      <w:r w:rsidRPr="00CB7A49">
        <w:rPr>
          <w:rFonts w:ascii="Arial" w:hAnsi="Arial" w:cs="Arial"/>
          <w:b/>
          <w:bCs/>
          <w:sz w:val="28"/>
          <w:szCs w:val="28"/>
        </w:rPr>
        <w:lastRenderedPageBreak/>
        <w:t>4. Recommendations for Policy and Practice</w:t>
      </w:r>
    </w:p>
    <w:p w14:paraId="4E9A78FD" w14:textId="011444D3" w:rsidR="004F3BF7" w:rsidRPr="00CB7A49" w:rsidRDefault="004F3BF7" w:rsidP="000E507F">
      <w:pPr>
        <w:spacing w:line="360" w:lineRule="auto"/>
        <w:jc w:val="both"/>
        <w:rPr>
          <w:rFonts w:ascii="Arial" w:hAnsi="Arial" w:cs="Arial"/>
          <w:sz w:val="22"/>
        </w:rPr>
      </w:pPr>
      <w:r w:rsidRPr="00CB7A49">
        <w:rPr>
          <w:rFonts w:ascii="Arial" w:hAnsi="Arial" w:cs="Arial"/>
          <w:sz w:val="22"/>
        </w:rPr>
        <w:t>4.1</w:t>
      </w:r>
      <w:r w:rsidR="00CB7A49">
        <w:rPr>
          <w:rFonts w:ascii="Arial" w:hAnsi="Arial" w:cs="Arial"/>
          <w:sz w:val="22"/>
        </w:rPr>
        <w:t>……………………………………………</w:t>
      </w:r>
      <w:r w:rsidRPr="00CB7A49">
        <w:rPr>
          <w:rFonts w:ascii="Arial" w:hAnsi="Arial" w:cs="Arial"/>
          <w:sz w:val="22"/>
        </w:rPr>
        <w:t xml:space="preserve"> Strengthening Implementation of the Social Model</w:t>
      </w:r>
    </w:p>
    <w:p w14:paraId="1720541C" w14:textId="42DA886B" w:rsidR="004F3BF7" w:rsidRPr="00CB7A49" w:rsidRDefault="004F3BF7" w:rsidP="000E507F">
      <w:pPr>
        <w:spacing w:line="360" w:lineRule="auto"/>
        <w:jc w:val="both"/>
        <w:rPr>
          <w:rFonts w:ascii="Arial" w:hAnsi="Arial" w:cs="Arial"/>
          <w:sz w:val="22"/>
        </w:rPr>
      </w:pPr>
      <w:r w:rsidRPr="00CB7A49">
        <w:rPr>
          <w:rFonts w:ascii="Arial" w:hAnsi="Arial" w:cs="Arial"/>
          <w:sz w:val="22"/>
        </w:rPr>
        <w:t>4.2</w:t>
      </w:r>
      <w:r w:rsidR="00FD0A91">
        <w:rPr>
          <w:rFonts w:ascii="Arial" w:hAnsi="Arial" w:cs="Arial"/>
          <w:sz w:val="22"/>
        </w:rPr>
        <w:t>…………………………………………………….</w:t>
      </w:r>
      <w:r w:rsidRPr="00CB7A49">
        <w:rPr>
          <w:rFonts w:ascii="Arial" w:hAnsi="Arial" w:cs="Arial"/>
          <w:sz w:val="22"/>
        </w:rPr>
        <w:t xml:space="preserve"> Ethical Approaches to Global Care Chains</w:t>
      </w:r>
    </w:p>
    <w:p w14:paraId="4E47739D" w14:textId="603AAC4F" w:rsidR="004F3BF7" w:rsidRPr="00CB7A49" w:rsidRDefault="004F3BF7" w:rsidP="000E507F">
      <w:pPr>
        <w:spacing w:line="360" w:lineRule="auto"/>
        <w:jc w:val="both"/>
        <w:rPr>
          <w:rFonts w:ascii="Arial" w:hAnsi="Arial" w:cs="Arial"/>
          <w:sz w:val="22"/>
        </w:rPr>
      </w:pPr>
      <w:r w:rsidRPr="00CB7A49">
        <w:rPr>
          <w:rFonts w:ascii="Arial" w:hAnsi="Arial" w:cs="Arial"/>
          <w:sz w:val="22"/>
        </w:rPr>
        <w:t>4.3</w:t>
      </w:r>
      <w:r w:rsidR="00FD0A91">
        <w:rPr>
          <w:rFonts w:ascii="Arial" w:hAnsi="Arial" w:cs="Arial"/>
          <w:sz w:val="22"/>
        </w:rPr>
        <w:t>…………………………………………….</w:t>
      </w:r>
      <w:r w:rsidRPr="00CB7A49">
        <w:rPr>
          <w:rFonts w:ascii="Arial" w:hAnsi="Arial" w:cs="Arial"/>
          <w:sz w:val="22"/>
        </w:rPr>
        <w:t xml:space="preserve"> Embedding the Ethics of Care in Service Delivery</w:t>
      </w:r>
    </w:p>
    <w:p w14:paraId="262B25C7" w14:textId="6B918588" w:rsidR="004F3BF7" w:rsidRPr="00CB7A49" w:rsidRDefault="004F3BF7" w:rsidP="000E507F">
      <w:pPr>
        <w:spacing w:line="360" w:lineRule="auto"/>
        <w:jc w:val="both"/>
        <w:rPr>
          <w:rFonts w:ascii="Arial" w:hAnsi="Arial" w:cs="Arial"/>
          <w:sz w:val="22"/>
        </w:rPr>
      </w:pPr>
      <w:r w:rsidRPr="00CB7A49">
        <w:rPr>
          <w:rFonts w:ascii="Arial" w:hAnsi="Arial" w:cs="Arial"/>
          <w:sz w:val="22"/>
        </w:rPr>
        <w:t>4.4</w:t>
      </w:r>
      <w:r w:rsidR="00FD0A91">
        <w:rPr>
          <w:rFonts w:ascii="Arial" w:hAnsi="Arial" w:cs="Arial"/>
          <w:sz w:val="22"/>
        </w:rPr>
        <w:t>…………………………………</w:t>
      </w:r>
      <w:r w:rsidR="0020378F">
        <w:rPr>
          <w:rFonts w:ascii="Arial" w:hAnsi="Arial" w:cs="Arial"/>
          <w:sz w:val="22"/>
        </w:rPr>
        <w:t>….</w:t>
      </w:r>
      <w:r w:rsidRPr="00CB7A49">
        <w:rPr>
          <w:rFonts w:ascii="Arial" w:hAnsi="Arial" w:cs="Arial"/>
          <w:sz w:val="22"/>
        </w:rPr>
        <w:t xml:space="preserve"> Integrating Recommendations into Existing Frameworks</w:t>
      </w:r>
    </w:p>
    <w:p w14:paraId="605511AB" w14:textId="07B389E0" w:rsidR="004F3BF7" w:rsidRPr="00CB7A49" w:rsidRDefault="004F3BF7" w:rsidP="000E507F">
      <w:pPr>
        <w:spacing w:line="360" w:lineRule="auto"/>
        <w:jc w:val="both"/>
        <w:rPr>
          <w:rFonts w:ascii="Arial" w:hAnsi="Arial" w:cs="Arial"/>
          <w:sz w:val="22"/>
        </w:rPr>
      </w:pPr>
      <w:r w:rsidRPr="00CB7A49">
        <w:rPr>
          <w:rFonts w:ascii="Arial" w:hAnsi="Arial" w:cs="Arial"/>
          <w:sz w:val="22"/>
        </w:rPr>
        <w:t>5</w:t>
      </w:r>
      <w:r w:rsidR="00FD0A91">
        <w:rPr>
          <w:rFonts w:ascii="Arial" w:hAnsi="Arial" w:cs="Arial"/>
          <w:sz w:val="22"/>
        </w:rPr>
        <w:t>……………………………………………………………………………………</w:t>
      </w:r>
      <w:r w:rsidR="000E507F">
        <w:rPr>
          <w:rFonts w:ascii="Arial" w:hAnsi="Arial" w:cs="Arial"/>
          <w:sz w:val="22"/>
        </w:rPr>
        <w:t>………</w:t>
      </w:r>
      <w:r w:rsidRPr="00CB7A49">
        <w:rPr>
          <w:rFonts w:ascii="Arial" w:hAnsi="Arial" w:cs="Arial"/>
          <w:sz w:val="22"/>
        </w:rPr>
        <w:t xml:space="preserve"> </w:t>
      </w:r>
      <w:r w:rsidRPr="00CB7A49">
        <w:rPr>
          <w:rFonts w:ascii="Arial" w:hAnsi="Arial" w:cs="Arial"/>
          <w:sz w:val="22"/>
        </w:rPr>
        <w:tab/>
        <w:t>Conclusion</w:t>
      </w:r>
    </w:p>
    <w:p w14:paraId="01B6A020" w14:textId="7BCDFE0F" w:rsidR="002F5CDF" w:rsidRPr="00CB7A49" w:rsidRDefault="004F3BF7" w:rsidP="000E507F">
      <w:pPr>
        <w:spacing w:line="360" w:lineRule="auto"/>
        <w:jc w:val="both"/>
        <w:rPr>
          <w:rFonts w:ascii="Arial" w:hAnsi="Arial" w:cs="Arial"/>
          <w:sz w:val="22"/>
        </w:rPr>
      </w:pPr>
      <w:r w:rsidRPr="00CB7A49">
        <w:rPr>
          <w:rFonts w:ascii="Arial" w:hAnsi="Arial" w:cs="Arial"/>
          <w:sz w:val="22"/>
        </w:rPr>
        <w:t>6</w:t>
      </w:r>
      <w:r w:rsidR="000E507F">
        <w:rPr>
          <w:rFonts w:ascii="Arial" w:hAnsi="Arial" w:cs="Arial"/>
          <w:sz w:val="22"/>
        </w:rPr>
        <w:t>……………………………………………………………………………………</w:t>
      </w:r>
      <w:r w:rsidRPr="00CB7A49">
        <w:rPr>
          <w:rFonts w:ascii="Arial" w:hAnsi="Arial" w:cs="Arial"/>
          <w:sz w:val="22"/>
        </w:rPr>
        <w:tab/>
        <w:t>References</w:t>
      </w:r>
    </w:p>
    <w:p w14:paraId="602B7AEE" w14:textId="77777777" w:rsidR="002F5CDF" w:rsidRDefault="002F5CDF" w:rsidP="004A5A64">
      <w:pPr>
        <w:spacing w:line="360" w:lineRule="auto"/>
        <w:rPr>
          <w:rFonts w:ascii="Arial" w:hAnsi="Arial" w:cs="Arial"/>
          <w:b/>
          <w:bCs/>
          <w:sz w:val="23"/>
          <w:szCs w:val="23"/>
        </w:rPr>
      </w:pPr>
    </w:p>
    <w:p w14:paraId="217F99C8" w14:textId="77777777" w:rsidR="00982C12" w:rsidRDefault="00982C12" w:rsidP="004A5A64">
      <w:pPr>
        <w:spacing w:line="360" w:lineRule="auto"/>
        <w:rPr>
          <w:rFonts w:ascii="Arial" w:hAnsi="Arial" w:cs="Arial"/>
          <w:b/>
          <w:bCs/>
          <w:sz w:val="23"/>
          <w:szCs w:val="23"/>
        </w:rPr>
      </w:pPr>
    </w:p>
    <w:p w14:paraId="78E51402" w14:textId="77777777" w:rsidR="00982C12" w:rsidRDefault="00982C12" w:rsidP="004A5A64">
      <w:pPr>
        <w:spacing w:line="360" w:lineRule="auto"/>
        <w:rPr>
          <w:rFonts w:ascii="Arial" w:hAnsi="Arial" w:cs="Arial"/>
          <w:b/>
          <w:bCs/>
          <w:sz w:val="23"/>
          <w:szCs w:val="23"/>
        </w:rPr>
      </w:pPr>
    </w:p>
    <w:p w14:paraId="61101F12" w14:textId="77777777" w:rsidR="00982C12" w:rsidRDefault="00982C12" w:rsidP="004A5A64">
      <w:pPr>
        <w:spacing w:line="360" w:lineRule="auto"/>
        <w:rPr>
          <w:rFonts w:ascii="Arial" w:hAnsi="Arial" w:cs="Arial"/>
          <w:b/>
          <w:bCs/>
          <w:sz w:val="23"/>
          <w:szCs w:val="23"/>
        </w:rPr>
      </w:pPr>
    </w:p>
    <w:p w14:paraId="7CE0A4B9" w14:textId="77777777" w:rsidR="00982C12" w:rsidRDefault="00982C12" w:rsidP="004A5A64">
      <w:pPr>
        <w:spacing w:line="360" w:lineRule="auto"/>
        <w:rPr>
          <w:rFonts w:ascii="Arial" w:hAnsi="Arial" w:cs="Arial"/>
          <w:b/>
          <w:bCs/>
          <w:sz w:val="23"/>
          <w:szCs w:val="23"/>
        </w:rPr>
      </w:pPr>
    </w:p>
    <w:p w14:paraId="47E64EE4" w14:textId="77777777" w:rsidR="00982C12" w:rsidRDefault="00982C12" w:rsidP="004A5A64">
      <w:pPr>
        <w:spacing w:line="360" w:lineRule="auto"/>
        <w:rPr>
          <w:rFonts w:ascii="Arial" w:hAnsi="Arial" w:cs="Arial"/>
          <w:b/>
          <w:bCs/>
          <w:sz w:val="23"/>
          <w:szCs w:val="23"/>
        </w:rPr>
      </w:pPr>
    </w:p>
    <w:p w14:paraId="23E5BC2A" w14:textId="77777777" w:rsidR="00982C12" w:rsidRDefault="00982C12" w:rsidP="004A5A64">
      <w:pPr>
        <w:spacing w:line="360" w:lineRule="auto"/>
        <w:rPr>
          <w:rFonts w:ascii="Arial" w:hAnsi="Arial" w:cs="Arial"/>
          <w:b/>
          <w:bCs/>
          <w:sz w:val="23"/>
          <w:szCs w:val="23"/>
        </w:rPr>
      </w:pPr>
    </w:p>
    <w:p w14:paraId="5F44B964" w14:textId="74363F68" w:rsidR="00317E3D" w:rsidRPr="005B02BE" w:rsidRDefault="006D2F2D" w:rsidP="004A5A64">
      <w:pPr>
        <w:spacing w:line="360" w:lineRule="auto"/>
        <w:rPr>
          <w:rFonts w:ascii="Arial" w:hAnsi="Arial" w:cs="Arial"/>
          <w:b/>
          <w:bCs/>
          <w:sz w:val="28"/>
          <w:szCs w:val="28"/>
        </w:rPr>
      </w:pPr>
      <w:r w:rsidRPr="005B02BE">
        <w:rPr>
          <w:rFonts w:ascii="Arial" w:hAnsi="Arial" w:cs="Arial"/>
          <w:b/>
          <w:bCs/>
          <w:sz w:val="28"/>
          <w:szCs w:val="28"/>
        </w:rPr>
        <w:t>Introduction</w:t>
      </w:r>
    </w:p>
    <w:p w14:paraId="5D1D3454" w14:textId="77777777" w:rsidR="00E30993" w:rsidRPr="00E30993" w:rsidRDefault="00E30993" w:rsidP="00E30993">
      <w:pPr>
        <w:spacing w:line="360" w:lineRule="auto"/>
        <w:jc w:val="both"/>
        <w:rPr>
          <w:rFonts w:ascii="Arial" w:hAnsi="Arial" w:cs="Arial"/>
          <w:sz w:val="22"/>
        </w:rPr>
      </w:pPr>
      <w:r w:rsidRPr="00E30993">
        <w:rPr>
          <w:rFonts w:ascii="Arial" w:hAnsi="Arial" w:cs="Arial"/>
          <w:sz w:val="22"/>
        </w:rPr>
        <w:t>Person</w:t>
      </w:r>
      <w:r w:rsidRPr="00E30993">
        <w:rPr>
          <w:rFonts w:ascii="Cambria Math" w:hAnsi="Cambria Math" w:cs="Cambria Math"/>
          <w:sz w:val="22"/>
        </w:rPr>
        <w:t>‑</w:t>
      </w:r>
      <w:r w:rsidRPr="00E30993">
        <w:rPr>
          <w:rFonts w:ascii="Arial" w:hAnsi="Arial" w:cs="Arial"/>
          <w:sz w:val="22"/>
        </w:rPr>
        <w:t xml:space="preserve">centred care has become a defining principle in contemporary health and social care, emphasising autonomy, dignity, and the meaningful involvement of individuals in decisions affecting their lives. Central to this paradigm shift is the </w:t>
      </w:r>
      <w:r w:rsidRPr="006437A1">
        <w:rPr>
          <w:rFonts w:ascii="Arial" w:hAnsi="Arial" w:cs="Arial"/>
          <w:i/>
          <w:iCs/>
          <w:sz w:val="22"/>
        </w:rPr>
        <w:t>Social Model of Disability</w:t>
      </w:r>
      <w:r w:rsidRPr="00E30993">
        <w:rPr>
          <w:rFonts w:ascii="Arial" w:hAnsi="Arial" w:cs="Arial"/>
          <w:sz w:val="22"/>
        </w:rPr>
        <w:t>, a framework profoundly shaped by the work of Colin Barnes, one of the most influential scholars in disability studies. Barnes’ theoretical contributions have been instrumental in challenging traditional, medicalised understandings of disability and in reframing it as a socially constructed phenomenon arising from environmental, attitudinal, and institutional barriers.</w:t>
      </w:r>
    </w:p>
    <w:p w14:paraId="4AF33891" w14:textId="446D60F1" w:rsidR="00E30993" w:rsidRDefault="00E30993" w:rsidP="00E30993">
      <w:pPr>
        <w:spacing w:line="360" w:lineRule="auto"/>
        <w:jc w:val="both"/>
        <w:rPr>
          <w:rFonts w:ascii="Arial" w:hAnsi="Arial" w:cs="Arial"/>
          <w:b/>
          <w:bCs/>
          <w:sz w:val="22"/>
        </w:rPr>
      </w:pPr>
      <w:r w:rsidRPr="00E30993">
        <w:rPr>
          <w:rFonts w:ascii="Arial" w:hAnsi="Arial" w:cs="Arial"/>
          <w:sz w:val="22"/>
        </w:rPr>
        <w:t xml:space="preserve">This essay critically examines Barnes’ theory and its development within the broader context of disability activism and scholarship. It explores the emergence of the </w:t>
      </w:r>
      <w:r w:rsidRPr="006437A1">
        <w:rPr>
          <w:rFonts w:ascii="Arial" w:hAnsi="Arial" w:cs="Arial"/>
          <w:sz w:val="22"/>
        </w:rPr>
        <w:t>Social Model of Disability, the critiques directed at it, and the responses offered by Barnes and other proponents. The essay then analyses the application of the model within health and</w:t>
      </w:r>
      <w:r w:rsidRPr="00E30993">
        <w:rPr>
          <w:rFonts w:ascii="Arial" w:hAnsi="Arial" w:cs="Arial"/>
          <w:sz w:val="22"/>
        </w:rPr>
        <w:t xml:space="preserve"> social care policy and practice, highlighting both its transformative potential and the challenges associated with its implementation. Finally, it presents recommendations for strengthening person</w:t>
      </w:r>
      <w:r w:rsidRPr="00E30993">
        <w:rPr>
          <w:rFonts w:ascii="Cambria Math" w:hAnsi="Cambria Math" w:cs="Cambria Math"/>
          <w:sz w:val="22"/>
        </w:rPr>
        <w:t>‑</w:t>
      </w:r>
      <w:r w:rsidRPr="00E30993">
        <w:rPr>
          <w:rFonts w:ascii="Arial" w:hAnsi="Arial" w:cs="Arial"/>
          <w:sz w:val="22"/>
        </w:rPr>
        <w:t>centred care through a more robust integration of social model principles</w:t>
      </w:r>
      <w:r w:rsidRPr="00E30993">
        <w:rPr>
          <w:rFonts w:ascii="Arial" w:hAnsi="Arial" w:cs="Arial"/>
          <w:b/>
          <w:bCs/>
          <w:sz w:val="22"/>
        </w:rPr>
        <w:t>.</w:t>
      </w:r>
    </w:p>
    <w:p w14:paraId="1A455D18" w14:textId="3A21F854" w:rsidR="00AF2CC5" w:rsidRPr="005B02BE" w:rsidRDefault="005D2312" w:rsidP="00E30993">
      <w:pPr>
        <w:spacing w:line="360" w:lineRule="auto"/>
        <w:jc w:val="both"/>
        <w:rPr>
          <w:rFonts w:ascii="Arial" w:hAnsi="Arial" w:cs="Arial"/>
          <w:b/>
          <w:bCs/>
          <w:sz w:val="28"/>
          <w:szCs w:val="28"/>
        </w:rPr>
      </w:pPr>
      <w:r w:rsidRPr="005B02BE">
        <w:rPr>
          <w:rFonts w:ascii="Arial" w:hAnsi="Arial" w:cs="Arial"/>
          <w:b/>
          <w:bCs/>
          <w:sz w:val="28"/>
          <w:szCs w:val="28"/>
        </w:rPr>
        <w:lastRenderedPageBreak/>
        <w:t>The development of the chosen concept:</w:t>
      </w:r>
    </w:p>
    <w:p w14:paraId="50C0522E" w14:textId="77777777" w:rsidR="0086215B" w:rsidRPr="000852A1" w:rsidRDefault="0086215B" w:rsidP="0086215B">
      <w:pPr>
        <w:spacing w:line="360" w:lineRule="auto"/>
        <w:jc w:val="both"/>
        <w:rPr>
          <w:rFonts w:ascii="Arial" w:hAnsi="Arial" w:cs="Arial"/>
          <w:b/>
          <w:bCs/>
          <w:i/>
          <w:iCs/>
          <w:sz w:val="22"/>
        </w:rPr>
      </w:pPr>
      <w:r w:rsidRPr="000852A1">
        <w:rPr>
          <w:rFonts w:ascii="Arial" w:hAnsi="Arial" w:cs="Arial"/>
          <w:b/>
          <w:bCs/>
          <w:i/>
          <w:iCs/>
          <w:sz w:val="22"/>
        </w:rPr>
        <w:t>1.1 Historical and Political Origins</w:t>
      </w:r>
    </w:p>
    <w:p w14:paraId="7D1D8B78" w14:textId="77777777" w:rsidR="0086215B" w:rsidRPr="0086215B" w:rsidRDefault="0086215B" w:rsidP="0086215B">
      <w:pPr>
        <w:spacing w:line="360" w:lineRule="auto"/>
        <w:jc w:val="both"/>
        <w:rPr>
          <w:rFonts w:ascii="Arial" w:hAnsi="Arial" w:cs="Arial"/>
          <w:sz w:val="22"/>
        </w:rPr>
      </w:pPr>
      <w:r w:rsidRPr="0086215B">
        <w:rPr>
          <w:rFonts w:ascii="Arial" w:hAnsi="Arial" w:cs="Arial"/>
          <w:sz w:val="22"/>
        </w:rPr>
        <w:t>Barnes’ theory emerged from the political mobilisation of disabled people in the United Kingdom during the 1970s and 1980s. The foundational influence was the Union of the Physically Impaired Against Segregation (UPIAS), whose 1976 statement distinguished between impairment (a physical or mental condition) and disability (the social restrictions imposed on individuals with impairments). This distinction laid the groundwork for what became known as the Social Model of Disability.</w:t>
      </w:r>
    </w:p>
    <w:p w14:paraId="717C75D9" w14:textId="77777777" w:rsidR="0086215B" w:rsidRPr="0086215B" w:rsidRDefault="0086215B" w:rsidP="0086215B">
      <w:pPr>
        <w:spacing w:line="360" w:lineRule="auto"/>
        <w:jc w:val="both"/>
        <w:rPr>
          <w:rFonts w:ascii="Arial" w:hAnsi="Arial" w:cs="Arial"/>
          <w:sz w:val="22"/>
        </w:rPr>
      </w:pPr>
      <w:r w:rsidRPr="0086215B">
        <w:rPr>
          <w:rFonts w:ascii="Arial" w:hAnsi="Arial" w:cs="Arial"/>
          <w:sz w:val="22"/>
        </w:rPr>
        <w:t>Barnes’ work was shaped by:</w:t>
      </w:r>
    </w:p>
    <w:p w14:paraId="4EC1FE64" w14:textId="77777777" w:rsidR="0086215B" w:rsidRPr="0086215B" w:rsidRDefault="0086215B" w:rsidP="0086215B">
      <w:pPr>
        <w:spacing w:line="360" w:lineRule="auto"/>
        <w:jc w:val="both"/>
        <w:rPr>
          <w:rFonts w:ascii="Arial" w:hAnsi="Arial" w:cs="Arial"/>
          <w:sz w:val="22"/>
        </w:rPr>
      </w:pPr>
      <w:r w:rsidRPr="0086215B">
        <w:rPr>
          <w:rFonts w:ascii="Arial" w:hAnsi="Arial" w:cs="Arial"/>
          <w:sz w:val="22"/>
        </w:rPr>
        <w:t xml:space="preserve">• </w:t>
      </w:r>
      <w:r w:rsidRPr="0086215B">
        <w:rPr>
          <w:rFonts w:ascii="Arial" w:hAnsi="Arial" w:cs="Arial"/>
          <w:sz w:val="22"/>
        </w:rPr>
        <w:tab/>
        <w:t>The civil rights movements of the mid</w:t>
      </w:r>
      <w:r w:rsidRPr="0086215B">
        <w:rPr>
          <w:rFonts w:ascii="Cambria Math" w:hAnsi="Cambria Math" w:cs="Cambria Math"/>
          <w:sz w:val="22"/>
        </w:rPr>
        <w:t>‑</w:t>
      </w:r>
      <w:r w:rsidRPr="0086215B">
        <w:rPr>
          <w:rFonts w:ascii="Arial" w:hAnsi="Arial" w:cs="Arial"/>
          <w:sz w:val="22"/>
        </w:rPr>
        <w:t>twentieth century</w:t>
      </w:r>
    </w:p>
    <w:p w14:paraId="03492636" w14:textId="77777777" w:rsidR="0086215B" w:rsidRPr="0086215B" w:rsidRDefault="0086215B" w:rsidP="0086215B">
      <w:pPr>
        <w:spacing w:line="360" w:lineRule="auto"/>
        <w:jc w:val="both"/>
        <w:rPr>
          <w:rFonts w:ascii="Arial" w:hAnsi="Arial" w:cs="Arial"/>
          <w:sz w:val="22"/>
        </w:rPr>
      </w:pPr>
      <w:r w:rsidRPr="0086215B">
        <w:rPr>
          <w:rFonts w:ascii="Arial" w:hAnsi="Arial" w:cs="Arial"/>
          <w:sz w:val="22"/>
        </w:rPr>
        <w:t xml:space="preserve">• </w:t>
      </w:r>
      <w:r w:rsidRPr="0086215B">
        <w:rPr>
          <w:rFonts w:ascii="Arial" w:hAnsi="Arial" w:cs="Arial"/>
          <w:sz w:val="22"/>
        </w:rPr>
        <w:tab/>
        <w:t>The rise of disability activism and self</w:t>
      </w:r>
      <w:r w:rsidRPr="0086215B">
        <w:rPr>
          <w:rFonts w:ascii="Cambria Math" w:hAnsi="Cambria Math" w:cs="Cambria Math"/>
          <w:sz w:val="22"/>
        </w:rPr>
        <w:t>‑</w:t>
      </w:r>
      <w:r w:rsidRPr="0086215B">
        <w:rPr>
          <w:rFonts w:ascii="Arial" w:hAnsi="Arial" w:cs="Arial"/>
          <w:sz w:val="22"/>
        </w:rPr>
        <w:t>advocacy</w:t>
      </w:r>
    </w:p>
    <w:p w14:paraId="284B9DF7" w14:textId="77777777" w:rsidR="0086215B" w:rsidRPr="0086215B" w:rsidRDefault="0086215B" w:rsidP="0086215B">
      <w:pPr>
        <w:spacing w:line="360" w:lineRule="auto"/>
        <w:jc w:val="both"/>
        <w:rPr>
          <w:rFonts w:ascii="Arial" w:hAnsi="Arial" w:cs="Arial"/>
          <w:sz w:val="22"/>
        </w:rPr>
      </w:pPr>
      <w:r w:rsidRPr="0086215B">
        <w:rPr>
          <w:rFonts w:ascii="Arial" w:hAnsi="Arial" w:cs="Arial"/>
          <w:sz w:val="22"/>
        </w:rPr>
        <w:t xml:space="preserve">• </w:t>
      </w:r>
      <w:r w:rsidRPr="0086215B">
        <w:rPr>
          <w:rFonts w:ascii="Arial" w:hAnsi="Arial" w:cs="Arial"/>
          <w:sz w:val="22"/>
        </w:rPr>
        <w:tab/>
        <w:t>A rejection of the dominance of the medical model in welfare and rehabilitation services</w:t>
      </w:r>
    </w:p>
    <w:p w14:paraId="079D2F9D" w14:textId="77777777" w:rsidR="00406774" w:rsidRDefault="0086215B" w:rsidP="0086215B">
      <w:pPr>
        <w:spacing w:line="360" w:lineRule="auto"/>
        <w:jc w:val="both"/>
        <w:rPr>
          <w:rFonts w:ascii="Arial" w:hAnsi="Arial" w:cs="Arial"/>
          <w:sz w:val="22"/>
        </w:rPr>
      </w:pPr>
      <w:r w:rsidRPr="0086215B">
        <w:rPr>
          <w:rFonts w:ascii="Arial" w:hAnsi="Arial" w:cs="Arial"/>
          <w:sz w:val="22"/>
        </w:rPr>
        <w:t>His early research, particularly Disabled People in Britain and Discrimination (1991), provided empirical evidence of the structural and institutional barriers that systematically excluded disabled people from full participation in society. This work helped to consolidate the social model as both an analytical framework and a political tool.</w:t>
      </w:r>
    </w:p>
    <w:p w14:paraId="77F7D6FC" w14:textId="76787E96" w:rsidR="0086215B" w:rsidRDefault="00406774" w:rsidP="0086215B">
      <w:pPr>
        <w:spacing w:line="360" w:lineRule="auto"/>
        <w:jc w:val="both"/>
        <w:rPr>
          <w:rFonts w:ascii="Arial" w:hAnsi="Arial" w:cs="Arial"/>
          <w:sz w:val="22"/>
        </w:rPr>
      </w:pPr>
      <w:r w:rsidRPr="00406774">
        <w:t xml:space="preserve"> </w:t>
      </w:r>
      <w:r w:rsidRPr="00406774">
        <w:rPr>
          <w:rFonts w:ascii="Arial" w:hAnsi="Arial" w:cs="Arial"/>
          <w:sz w:val="22"/>
        </w:rPr>
        <w:t>Barnes’ analysis also highlighted how the political climate of the late twentieth century shaped the emergence of disability rights as a social justice issue. He argued that the shift towards neoliberal welfare reforms intensified structural inequalities by reducing state responsibility and placing greater emphasis on individual self</w:t>
      </w:r>
      <w:r w:rsidRPr="00406774">
        <w:rPr>
          <w:rFonts w:ascii="Cambria Math" w:hAnsi="Cambria Math" w:cs="Cambria Math"/>
          <w:sz w:val="22"/>
        </w:rPr>
        <w:t>‑</w:t>
      </w:r>
      <w:r w:rsidRPr="00406774">
        <w:rPr>
          <w:rFonts w:ascii="Arial" w:hAnsi="Arial" w:cs="Arial"/>
          <w:sz w:val="22"/>
        </w:rPr>
        <w:t>sufficiency (Barnes, 1991; Oliver, 1990). This context strengthened the need for a collective political response, as disabled people increasingly challenged discriminatory policies and demanded recognition as equal citizens (UPIAS, 1976; Barnes &amp; Mercer, 2003). These developments reinforced the social model’s central claim that disability is produced through social, economic and political exclusion rather than personal deficit (Shakespeare, 2006).</w:t>
      </w:r>
    </w:p>
    <w:p w14:paraId="571CD52F" w14:textId="77777777" w:rsidR="00406774" w:rsidRPr="0086215B" w:rsidRDefault="00406774" w:rsidP="0086215B">
      <w:pPr>
        <w:spacing w:line="360" w:lineRule="auto"/>
        <w:jc w:val="both"/>
        <w:rPr>
          <w:rFonts w:ascii="Arial" w:hAnsi="Arial" w:cs="Arial"/>
          <w:sz w:val="22"/>
        </w:rPr>
      </w:pPr>
    </w:p>
    <w:p w14:paraId="79FF729C" w14:textId="77777777" w:rsidR="0086215B" w:rsidRPr="000852A1" w:rsidRDefault="0086215B" w:rsidP="0086215B">
      <w:pPr>
        <w:spacing w:line="360" w:lineRule="auto"/>
        <w:jc w:val="both"/>
        <w:rPr>
          <w:rFonts w:ascii="Arial" w:hAnsi="Arial" w:cs="Arial"/>
          <w:b/>
          <w:bCs/>
          <w:i/>
          <w:iCs/>
          <w:sz w:val="22"/>
        </w:rPr>
      </w:pPr>
      <w:r w:rsidRPr="000852A1">
        <w:rPr>
          <w:rFonts w:ascii="Arial" w:hAnsi="Arial" w:cs="Arial"/>
          <w:b/>
          <w:bCs/>
          <w:i/>
          <w:iCs/>
          <w:sz w:val="22"/>
        </w:rPr>
        <w:t>1.2 Theoretical Development</w:t>
      </w:r>
    </w:p>
    <w:p w14:paraId="57DCCE9F" w14:textId="77777777" w:rsidR="0086215B" w:rsidRPr="0086215B" w:rsidRDefault="0086215B" w:rsidP="0086215B">
      <w:pPr>
        <w:spacing w:line="360" w:lineRule="auto"/>
        <w:jc w:val="both"/>
        <w:rPr>
          <w:rFonts w:ascii="Arial" w:hAnsi="Arial" w:cs="Arial"/>
          <w:sz w:val="22"/>
        </w:rPr>
      </w:pPr>
      <w:r w:rsidRPr="0086215B">
        <w:rPr>
          <w:rFonts w:ascii="Arial" w:hAnsi="Arial" w:cs="Arial"/>
          <w:sz w:val="22"/>
        </w:rPr>
        <w:t>Barnes expanded the social model by situating disability within broader socio</w:t>
      </w:r>
      <w:r w:rsidRPr="0086215B">
        <w:rPr>
          <w:rFonts w:ascii="Cambria Math" w:hAnsi="Cambria Math" w:cs="Cambria Math"/>
          <w:sz w:val="22"/>
        </w:rPr>
        <w:t>‑</w:t>
      </w:r>
      <w:r w:rsidRPr="0086215B">
        <w:rPr>
          <w:rFonts w:ascii="Arial" w:hAnsi="Arial" w:cs="Arial"/>
          <w:sz w:val="22"/>
        </w:rPr>
        <w:t>economic structures. He argued that disability is not merely the result of individual impairments but is fundamentally shaped by:</w:t>
      </w:r>
    </w:p>
    <w:p w14:paraId="4CEF7EA8" w14:textId="77777777" w:rsidR="0086215B" w:rsidRPr="0086215B" w:rsidRDefault="0086215B" w:rsidP="0086215B">
      <w:pPr>
        <w:spacing w:line="360" w:lineRule="auto"/>
        <w:jc w:val="both"/>
        <w:rPr>
          <w:rFonts w:ascii="Arial" w:hAnsi="Arial" w:cs="Arial"/>
          <w:sz w:val="22"/>
        </w:rPr>
      </w:pPr>
      <w:r w:rsidRPr="0086215B">
        <w:rPr>
          <w:rFonts w:ascii="Arial" w:hAnsi="Arial" w:cs="Arial"/>
          <w:sz w:val="22"/>
        </w:rPr>
        <w:t xml:space="preserve">• </w:t>
      </w:r>
      <w:r w:rsidRPr="0086215B">
        <w:rPr>
          <w:rFonts w:ascii="Arial" w:hAnsi="Arial" w:cs="Arial"/>
          <w:sz w:val="22"/>
        </w:rPr>
        <w:tab/>
        <w:t>Capitalist labour markets that prioritise productivity and normative functioning</w:t>
      </w:r>
    </w:p>
    <w:p w14:paraId="1ADAC528" w14:textId="77777777" w:rsidR="0086215B" w:rsidRPr="0086215B" w:rsidRDefault="0086215B" w:rsidP="0086215B">
      <w:pPr>
        <w:spacing w:line="360" w:lineRule="auto"/>
        <w:jc w:val="both"/>
        <w:rPr>
          <w:rFonts w:ascii="Arial" w:hAnsi="Arial" w:cs="Arial"/>
          <w:sz w:val="22"/>
        </w:rPr>
      </w:pPr>
      <w:r w:rsidRPr="0086215B">
        <w:rPr>
          <w:rFonts w:ascii="Arial" w:hAnsi="Arial" w:cs="Arial"/>
          <w:sz w:val="22"/>
        </w:rPr>
        <w:lastRenderedPageBreak/>
        <w:t xml:space="preserve">• </w:t>
      </w:r>
      <w:r w:rsidRPr="0086215B">
        <w:rPr>
          <w:rFonts w:ascii="Arial" w:hAnsi="Arial" w:cs="Arial"/>
          <w:sz w:val="22"/>
        </w:rPr>
        <w:tab/>
        <w:t>Institutional practices that segregate and marginalise disabled people</w:t>
      </w:r>
    </w:p>
    <w:p w14:paraId="55CA4601" w14:textId="77777777" w:rsidR="0086215B" w:rsidRPr="0086215B" w:rsidRDefault="0086215B" w:rsidP="0086215B">
      <w:pPr>
        <w:spacing w:line="360" w:lineRule="auto"/>
        <w:jc w:val="both"/>
        <w:rPr>
          <w:rFonts w:ascii="Arial" w:hAnsi="Arial" w:cs="Arial"/>
          <w:sz w:val="22"/>
        </w:rPr>
      </w:pPr>
      <w:r w:rsidRPr="0086215B">
        <w:rPr>
          <w:rFonts w:ascii="Arial" w:hAnsi="Arial" w:cs="Arial"/>
          <w:sz w:val="22"/>
        </w:rPr>
        <w:t xml:space="preserve">• </w:t>
      </w:r>
      <w:r w:rsidRPr="0086215B">
        <w:rPr>
          <w:rFonts w:ascii="Arial" w:hAnsi="Arial" w:cs="Arial"/>
          <w:sz w:val="22"/>
        </w:rPr>
        <w:tab/>
        <w:t>Cultural narratives that reinforce dependency and deficit</w:t>
      </w:r>
      <w:r w:rsidRPr="0086215B">
        <w:rPr>
          <w:rFonts w:ascii="Cambria Math" w:hAnsi="Cambria Math" w:cs="Cambria Math"/>
          <w:sz w:val="22"/>
        </w:rPr>
        <w:t>‑</w:t>
      </w:r>
      <w:r w:rsidRPr="0086215B">
        <w:rPr>
          <w:rFonts w:ascii="Arial" w:hAnsi="Arial" w:cs="Arial"/>
          <w:sz w:val="22"/>
        </w:rPr>
        <w:t>based assumptions</w:t>
      </w:r>
    </w:p>
    <w:p w14:paraId="6A998E21" w14:textId="77777777" w:rsidR="008B3F5D" w:rsidRDefault="0086215B" w:rsidP="0086215B">
      <w:pPr>
        <w:spacing w:line="360" w:lineRule="auto"/>
        <w:jc w:val="both"/>
      </w:pPr>
      <w:r w:rsidRPr="0086215B">
        <w:rPr>
          <w:rFonts w:ascii="Arial" w:hAnsi="Arial" w:cs="Arial"/>
          <w:sz w:val="22"/>
        </w:rPr>
        <w:t>By emphasising the structural and political dimensions of disability, Barnes strengthened the model’s capacity to challenge systemic discrimination and advocate for rights</w:t>
      </w:r>
      <w:r w:rsidRPr="0086215B">
        <w:rPr>
          <w:rFonts w:ascii="Cambria Math" w:hAnsi="Cambria Math" w:cs="Cambria Math"/>
          <w:sz w:val="22"/>
        </w:rPr>
        <w:t>‑</w:t>
      </w:r>
      <w:r w:rsidRPr="0086215B">
        <w:rPr>
          <w:rFonts w:ascii="Arial" w:hAnsi="Arial" w:cs="Arial"/>
          <w:sz w:val="22"/>
        </w:rPr>
        <w:t>based approaches</w:t>
      </w:r>
      <w:r w:rsidR="00F173EF">
        <w:rPr>
          <w:rFonts w:ascii="Arial" w:hAnsi="Arial" w:cs="Arial"/>
          <w:sz w:val="22"/>
        </w:rPr>
        <w:t>.</w:t>
      </w:r>
      <w:r w:rsidR="008F6F62" w:rsidRPr="008F6F62">
        <w:t xml:space="preserve"> </w:t>
      </w:r>
    </w:p>
    <w:p w14:paraId="79770B57" w14:textId="078A9598" w:rsidR="005D2312" w:rsidRDefault="008F6F62" w:rsidP="0086215B">
      <w:pPr>
        <w:spacing w:line="360" w:lineRule="auto"/>
        <w:jc w:val="both"/>
        <w:rPr>
          <w:rFonts w:ascii="Arial" w:hAnsi="Arial" w:cs="Arial"/>
          <w:sz w:val="22"/>
        </w:rPr>
      </w:pPr>
      <w:r w:rsidRPr="008F6F62">
        <w:rPr>
          <w:rFonts w:ascii="Arial" w:hAnsi="Arial" w:cs="Arial"/>
          <w:sz w:val="22"/>
        </w:rPr>
        <w:t>Barnes further developed the concept by emphasising the historical and material conditions that produce disability as a form of social oppression (Barnes, 1991; Barnes &amp; Mercer, 2003). He highlighted how post</w:t>
      </w:r>
      <w:r w:rsidRPr="008F6F62">
        <w:rPr>
          <w:rFonts w:ascii="Cambria Math" w:hAnsi="Cambria Math" w:cs="Cambria Math"/>
          <w:sz w:val="22"/>
        </w:rPr>
        <w:t>‑</w:t>
      </w:r>
      <w:r w:rsidRPr="008F6F62">
        <w:rPr>
          <w:rFonts w:ascii="Arial" w:hAnsi="Arial" w:cs="Arial"/>
          <w:sz w:val="22"/>
        </w:rPr>
        <w:t>war welfare policies, although intended to provide support, often reinforced dependency by positioning disabled people as passive recipients of care rather than active citizens (Oliver, 1990). His engagement with Marxist and sociological traditions strengthened the argument that disability must be understood through power relations, economic inequality, and the organisation of social institutions (UPIAS, 1976; Barnes, 1997). By foregrounding disabled people’s collective experiences and political agency, Barnes advanced the social model into a transformative framework aimed at restructuring society to achieve genuine inclusion and equality (Shakespeare, 2006).</w:t>
      </w:r>
    </w:p>
    <w:p w14:paraId="73B9AA88" w14:textId="77777777" w:rsidR="000F76DF" w:rsidRDefault="000F76DF" w:rsidP="000E29B6">
      <w:pPr>
        <w:spacing w:line="360" w:lineRule="auto"/>
        <w:rPr>
          <w:rFonts w:ascii="Arial" w:hAnsi="Arial" w:cs="Arial"/>
          <w:b/>
          <w:bCs/>
          <w:sz w:val="23"/>
          <w:szCs w:val="23"/>
        </w:rPr>
      </w:pPr>
    </w:p>
    <w:p w14:paraId="2F9F8D3F" w14:textId="77777777" w:rsidR="000F76DF" w:rsidRDefault="000F76DF" w:rsidP="000E29B6">
      <w:pPr>
        <w:spacing w:line="360" w:lineRule="auto"/>
        <w:rPr>
          <w:rFonts w:ascii="Arial" w:hAnsi="Arial" w:cs="Arial"/>
          <w:b/>
          <w:bCs/>
          <w:sz w:val="23"/>
          <w:szCs w:val="23"/>
        </w:rPr>
      </w:pPr>
    </w:p>
    <w:p w14:paraId="3B9DA1D1" w14:textId="77458A23" w:rsidR="000E29B6" w:rsidRDefault="006D2F2D" w:rsidP="000E29B6">
      <w:pPr>
        <w:spacing w:line="360" w:lineRule="auto"/>
        <w:rPr>
          <w:rFonts w:ascii="Arial" w:hAnsi="Arial" w:cs="Arial"/>
          <w:b/>
          <w:bCs/>
          <w:sz w:val="23"/>
          <w:szCs w:val="23"/>
        </w:rPr>
      </w:pPr>
      <w:r w:rsidRPr="004A5A64">
        <w:rPr>
          <w:rFonts w:ascii="Arial" w:hAnsi="Arial" w:cs="Arial"/>
          <w:b/>
          <w:bCs/>
          <w:sz w:val="23"/>
          <w:szCs w:val="23"/>
        </w:rPr>
        <w:t xml:space="preserve">Application of the </w:t>
      </w:r>
      <w:r w:rsidR="00A14675" w:rsidRPr="004A5A64">
        <w:rPr>
          <w:rFonts w:ascii="Arial" w:hAnsi="Arial" w:cs="Arial"/>
          <w:b/>
          <w:bCs/>
          <w:sz w:val="23"/>
          <w:szCs w:val="23"/>
        </w:rPr>
        <w:t>concept</w:t>
      </w:r>
      <w:r w:rsidRPr="004A5A64">
        <w:rPr>
          <w:rFonts w:ascii="Arial" w:hAnsi="Arial" w:cs="Arial"/>
          <w:b/>
          <w:bCs/>
          <w:sz w:val="23"/>
          <w:szCs w:val="23"/>
        </w:rPr>
        <w:t xml:space="preserve"> in practice</w:t>
      </w:r>
    </w:p>
    <w:p w14:paraId="4EA92449" w14:textId="5BFE089F" w:rsidR="000E29B6" w:rsidRPr="00D674F3" w:rsidRDefault="000E29B6" w:rsidP="00D674F3">
      <w:pPr>
        <w:spacing w:line="360" w:lineRule="auto"/>
        <w:jc w:val="both"/>
        <w:rPr>
          <w:rFonts w:ascii="Arial" w:hAnsi="Arial" w:cs="Arial"/>
          <w:sz w:val="22"/>
        </w:rPr>
      </w:pPr>
      <w:r w:rsidRPr="000E29B6">
        <w:t xml:space="preserve"> </w:t>
      </w:r>
      <w:r w:rsidRPr="00D674F3">
        <w:rPr>
          <w:rFonts w:ascii="Arial" w:hAnsi="Arial" w:cs="Arial"/>
          <w:sz w:val="22"/>
        </w:rPr>
        <w:t>The social model of disability, global care chains, and the ethics of care have each shaped contemporary health and social care policy, though their practical implementation remains uneven. The social model of disability reframes disability as the product of social and environmental barriers rather than individual impairment (Oliver, 1990). This perspective has influenced UK legislation such as the Equality Act 2010, which requires organisations to make reasonable adjustments, and the Care Act 2014, which emphasises wellbeing, independence, and participation (Department of Health and Social Care, 2014). In practice, the model informs person</w:t>
      </w:r>
      <w:r w:rsidRPr="00D674F3">
        <w:rPr>
          <w:rFonts w:ascii="Cambria Math" w:hAnsi="Cambria Math" w:cs="Cambria Math"/>
          <w:sz w:val="22"/>
        </w:rPr>
        <w:t>‑</w:t>
      </w:r>
      <w:r w:rsidRPr="00D674F3">
        <w:rPr>
          <w:rFonts w:ascii="Arial" w:hAnsi="Arial" w:cs="Arial"/>
          <w:sz w:val="22"/>
        </w:rPr>
        <w:t>centred planning, accessible environments, and co</w:t>
      </w:r>
      <w:r w:rsidRPr="00D674F3">
        <w:rPr>
          <w:rFonts w:ascii="Cambria Math" w:hAnsi="Cambria Math" w:cs="Cambria Math"/>
          <w:sz w:val="22"/>
        </w:rPr>
        <w:t>‑</w:t>
      </w:r>
      <w:r w:rsidRPr="00D674F3">
        <w:rPr>
          <w:rFonts w:ascii="Arial" w:hAnsi="Arial" w:cs="Arial"/>
          <w:sz w:val="22"/>
        </w:rPr>
        <w:t>production with disabled people. However, implementation gaps persist due to resource constraints, inconsistent local authority practices, and the continued dominance of medicalised approaches within clinical settings (Shakespeare, 2014). Furthermore, the social model has been critiqued for insufficiently addressing intersectional inequalities affecting disabled people who are racialised, migrant, or economically marginalised (Goodley, 2017).</w:t>
      </w:r>
    </w:p>
    <w:p w14:paraId="49E1DA63" w14:textId="77777777" w:rsidR="000E29B6" w:rsidRPr="00D674F3" w:rsidRDefault="000E29B6" w:rsidP="00D674F3">
      <w:pPr>
        <w:spacing w:line="360" w:lineRule="auto"/>
        <w:jc w:val="both"/>
        <w:rPr>
          <w:rFonts w:ascii="Arial" w:hAnsi="Arial" w:cs="Arial"/>
          <w:sz w:val="22"/>
        </w:rPr>
      </w:pPr>
      <w:r w:rsidRPr="00D674F3">
        <w:rPr>
          <w:rFonts w:ascii="Arial" w:hAnsi="Arial" w:cs="Arial"/>
          <w:sz w:val="22"/>
        </w:rPr>
        <w:t xml:space="preserve">The concept of global care chains highlights the transnational movement of care labour, particularly from the Global South to the Global North (Hochschild, 2000). This framework is </w:t>
      </w:r>
      <w:r w:rsidRPr="00D674F3">
        <w:rPr>
          <w:rFonts w:ascii="Arial" w:hAnsi="Arial" w:cs="Arial"/>
          <w:sz w:val="22"/>
        </w:rPr>
        <w:lastRenderedPageBreak/>
        <w:t>increasingly relevant to the UK, where workforce shortages have led to reliance on migrant workers through mechanisms such as the Health and Care Worker Visa (NHS England, 2023). While this supports service sustainability, it raises ethical concerns. Migrant carers often experience low pay, tied visas, limited career progression, and vulnerability to exploitation (Anderson &amp; Shutes, 2014). At a global level, the recruitment of workers from countries with their own care shortages contributes to “care drain,” reinforcing structural inequalities. Thus, although global care chains help stabilise the workforce, they expose contradictions between national workforce strategies and global justice.</w:t>
      </w:r>
    </w:p>
    <w:p w14:paraId="7883E7F2" w14:textId="77777777" w:rsidR="000E29B6" w:rsidRPr="00D674F3" w:rsidRDefault="000E29B6" w:rsidP="00D674F3">
      <w:pPr>
        <w:spacing w:line="360" w:lineRule="auto"/>
        <w:jc w:val="both"/>
        <w:rPr>
          <w:rFonts w:ascii="Arial" w:hAnsi="Arial" w:cs="Arial"/>
          <w:sz w:val="22"/>
        </w:rPr>
      </w:pPr>
      <w:r w:rsidRPr="00D674F3">
        <w:rPr>
          <w:rFonts w:ascii="Arial" w:hAnsi="Arial" w:cs="Arial"/>
          <w:sz w:val="22"/>
        </w:rPr>
        <w:t>The ethics of care has influenced person</w:t>
      </w:r>
      <w:r w:rsidRPr="00D674F3">
        <w:rPr>
          <w:rFonts w:ascii="Cambria Math" w:hAnsi="Cambria Math" w:cs="Cambria Math"/>
          <w:sz w:val="22"/>
        </w:rPr>
        <w:t>‑</w:t>
      </w:r>
      <w:r w:rsidRPr="00D674F3">
        <w:rPr>
          <w:rFonts w:ascii="Arial" w:hAnsi="Arial" w:cs="Arial"/>
          <w:sz w:val="22"/>
        </w:rPr>
        <w:t>centred practice, safeguarding, and carer support policies by emphasising relationality, interdependence, and attentiveness (Tronto, 1993). In practice, this is reflected in holistic assessments, partnership working, and trauma</w:t>
      </w:r>
      <w:r w:rsidRPr="00D674F3">
        <w:rPr>
          <w:rFonts w:ascii="Cambria Math" w:hAnsi="Cambria Math" w:cs="Cambria Math"/>
          <w:sz w:val="22"/>
        </w:rPr>
        <w:t>‑</w:t>
      </w:r>
      <w:r w:rsidRPr="00D674F3">
        <w:rPr>
          <w:rFonts w:ascii="Arial" w:hAnsi="Arial" w:cs="Arial"/>
          <w:sz w:val="22"/>
        </w:rPr>
        <w:t>informed approaches. However, relational care is difficult to sustain in time</w:t>
      </w:r>
      <w:r w:rsidRPr="00D674F3">
        <w:rPr>
          <w:rFonts w:ascii="Cambria Math" w:hAnsi="Cambria Math" w:cs="Cambria Math"/>
          <w:sz w:val="22"/>
        </w:rPr>
        <w:t>‑</w:t>
      </w:r>
      <w:r w:rsidRPr="00D674F3">
        <w:rPr>
          <w:rFonts w:ascii="Arial" w:hAnsi="Arial" w:cs="Arial"/>
          <w:sz w:val="22"/>
        </w:rPr>
        <w:t>pressured, task</w:t>
      </w:r>
      <w:r w:rsidRPr="00D674F3">
        <w:rPr>
          <w:rFonts w:ascii="Cambria Math" w:hAnsi="Cambria Math" w:cs="Cambria Math"/>
          <w:sz w:val="22"/>
        </w:rPr>
        <w:t>‑</w:t>
      </w:r>
      <w:r w:rsidRPr="00D674F3">
        <w:rPr>
          <w:rFonts w:ascii="Arial" w:hAnsi="Arial" w:cs="Arial"/>
          <w:sz w:val="22"/>
        </w:rPr>
        <w:t>oriented environments shaped by austerity and marketisation (Lloyd, 2010). Emotional labour remains undervalued, and caring responsibilities continue to fall disproportionately on women, revealing persistent gendered inequalities.</w:t>
      </w:r>
    </w:p>
    <w:p w14:paraId="6D46818E" w14:textId="776622E6" w:rsidR="006D2F2D" w:rsidRDefault="000E29B6" w:rsidP="00D674F3">
      <w:pPr>
        <w:spacing w:line="360" w:lineRule="auto"/>
        <w:jc w:val="both"/>
        <w:rPr>
          <w:rFonts w:ascii="Arial" w:hAnsi="Arial" w:cs="Arial"/>
          <w:sz w:val="22"/>
        </w:rPr>
      </w:pPr>
      <w:r w:rsidRPr="00D674F3">
        <w:rPr>
          <w:rFonts w:ascii="Arial" w:hAnsi="Arial" w:cs="Arial"/>
          <w:sz w:val="22"/>
        </w:rPr>
        <w:t>Together, these concepts illuminate both the aspirations and structural limitations of contemporary health and social care systems, highlighting the need for policies that address inequality, value relational work, and meaningfully remove disabling barriers</w:t>
      </w:r>
    </w:p>
    <w:p w14:paraId="52D2AEF0" w14:textId="77777777" w:rsidR="001A15B5" w:rsidRPr="00D674F3" w:rsidRDefault="001A15B5" w:rsidP="00D674F3">
      <w:pPr>
        <w:spacing w:line="360" w:lineRule="auto"/>
        <w:jc w:val="both"/>
        <w:rPr>
          <w:rFonts w:ascii="Arial" w:hAnsi="Arial" w:cs="Arial"/>
          <w:sz w:val="22"/>
        </w:rPr>
      </w:pPr>
    </w:p>
    <w:p w14:paraId="72FFECFB" w14:textId="1B09A3F7" w:rsidR="006D2F2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t>Recommendations for</w:t>
      </w:r>
      <w:r w:rsidR="003E4ED4" w:rsidRPr="004A5A64">
        <w:rPr>
          <w:rFonts w:ascii="Arial" w:hAnsi="Arial" w:cs="Arial"/>
          <w:b/>
          <w:bCs/>
          <w:sz w:val="23"/>
          <w:szCs w:val="23"/>
        </w:rPr>
        <w:t xml:space="preserve"> policy</w:t>
      </w:r>
      <w:r w:rsidRPr="004A5A64">
        <w:rPr>
          <w:rFonts w:ascii="Arial" w:hAnsi="Arial" w:cs="Arial"/>
          <w:b/>
          <w:bCs/>
          <w:sz w:val="23"/>
          <w:szCs w:val="23"/>
        </w:rPr>
        <w:t xml:space="preserve"> and practice</w:t>
      </w:r>
    </w:p>
    <w:p w14:paraId="1D850560" w14:textId="77777777" w:rsidR="00D0002D" w:rsidRDefault="00D0002D" w:rsidP="00D0002D">
      <w:pPr>
        <w:spacing w:line="360" w:lineRule="auto"/>
        <w:jc w:val="both"/>
        <w:rPr>
          <w:rFonts w:ascii="Arial" w:hAnsi="Arial" w:cs="Arial"/>
          <w:color w:val="000000" w:themeColor="text1"/>
          <w:sz w:val="22"/>
        </w:rPr>
      </w:pPr>
      <w:r w:rsidRPr="00D0002D">
        <w:rPr>
          <w:rFonts w:ascii="Arial" w:hAnsi="Arial" w:cs="Arial"/>
          <w:color w:val="000000" w:themeColor="text1"/>
          <w:sz w:val="22"/>
        </w:rPr>
        <w:t xml:space="preserve">Improving outcomes in health and social care requires policy and practice that meaningfully integrate the </w:t>
      </w:r>
      <w:r w:rsidRPr="006437A1">
        <w:rPr>
          <w:rFonts w:ascii="Arial" w:hAnsi="Arial" w:cs="Arial"/>
          <w:i/>
          <w:iCs/>
          <w:color w:val="000000" w:themeColor="text1"/>
          <w:sz w:val="22"/>
        </w:rPr>
        <w:t>social model of disability</w:t>
      </w:r>
      <w:r w:rsidRPr="00D0002D">
        <w:rPr>
          <w:rFonts w:ascii="Arial" w:hAnsi="Arial" w:cs="Arial"/>
          <w:color w:val="000000" w:themeColor="text1"/>
          <w:sz w:val="22"/>
        </w:rPr>
        <w:t>, global care chains, and the ethics of care. First, policy must strengthen the implementation of the social model of disability, ensuring that disabling barriers—rather than impairments—remain the focus of reform (UPIAS, 1976; Oliver, 1990). National and local authorities should embed mandatory accessibility standards across all services, supported by consistent funding for reasonable adjustments. Co</w:t>
      </w:r>
      <w:r w:rsidRPr="00D0002D">
        <w:rPr>
          <w:rFonts w:ascii="Cambria Math" w:hAnsi="Cambria Math" w:cs="Cambria Math"/>
          <w:color w:val="000000" w:themeColor="text1"/>
          <w:sz w:val="22"/>
        </w:rPr>
        <w:t>‑</w:t>
      </w:r>
      <w:r w:rsidRPr="00D0002D">
        <w:rPr>
          <w:rFonts w:ascii="Arial" w:hAnsi="Arial" w:cs="Arial"/>
          <w:color w:val="000000" w:themeColor="text1"/>
          <w:sz w:val="22"/>
        </w:rPr>
        <w:t>production with disabled people must become a statutory requirement in service design and evaluation, reflecting long</w:t>
      </w:r>
      <w:r w:rsidRPr="00D0002D">
        <w:rPr>
          <w:rFonts w:ascii="Cambria Math" w:hAnsi="Cambria Math" w:cs="Cambria Math"/>
          <w:color w:val="000000" w:themeColor="text1"/>
          <w:sz w:val="22"/>
        </w:rPr>
        <w:t>‑</w:t>
      </w:r>
      <w:r w:rsidRPr="00D0002D">
        <w:rPr>
          <w:rFonts w:ascii="Arial" w:hAnsi="Arial" w:cs="Arial"/>
          <w:color w:val="000000" w:themeColor="text1"/>
          <w:sz w:val="22"/>
        </w:rPr>
        <w:t>standing calls for participatory approaches (Barnes, 1991; Morris, 1991; Shakespeare, 2013). In practice, this requires workforce training on anti</w:t>
      </w:r>
      <w:r w:rsidRPr="00D0002D">
        <w:rPr>
          <w:rFonts w:ascii="Cambria Math" w:hAnsi="Cambria Math" w:cs="Cambria Math"/>
          <w:color w:val="000000" w:themeColor="text1"/>
          <w:sz w:val="22"/>
        </w:rPr>
        <w:t>‑</w:t>
      </w:r>
      <w:r w:rsidRPr="00D0002D">
        <w:rPr>
          <w:rFonts w:ascii="Arial" w:hAnsi="Arial" w:cs="Arial"/>
          <w:color w:val="000000" w:themeColor="text1"/>
          <w:sz w:val="22"/>
        </w:rPr>
        <w:t>oppressive practice, intersectionality, and rights</w:t>
      </w:r>
      <w:r w:rsidRPr="00D0002D">
        <w:rPr>
          <w:rFonts w:ascii="Cambria Math" w:hAnsi="Cambria Math" w:cs="Cambria Math"/>
          <w:color w:val="000000" w:themeColor="text1"/>
          <w:sz w:val="22"/>
        </w:rPr>
        <w:t>‑</w:t>
      </w:r>
      <w:r w:rsidRPr="00D0002D">
        <w:rPr>
          <w:rFonts w:ascii="Arial" w:hAnsi="Arial" w:cs="Arial"/>
          <w:color w:val="000000" w:themeColor="text1"/>
          <w:sz w:val="22"/>
        </w:rPr>
        <w:t>based approaches, ensuring that staff understand disability as a social and political issue rather than a medical deficit (Thomas, 1999).</w:t>
      </w:r>
    </w:p>
    <w:p w14:paraId="3CD8A7A7" w14:textId="0CB966F0" w:rsidR="00636972" w:rsidRPr="00D0002D" w:rsidRDefault="00636972" w:rsidP="00D0002D">
      <w:pPr>
        <w:spacing w:line="360" w:lineRule="auto"/>
        <w:jc w:val="both"/>
        <w:rPr>
          <w:rFonts w:ascii="Arial" w:hAnsi="Arial" w:cs="Arial"/>
          <w:color w:val="000000" w:themeColor="text1"/>
          <w:sz w:val="22"/>
        </w:rPr>
      </w:pPr>
      <w:r w:rsidRPr="00636972">
        <w:rPr>
          <w:rFonts w:ascii="Arial" w:hAnsi="Arial" w:cs="Arial"/>
          <w:color w:val="000000" w:themeColor="text1"/>
          <w:sz w:val="22"/>
        </w:rPr>
        <w:t xml:space="preserve">Policy must also address the inequalities produced through global care chains, recognising how migrant care workers often experience exploitation, deskilling, and racialised labour hierarchies (Yeates, 2009; Anderson, 2012). Strengthening employment protections, fair </w:t>
      </w:r>
      <w:r w:rsidRPr="00636972">
        <w:rPr>
          <w:rFonts w:ascii="Arial" w:hAnsi="Arial" w:cs="Arial"/>
          <w:color w:val="000000" w:themeColor="text1"/>
          <w:sz w:val="22"/>
        </w:rPr>
        <w:lastRenderedPageBreak/>
        <w:t>recruitment practices, and pathways to professional recognition is essential for creating ethical and sustainable care systems. Embedding the ethics of care within policy frameworks further requires valuing relational, emotional and interdependent aspects of care, challenging market</w:t>
      </w:r>
      <w:r w:rsidRPr="00636972">
        <w:rPr>
          <w:rFonts w:ascii="Cambria Math" w:hAnsi="Cambria Math" w:cs="Cambria Math"/>
          <w:color w:val="000000" w:themeColor="text1"/>
          <w:sz w:val="22"/>
        </w:rPr>
        <w:t>‑</w:t>
      </w:r>
      <w:r w:rsidRPr="00636972">
        <w:rPr>
          <w:rFonts w:ascii="Arial" w:hAnsi="Arial" w:cs="Arial"/>
          <w:color w:val="000000" w:themeColor="text1"/>
          <w:sz w:val="22"/>
        </w:rPr>
        <w:t>driven models that prioritise efficiency over human wellbeing (Tronto, 1993; Sevenhuijsen, 1998). In practice, this means investing in stable staffing, reflective supervision, and organisational cultures that promote dignity, reciprocity and mutual respect (Held, 2006).</w:t>
      </w:r>
    </w:p>
    <w:p w14:paraId="132C0733" w14:textId="77777777" w:rsidR="00D0002D" w:rsidRPr="00D0002D" w:rsidRDefault="00D0002D" w:rsidP="00D0002D">
      <w:pPr>
        <w:spacing w:line="360" w:lineRule="auto"/>
        <w:jc w:val="both"/>
        <w:rPr>
          <w:rFonts w:ascii="Arial" w:hAnsi="Arial" w:cs="Arial"/>
          <w:color w:val="000000" w:themeColor="text1"/>
          <w:sz w:val="22"/>
        </w:rPr>
      </w:pPr>
      <w:r w:rsidRPr="006437A1">
        <w:rPr>
          <w:rFonts w:ascii="Arial" w:hAnsi="Arial" w:cs="Arial"/>
          <w:color w:val="000000" w:themeColor="text1"/>
          <w:sz w:val="22"/>
        </w:rPr>
        <w:t>Second</w:t>
      </w:r>
      <w:r w:rsidRPr="00D0002D">
        <w:rPr>
          <w:rFonts w:ascii="Arial" w:hAnsi="Arial" w:cs="Arial"/>
          <w:color w:val="000000" w:themeColor="text1"/>
          <w:sz w:val="22"/>
        </w:rPr>
        <w:t>, policy must address the ethical and structural challenges associated with global care chains. The UK’s reliance on migrant labour in health and social care demands stronger protections against exploitation, including monitoring of recruitment fees, tied visas, and employment conditions (Anderson, 2000; Parreñas, 2001). Ethical recruitment frameworks should be expanded to prevent care drain from countries with fragile health systems (Hochschild, 2000; Williams, 2010). Practice-level improvements should include culturally competent supervision, clear rights information for migrant workers, and equitable career progression pathways. Recognising the emotional and relational labour performed by migrant carers is essential to reducing inequalities and improving retention.</w:t>
      </w:r>
    </w:p>
    <w:p w14:paraId="1B1CE268" w14:textId="55787470" w:rsidR="00D0002D" w:rsidRPr="00D0002D" w:rsidRDefault="00D0002D" w:rsidP="00D0002D">
      <w:pPr>
        <w:spacing w:line="360" w:lineRule="auto"/>
        <w:jc w:val="both"/>
        <w:rPr>
          <w:rFonts w:ascii="Arial" w:hAnsi="Arial" w:cs="Arial"/>
          <w:color w:val="000000" w:themeColor="text1"/>
          <w:sz w:val="22"/>
        </w:rPr>
      </w:pPr>
      <w:r w:rsidRPr="006437A1">
        <w:rPr>
          <w:rFonts w:ascii="Arial" w:hAnsi="Arial" w:cs="Arial"/>
          <w:color w:val="000000" w:themeColor="text1"/>
          <w:sz w:val="22"/>
        </w:rPr>
        <w:t>Third,</w:t>
      </w:r>
      <w:r w:rsidRPr="00D0002D">
        <w:rPr>
          <w:rFonts w:ascii="Arial" w:hAnsi="Arial" w:cs="Arial"/>
          <w:color w:val="000000" w:themeColor="text1"/>
          <w:sz w:val="22"/>
        </w:rPr>
        <w:t xml:space="preserve"> embedding the ethics of care into policy would strengthen relational, person</w:t>
      </w:r>
      <w:r w:rsidRPr="00D0002D">
        <w:rPr>
          <w:rFonts w:ascii="Cambria Math" w:hAnsi="Cambria Math" w:cs="Cambria Math"/>
          <w:color w:val="000000" w:themeColor="text1"/>
          <w:sz w:val="22"/>
        </w:rPr>
        <w:t>‑</w:t>
      </w:r>
      <w:r w:rsidRPr="00D0002D">
        <w:rPr>
          <w:rFonts w:ascii="Arial" w:hAnsi="Arial" w:cs="Arial"/>
          <w:color w:val="000000" w:themeColor="text1"/>
          <w:sz w:val="22"/>
        </w:rPr>
        <w:t xml:space="preserve">centred practice. Care ethics emphasises attentiveness, responsibility, competence, and responsiveness (Gilligan, 1982; </w:t>
      </w:r>
      <w:r w:rsidR="00321015" w:rsidRPr="00D0002D">
        <w:rPr>
          <w:rFonts w:ascii="Arial" w:hAnsi="Arial" w:cs="Arial"/>
          <w:color w:val="000000" w:themeColor="text1"/>
          <w:sz w:val="22"/>
        </w:rPr>
        <w:t>Nodding’s</w:t>
      </w:r>
      <w:r w:rsidRPr="00D0002D">
        <w:rPr>
          <w:rFonts w:ascii="Arial" w:hAnsi="Arial" w:cs="Arial"/>
          <w:color w:val="000000" w:themeColor="text1"/>
          <w:sz w:val="22"/>
        </w:rPr>
        <w:t xml:space="preserve">, 1984; </w:t>
      </w:r>
      <w:r w:rsidR="00A10F30" w:rsidRPr="00D0002D">
        <w:rPr>
          <w:rFonts w:ascii="Arial" w:hAnsi="Arial" w:cs="Arial"/>
          <w:color w:val="000000" w:themeColor="text1"/>
          <w:sz w:val="22"/>
        </w:rPr>
        <w:t>Toronto</w:t>
      </w:r>
      <w:r w:rsidRPr="00D0002D">
        <w:rPr>
          <w:rFonts w:ascii="Arial" w:hAnsi="Arial" w:cs="Arial"/>
          <w:color w:val="000000" w:themeColor="text1"/>
          <w:sz w:val="22"/>
        </w:rPr>
        <w:t>, 1993; 2013). Policy should therefore prioritise continuity of care, relational time, and holistic assessments rather than task</w:t>
      </w:r>
      <w:r w:rsidRPr="00D0002D">
        <w:rPr>
          <w:rFonts w:ascii="Cambria Math" w:hAnsi="Cambria Math" w:cs="Cambria Math"/>
          <w:color w:val="000000" w:themeColor="text1"/>
          <w:sz w:val="22"/>
        </w:rPr>
        <w:t>‑</w:t>
      </w:r>
      <w:r w:rsidRPr="00D0002D">
        <w:rPr>
          <w:rFonts w:ascii="Arial" w:hAnsi="Arial" w:cs="Arial"/>
          <w:color w:val="000000" w:themeColor="text1"/>
          <w:sz w:val="22"/>
        </w:rPr>
        <w:t>based commissioning models. In practice, organisations should create conditions that support reflective practice, trauma</w:t>
      </w:r>
      <w:r w:rsidRPr="00D0002D">
        <w:rPr>
          <w:rFonts w:ascii="Cambria Math" w:hAnsi="Cambria Math" w:cs="Cambria Math"/>
          <w:color w:val="000000" w:themeColor="text1"/>
          <w:sz w:val="22"/>
        </w:rPr>
        <w:t>‑</w:t>
      </w:r>
      <w:r w:rsidRPr="00D0002D">
        <w:rPr>
          <w:rFonts w:ascii="Arial" w:hAnsi="Arial" w:cs="Arial"/>
          <w:color w:val="000000" w:themeColor="text1"/>
          <w:sz w:val="22"/>
        </w:rPr>
        <w:t>informed approaches, and meaningful relationships between staff and service users. Support for unpaid carers must also be expanded through financial recognition, respite services, and involvement in decision</w:t>
      </w:r>
      <w:r w:rsidRPr="00D0002D">
        <w:rPr>
          <w:rFonts w:ascii="Cambria Math" w:hAnsi="Cambria Math" w:cs="Cambria Math"/>
          <w:color w:val="000000" w:themeColor="text1"/>
          <w:sz w:val="22"/>
        </w:rPr>
        <w:t>‑</w:t>
      </w:r>
      <w:r w:rsidRPr="00D0002D">
        <w:rPr>
          <w:rFonts w:ascii="Arial" w:hAnsi="Arial" w:cs="Arial"/>
          <w:color w:val="000000" w:themeColor="text1"/>
          <w:sz w:val="22"/>
        </w:rPr>
        <w:t>making.</w:t>
      </w:r>
    </w:p>
    <w:p w14:paraId="1D9FAF64" w14:textId="3E267012" w:rsidR="00D0002D" w:rsidRPr="00D0002D" w:rsidRDefault="00D0002D" w:rsidP="00D0002D">
      <w:pPr>
        <w:spacing w:line="360" w:lineRule="auto"/>
        <w:jc w:val="both"/>
        <w:rPr>
          <w:rFonts w:ascii="Arial" w:hAnsi="Arial" w:cs="Arial"/>
          <w:color w:val="000000" w:themeColor="text1"/>
          <w:sz w:val="22"/>
        </w:rPr>
      </w:pPr>
      <w:r w:rsidRPr="006437A1">
        <w:rPr>
          <w:rFonts w:ascii="Arial" w:hAnsi="Arial" w:cs="Arial"/>
          <w:color w:val="000000" w:themeColor="text1"/>
          <w:sz w:val="22"/>
        </w:rPr>
        <w:t>Finally</w:t>
      </w:r>
      <w:r w:rsidRPr="00D0002D">
        <w:rPr>
          <w:rFonts w:ascii="Arial" w:hAnsi="Arial" w:cs="Arial"/>
          <w:color w:val="000000" w:themeColor="text1"/>
          <w:sz w:val="22"/>
        </w:rPr>
        <w:t>, implementation should align with existing operational frameworks to avoid unnecessary bureaucracy. Embedding these recommendations into current policies, standard operating procedures, and workforce development systems ensures consistency while promoting high</w:t>
      </w:r>
      <w:r w:rsidRPr="00D0002D">
        <w:rPr>
          <w:rFonts w:ascii="Cambria Math" w:hAnsi="Cambria Math" w:cs="Cambria Math"/>
          <w:color w:val="000000" w:themeColor="text1"/>
          <w:sz w:val="22"/>
        </w:rPr>
        <w:t>‑</w:t>
      </w:r>
      <w:r w:rsidRPr="00D0002D">
        <w:rPr>
          <w:rFonts w:ascii="Arial" w:hAnsi="Arial" w:cs="Arial"/>
          <w:color w:val="000000" w:themeColor="text1"/>
          <w:sz w:val="22"/>
        </w:rPr>
        <w:t>quality, inclusive care. Collectively, these measures would reduce disabling barriers, protect migrant workers, and strengthen relational practice, leading to more equitable and effective health and social care</w:t>
      </w:r>
    </w:p>
    <w:p w14:paraId="67D318D5" w14:textId="4F73841A" w:rsidR="006D2F2D" w:rsidRDefault="00A14675" w:rsidP="00D0002D">
      <w:pPr>
        <w:spacing w:line="360" w:lineRule="auto"/>
        <w:jc w:val="both"/>
        <w:rPr>
          <w:rFonts w:ascii="Arial" w:hAnsi="Arial" w:cs="Arial"/>
          <w:color w:val="000000" w:themeColor="text1"/>
          <w:sz w:val="22"/>
        </w:rPr>
      </w:pPr>
      <w:r w:rsidRPr="00D0002D">
        <w:rPr>
          <w:rFonts w:ascii="Arial" w:hAnsi="Arial" w:cs="Arial"/>
          <w:color w:val="000000" w:themeColor="text1"/>
          <w:sz w:val="22"/>
        </w:rPr>
        <w:t xml:space="preserve">Present relevant recommendations for health and social care policy and practice relevant to your chosen concept. </w:t>
      </w:r>
    </w:p>
    <w:p w14:paraId="1EB34916" w14:textId="77777777" w:rsidR="001A15B5" w:rsidRDefault="001A15B5" w:rsidP="00D0002D">
      <w:pPr>
        <w:spacing w:line="360" w:lineRule="auto"/>
        <w:jc w:val="both"/>
        <w:rPr>
          <w:rFonts w:ascii="Arial" w:hAnsi="Arial" w:cs="Arial"/>
          <w:color w:val="000000" w:themeColor="text1"/>
          <w:sz w:val="22"/>
        </w:rPr>
      </w:pPr>
    </w:p>
    <w:p w14:paraId="438506CF" w14:textId="77777777" w:rsidR="001A15B5" w:rsidRDefault="001A15B5" w:rsidP="00D0002D">
      <w:pPr>
        <w:spacing w:line="360" w:lineRule="auto"/>
        <w:jc w:val="both"/>
        <w:rPr>
          <w:rFonts w:ascii="Arial" w:hAnsi="Arial" w:cs="Arial"/>
          <w:color w:val="000000" w:themeColor="text1"/>
          <w:sz w:val="22"/>
        </w:rPr>
      </w:pPr>
    </w:p>
    <w:p w14:paraId="32762D98" w14:textId="77777777" w:rsidR="001A15B5" w:rsidRPr="00D0002D" w:rsidRDefault="001A15B5" w:rsidP="00D0002D">
      <w:pPr>
        <w:spacing w:line="360" w:lineRule="auto"/>
        <w:jc w:val="both"/>
        <w:rPr>
          <w:rFonts w:ascii="Arial" w:hAnsi="Arial" w:cs="Arial"/>
          <w:color w:val="000000" w:themeColor="text1"/>
          <w:sz w:val="22"/>
        </w:rPr>
      </w:pPr>
    </w:p>
    <w:p w14:paraId="5A4D465C" w14:textId="77777777" w:rsidR="006524ED" w:rsidRDefault="006D2F2D" w:rsidP="004A5A64">
      <w:pPr>
        <w:spacing w:line="360" w:lineRule="auto"/>
        <w:rPr>
          <w:rFonts w:ascii="Arial" w:hAnsi="Arial" w:cs="Arial"/>
          <w:b/>
          <w:bCs/>
          <w:sz w:val="23"/>
          <w:szCs w:val="23"/>
        </w:rPr>
      </w:pPr>
      <w:r w:rsidRPr="004A5A64">
        <w:rPr>
          <w:rFonts w:ascii="Arial" w:hAnsi="Arial" w:cs="Arial"/>
          <w:b/>
          <w:bCs/>
          <w:sz w:val="23"/>
          <w:szCs w:val="23"/>
        </w:rPr>
        <w:lastRenderedPageBreak/>
        <w:t>Conclusion</w:t>
      </w:r>
    </w:p>
    <w:p w14:paraId="0700CBB8" w14:textId="77777777" w:rsidR="00A14CF4" w:rsidRPr="00321015" w:rsidRDefault="00A14CF4" w:rsidP="00321015">
      <w:pPr>
        <w:spacing w:line="360" w:lineRule="auto"/>
        <w:jc w:val="both"/>
        <w:rPr>
          <w:rFonts w:ascii="Arial" w:hAnsi="Arial" w:cs="Arial"/>
          <w:sz w:val="23"/>
          <w:szCs w:val="23"/>
        </w:rPr>
      </w:pPr>
      <w:r w:rsidRPr="00321015">
        <w:rPr>
          <w:rFonts w:ascii="Arial" w:hAnsi="Arial" w:cs="Arial"/>
          <w:sz w:val="23"/>
          <w:szCs w:val="23"/>
        </w:rPr>
        <w:t>Barnes’ theory and the Social Model of Disability have been central to reshaping contemporary understandings of disability and promoting more inclusive, person</w:t>
      </w:r>
      <w:r w:rsidRPr="00321015">
        <w:rPr>
          <w:rFonts w:ascii="Cambria Math" w:hAnsi="Cambria Math" w:cs="Cambria Math"/>
          <w:sz w:val="23"/>
          <w:szCs w:val="23"/>
        </w:rPr>
        <w:t>‑</w:t>
      </w:r>
      <w:r w:rsidRPr="00321015">
        <w:rPr>
          <w:rFonts w:ascii="Arial" w:hAnsi="Arial" w:cs="Arial"/>
          <w:sz w:val="23"/>
          <w:szCs w:val="23"/>
        </w:rPr>
        <w:t>centred approaches within health and social care. By locating disability within the social, environmental, and institutional barriers that restrict participation, Barnes (1991) challenged the dominance of the medical model and provided a powerful foundation for rights</w:t>
      </w:r>
      <w:r w:rsidRPr="00321015">
        <w:rPr>
          <w:rFonts w:ascii="Cambria Math" w:hAnsi="Cambria Math" w:cs="Cambria Math"/>
          <w:sz w:val="23"/>
          <w:szCs w:val="23"/>
        </w:rPr>
        <w:t>‑</w:t>
      </w:r>
      <w:r w:rsidRPr="00321015">
        <w:rPr>
          <w:rFonts w:ascii="Arial" w:hAnsi="Arial" w:cs="Arial"/>
          <w:sz w:val="23"/>
          <w:szCs w:val="23"/>
        </w:rPr>
        <w:t>based policy and practice. This shift has influenced key legislation and service reforms, encouraging greater emphasis on accessibility, autonomy, and co</w:t>
      </w:r>
      <w:r w:rsidRPr="00321015">
        <w:rPr>
          <w:rFonts w:ascii="Cambria Math" w:hAnsi="Cambria Math" w:cs="Cambria Math"/>
          <w:sz w:val="23"/>
          <w:szCs w:val="23"/>
        </w:rPr>
        <w:t>‑</w:t>
      </w:r>
      <w:r w:rsidRPr="00321015">
        <w:rPr>
          <w:rFonts w:ascii="Arial" w:hAnsi="Arial" w:cs="Arial"/>
          <w:sz w:val="23"/>
          <w:szCs w:val="23"/>
        </w:rPr>
        <w:t>production.</w:t>
      </w:r>
    </w:p>
    <w:p w14:paraId="4493F4FC" w14:textId="77777777" w:rsidR="00A14CF4" w:rsidRPr="00321015" w:rsidRDefault="00A14CF4" w:rsidP="00321015">
      <w:pPr>
        <w:spacing w:line="360" w:lineRule="auto"/>
        <w:jc w:val="both"/>
        <w:rPr>
          <w:rFonts w:ascii="Arial" w:hAnsi="Arial" w:cs="Arial"/>
          <w:sz w:val="23"/>
          <w:szCs w:val="23"/>
        </w:rPr>
      </w:pPr>
      <w:r w:rsidRPr="00321015">
        <w:rPr>
          <w:rFonts w:ascii="Arial" w:hAnsi="Arial" w:cs="Arial"/>
          <w:sz w:val="23"/>
          <w:szCs w:val="23"/>
        </w:rPr>
        <w:t>Despite these advances, the full potential of the social model has not yet been realised. Implementation remains inconsistent, often constrained by limited resources, organisational cultures, and the persistence of medicalised assumptions. Critiques of the model—particularly its limited engagement with impairment and intersectionality—highlight the need for a more nuanced and inclusive application that reflects the diverse experiences of disabled people.</w:t>
      </w:r>
    </w:p>
    <w:p w14:paraId="51C8AEDC" w14:textId="77777777" w:rsidR="004E75C9" w:rsidRDefault="00A14CF4" w:rsidP="00321015">
      <w:pPr>
        <w:pStyle w:val="ListParagraph"/>
        <w:spacing w:line="360" w:lineRule="auto"/>
        <w:ind w:left="0"/>
        <w:jc w:val="both"/>
        <w:rPr>
          <w:rFonts w:ascii="Arial" w:hAnsi="Arial" w:cs="Arial"/>
          <w:sz w:val="23"/>
          <w:szCs w:val="23"/>
        </w:rPr>
      </w:pPr>
      <w:r w:rsidRPr="00A14CF4">
        <w:rPr>
          <w:rFonts w:ascii="Arial" w:hAnsi="Arial" w:cs="Arial"/>
          <w:sz w:val="23"/>
          <w:szCs w:val="23"/>
        </w:rPr>
        <w:t>The wider frameworks explored in this essay, including global care chains and the ethics of care, further demonstrate that achieving equitable outcomes requires addressing structural inequalities within both disability policy and the care workforce. Strengthening training, embedding co</w:t>
      </w:r>
      <w:r w:rsidRPr="00A14CF4">
        <w:rPr>
          <w:rFonts w:ascii="Cambria Math" w:hAnsi="Cambria Math" w:cs="Cambria Math"/>
          <w:sz w:val="23"/>
          <w:szCs w:val="23"/>
        </w:rPr>
        <w:t>‑</w:t>
      </w:r>
      <w:r w:rsidRPr="00A14CF4">
        <w:rPr>
          <w:rFonts w:ascii="Arial" w:hAnsi="Arial" w:cs="Arial"/>
          <w:sz w:val="23"/>
          <w:szCs w:val="23"/>
        </w:rPr>
        <w:t>production, improving accessibility, and valuing relational care are essential steps for advancing socially just practice. Ultimately, Barnes’ work continues to offer a compelling vision for health and social care systems grounded in dignity, equality, and meaningful participation.</w:t>
      </w:r>
    </w:p>
    <w:p w14:paraId="01D748A7" w14:textId="77777777" w:rsidR="00406D47" w:rsidRDefault="004E75C9" w:rsidP="00321015">
      <w:pPr>
        <w:pStyle w:val="ListParagraph"/>
        <w:spacing w:line="360" w:lineRule="auto"/>
        <w:ind w:left="0"/>
        <w:jc w:val="both"/>
        <w:rPr>
          <w:rFonts w:ascii="Arial" w:hAnsi="Arial" w:cs="Arial"/>
          <w:sz w:val="23"/>
          <w:szCs w:val="23"/>
        </w:rPr>
      </w:pPr>
      <w:r w:rsidRPr="004E75C9">
        <w:t xml:space="preserve"> </w:t>
      </w:r>
      <w:r w:rsidRPr="004E75C9">
        <w:rPr>
          <w:rFonts w:ascii="Arial" w:hAnsi="Arial" w:cs="Arial"/>
          <w:sz w:val="23"/>
          <w:szCs w:val="23"/>
        </w:rPr>
        <w:t>A fuller realisation of Barnes’ vision also requires confronting the broader socio</w:t>
      </w:r>
      <w:r w:rsidRPr="004E75C9">
        <w:rPr>
          <w:rFonts w:ascii="Cambria Math" w:hAnsi="Cambria Math" w:cs="Cambria Math"/>
          <w:sz w:val="23"/>
          <w:szCs w:val="23"/>
        </w:rPr>
        <w:t>‑</w:t>
      </w:r>
      <w:r w:rsidRPr="004E75C9">
        <w:rPr>
          <w:rFonts w:ascii="Arial" w:hAnsi="Arial" w:cs="Arial"/>
          <w:sz w:val="23"/>
          <w:szCs w:val="23"/>
        </w:rPr>
        <w:t>economic forces that continue to shape disability and care provision. Austerity policies, market</w:t>
      </w:r>
      <w:r w:rsidRPr="004E75C9">
        <w:rPr>
          <w:rFonts w:ascii="Cambria Math" w:hAnsi="Cambria Math" w:cs="Cambria Math"/>
          <w:sz w:val="23"/>
          <w:szCs w:val="23"/>
        </w:rPr>
        <w:t>‑</w:t>
      </w:r>
      <w:r w:rsidRPr="004E75C9">
        <w:rPr>
          <w:rFonts w:ascii="Arial" w:hAnsi="Arial" w:cs="Arial"/>
          <w:sz w:val="23"/>
          <w:szCs w:val="23"/>
        </w:rPr>
        <w:t>driven commissioning, and fragmented service structures have intensified inequalities, disproportionately affecting disabled people and the care workforce. Embedding the social model within contemporary practice therefore demands sustained political commitment, long</w:t>
      </w:r>
      <w:r w:rsidRPr="004E75C9">
        <w:rPr>
          <w:rFonts w:ascii="Cambria Math" w:hAnsi="Cambria Math" w:cs="Cambria Math"/>
          <w:sz w:val="23"/>
          <w:szCs w:val="23"/>
        </w:rPr>
        <w:t>‑</w:t>
      </w:r>
      <w:r w:rsidRPr="004E75C9">
        <w:rPr>
          <w:rFonts w:ascii="Arial" w:hAnsi="Arial" w:cs="Arial"/>
          <w:sz w:val="23"/>
          <w:szCs w:val="23"/>
        </w:rPr>
        <w:t>term investment, and structural reform that prioritises equity over efficiency.</w:t>
      </w:r>
    </w:p>
    <w:p w14:paraId="431D06A7" w14:textId="69A313E2" w:rsidR="00F1501E" w:rsidRPr="001A15B5" w:rsidRDefault="004E75C9" w:rsidP="001A15B5">
      <w:pPr>
        <w:pStyle w:val="ListParagraph"/>
        <w:spacing w:line="360" w:lineRule="auto"/>
        <w:ind w:left="0"/>
        <w:jc w:val="both"/>
        <w:rPr>
          <w:rFonts w:ascii="Arial" w:hAnsi="Arial" w:cs="Arial"/>
          <w:sz w:val="23"/>
          <w:szCs w:val="23"/>
        </w:rPr>
      </w:pPr>
      <w:r w:rsidRPr="004E75C9">
        <w:rPr>
          <w:rFonts w:ascii="Arial" w:hAnsi="Arial" w:cs="Arial"/>
          <w:sz w:val="23"/>
          <w:szCs w:val="23"/>
        </w:rPr>
        <w:t xml:space="preserve"> Moreover, integrating insights from global care chains and the ethics of care highlights the interconnectedness of disability justice with labour rights, migration policy, and gendered divisions of care. Recognising care as both a social good and a shared responsibility challenges individualised narratives of dependency and reframes support as a collective societal obligation. Moving forward, health and social care systems must adopt holistic, intersectional, and relational approaches that value lived experience, </w:t>
      </w:r>
      <w:r w:rsidRPr="004E75C9">
        <w:rPr>
          <w:rFonts w:ascii="Arial" w:hAnsi="Arial" w:cs="Arial"/>
          <w:sz w:val="23"/>
          <w:szCs w:val="23"/>
        </w:rPr>
        <w:lastRenderedPageBreak/>
        <w:t>redistribute power, and promote social transformation. In doing so, they can more fully realise Barnes’ call for an inclusive society grounded in justice and participation.</w:t>
      </w:r>
    </w:p>
    <w:p w14:paraId="302C64F8" w14:textId="77777777" w:rsidR="00F1501E" w:rsidRPr="004A5A64" w:rsidRDefault="00F1501E" w:rsidP="004A5A64">
      <w:pPr>
        <w:spacing w:line="360" w:lineRule="auto"/>
        <w:rPr>
          <w:rFonts w:ascii="Arial" w:hAnsi="Arial" w:cs="Arial"/>
          <w:b/>
          <w:bCs/>
          <w:sz w:val="23"/>
          <w:szCs w:val="23"/>
        </w:rPr>
      </w:pPr>
    </w:p>
    <w:p w14:paraId="5A789721" w14:textId="6FF6B22D" w:rsidR="006D2F2D" w:rsidRPr="00CC0EAD" w:rsidRDefault="006D2F2D" w:rsidP="004A5A64">
      <w:pPr>
        <w:spacing w:line="360" w:lineRule="auto"/>
        <w:rPr>
          <w:rFonts w:ascii="Arial" w:hAnsi="Arial" w:cs="Arial"/>
          <w:b/>
          <w:bCs/>
          <w:sz w:val="40"/>
          <w:szCs w:val="40"/>
        </w:rPr>
      </w:pPr>
      <w:r w:rsidRPr="00CC0EAD">
        <w:rPr>
          <w:rFonts w:ascii="Arial" w:hAnsi="Arial" w:cs="Arial"/>
          <w:b/>
          <w:bCs/>
          <w:sz w:val="40"/>
          <w:szCs w:val="40"/>
        </w:rPr>
        <w:t>Reference</w:t>
      </w:r>
      <w:r w:rsidR="003E4ED4" w:rsidRPr="00CC0EAD">
        <w:rPr>
          <w:rFonts w:ascii="Arial" w:hAnsi="Arial" w:cs="Arial"/>
          <w:b/>
          <w:bCs/>
          <w:sz w:val="40"/>
          <w:szCs w:val="40"/>
        </w:rPr>
        <w:t>s</w:t>
      </w:r>
    </w:p>
    <w:p w14:paraId="18296AEA" w14:textId="77777777" w:rsidR="00F1501E"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Anderson, B. (2000) Doing the Dirty Work? The Global Politics of Domestic Labour. London: Zed Books. Accessed 10 March 2026.</w:t>
      </w:r>
    </w:p>
    <w:p w14:paraId="181D3A5A" w14:textId="77777777" w:rsidR="00777B6B" w:rsidRDefault="00777B6B" w:rsidP="00CC0EAD">
      <w:pPr>
        <w:pStyle w:val="ListParagraph"/>
        <w:spacing w:line="240" w:lineRule="auto"/>
        <w:jc w:val="both"/>
        <w:rPr>
          <w:rFonts w:ascii="Arial" w:hAnsi="Arial" w:cs="Arial"/>
          <w:sz w:val="20"/>
          <w:szCs w:val="20"/>
        </w:rPr>
      </w:pPr>
    </w:p>
    <w:p w14:paraId="443A6DF0" w14:textId="6A010239" w:rsidR="00777B6B" w:rsidRPr="00CC0EAD" w:rsidRDefault="00777B6B" w:rsidP="00CC0EAD">
      <w:pPr>
        <w:pStyle w:val="ListParagraph"/>
        <w:spacing w:line="240" w:lineRule="auto"/>
        <w:jc w:val="both"/>
        <w:rPr>
          <w:rFonts w:ascii="Arial" w:hAnsi="Arial" w:cs="Arial"/>
          <w:sz w:val="20"/>
          <w:szCs w:val="20"/>
        </w:rPr>
      </w:pPr>
      <w:r w:rsidRPr="00777B6B">
        <w:rPr>
          <w:rFonts w:ascii="Arial" w:hAnsi="Arial" w:cs="Arial"/>
          <w:sz w:val="20"/>
          <w:szCs w:val="20"/>
        </w:rPr>
        <w:t>Anderson, B. (2012) Doing the Dirty Work? The Global Politics of Domestic Labour. London: Zed Books. (Accessed: 16 April 2026).</w:t>
      </w:r>
    </w:p>
    <w:p w14:paraId="07F76043" w14:textId="77777777" w:rsidR="00F1501E" w:rsidRPr="00CC0EAD" w:rsidRDefault="00F1501E" w:rsidP="00CC0EAD">
      <w:pPr>
        <w:pStyle w:val="ListParagraph"/>
        <w:spacing w:line="240" w:lineRule="auto"/>
        <w:jc w:val="both"/>
        <w:rPr>
          <w:rFonts w:ascii="Arial" w:hAnsi="Arial" w:cs="Arial"/>
          <w:sz w:val="20"/>
          <w:szCs w:val="20"/>
        </w:rPr>
      </w:pPr>
    </w:p>
    <w:p w14:paraId="3834A83B"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Anderson, B. &amp; Shutes, I. (2014) Migration and Care Labour: Theory, Policy and Politics. London: Palgrave Macmillan. Accessed 10 March 2026.</w:t>
      </w:r>
    </w:p>
    <w:p w14:paraId="5726BA9F" w14:textId="77777777" w:rsidR="00F1501E" w:rsidRPr="00CC0EAD" w:rsidRDefault="00F1501E" w:rsidP="00CC0EAD">
      <w:pPr>
        <w:pStyle w:val="ListParagraph"/>
        <w:spacing w:line="240" w:lineRule="auto"/>
        <w:jc w:val="both"/>
        <w:rPr>
          <w:rFonts w:ascii="Arial" w:hAnsi="Arial" w:cs="Arial"/>
          <w:sz w:val="20"/>
          <w:szCs w:val="20"/>
        </w:rPr>
      </w:pPr>
    </w:p>
    <w:p w14:paraId="03D241C7"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Barnes, C. (1991) Disabled People in Britain and Discrimination. London: Hurst &amp; Co. Accessed 10 March 2026.</w:t>
      </w:r>
    </w:p>
    <w:p w14:paraId="343224DE" w14:textId="77777777" w:rsidR="00F1501E" w:rsidRPr="00CC0EAD" w:rsidRDefault="00F1501E" w:rsidP="00CC0EAD">
      <w:pPr>
        <w:pStyle w:val="ListParagraph"/>
        <w:spacing w:line="240" w:lineRule="auto"/>
        <w:jc w:val="both"/>
        <w:rPr>
          <w:rFonts w:ascii="Arial" w:hAnsi="Arial" w:cs="Arial"/>
          <w:sz w:val="20"/>
          <w:szCs w:val="20"/>
        </w:rPr>
      </w:pPr>
    </w:p>
    <w:p w14:paraId="02BD2D9F"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Department of Health and Social Care (2014) Care Act 2014: Statutory Guidance. Available at: https://www.gov.uk (Accessed 10 March 2026).</w:t>
      </w:r>
    </w:p>
    <w:p w14:paraId="2E8BDF7D" w14:textId="77777777" w:rsidR="00F1501E" w:rsidRPr="00CC0EAD" w:rsidRDefault="00F1501E" w:rsidP="00CC0EAD">
      <w:pPr>
        <w:pStyle w:val="ListParagraph"/>
        <w:spacing w:line="240" w:lineRule="auto"/>
        <w:jc w:val="both"/>
        <w:rPr>
          <w:rFonts w:ascii="Arial" w:hAnsi="Arial" w:cs="Arial"/>
          <w:sz w:val="20"/>
          <w:szCs w:val="20"/>
        </w:rPr>
      </w:pPr>
    </w:p>
    <w:p w14:paraId="47099721"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Gilligan, C. (1982) In a Different Voice. Cambridge, MA: Harvard University Press. Accessed 10 March 2026.</w:t>
      </w:r>
    </w:p>
    <w:p w14:paraId="55F799DD" w14:textId="77777777" w:rsidR="00F1501E" w:rsidRPr="00CC0EAD" w:rsidRDefault="00F1501E" w:rsidP="00CC0EAD">
      <w:pPr>
        <w:pStyle w:val="ListParagraph"/>
        <w:spacing w:line="240" w:lineRule="auto"/>
        <w:jc w:val="both"/>
        <w:rPr>
          <w:rFonts w:ascii="Arial" w:hAnsi="Arial" w:cs="Arial"/>
          <w:sz w:val="20"/>
          <w:szCs w:val="20"/>
        </w:rPr>
      </w:pPr>
    </w:p>
    <w:p w14:paraId="16D69B10"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Goodley, D. (2017) Disability Studies: An Interdisciplinary Introduction. 2nd edn. London: Sage. Accessed 10 March 2026.</w:t>
      </w:r>
    </w:p>
    <w:p w14:paraId="42077E3E" w14:textId="77777777" w:rsidR="00F1501E" w:rsidRPr="00CC0EAD" w:rsidRDefault="00F1501E" w:rsidP="00CC0EAD">
      <w:pPr>
        <w:pStyle w:val="ListParagraph"/>
        <w:spacing w:line="240" w:lineRule="auto"/>
        <w:jc w:val="both"/>
        <w:rPr>
          <w:rFonts w:ascii="Arial" w:hAnsi="Arial" w:cs="Arial"/>
          <w:sz w:val="20"/>
          <w:szCs w:val="20"/>
        </w:rPr>
      </w:pPr>
    </w:p>
    <w:p w14:paraId="3482EAAA"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Hochschild, A. (2000) ‘Global Care Chains and Emotional Surplus Value’, in Hutton, W. &amp; Giddens, A. (eds.) On the Edge: Living with Global Capitalism. London: Jonathan Cape, pp. 130–146. Accessed 10 March 2026.</w:t>
      </w:r>
    </w:p>
    <w:p w14:paraId="1D7142F1" w14:textId="77777777" w:rsidR="00F1501E" w:rsidRPr="00CC0EAD" w:rsidRDefault="00F1501E" w:rsidP="00CC0EAD">
      <w:pPr>
        <w:pStyle w:val="ListParagraph"/>
        <w:spacing w:line="240" w:lineRule="auto"/>
        <w:jc w:val="both"/>
        <w:rPr>
          <w:rFonts w:ascii="Arial" w:hAnsi="Arial" w:cs="Arial"/>
          <w:sz w:val="20"/>
          <w:szCs w:val="20"/>
        </w:rPr>
      </w:pPr>
    </w:p>
    <w:p w14:paraId="1D21E075"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Lloyd, L. (2010) ‘The individual in social care: The ethics of care and the “personalisation agenda”’, Ageing &amp; Society, 30(1), pp. 29–49. Accessed 10 March 2026.</w:t>
      </w:r>
    </w:p>
    <w:p w14:paraId="37ACB83A" w14:textId="77777777" w:rsidR="00F1501E" w:rsidRPr="00CC0EAD" w:rsidRDefault="00F1501E" w:rsidP="00CC0EAD">
      <w:pPr>
        <w:pStyle w:val="ListParagraph"/>
        <w:spacing w:line="240" w:lineRule="auto"/>
        <w:jc w:val="both"/>
        <w:rPr>
          <w:rFonts w:ascii="Arial" w:hAnsi="Arial" w:cs="Arial"/>
          <w:sz w:val="20"/>
          <w:szCs w:val="20"/>
        </w:rPr>
      </w:pPr>
    </w:p>
    <w:p w14:paraId="78246D19"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Morris, J. (1991) Pride Against Prejudice. London: Women’s Press. Accessed 10 March 2026.</w:t>
      </w:r>
    </w:p>
    <w:p w14:paraId="287A44BB" w14:textId="77777777" w:rsidR="00F1501E" w:rsidRPr="00CC0EAD" w:rsidRDefault="00F1501E" w:rsidP="00CC0EAD">
      <w:pPr>
        <w:pStyle w:val="ListParagraph"/>
        <w:spacing w:line="240" w:lineRule="auto"/>
        <w:jc w:val="both"/>
        <w:rPr>
          <w:rFonts w:ascii="Arial" w:hAnsi="Arial" w:cs="Arial"/>
          <w:sz w:val="20"/>
          <w:szCs w:val="20"/>
        </w:rPr>
      </w:pPr>
    </w:p>
    <w:p w14:paraId="75AB7C18"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NHS England (2023) Long Term Workforce Plan. Available at: https://www.england.nhs.uk (Accessed 10 March 2026).</w:t>
      </w:r>
    </w:p>
    <w:p w14:paraId="4EC48D78" w14:textId="77777777" w:rsidR="00F1501E" w:rsidRPr="00CC0EAD" w:rsidRDefault="00F1501E" w:rsidP="00CC0EAD">
      <w:pPr>
        <w:pStyle w:val="ListParagraph"/>
        <w:spacing w:line="240" w:lineRule="auto"/>
        <w:jc w:val="both"/>
        <w:rPr>
          <w:rFonts w:ascii="Arial" w:hAnsi="Arial" w:cs="Arial"/>
          <w:sz w:val="20"/>
          <w:szCs w:val="20"/>
        </w:rPr>
      </w:pPr>
    </w:p>
    <w:p w14:paraId="65740C08"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Noddings, N. (1984) Caring: A Feminine Approach to Ethics and Moral Education. Berkeley: University of California Press. Accessed 10 March 2026.</w:t>
      </w:r>
    </w:p>
    <w:p w14:paraId="2FFE8E23" w14:textId="77777777" w:rsidR="00F1501E" w:rsidRPr="00CC0EAD" w:rsidRDefault="00F1501E" w:rsidP="00CC0EAD">
      <w:pPr>
        <w:pStyle w:val="ListParagraph"/>
        <w:spacing w:line="240" w:lineRule="auto"/>
        <w:jc w:val="both"/>
        <w:rPr>
          <w:rFonts w:ascii="Arial" w:hAnsi="Arial" w:cs="Arial"/>
          <w:sz w:val="20"/>
          <w:szCs w:val="20"/>
        </w:rPr>
      </w:pPr>
    </w:p>
    <w:p w14:paraId="539F9886"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Oliver, M. (1990) The Politics of Disablement. Basingstoke: Macmillan. Accessed 10 March 2026.</w:t>
      </w:r>
    </w:p>
    <w:p w14:paraId="2CAB3548" w14:textId="77777777" w:rsidR="00F1501E" w:rsidRPr="00CC0EAD" w:rsidRDefault="00F1501E" w:rsidP="00CC0EAD">
      <w:pPr>
        <w:pStyle w:val="ListParagraph"/>
        <w:spacing w:line="240" w:lineRule="auto"/>
        <w:jc w:val="both"/>
        <w:rPr>
          <w:rFonts w:ascii="Arial" w:hAnsi="Arial" w:cs="Arial"/>
          <w:sz w:val="20"/>
          <w:szCs w:val="20"/>
        </w:rPr>
      </w:pPr>
    </w:p>
    <w:p w14:paraId="3F27D483"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Parreñas, R. (2001) Servants of Globalization: Women, Migration and Domestic Work. Stanford: Stanford University Press. Accessed 10 March 2026.</w:t>
      </w:r>
    </w:p>
    <w:p w14:paraId="761078C2" w14:textId="77777777" w:rsidR="00F1501E" w:rsidRPr="00CC0EAD" w:rsidRDefault="00F1501E" w:rsidP="00CC0EAD">
      <w:pPr>
        <w:pStyle w:val="ListParagraph"/>
        <w:spacing w:line="240" w:lineRule="auto"/>
        <w:jc w:val="both"/>
        <w:rPr>
          <w:rFonts w:ascii="Arial" w:hAnsi="Arial" w:cs="Arial"/>
          <w:sz w:val="20"/>
          <w:szCs w:val="20"/>
        </w:rPr>
      </w:pPr>
    </w:p>
    <w:p w14:paraId="70F59C24"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Shakespeare, T. (2013) Disability Rights and Wrongs Revisited. 2nd edn. London: Routledge. Accessed 10 March 2026.</w:t>
      </w:r>
    </w:p>
    <w:p w14:paraId="1974000D" w14:textId="77777777" w:rsidR="00F1501E" w:rsidRPr="00CC0EAD" w:rsidRDefault="00F1501E" w:rsidP="00CC0EAD">
      <w:pPr>
        <w:pStyle w:val="ListParagraph"/>
        <w:spacing w:line="240" w:lineRule="auto"/>
        <w:jc w:val="both"/>
        <w:rPr>
          <w:rFonts w:ascii="Arial" w:hAnsi="Arial" w:cs="Arial"/>
          <w:sz w:val="20"/>
          <w:szCs w:val="20"/>
        </w:rPr>
      </w:pPr>
    </w:p>
    <w:p w14:paraId="1232A6A7"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Shakespeare, T. (2014) Disability Rights and Wrongs Revisited. 2nd edn. London: Routledge. Accessed 10 March 2026.</w:t>
      </w:r>
    </w:p>
    <w:p w14:paraId="3C30036C"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(You listed both editions; both are included.)</w:t>
      </w:r>
    </w:p>
    <w:p w14:paraId="19002D43" w14:textId="77777777" w:rsidR="00F1501E" w:rsidRPr="00CC0EAD" w:rsidRDefault="00F1501E" w:rsidP="00CC0EAD">
      <w:pPr>
        <w:pStyle w:val="ListParagraph"/>
        <w:spacing w:line="240" w:lineRule="auto"/>
        <w:jc w:val="both"/>
        <w:rPr>
          <w:rFonts w:ascii="Arial" w:hAnsi="Arial" w:cs="Arial"/>
          <w:sz w:val="20"/>
          <w:szCs w:val="20"/>
        </w:rPr>
      </w:pPr>
    </w:p>
    <w:p w14:paraId="36D533D0"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lastRenderedPageBreak/>
        <w:t>Thomas, C. (1999) Female Forms: Experiencing and Understanding Disability. Buckingham: Open University Press. Accessed 10 March 2026.</w:t>
      </w:r>
    </w:p>
    <w:p w14:paraId="2C318F8D" w14:textId="77777777" w:rsidR="00F1501E" w:rsidRPr="00CC0EAD" w:rsidRDefault="00F1501E" w:rsidP="00CC0EAD">
      <w:pPr>
        <w:pStyle w:val="ListParagraph"/>
        <w:spacing w:line="240" w:lineRule="auto"/>
        <w:jc w:val="both"/>
        <w:rPr>
          <w:rFonts w:ascii="Arial" w:hAnsi="Arial" w:cs="Arial"/>
          <w:sz w:val="20"/>
          <w:szCs w:val="20"/>
        </w:rPr>
      </w:pPr>
    </w:p>
    <w:p w14:paraId="045CD7A9"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Tronto, J. (1993) Moral Boundaries: A Political Argument for an Ethic of Care. New York: Routledge. Accessed 10 March 2026.</w:t>
      </w:r>
    </w:p>
    <w:p w14:paraId="78CA3426" w14:textId="77777777" w:rsidR="00F1501E" w:rsidRPr="00CC0EAD" w:rsidRDefault="00F1501E" w:rsidP="00CC0EAD">
      <w:pPr>
        <w:pStyle w:val="ListParagraph"/>
        <w:spacing w:line="240" w:lineRule="auto"/>
        <w:jc w:val="both"/>
        <w:rPr>
          <w:rFonts w:ascii="Arial" w:hAnsi="Arial" w:cs="Arial"/>
          <w:sz w:val="20"/>
          <w:szCs w:val="20"/>
        </w:rPr>
      </w:pPr>
    </w:p>
    <w:p w14:paraId="003F9A22"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Tronto, J. (2013) Caring Democracy: Markets, Equality and Justice. New York: New York University Press. Accessed 10 March 2026.</w:t>
      </w:r>
    </w:p>
    <w:p w14:paraId="2308B570" w14:textId="77777777" w:rsidR="00F1501E" w:rsidRPr="00CC0EAD" w:rsidRDefault="00F1501E" w:rsidP="00CC0EAD">
      <w:pPr>
        <w:pStyle w:val="ListParagraph"/>
        <w:spacing w:line="240" w:lineRule="auto"/>
        <w:jc w:val="both"/>
        <w:rPr>
          <w:rFonts w:ascii="Arial" w:hAnsi="Arial" w:cs="Arial"/>
          <w:sz w:val="20"/>
          <w:szCs w:val="20"/>
        </w:rPr>
      </w:pPr>
    </w:p>
    <w:p w14:paraId="20254E2D" w14:textId="77777777" w:rsidR="00F1501E" w:rsidRPr="00CC0EAD"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UPIAS (1976) Fundamental Principles of Disability. London: Union of the Physically Impaired Against Segregation. Accessed 10 March 2026.</w:t>
      </w:r>
    </w:p>
    <w:p w14:paraId="5234D6F5" w14:textId="77777777" w:rsidR="00F1501E" w:rsidRPr="00CC0EAD" w:rsidRDefault="00F1501E" w:rsidP="00CC0EAD">
      <w:pPr>
        <w:pStyle w:val="ListParagraph"/>
        <w:spacing w:line="240" w:lineRule="auto"/>
        <w:jc w:val="both"/>
        <w:rPr>
          <w:rFonts w:ascii="Arial" w:hAnsi="Arial" w:cs="Arial"/>
          <w:sz w:val="20"/>
          <w:szCs w:val="20"/>
        </w:rPr>
      </w:pPr>
    </w:p>
    <w:p w14:paraId="1BD6A2B6" w14:textId="50276133" w:rsidR="00982C12" w:rsidRDefault="00F1501E" w:rsidP="00CC0EAD">
      <w:pPr>
        <w:pStyle w:val="ListParagraph"/>
        <w:spacing w:line="240" w:lineRule="auto"/>
        <w:jc w:val="both"/>
        <w:rPr>
          <w:rFonts w:ascii="Arial" w:hAnsi="Arial" w:cs="Arial"/>
          <w:sz w:val="20"/>
          <w:szCs w:val="20"/>
        </w:rPr>
      </w:pPr>
      <w:r w:rsidRPr="00CC0EAD">
        <w:rPr>
          <w:rFonts w:ascii="Arial" w:hAnsi="Arial" w:cs="Arial"/>
          <w:sz w:val="20"/>
          <w:szCs w:val="20"/>
        </w:rPr>
        <w:t>Williams, F. (2010) ‘Migration and Care: Themes, Concepts and Challenges’, Social Policy and Society, 9(3), pp. 385–396. Accessed 10 March 2026.</w:t>
      </w:r>
    </w:p>
    <w:p w14:paraId="48A16B94" w14:textId="77777777" w:rsidR="00D72922" w:rsidRDefault="00D72922" w:rsidP="00CC0EAD">
      <w:pPr>
        <w:pStyle w:val="ListParagraph"/>
        <w:spacing w:line="240" w:lineRule="auto"/>
        <w:jc w:val="both"/>
        <w:rPr>
          <w:rFonts w:ascii="Arial" w:hAnsi="Arial" w:cs="Arial"/>
          <w:sz w:val="20"/>
          <w:szCs w:val="20"/>
        </w:rPr>
      </w:pPr>
    </w:p>
    <w:p w14:paraId="320F140E" w14:textId="77777777" w:rsidR="00D72922" w:rsidRPr="00D72922" w:rsidRDefault="00D72922" w:rsidP="00D72922">
      <w:pPr>
        <w:pStyle w:val="ListParagraph"/>
        <w:spacing w:line="240" w:lineRule="auto"/>
        <w:jc w:val="both"/>
        <w:rPr>
          <w:rFonts w:ascii="Arial" w:hAnsi="Arial" w:cs="Arial"/>
          <w:sz w:val="20"/>
          <w:szCs w:val="20"/>
        </w:rPr>
      </w:pPr>
      <w:r w:rsidRPr="00D72922">
        <w:rPr>
          <w:rFonts w:ascii="Arial" w:hAnsi="Arial" w:cs="Arial"/>
          <w:sz w:val="20"/>
          <w:szCs w:val="20"/>
        </w:rPr>
        <w:t>Barnes, C. (1991) Disabled People in Britain and Discrimination: A Case for Anti</w:t>
      </w:r>
      <w:r w:rsidRPr="00D72922">
        <w:rPr>
          <w:rFonts w:ascii="Cambria Math" w:hAnsi="Cambria Math" w:cs="Cambria Math"/>
          <w:sz w:val="20"/>
          <w:szCs w:val="20"/>
        </w:rPr>
        <w:t>‑</w:t>
      </w:r>
      <w:r w:rsidRPr="00D72922">
        <w:rPr>
          <w:rFonts w:ascii="Arial" w:hAnsi="Arial" w:cs="Arial"/>
          <w:sz w:val="20"/>
          <w:szCs w:val="20"/>
        </w:rPr>
        <w:t>Discrimination Legislation. London: Hurst &amp; Co. (Accessed: 16 April 2026).</w:t>
      </w:r>
    </w:p>
    <w:p w14:paraId="078123F9" w14:textId="77777777" w:rsidR="00D72922" w:rsidRPr="00D72922" w:rsidRDefault="00D72922" w:rsidP="00D72922">
      <w:pPr>
        <w:pStyle w:val="ListParagraph"/>
        <w:spacing w:line="240" w:lineRule="auto"/>
        <w:jc w:val="both"/>
        <w:rPr>
          <w:rFonts w:ascii="Arial" w:hAnsi="Arial" w:cs="Arial"/>
          <w:sz w:val="20"/>
          <w:szCs w:val="20"/>
        </w:rPr>
      </w:pPr>
    </w:p>
    <w:p w14:paraId="004DB47E" w14:textId="77777777" w:rsidR="00D72922" w:rsidRPr="00D72922" w:rsidRDefault="00D72922" w:rsidP="00D72922">
      <w:pPr>
        <w:pStyle w:val="ListParagraph"/>
        <w:spacing w:line="240" w:lineRule="auto"/>
        <w:jc w:val="both"/>
        <w:rPr>
          <w:rFonts w:ascii="Arial" w:hAnsi="Arial" w:cs="Arial"/>
          <w:sz w:val="20"/>
          <w:szCs w:val="20"/>
        </w:rPr>
      </w:pPr>
      <w:r w:rsidRPr="00D72922">
        <w:rPr>
          <w:rFonts w:ascii="Arial" w:hAnsi="Arial" w:cs="Arial"/>
          <w:sz w:val="20"/>
          <w:szCs w:val="20"/>
        </w:rPr>
        <w:t>Barnes, C. (1997) ‘A legacy of oppression: A history of disability in Western culture’, in Barton, L. and Oliver, M. (eds.) Disability Studies: Past, Present and Future. Leeds: The Disability Press, pp. 3–24. (Accessed: 16 April 2026).</w:t>
      </w:r>
    </w:p>
    <w:p w14:paraId="4011FF9E" w14:textId="77777777" w:rsidR="00D72922" w:rsidRPr="00D72922" w:rsidRDefault="00D72922" w:rsidP="00D72922">
      <w:pPr>
        <w:pStyle w:val="ListParagraph"/>
        <w:spacing w:line="240" w:lineRule="auto"/>
        <w:jc w:val="both"/>
        <w:rPr>
          <w:rFonts w:ascii="Arial" w:hAnsi="Arial" w:cs="Arial"/>
          <w:sz w:val="20"/>
          <w:szCs w:val="20"/>
        </w:rPr>
      </w:pPr>
    </w:p>
    <w:p w14:paraId="0D8832EF" w14:textId="77777777" w:rsidR="00D72922" w:rsidRPr="00D72922" w:rsidRDefault="00D72922" w:rsidP="00D72922">
      <w:pPr>
        <w:pStyle w:val="ListParagraph"/>
        <w:spacing w:line="240" w:lineRule="auto"/>
        <w:jc w:val="both"/>
        <w:rPr>
          <w:rFonts w:ascii="Arial" w:hAnsi="Arial" w:cs="Arial"/>
          <w:sz w:val="20"/>
          <w:szCs w:val="20"/>
        </w:rPr>
      </w:pPr>
      <w:r w:rsidRPr="00D72922">
        <w:rPr>
          <w:rFonts w:ascii="Arial" w:hAnsi="Arial" w:cs="Arial"/>
          <w:sz w:val="20"/>
          <w:szCs w:val="20"/>
        </w:rPr>
        <w:t>Barnes, C. and Mercer, G. (2003) Disability. Cambridge: Polity Press. (Accessed: 16 April 2026).</w:t>
      </w:r>
    </w:p>
    <w:p w14:paraId="3D16B738" w14:textId="77777777" w:rsidR="00D72922" w:rsidRPr="00D72922" w:rsidRDefault="00D72922" w:rsidP="00D72922">
      <w:pPr>
        <w:pStyle w:val="ListParagraph"/>
        <w:spacing w:line="240" w:lineRule="auto"/>
        <w:jc w:val="both"/>
        <w:rPr>
          <w:rFonts w:ascii="Arial" w:hAnsi="Arial" w:cs="Arial"/>
          <w:sz w:val="20"/>
          <w:szCs w:val="20"/>
        </w:rPr>
      </w:pPr>
    </w:p>
    <w:p w14:paraId="2B7FA242" w14:textId="77777777" w:rsidR="00D72922" w:rsidRPr="00D72922" w:rsidRDefault="00D72922" w:rsidP="00D72922">
      <w:pPr>
        <w:pStyle w:val="ListParagraph"/>
        <w:spacing w:line="240" w:lineRule="auto"/>
        <w:jc w:val="both"/>
        <w:rPr>
          <w:rFonts w:ascii="Arial" w:hAnsi="Arial" w:cs="Arial"/>
          <w:sz w:val="20"/>
          <w:szCs w:val="20"/>
        </w:rPr>
      </w:pPr>
      <w:r w:rsidRPr="00D72922">
        <w:rPr>
          <w:rFonts w:ascii="Arial" w:hAnsi="Arial" w:cs="Arial"/>
          <w:sz w:val="20"/>
          <w:szCs w:val="20"/>
        </w:rPr>
        <w:t>Oliver, M. (1990) The Politics of Disablement. Basingstoke: Macmillan. (Accessed: 16 April 2026).</w:t>
      </w:r>
    </w:p>
    <w:p w14:paraId="5A807952" w14:textId="77777777" w:rsidR="00D72922" w:rsidRPr="00D72922" w:rsidRDefault="00D72922" w:rsidP="00D72922">
      <w:pPr>
        <w:pStyle w:val="ListParagraph"/>
        <w:spacing w:line="240" w:lineRule="auto"/>
        <w:jc w:val="both"/>
        <w:rPr>
          <w:rFonts w:ascii="Arial" w:hAnsi="Arial" w:cs="Arial"/>
          <w:sz w:val="20"/>
          <w:szCs w:val="20"/>
        </w:rPr>
      </w:pPr>
    </w:p>
    <w:p w14:paraId="4AC7E936" w14:textId="0DBB133D" w:rsidR="003B76C3" w:rsidRPr="00CC0EAD" w:rsidRDefault="00D72922" w:rsidP="00D72922">
      <w:pPr>
        <w:pStyle w:val="ListParagraph"/>
        <w:spacing w:line="240" w:lineRule="auto"/>
        <w:jc w:val="both"/>
        <w:rPr>
          <w:rFonts w:ascii="Arial" w:hAnsi="Arial" w:cs="Arial"/>
          <w:sz w:val="20"/>
          <w:szCs w:val="20"/>
        </w:rPr>
      </w:pPr>
      <w:r w:rsidRPr="00D72922">
        <w:rPr>
          <w:rFonts w:ascii="Arial" w:hAnsi="Arial" w:cs="Arial"/>
          <w:sz w:val="20"/>
          <w:szCs w:val="20"/>
        </w:rPr>
        <w:t>Shakespeare, T. (2006) Disability Rights and Wrongs. London: Routledge. (Accessed: 16 April 2026)</w:t>
      </w:r>
    </w:p>
    <w:p w14:paraId="02037742" w14:textId="77777777" w:rsidR="00652C2D" w:rsidRPr="00652C2D" w:rsidRDefault="00652C2D" w:rsidP="00652C2D">
      <w:pPr>
        <w:pStyle w:val="ListParagraph"/>
        <w:spacing w:line="240" w:lineRule="auto"/>
        <w:jc w:val="both"/>
        <w:rPr>
          <w:rFonts w:ascii="Arial" w:hAnsi="Arial" w:cs="Arial"/>
          <w:sz w:val="22"/>
        </w:rPr>
      </w:pPr>
      <w:r w:rsidRPr="00652C2D">
        <w:rPr>
          <w:rFonts w:ascii="Arial" w:hAnsi="Arial" w:cs="Arial"/>
          <w:sz w:val="22"/>
        </w:rPr>
        <w:t>Barnes, C. (1991) Disabled People in Britain and Discrimination: A Case for Anti</w:t>
      </w:r>
      <w:r w:rsidRPr="00652C2D">
        <w:rPr>
          <w:rFonts w:ascii="Cambria Math" w:hAnsi="Cambria Math" w:cs="Cambria Math"/>
          <w:sz w:val="22"/>
        </w:rPr>
        <w:t>‑</w:t>
      </w:r>
      <w:r w:rsidRPr="00652C2D">
        <w:rPr>
          <w:rFonts w:ascii="Arial" w:hAnsi="Arial" w:cs="Arial"/>
          <w:sz w:val="22"/>
        </w:rPr>
        <w:t>Discrimination Legislation. London: Hurst &amp; Co. (Accessed: 16 April 2026).</w:t>
      </w:r>
    </w:p>
    <w:p w14:paraId="5A02DB84" w14:textId="77777777" w:rsidR="00652C2D" w:rsidRPr="00652C2D" w:rsidRDefault="00652C2D" w:rsidP="00652C2D">
      <w:pPr>
        <w:pStyle w:val="ListParagraph"/>
        <w:spacing w:line="240" w:lineRule="auto"/>
        <w:jc w:val="both"/>
        <w:rPr>
          <w:rFonts w:ascii="Arial" w:hAnsi="Arial" w:cs="Arial"/>
          <w:sz w:val="22"/>
        </w:rPr>
      </w:pPr>
    </w:p>
    <w:p w14:paraId="3AAC4E2B" w14:textId="77777777" w:rsidR="00652C2D" w:rsidRPr="00652C2D" w:rsidRDefault="00652C2D" w:rsidP="00652C2D">
      <w:pPr>
        <w:pStyle w:val="ListParagraph"/>
        <w:spacing w:line="240" w:lineRule="auto"/>
        <w:jc w:val="both"/>
        <w:rPr>
          <w:rFonts w:ascii="Arial" w:hAnsi="Arial" w:cs="Arial"/>
          <w:sz w:val="22"/>
        </w:rPr>
      </w:pPr>
      <w:r w:rsidRPr="00652C2D">
        <w:rPr>
          <w:rFonts w:ascii="Arial" w:hAnsi="Arial" w:cs="Arial"/>
          <w:sz w:val="22"/>
        </w:rPr>
        <w:t>Barnes, C. and Mercer, G. (2003) Disability. Cambridge: Polity Press. (Accessed: 16 April 2026).</w:t>
      </w:r>
    </w:p>
    <w:p w14:paraId="7F3F91B9" w14:textId="77777777" w:rsidR="00652C2D" w:rsidRPr="00652C2D" w:rsidRDefault="00652C2D" w:rsidP="00652C2D">
      <w:pPr>
        <w:pStyle w:val="ListParagraph"/>
        <w:spacing w:line="240" w:lineRule="auto"/>
        <w:jc w:val="both"/>
        <w:rPr>
          <w:rFonts w:ascii="Arial" w:hAnsi="Arial" w:cs="Arial"/>
          <w:sz w:val="22"/>
        </w:rPr>
      </w:pPr>
    </w:p>
    <w:p w14:paraId="491EAAFA" w14:textId="44C658B3" w:rsidR="00F1501E" w:rsidRPr="007623A8" w:rsidRDefault="00652C2D" w:rsidP="00652C2D">
      <w:pPr>
        <w:pStyle w:val="ListParagraph"/>
        <w:spacing w:line="240" w:lineRule="auto"/>
        <w:jc w:val="both"/>
        <w:rPr>
          <w:rFonts w:ascii="Arial" w:hAnsi="Arial" w:cs="Arial"/>
          <w:sz w:val="22"/>
        </w:rPr>
      </w:pPr>
      <w:r w:rsidRPr="00652C2D">
        <w:rPr>
          <w:rFonts w:ascii="Arial" w:hAnsi="Arial" w:cs="Arial"/>
          <w:sz w:val="22"/>
        </w:rPr>
        <w:t>Oliver, M. (1990) The Politics of Disablement. Basingstoke: Macmillan. (Accessed: 16 April 2026).</w:t>
      </w:r>
    </w:p>
    <w:sectPr w:rsidR="00F1501E" w:rsidRPr="007623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74F932" w14:textId="77777777" w:rsidR="00B55D26" w:rsidRDefault="00B55D26" w:rsidP="00032A5B">
      <w:pPr>
        <w:spacing w:after="0" w:line="240" w:lineRule="auto"/>
      </w:pPr>
      <w:r>
        <w:separator/>
      </w:r>
    </w:p>
  </w:endnote>
  <w:endnote w:type="continuationSeparator" w:id="0">
    <w:p w14:paraId="7EF3C81C" w14:textId="77777777" w:rsidR="00B55D26" w:rsidRDefault="00B55D26"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07696" w14:textId="77777777" w:rsidR="00B55D26" w:rsidRDefault="00B55D26" w:rsidP="00032A5B">
      <w:pPr>
        <w:spacing w:after="0" w:line="240" w:lineRule="auto"/>
      </w:pPr>
      <w:r>
        <w:separator/>
      </w:r>
    </w:p>
  </w:footnote>
  <w:footnote w:type="continuationSeparator" w:id="0">
    <w:p w14:paraId="581E9236" w14:textId="77777777" w:rsidR="00B55D26" w:rsidRDefault="00B55D26"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37C7E61"/>
    <w:multiLevelType w:val="hybridMultilevel"/>
    <w:tmpl w:val="66CE4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743166"/>
    <w:multiLevelType w:val="hybridMultilevel"/>
    <w:tmpl w:val="B5A87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5"/>
  </w:num>
  <w:num w:numId="2" w16cid:durableId="201140407">
    <w:abstractNumId w:val="1"/>
  </w:num>
  <w:num w:numId="3" w16cid:durableId="490028398">
    <w:abstractNumId w:val="0"/>
  </w:num>
  <w:num w:numId="4" w16cid:durableId="1716658602">
    <w:abstractNumId w:val="3"/>
  </w:num>
  <w:num w:numId="5" w16cid:durableId="674460547">
    <w:abstractNumId w:val="4"/>
  </w:num>
  <w:num w:numId="6" w16cid:durableId="3722671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032FB4"/>
    <w:rsid w:val="000852A1"/>
    <w:rsid w:val="000E29B6"/>
    <w:rsid w:val="000E507F"/>
    <w:rsid w:val="000F76DF"/>
    <w:rsid w:val="001333C2"/>
    <w:rsid w:val="001674DC"/>
    <w:rsid w:val="00181D72"/>
    <w:rsid w:val="001A15B5"/>
    <w:rsid w:val="001A1865"/>
    <w:rsid w:val="001B19F5"/>
    <w:rsid w:val="0020378F"/>
    <w:rsid w:val="00293A61"/>
    <w:rsid w:val="002F5CDF"/>
    <w:rsid w:val="00317E3D"/>
    <w:rsid w:val="00321015"/>
    <w:rsid w:val="0032791E"/>
    <w:rsid w:val="003426FE"/>
    <w:rsid w:val="00361642"/>
    <w:rsid w:val="00372585"/>
    <w:rsid w:val="003B76C3"/>
    <w:rsid w:val="003C1D9A"/>
    <w:rsid w:val="003E4ED4"/>
    <w:rsid w:val="003F3F21"/>
    <w:rsid w:val="00406774"/>
    <w:rsid w:val="00406D47"/>
    <w:rsid w:val="00445133"/>
    <w:rsid w:val="00452B55"/>
    <w:rsid w:val="00466EAA"/>
    <w:rsid w:val="004A5A64"/>
    <w:rsid w:val="004C2E1A"/>
    <w:rsid w:val="004E38B0"/>
    <w:rsid w:val="004E75C9"/>
    <w:rsid w:val="004F3BF7"/>
    <w:rsid w:val="004F5908"/>
    <w:rsid w:val="00503A09"/>
    <w:rsid w:val="00503DE9"/>
    <w:rsid w:val="0058218C"/>
    <w:rsid w:val="005B0202"/>
    <w:rsid w:val="005B02BE"/>
    <w:rsid w:val="005D2312"/>
    <w:rsid w:val="00636972"/>
    <w:rsid w:val="006437A1"/>
    <w:rsid w:val="006524ED"/>
    <w:rsid w:val="00652C2D"/>
    <w:rsid w:val="0067162D"/>
    <w:rsid w:val="00683D43"/>
    <w:rsid w:val="006A3E63"/>
    <w:rsid w:val="006D2F2D"/>
    <w:rsid w:val="006E028B"/>
    <w:rsid w:val="006E1FF9"/>
    <w:rsid w:val="0075033F"/>
    <w:rsid w:val="007623A8"/>
    <w:rsid w:val="00777B6B"/>
    <w:rsid w:val="00785886"/>
    <w:rsid w:val="007B7D12"/>
    <w:rsid w:val="007D5316"/>
    <w:rsid w:val="007F3A6A"/>
    <w:rsid w:val="0086215B"/>
    <w:rsid w:val="008B3F5D"/>
    <w:rsid w:val="008F6F62"/>
    <w:rsid w:val="0090483B"/>
    <w:rsid w:val="00926813"/>
    <w:rsid w:val="00960BE3"/>
    <w:rsid w:val="00982C12"/>
    <w:rsid w:val="009A2F69"/>
    <w:rsid w:val="009A697C"/>
    <w:rsid w:val="009E4988"/>
    <w:rsid w:val="009E71F3"/>
    <w:rsid w:val="009F5FAB"/>
    <w:rsid w:val="00A10F30"/>
    <w:rsid w:val="00A14675"/>
    <w:rsid w:val="00A14CF4"/>
    <w:rsid w:val="00A65067"/>
    <w:rsid w:val="00A85C90"/>
    <w:rsid w:val="00AF2CC5"/>
    <w:rsid w:val="00B0191A"/>
    <w:rsid w:val="00B32D2A"/>
    <w:rsid w:val="00B55D26"/>
    <w:rsid w:val="00B65D18"/>
    <w:rsid w:val="00BA1B20"/>
    <w:rsid w:val="00BC79FE"/>
    <w:rsid w:val="00BE0362"/>
    <w:rsid w:val="00C07B6B"/>
    <w:rsid w:val="00C22CF9"/>
    <w:rsid w:val="00C443AB"/>
    <w:rsid w:val="00C558B0"/>
    <w:rsid w:val="00CB5CCD"/>
    <w:rsid w:val="00CB7A49"/>
    <w:rsid w:val="00CC0EAD"/>
    <w:rsid w:val="00CC3D17"/>
    <w:rsid w:val="00CE6EC5"/>
    <w:rsid w:val="00CF2D30"/>
    <w:rsid w:val="00D0002D"/>
    <w:rsid w:val="00D535FA"/>
    <w:rsid w:val="00D545BA"/>
    <w:rsid w:val="00D66FF6"/>
    <w:rsid w:val="00D674F3"/>
    <w:rsid w:val="00D72922"/>
    <w:rsid w:val="00DC7DA9"/>
    <w:rsid w:val="00E00864"/>
    <w:rsid w:val="00E0353E"/>
    <w:rsid w:val="00E30993"/>
    <w:rsid w:val="00E4584C"/>
    <w:rsid w:val="00E81204"/>
    <w:rsid w:val="00E9668F"/>
    <w:rsid w:val="00EB4C2D"/>
    <w:rsid w:val="00F1501E"/>
    <w:rsid w:val="00F173EF"/>
    <w:rsid w:val="00F3295B"/>
    <w:rsid w:val="00F40CA4"/>
    <w:rsid w:val="00F41A71"/>
    <w:rsid w:val="00F735AB"/>
    <w:rsid w:val="00F81510"/>
    <w:rsid w:val="00FA1054"/>
    <w:rsid w:val="00FA2DAE"/>
    <w:rsid w:val="00FA5753"/>
    <w:rsid w:val="00FA6248"/>
    <w:rsid w:val="00FD0A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paragraph" w:customStyle="1" w:styleId="Default">
    <w:name w:val="Default"/>
    <w:rsid w:val="00F41A71"/>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TotalTime>
  <Pages>9</Pages>
  <Words>2561</Words>
  <Characters>16855</Characters>
  <Application>Microsoft Office Word</Application>
  <DocSecurity>0</DocSecurity>
  <Lines>318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Robson Silva</cp:lastModifiedBy>
  <cp:revision>71</cp:revision>
  <dcterms:created xsi:type="dcterms:W3CDTF">2026-03-04T13:14:00Z</dcterms:created>
  <dcterms:modified xsi:type="dcterms:W3CDTF">2026-04-16T09:42:00Z</dcterms:modified>
</cp:coreProperties>
</file>