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89E0A" w14:textId="55CCEC10" w:rsidR="004569D9" w:rsidRPr="004569D9" w:rsidRDefault="008C1701" w:rsidP="00FE2536">
      <w:pPr>
        <w:spacing w:line="360" w:lineRule="auto"/>
        <w:rPr>
          <w:rFonts w:cs="Calibri"/>
        </w:rPr>
      </w:pPr>
      <w:r>
        <w:rPr>
          <w:rFonts w:cs="Calibri"/>
        </w:rPr>
        <w:t xml:space="preserve">Defining quality proves challenging, given its subjective nature shaped by individual experiences and contextual factors. The significance of quality concerns </w:t>
      </w:r>
      <w:r w:rsidR="001534A0" w:rsidRPr="004569D9">
        <w:rPr>
          <w:rFonts w:cs="Calibri"/>
        </w:rPr>
        <w:t>has</w:t>
      </w:r>
      <w:r w:rsidR="004569D9" w:rsidRPr="004569D9">
        <w:rPr>
          <w:rFonts w:cs="Calibri"/>
        </w:rPr>
        <w:t xml:space="preserve"> gained importance in the discourse surrounding education today. According to Harvey and Green (1993), "definitions of quality vary that to some extent reflect different perceptions of the individuals and society… there is no single definition of quality" (p. 28).</w:t>
      </w:r>
    </w:p>
    <w:p w14:paraId="7E03B7C0" w14:textId="77777777" w:rsidR="004569D9" w:rsidRPr="004569D9" w:rsidRDefault="004569D9" w:rsidP="00FE2536">
      <w:pPr>
        <w:spacing w:line="360" w:lineRule="auto"/>
        <w:rPr>
          <w:rFonts w:cs="Calibri"/>
        </w:rPr>
      </w:pPr>
    </w:p>
    <w:p w14:paraId="6FAD43F2" w14:textId="77777777" w:rsidR="004569D9" w:rsidRPr="004569D9" w:rsidRDefault="004569D9" w:rsidP="00FE2536">
      <w:pPr>
        <w:spacing w:line="360" w:lineRule="auto"/>
        <w:rPr>
          <w:rFonts w:cs="Calibri"/>
        </w:rPr>
      </w:pPr>
      <w:r w:rsidRPr="004569D9">
        <w:rPr>
          <w:rFonts w:cs="Calibri"/>
        </w:rPr>
        <w:t>The importance of quality in early years setting for young children to develop effectively, high-quality early childhood education is vital (Sylva et al., 2004; Siraj-Blatchford et al., 2002; Welsh Government, 2013). Early years settings that provide high-quality care have a long-lasting favourable impact on children's outcomes, including language, communication, and cognitive development. According to the (Welsh Government's 2013) publication "Building a Brighter Future," high-quality childcare environments positively enhance children's development and future experiences. According to research by Munton et al. (2001), children who attend high-quality early years settings benefit in terms of their social, linguistic, and cognitive development. Additionally, a longitudinal study called The EPPE Project - Effective Provision of PreSchool Education (Sylva et al., 2004) found that the quality of settings had a long-term impact on academic outcomes and that quality provision was associated with better social communication and self-regulation.</w:t>
      </w:r>
    </w:p>
    <w:p w14:paraId="65149D36" w14:textId="77777777" w:rsidR="004569D9" w:rsidRPr="004569D9" w:rsidRDefault="004569D9" w:rsidP="00FE2536">
      <w:pPr>
        <w:spacing w:line="360" w:lineRule="auto"/>
        <w:rPr>
          <w:rFonts w:cs="Calibri"/>
        </w:rPr>
      </w:pPr>
    </w:p>
    <w:p w14:paraId="62E01C06" w14:textId="77777777" w:rsidR="004569D9" w:rsidRPr="004569D9" w:rsidRDefault="004569D9" w:rsidP="00FE2536">
      <w:pPr>
        <w:spacing w:line="360" w:lineRule="auto"/>
        <w:rPr>
          <w:rFonts w:cs="Calibri"/>
        </w:rPr>
      </w:pPr>
      <w:r w:rsidRPr="004569D9">
        <w:rPr>
          <w:rFonts w:cs="Calibri"/>
        </w:rPr>
        <w:t xml:space="preserve">Achieving quality in the early years, however, presents difficulties. For instance, Cottle and Alexandre (2012) point out that views of quality practice are subjective because of the variety of participants involved in early years settings, including parents, practitioners, children, representatives, and managers. According to Cottle and Alexander (2012), definitions of quality are imprecise and differ depending on the context and practitioner experiences. According to Cottle and Alexander (2012), specific settings were driven by official motivation. They regarded statutory inspection reports as a benchmark for quality. At the same time, other settings prioritised children's social and emotional development and concentrated on meeting their individual needs as a sign of high-quality practice. Thus, it is critical to balance meeting </w:t>
      </w:r>
      <w:r w:rsidRPr="004569D9">
        <w:rPr>
          <w:rFonts w:cs="Calibri"/>
        </w:rPr>
        <w:lastRenderedPageBreak/>
        <w:t>children's needs through rich and engaging play-based activities and adhering to standards for accountability and curricular targets (Cottle &amp; Alexandre, 2012).</w:t>
      </w:r>
    </w:p>
    <w:p w14:paraId="4A9FF23D" w14:textId="77777777" w:rsidR="004569D9" w:rsidRPr="004569D9" w:rsidRDefault="004569D9" w:rsidP="00FE2536">
      <w:pPr>
        <w:spacing w:line="360" w:lineRule="auto"/>
        <w:rPr>
          <w:rFonts w:cs="Calibri"/>
        </w:rPr>
      </w:pPr>
      <w:r w:rsidRPr="004569D9">
        <w:rPr>
          <w:rFonts w:cs="Calibri"/>
        </w:rPr>
        <w:t>Similarly, Ishimine (2011) contends that "quality" is a hard-to-define, illusive term. However, Ishimine (2011) distinguishes between two categories of quality characterisation: Process quality, which refers to elements like positive peer interaction, clear communication, and interactions between staff and children, and it is based on the findings of the Researching Effective Pedagogy in the Early Years (REPEY) report (Siraj-Blatchford et al., 2002). On the other hand, structural quality is related to measurable features like the physical environment, qualifications, ratios, policies, and programme content. Anders (2015) contends that whereas structural quality indirectly impacts a child's perception of process quality, process quality can directly impact children's learning and development. Like Cottle and Alexandre (2012), Ishimine (2011) emphasises that to provide children with high-quality childcare; practitioners must balance the abilities and qualities of practitioners with government support.</w:t>
      </w:r>
    </w:p>
    <w:p w14:paraId="751CE2C0" w14:textId="77777777" w:rsidR="004569D9" w:rsidRPr="004569D9" w:rsidRDefault="004569D9" w:rsidP="00FE2536">
      <w:pPr>
        <w:spacing w:line="360" w:lineRule="auto"/>
        <w:rPr>
          <w:rFonts w:cs="Calibri"/>
        </w:rPr>
      </w:pPr>
    </w:p>
    <w:p w14:paraId="7033E2B9" w14:textId="77777777" w:rsidR="004569D9" w:rsidRPr="004569D9" w:rsidRDefault="004569D9" w:rsidP="00FE2536">
      <w:pPr>
        <w:spacing w:line="360" w:lineRule="auto"/>
        <w:rPr>
          <w:rFonts w:cs="Calibri"/>
        </w:rPr>
      </w:pPr>
      <w:r w:rsidRPr="004569D9">
        <w:rPr>
          <w:rFonts w:cs="Calibri"/>
        </w:rPr>
        <w:t>According to Tanner et al. (2006), defining and assessing quality service in the early years raises questions about quantifying quality. Regarding Flying Start settings, the Welsh Government (2014) carefully observes and inspects the settings to ensure children have high-quality experiences. This is done in conjunction with high-quality practitioners. The outcome is a combination of high-quality environments and high-quality experiences. However, the "Nurturing Children, Supporting Families" policy statement from the Welsh Government (2011) states that several functional elements improve the quality of childcare services rather than a single way to quantify quality. To support a child's holistic development and emotional well-being, the Welsh Government (2011) strongly emphasises having highly trained staff members who are affectionate and responsive, a safe and nurturing environment, appropriate ratios and supervision, and developmentally appropriate educational content. Thus, this study will analyse the advantages and efficacy of quality assurance techniques that promote quality above and beyond legal requirements.</w:t>
      </w:r>
    </w:p>
    <w:p w14:paraId="118DC088" w14:textId="77777777" w:rsidR="004569D9" w:rsidRPr="004569D9" w:rsidRDefault="004569D9" w:rsidP="00FE2536">
      <w:pPr>
        <w:spacing w:line="360" w:lineRule="auto"/>
        <w:rPr>
          <w:rFonts w:cs="Calibri"/>
        </w:rPr>
      </w:pPr>
    </w:p>
    <w:p w14:paraId="061FD57C" w14:textId="77777777" w:rsidR="004569D9" w:rsidRPr="004569D9" w:rsidRDefault="004569D9" w:rsidP="00FE2536">
      <w:pPr>
        <w:spacing w:line="360" w:lineRule="auto"/>
        <w:rPr>
          <w:rFonts w:cs="Calibri"/>
        </w:rPr>
      </w:pPr>
      <w:r w:rsidRPr="004569D9">
        <w:rPr>
          <w:rFonts w:cs="Calibri"/>
        </w:rPr>
        <w:t xml:space="preserve">The Effective Pre-school, Primary and Secondary Education (EPPSE) initiative is the foundation for the Early Childhood Environment Rating Scale (ECERS). The measure </w:t>
      </w:r>
      <w:r w:rsidRPr="004569D9">
        <w:rPr>
          <w:rFonts w:cs="Calibri"/>
        </w:rPr>
        <w:lastRenderedPageBreak/>
        <w:t>provides a systematic framework for raising the standard of early childhood education to boost favourable long-term results. The scale is a popular instrument for evaluating quality in various contexts and has been used globally (Brunsek et al., 2017). The validity and significance of the ECERS within significant early childhood research has been demonstrated by its use in seminal studies such as "The Head Start Family and Child Experiences Survey (FACES)" in 2003, as well as "The National Childcare Staffing Study" and "The Cost, Quality, and Child Outcomes Study" (Clifford et al., 2010).</w:t>
      </w:r>
    </w:p>
    <w:p w14:paraId="0E4DB2BE" w14:textId="77777777" w:rsidR="004569D9" w:rsidRPr="004569D9" w:rsidRDefault="004569D9" w:rsidP="00FE2536">
      <w:pPr>
        <w:spacing w:line="360" w:lineRule="auto"/>
        <w:rPr>
          <w:rFonts w:cs="Calibri"/>
        </w:rPr>
      </w:pPr>
    </w:p>
    <w:p w14:paraId="55CEDB72" w14:textId="2588C6D7" w:rsidR="004569D9" w:rsidRPr="004569D9" w:rsidRDefault="004569D9" w:rsidP="00FE2536">
      <w:pPr>
        <w:spacing w:line="360" w:lineRule="auto"/>
        <w:rPr>
          <w:rFonts w:cs="Calibri"/>
        </w:rPr>
      </w:pPr>
      <w:r w:rsidRPr="004569D9">
        <w:rPr>
          <w:rFonts w:cs="Calibri"/>
        </w:rPr>
        <w:t xml:space="preserve">As part of the EPPE project, the ECERS was expanded to offer more depth and incorporate curriculum-related elements. According to Brunsek et al. (2017), the ECERS and ECERS-R evaluate quality by considering organisational and procedural elements specific to early years settings. The four primary areas of interaction, environment, supervision, and curriculum are the emphasis of the ECERS, which asserts its validity and reliability as an efficient tool for assessing quality and development and, at the same time, acknowledging that observers with roughly four hours of training, Munton et al. (1997) report that the study's dependability is sufficient and that the ECERS is a valuable research device for studying aspects of early years quality provision. Though this research needs to be updated, more recent studies by Brunsek et al. (2017) show that quality assurance instruments like the ECERS frequently strongly emphasise a single component of education and care settings, leading to a limited evaluation of quality service. For instance, the learning environment is the primary emphasis of the ECERS; children's ideas and perspectives regarding the quality of the provision they are </w:t>
      </w:r>
      <w:r w:rsidR="00E83327" w:rsidRPr="004569D9">
        <w:rPr>
          <w:rFonts w:cs="Calibri"/>
        </w:rPr>
        <w:t>receiving,</w:t>
      </w:r>
      <w:r w:rsidRPr="004569D9">
        <w:rPr>
          <w:rFonts w:cs="Calibri"/>
        </w:rPr>
        <w:t xml:space="preserve"> and the assessment score results are not considered. However, according to UNCRC article 12 (UNICEF, 1992), every child has the right to voice their thoughts and opinions and to have those thoughts and opinions considered seriously when it comes to any issues that may impact them. The Welsh Government (2009), Bilton (2010), Knight (2011), and White (2014) have all conducted additional research that highlights outdoor play areas' advantages and improved learning opportunities. The outdoor environment of early years settings should be emphasised and used more to encourage quality provision and skills for children. Encouraging children to participate in hands-on tasks that inspire their minds and familiarity with nature offers them curiosity when learning opportunities (Welsh Government, 2009).</w:t>
      </w:r>
    </w:p>
    <w:p w14:paraId="7BC575A2" w14:textId="77777777" w:rsidR="004569D9" w:rsidRPr="004569D9" w:rsidRDefault="004569D9" w:rsidP="00FE2536">
      <w:pPr>
        <w:spacing w:line="360" w:lineRule="auto"/>
        <w:rPr>
          <w:rFonts w:cs="Calibri"/>
        </w:rPr>
      </w:pPr>
    </w:p>
    <w:p w14:paraId="613EC428" w14:textId="77777777" w:rsidR="004569D9" w:rsidRPr="004569D9" w:rsidRDefault="004569D9" w:rsidP="00FE2536">
      <w:pPr>
        <w:spacing w:line="360" w:lineRule="auto"/>
        <w:rPr>
          <w:rFonts w:cs="Calibri"/>
        </w:rPr>
      </w:pPr>
      <w:r w:rsidRPr="004569D9">
        <w:rPr>
          <w:rFonts w:cs="Calibri"/>
        </w:rPr>
        <w:t>According to research by Brunsek et al. (2017), environments with higher language and cognitive results had the most significant impact on learning outcomes, especially language growth, where teachers encouraged communication among students to foster critical thinking. Nevertheless, the report conceded that ECERS and ECERS-R do not consider more comprehensive developmental outcomes like social and emotional development. Brunsek et al. (2017) indicate that further research is necessary since early emotional wellbeing provides the groundwork for individuals, social, emotional, security, and understanding. Early emotional knowledge helps children learn how to control their emotions and grow in understanding of others (Njenje, 2017). The Welsh Government (2015) acknowledges the significance of personal and social development because learning is promoted in all domains.</w:t>
      </w:r>
    </w:p>
    <w:p w14:paraId="3FF8198F" w14:textId="77777777" w:rsidR="004569D9" w:rsidRPr="004569D9" w:rsidRDefault="004569D9" w:rsidP="00FE2536">
      <w:pPr>
        <w:spacing w:line="360" w:lineRule="auto"/>
        <w:rPr>
          <w:rFonts w:cs="Calibri"/>
        </w:rPr>
      </w:pPr>
    </w:p>
    <w:p w14:paraId="2BF9536C" w14:textId="77777777" w:rsidR="004569D9" w:rsidRPr="004569D9" w:rsidRDefault="004569D9" w:rsidP="00FE2536">
      <w:pPr>
        <w:spacing w:line="360" w:lineRule="auto"/>
        <w:rPr>
          <w:rFonts w:cs="Calibri"/>
        </w:rPr>
      </w:pPr>
      <w:r w:rsidRPr="004569D9">
        <w:rPr>
          <w:rFonts w:cs="Calibri"/>
        </w:rPr>
        <w:t>Research from the REPEY project (</w:t>
      </w:r>
      <w:proofErr w:type="spellStart"/>
      <w:r w:rsidRPr="004569D9">
        <w:rPr>
          <w:rFonts w:cs="Calibri"/>
        </w:rPr>
        <w:t>Melhuish</w:t>
      </w:r>
      <w:proofErr w:type="spellEnd"/>
      <w:r w:rsidRPr="004569D9">
        <w:rPr>
          <w:rFonts w:cs="Calibri"/>
        </w:rPr>
        <w:t>, 2015) reinforced the Sustained Shared Thinking and Emotional Wellbeing Scale (SSTEW), which was created as a quality assurance approach that emphasises the responsibility of the adult and the pedagogy within settings to enhance learning and development. The SSTEW scale encourages adults to connect with children and pay close attention to what they do, particularly their body language, to facilitate sustained shared thinking (</w:t>
      </w:r>
      <w:proofErr w:type="spellStart"/>
      <w:r w:rsidRPr="004569D9">
        <w:rPr>
          <w:rFonts w:cs="Calibri"/>
        </w:rPr>
        <w:t>Melhuish</w:t>
      </w:r>
      <w:proofErr w:type="spellEnd"/>
      <w:r w:rsidRPr="004569D9">
        <w:rPr>
          <w:rFonts w:cs="Calibri"/>
        </w:rPr>
        <w:t xml:space="preserve">, 2015). According to Siraj-Blatchford (2002) and </w:t>
      </w:r>
      <w:proofErr w:type="spellStart"/>
      <w:r w:rsidRPr="004569D9">
        <w:rPr>
          <w:rFonts w:cs="Calibri"/>
        </w:rPr>
        <w:t>Melhuish</w:t>
      </w:r>
      <w:proofErr w:type="spellEnd"/>
      <w:r w:rsidRPr="004569D9">
        <w:rPr>
          <w:rFonts w:cs="Calibri"/>
        </w:rPr>
        <w:t xml:space="preserve"> (2015), practitioners should show an honest awareness of the child and devote all their attention to them regarding their choices and inspiring them to elaborate. The SSTEW scale concerns children's emotional health, building healthy connections, and promoting communication skills through prolonged shared thought. The Social Service and Wellbeing (Wales) Act 2014 (Welsh Government, 2014), which emphasises the importance of wellbeing, supports this. The Joint Inspection Framework and the Quality-of-Care Review by CIW both emphasise the significance of wellbeing (Estyn, 2019). Fostering children's holistic wellbeing is essential for healthy growth and academic success (Lewis, 2016).</w:t>
      </w:r>
    </w:p>
    <w:p w14:paraId="17023339" w14:textId="77777777" w:rsidR="004569D9" w:rsidRPr="004569D9" w:rsidRDefault="004569D9" w:rsidP="00FE2536">
      <w:pPr>
        <w:spacing w:line="360" w:lineRule="auto"/>
        <w:rPr>
          <w:rFonts w:cs="Calibri"/>
        </w:rPr>
      </w:pPr>
    </w:p>
    <w:p w14:paraId="4A73D524" w14:textId="23A21696" w:rsidR="004569D9" w:rsidRPr="004569D9" w:rsidRDefault="004569D9" w:rsidP="00FE2536">
      <w:pPr>
        <w:spacing w:line="360" w:lineRule="auto"/>
        <w:rPr>
          <w:rFonts w:cs="Calibri"/>
        </w:rPr>
      </w:pPr>
      <w:r w:rsidRPr="004569D9">
        <w:rPr>
          <w:rFonts w:cs="Calibri"/>
        </w:rPr>
        <w:t xml:space="preserve">The SSTEW scale </w:t>
      </w:r>
      <w:r w:rsidR="00AD6351">
        <w:rPr>
          <w:rFonts w:cs="Calibri"/>
        </w:rPr>
        <w:t xml:space="preserve">mirrors the </w:t>
      </w:r>
      <w:r w:rsidRPr="004569D9">
        <w:rPr>
          <w:rFonts w:cs="Calibri"/>
        </w:rPr>
        <w:t>ECERS</w:t>
      </w:r>
      <w:r w:rsidR="00AD6351">
        <w:rPr>
          <w:rFonts w:cs="Calibri"/>
        </w:rPr>
        <w:t xml:space="preserve"> in its assessment framework, utilising a seven-point scale</w:t>
      </w:r>
      <w:r w:rsidRPr="004569D9">
        <w:rPr>
          <w:rFonts w:cs="Calibri"/>
        </w:rPr>
        <w:t>.</w:t>
      </w:r>
      <w:r w:rsidR="00AD6351">
        <w:rPr>
          <w:rFonts w:cs="Calibri"/>
        </w:rPr>
        <w:t xml:space="preserve"> Its central themes encompass t</w:t>
      </w:r>
      <w:r w:rsidRPr="004569D9">
        <w:rPr>
          <w:rFonts w:cs="Calibri"/>
        </w:rPr>
        <w:t xml:space="preserve">rust, </w:t>
      </w:r>
      <w:r w:rsidR="008C1701" w:rsidRPr="004569D9">
        <w:rPr>
          <w:rFonts w:cs="Calibri"/>
        </w:rPr>
        <w:t>confidence,</w:t>
      </w:r>
      <w:r w:rsidRPr="004569D9">
        <w:rPr>
          <w:rFonts w:cs="Calibri"/>
        </w:rPr>
        <w:t xml:space="preserve"> and independence, </w:t>
      </w:r>
      <w:r w:rsidR="00AD6351">
        <w:rPr>
          <w:rFonts w:cs="Calibri"/>
        </w:rPr>
        <w:t xml:space="preserve">along with </w:t>
      </w:r>
      <w:r w:rsidRPr="004569D9">
        <w:rPr>
          <w:rFonts w:cs="Calibri"/>
        </w:rPr>
        <w:t xml:space="preserve">social and emotional wellbeing, supporting language and communication, </w:t>
      </w:r>
      <w:r w:rsidR="00AD6351">
        <w:rPr>
          <w:rFonts w:cs="Calibri"/>
        </w:rPr>
        <w:t xml:space="preserve">and </w:t>
      </w:r>
      <w:r w:rsidR="00AD6351">
        <w:rPr>
          <w:rFonts w:cs="Calibri"/>
        </w:rPr>
        <w:lastRenderedPageBreak/>
        <w:t xml:space="preserve">critical thinking encouragement </w:t>
      </w:r>
      <w:r w:rsidRPr="004569D9">
        <w:rPr>
          <w:rFonts w:cs="Calibri"/>
        </w:rPr>
        <w:t xml:space="preserve">(Siraj, 2015). </w:t>
      </w:r>
      <w:r w:rsidR="00297551">
        <w:rPr>
          <w:rFonts w:cs="Calibri"/>
        </w:rPr>
        <w:t>However, a</w:t>
      </w:r>
      <w:r w:rsidRPr="004569D9">
        <w:rPr>
          <w:rFonts w:cs="Calibri"/>
        </w:rPr>
        <w:t xml:space="preserve">nalysis of brief encounters can </w:t>
      </w:r>
      <w:r w:rsidR="00297551">
        <w:rPr>
          <w:rFonts w:cs="Calibri"/>
        </w:rPr>
        <w:t>pose</w:t>
      </w:r>
      <w:r w:rsidRPr="004569D9">
        <w:rPr>
          <w:rFonts w:cs="Calibri"/>
        </w:rPr>
        <w:t xml:space="preserve"> challeng</w:t>
      </w:r>
      <w:r w:rsidR="00297551">
        <w:rPr>
          <w:rFonts w:cs="Calibri"/>
        </w:rPr>
        <w:t xml:space="preserve">es </w:t>
      </w:r>
      <w:r w:rsidRPr="004569D9">
        <w:rPr>
          <w:rFonts w:cs="Calibri"/>
        </w:rPr>
        <w:t>and</w:t>
      </w:r>
      <w:r w:rsidR="00297551">
        <w:rPr>
          <w:rFonts w:cs="Calibri"/>
        </w:rPr>
        <w:t xml:space="preserve"> offering only a partial view of overall quality</w:t>
      </w:r>
      <w:r w:rsidRPr="004569D9">
        <w:rPr>
          <w:rFonts w:cs="Calibri"/>
        </w:rPr>
        <w:t xml:space="preserve">, much like the ECERS scale. This limitation was identified concerning the ECERS scale since observations are brief, </w:t>
      </w:r>
      <w:r w:rsidR="00297551">
        <w:rPr>
          <w:rFonts w:cs="Calibri"/>
        </w:rPr>
        <w:t xml:space="preserve">typically </w:t>
      </w:r>
      <w:r w:rsidRPr="004569D9">
        <w:rPr>
          <w:rFonts w:cs="Calibri"/>
        </w:rPr>
        <w:t>spanning two hours for the entirety of the setting (Munton et al., 1997).</w:t>
      </w:r>
    </w:p>
    <w:p w14:paraId="58C4B233" w14:textId="77777777" w:rsidR="004569D9" w:rsidRPr="004569D9" w:rsidRDefault="004569D9" w:rsidP="00FE2536">
      <w:pPr>
        <w:spacing w:line="360" w:lineRule="auto"/>
        <w:rPr>
          <w:rFonts w:cs="Calibri"/>
        </w:rPr>
      </w:pPr>
    </w:p>
    <w:p w14:paraId="0CF52C7E" w14:textId="77777777" w:rsidR="004569D9" w:rsidRPr="004569D9" w:rsidRDefault="004569D9" w:rsidP="00FE2536">
      <w:pPr>
        <w:spacing w:line="360" w:lineRule="auto"/>
        <w:rPr>
          <w:rFonts w:cs="Calibri"/>
        </w:rPr>
      </w:pPr>
      <w:r w:rsidRPr="004569D9">
        <w:rPr>
          <w:rFonts w:cs="Calibri"/>
        </w:rPr>
        <w:t xml:space="preserve">The Foundation Phase can be connected to parts of the five sections, especially the areas of learning related to language, literacy, and communication skills, and the development of one's social, personal, and wellbeing. This shows that the SSTEW scale helps guarantee quality service concerning academic outcomes and supporting curriculum aims. The seven main objectives of Implementing Children's Rights (Welsh Government, 2015), which are integrated during the Foundation Phase, are likewise supported by the five sections. For example, to improve the standard of early childhood education and care and provide children with the best possible start in life and support for their future development, the SSTEW scale is a quality assurance tool (Welsh Government, 2015). Incorporating paragraphs 12, 13, and 14 of the UNCRC (UNICEF, 1992), the Welsh Government's primary objectives also mandate that children be listened to and treated respectfully. This is emphasised in the SSTEW scale and the efficient use of continuous shared thinking. Lastly, the main objectives emphasise that children should not be negatively impacted by poverty and should have access to various learning and educational opportunities (Welsh Government, 2015). According to West et al. (2010), high-quality early childhood education can help parents from multiple backgrounds and lessen socioeconomic disparities. Nutbrown (2012) further reveals that </w:t>
      </w:r>
      <w:proofErr w:type="gramStart"/>
      <w:r w:rsidRPr="004569D9">
        <w:rPr>
          <w:rFonts w:cs="Calibri"/>
        </w:rPr>
        <w:t>economically disadvantaged</w:t>
      </w:r>
      <w:proofErr w:type="gramEnd"/>
      <w:r w:rsidRPr="004569D9">
        <w:rPr>
          <w:rFonts w:cs="Calibri"/>
        </w:rPr>
        <w:t xml:space="preserve"> and non-disadvantaged children can benefit from and connect with high-quality early childhood programmes. Consequently, the SSTEW scale can decrease the gap between economic disparities by encouraging changes and enhancing quality within settings.</w:t>
      </w:r>
    </w:p>
    <w:p w14:paraId="34B888B5" w14:textId="77777777" w:rsidR="004569D9" w:rsidRPr="004569D9" w:rsidRDefault="004569D9" w:rsidP="00FE2536">
      <w:pPr>
        <w:spacing w:line="360" w:lineRule="auto"/>
        <w:rPr>
          <w:rFonts w:cs="Calibri"/>
        </w:rPr>
      </w:pPr>
    </w:p>
    <w:p w14:paraId="266164AB" w14:textId="170615BD" w:rsidR="004569D9" w:rsidRPr="004569D9" w:rsidRDefault="004569D9" w:rsidP="00FE2536">
      <w:pPr>
        <w:spacing w:line="360" w:lineRule="auto"/>
        <w:rPr>
          <w:rFonts w:cs="Calibri"/>
        </w:rPr>
      </w:pPr>
      <w:r w:rsidRPr="004569D9">
        <w:rPr>
          <w:rFonts w:cs="Calibri"/>
        </w:rPr>
        <w:t xml:space="preserve">Staff members must be seen connecting with and getting to know each child individually and encouraging children's inquisitiveness and questioning for the setting to receive high marks on the SSTEW scale (Howard et al., 2018). Additionally, it is vital to watch </w:t>
      </w:r>
      <w:r w:rsidR="00B4067C">
        <w:rPr>
          <w:rFonts w:cs="Calibri"/>
        </w:rPr>
        <w:t>children</w:t>
      </w:r>
      <w:r w:rsidRPr="004569D9">
        <w:rPr>
          <w:rFonts w:cs="Calibri"/>
        </w:rPr>
        <w:t xml:space="preserve"> participating in developmentally appropriate activities that support each child's unique needs through various learning tactics, such as taking risks and having </w:t>
      </w:r>
      <w:r w:rsidRPr="004569D9">
        <w:rPr>
          <w:rFonts w:cs="Calibri"/>
        </w:rPr>
        <w:lastRenderedPageBreak/>
        <w:t>conversations with professionals (Howard et al., 2018). Similarly, standard 6 of the National Minimum Standards (Welsh Government, 2016, p. 22) and the SSTEW scale acknowledge the value of parent partnerships in fostering high-quality home connections, leading to steady learning between settings and home settings (Kingston &amp; Siraj, 2017). The SSTEW scale was created to bridge the gap between research and practice, enhance comprehension of quality interactions, and clarify ideas related to sustained shared thinking (Howard et al., 2018). However, Howard et al. (2018) indicate that more research is necessary to examine the validity of the SSTEW scale because it is a relatively recent addition to the quality assurance measurement toolkit.</w:t>
      </w:r>
    </w:p>
    <w:p w14:paraId="015FB098" w14:textId="77777777" w:rsidR="004569D9" w:rsidRPr="004569D9" w:rsidRDefault="004569D9" w:rsidP="00FE2536">
      <w:pPr>
        <w:spacing w:line="360" w:lineRule="auto"/>
        <w:rPr>
          <w:rFonts w:cs="Calibri"/>
        </w:rPr>
      </w:pPr>
    </w:p>
    <w:p w14:paraId="4F065ABC" w14:textId="32D83A0B" w:rsidR="004569D9" w:rsidRPr="004569D9" w:rsidRDefault="004569D9" w:rsidP="00FE2536">
      <w:pPr>
        <w:spacing w:line="360" w:lineRule="auto"/>
        <w:rPr>
          <w:rFonts w:cs="Calibri"/>
        </w:rPr>
      </w:pPr>
      <w:proofErr w:type="spellStart"/>
      <w:r w:rsidRPr="004569D9">
        <w:rPr>
          <w:rFonts w:cs="Calibri"/>
        </w:rPr>
        <w:t>Melhuish</w:t>
      </w:r>
      <w:proofErr w:type="spellEnd"/>
      <w:r w:rsidRPr="004569D9">
        <w:rPr>
          <w:rFonts w:cs="Calibri"/>
        </w:rPr>
        <w:t xml:space="preserve"> (2015) acknowledges that certain practitioners might need to be equipped to handle all the SSTEW scale's sections, such as areas which deal with critical thinking and learning assessment. Consequently, Siraj-Blatchford et al. (2002) propose that qualified teachers should be part of the staff of early years settings and that all personnel working in the early years should have recognised early years qualifications. Similarly, </w:t>
      </w:r>
      <w:proofErr w:type="spellStart"/>
      <w:r w:rsidRPr="004569D9">
        <w:rPr>
          <w:rFonts w:cs="Calibri"/>
        </w:rPr>
        <w:t>Melhuish</w:t>
      </w:r>
      <w:proofErr w:type="spellEnd"/>
      <w:r w:rsidRPr="004569D9">
        <w:rPr>
          <w:rFonts w:cs="Calibri"/>
        </w:rPr>
        <w:t xml:space="preserve"> (2015) emphasises that a professional with an adequate and thorough understanding and comprehension of child development and suitable practice must utilise the SSTEW scale. Nutbrown (2012) proposes that employees with advanced degrees who have achieved high qualifications and have a strong understanding of children's development and welfare will improve the </w:t>
      </w:r>
      <w:r w:rsidR="003D5784" w:rsidRPr="004569D9">
        <w:rPr>
          <w:rFonts w:cs="Calibri"/>
        </w:rPr>
        <w:t>quality</w:t>
      </w:r>
      <w:r w:rsidRPr="004569D9">
        <w:rPr>
          <w:rFonts w:cs="Calibri"/>
        </w:rPr>
        <w:t xml:space="preserve"> of environments. The author suggests that early childhood specialists have the most significant influence on learning and developmental results. Standard 13.4 (Welsh Government, 2016, p. 35) mandates that all personnel operating in early childhood settings possess the necessary training and experience, with a minimum of 80% of staff members possessing a level two or higher early childhood certificate. The Nutbrown Review (2012), on the other hand, contends ten that highly qualified personnel are essential to high-quality delivery and recommends that all personnel possess at least level three qualifications. Nutbrown (2012) argues that the existing qualification system needs to be changed because it does not provide practitioners with comprehensive abilities but needs high-quality childcare.</w:t>
      </w:r>
    </w:p>
    <w:p w14:paraId="41D3BBE2" w14:textId="77777777" w:rsidR="004569D9" w:rsidRPr="004569D9" w:rsidRDefault="004569D9" w:rsidP="00FE2536">
      <w:pPr>
        <w:spacing w:line="360" w:lineRule="auto"/>
        <w:rPr>
          <w:rFonts w:cs="Calibri"/>
        </w:rPr>
      </w:pPr>
    </w:p>
    <w:p w14:paraId="7C0B1448" w14:textId="77777777" w:rsidR="007C1D0B" w:rsidRPr="00E75A7E" w:rsidRDefault="007C1D0B" w:rsidP="007C1D0B">
      <w:pPr>
        <w:spacing w:line="360" w:lineRule="auto"/>
        <w:rPr>
          <w:rFonts w:cs="Calibri"/>
        </w:rPr>
      </w:pPr>
      <w:r w:rsidRPr="004569D9">
        <w:rPr>
          <w:rFonts w:cs="Calibri"/>
        </w:rPr>
        <w:lastRenderedPageBreak/>
        <w:t>Overall, receiving high-quality care is crucial for the development of social skills, emotional stability, academic success, and the freedom to play and explore (Welsh Government, 2014). Children have the right to high-quality recreational and educational opportunities that will allow them to grow and succeed (Welsh Government, 2015). Furthermore, despite certain obstacles, quality assurance initiatives like the SSTEW and ECERS scales successfully improve children's positive outcomes and high-quality experiences.</w:t>
      </w:r>
    </w:p>
    <w:p w14:paraId="7D011FB1" w14:textId="77777777" w:rsidR="004569D9" w:rsidRDefault="004569D9" w:rsidP="00E75A7E">
      <w:pPr>
        <w:rPr>
          <w:rFonts w:cs="Calibri"/>
        </w:rPr>
      </w:pPr>
    </w:p>
    <w:p w14:paraId="6EADD4DD" w14:textId="4B4BB3E8" w:rsidR="002C2ECC" w:rsidRPr="00E75A7E" w:rsidRDefault="002C2ECC" w:rsidP="00E75A7E">
      <w:pPr>
        <w:rPr>
          <w:rFonts w:cs="Calibri"/>
        </w:rPr>
      </w:pPr>
      <w:r w:rsidRPr="00E75A7E">
        <w:rPr>
          <w:rFonts w:cs="Calibri"/>
        </w:rPr>
        <w:t>Word count: 2,</w:t>
      </w:r>
      <w:r w:rsidR="004569D9">
        <w:rPr>
          <w:rFonts w:cs="Calibri"/>
        </w:rPr>
        <w:t>1</w:t>
      </w:r>
      <w:r w:rsidR="008C1701">
        <w:rPr>
          <w:rFonts w:cs="Calibri"/>
        </w:rPr>
        <w:t>25</w:t>
      </w:r>
    </w:p>
    <w:p w14:paraId="43E5FD34" w14:textId="77777777" w:rsidR="0027486F" w:rsidRDefault="0027486F" w:rsidP="00D11D22">
      <w:pPr>
        <w:rPr>
          <w:rFonts w:ascii="Kohinoor Devanagari" w:hAnsi="Kohinoor Devanagari" w:cs="Kohinoor Devanagari"/>
        </w:rPr>
      </w:pPr>
    </w:p>
    <w:p w14:paraId="5EEA4149" w14:textId="7946E00F" w:rsidR="0027486F" w:rsidRDefault="0027486F" w:rsidP="00D11D22">
      <w:pPr>
        <w:rPr>
          <w:rFonts w:ascii="Kohinoor Devanagari" w:hAnsi="Kohinoor Devanagari" w:cs="Kohinoor Devanagari"/>
          <w:b/>
          <w:bCs/>
          <w:u w:val="single"/>
        </w:rPr>
      </w:pPr>
      <w:r w:rsidRPr="0027486F">
        <w:rPr>
          <w:rFonts w:ascii="Kohinoor Devanagari" w:hAnsi="Kohinoor Devanagari" w:cs="Kohinoor Devanagari"/>
          <w:b/>
          <w:bCs/>
          <w:u w:val="single"/>
        </w:rPr>
        <w:t xml:space="preserve">References </w:t>
      </w:r>
    </w:p>
    <w:p w14:paraId="594184AA" w14:textId="77777777" w:rsidR="0027486F" w:rsidRPr="00FE2536" w:rsidRDefault="0027486F" w:rsidP="00D11D22">
      <w:pPr>
        <w:rPr>
          <w:rFonts w:ascii="Times New Roman" w:hAnsi="Times New Roman" w:cs="Times New Roman"/>
          <w:b/>
          <w:bCs/>
          <w:u w:val="single"/>
        </w:rPr>
      </w:pPr>
    </w:p>
    <w:p w14:paraId="63888B80" w14:textId="2FC2B737" w:rsidR="00C47B67" w:rsidRPr="00FE2536" w:rsidRDefault="00C47B67" w:rsidP="00D11D22">
      <w:pPr>
        <w:rPr>
          <w:rFonts w:ascii="Times New Roman" w:hAnsi="Times New Roman" w:cs="Times New Roman"/>
        </w:rPr>
      </w:pPr>
      <w:r w:rsidRPr="00FE2536">
        <w:rPr>
          <w:rFonts w:ascii="Times New Roman" w:hAnsi="Times New Roman" w:cs="Times New Roman"/>
        </w:rPr>
        <w:t>Anders, Y. (2015) ‘Literature Review of Pedagogy’ http://www.oecd.org/officialdocuments/publicdisplaydocumentpdf/?cote=EDU/EDPC/ ECEC(2015)7&amp;doclanguage=</w:t>
      </w:r>
      <w:proofErr w:type="spellStart"/>
      <w:r w:rsidRPr="00FE2536">
        <w:rPr>
          <w:rFonts w:ascii="Times New Roman" w:hAnsi="Times New Roman" w:cs="Times New Roman"/>
        </w:rPr>
        <w:t>en</w:t>
      </w:r>
      <w:proofErr w:type="spellEnd"/>
      <w:r w:rsidRPr="00FE2536">
        <w:rPr>
          <w:rFonts w:ascii="Times New Roman" w:hAnsi="Times New Roman" w:cs="Times New Roman"/>
        </w:rPr>
        <w:t xml:space="preserve">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 </w:t>
      </w:r>
    </w:p>
    <w:p w14:paraId="637E46B8" w14:textId="77777777" w:rsidR="00C47B67" w:rsidRPr="00FE2536" w:rsidRDefault="00C47B67" w:rsidP="00D11D22">
      <w:pPr>
        <w:rPr>
          <w:rFonts w:ascii="Times New Roman" w:hAnsi="Times New Roman" w:cs="Times New Roman"/>
        </w:rPr>
      </w:pPr>
    </w:p>
    <w:p w14:paraId="5CD1F8BF" w14:textId="79EE0730" w:rsidR="00C47B67" w:rsidRPr="00FE2536" w:rsidRDefault="00C47B67" w:rsidP="00D11D22">
      <w:pPr>
        <w:rPr>
          <w:rFonts w:ascii="Times New Roman" w:hAnsi="Times New Roman" w:cs="Times New Roman"/>
        </w:rPr>
      </w:pPr>
      <w:r w:rsidRPr="00FE2536">
        <w:rPr>
          <w:rFonts w:ascii="Times New Roman" w:hAnsi="Times New Roman" w:cs="Times New Roman"/>
        </w:rPr>
        <w:t>Bilton, H. (2010) Outdoor Learning in the Early Years: Management and Innovation. (3rd edition) Oxon: Routledge.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44061EBB" w14:textId="2D4B475F" w:rsidR="00DD4AA3" w:rsidRDefault="00DD4AA3" w:rsidP="00DD4AA3">
      <w:pPr>
        <w:pStyle w:val="NormalWeb"/>
        <w:ind w:left="567" w:hanging="567"/>
        <w:rPr>
          <w:color w:val="000000"/>
        </w:rPr>
      </w:pPr>
      <w:r>
        <w:rPr>
          <w:color w:val="000000"/>
        </w:rPr>
        <w:t>Campbell-Barr, V. and Leeson, C. 2016.</w:t>
      </w:r>
      <w:r>
        <w:rPr>
          <w:rStyle w:val="apple-converted-space"/>
          <w:rFonts w:eastAsiaTheme="majorEastAsia"/>
          <w:color w:val="000000"/>
        </w:rPr>
        <w:t> </w:t>
      </w:r>
      <w:r>
        <w:rPr>
          <w:i/>
          <w:iCs/>
          <w:color w:val="000000"/>
        </w:rPr>
        <w:t>Quality and leadership in the early years: Research,</w:t>
      </w:r>
      <w:r>
        <w:rPr>
          <w:i/>
          <w:iCs/>
          <w:color w:val="000000"/>
        </w:rPr>
        <w:t xml:space="preserve">   theory,</w:t>
      </w:r>
      <w:r>
        <w:rPr>
          <w:i/>
          <w:iCs/>
          <w:color w:val="000000"/>
        </w:rPr>
        <w:t xml:space="preserve"> and practice</w:t>
      </w:r>
      <w:r>
        <w:rPr>
          <w:color w:val="000000"/>
        </w:rPr>
        <w:t>. Los Angeles: Sage.</w:t>
      </w:r>
      <w:r>
        <w:rPr>
          <w:rStyle w:val="apple-converted-space"/>
          <w:rFonts w:eastAsiaTheme="majorEastAsia"/>
          <w:color w:val="000000"/>
        </w:rPr>
        <w:t> </w:t>
      </w:r>
      <w:r>
        <w:rPr>
          <w:rStyle w:val="apple-converted-space"/>
          <w:rFonts w:eastAsiaTheme="majorEastAsia"/>
          <w:color w:val="000000"/>
        </w:rPr>
        <w:t>(Accessed: 23</w:t>
      </w:r>
      <w:r w:rsidRPr="00DD4AA3">
        <w:rPr>
          <w:rStyle w:val="apple-converted-space"/>
          <w:rFonts w:eastAsiaTheme="majorEastAsia"/>
          <w:color w:val="000000"/>
          <w:vertAlign w:val="superscript"/>
        </w:rPr>
        <w:t>rd</w:t>
      </w:r>
      <w:r>
        <w:rPr>
          <w:rStyle w:val="apple-converted-space"/>
          <w:rFonts w:eastAsiaTheme="majorEastAsia"/>
          <w:color w:val="000000"/>
        </w:rPr>
        <w:t xml:space="preserve"> March 2024).</w:t>
      </w:r>
    </w:p>
    <w:p w14:paraId="4DD9FE7D" w14:textId="77777777" w:rsidR="00DD4AA3" w:rsidRDefault="00DD4AA3" w:rsidP="00D11D22">
      <w:pPr>
        <w:rPr>
          <w:rFonts w:ascii="Times New Roman" w:hAnsi="Times New Roman" w:cs="Times New Roman"/>
        </w:rPr>
      </w:pPr>
    </w:p>
    <w:p w14:paraId="486AB108" w14:textId="3F04E7FD" w:rsidR="00B211CA" w:rsidRPr="00FE2536" w:rsidRDefault="00B211CA" w:rsidP="00D11D22">
      <w:pPr>
        <w:rPr>
          <w:rFonts w:ascii="Times New Roman" w:hAnsi="Times New Roman" w:cs="Times New Roman"/>
        </w:rPr>
      </w:pPr>
      <w:r w:rsidRPr="00FE2536">
        <w:rPr>
          <w:rFonts w:ascii="Times New Roman" w:hAnsi="Times New Roman" w:cs="Times New Roman"/>
        </w:rPr>
        <w:t xml:space="preserve">Clifford, R., </w:t>
      </w:r>
      <w:proofErr w:type="spellStart"/>
      <w:r w:rsidRPr="00FE2536">
        <w:rPr>
          <w:rFonts w:ascii="Times New Roman" w:hAnsi="Times New Roman" w:cs="Times New Roman"/>
        </w:rPr>
        <w:t>Reszka</w:t>
      </w:r>
      <w:proofErr w:type="spellEnd"/>
      <w:r w:rsidRPr="00FE2536">
        <w:rPr>
          <w:rFonts w:ascii="Times New Roman" w:hAnsi="Times New Roman" w:cs="Times New Roman"/>
        </w:rPr>
        <w:t xml:space="preserve">, S. and Rossbach, H. (2010) ‘Reliability and Validity of The Early Childhood Environment Rating Scale’ </w:t>
      </w:r>
      <w:hyperlink r:id="rId7" w:history="1">
        <w:r w:rsidRPr="00FE2536">
          <w:rPr>
            <w:rStyle w:val="Hyperlink"/>
            <w:rFonts w:ascii="Times New Roman" w:hAnsi="Times New Roman" w:cs="Times New Roman"/>
          </w:rPr>
          <w:t>https://ers.fpg.unc.edu/sites/ers.fpg.unc.edu/files/ReliabilityEcers.pdf</w:t>
        </w:r>
      </w:hyperlink>
      <w:r w:rsidRPr="00FE2536">
        <w:rPr>
          <w:rFonts w:ascii="Times New Roman" w:hAnsi="Times New Roman" w:cs="Times New Roman"/>
        </w:rPr>
        <w:t xml:space="preserve">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w:t>
      </w:r>
      <w:r w:rsidRPr="00FE2536">
        <w:rPr>
          <w:rFonts w:ascii="Times New Roman" w:hAnsi="Times New Roman" w:cs="Times New Roman"/>
        </w:rPr>
        <w:t xml:space="preserve"> </w:t>
      </w:r>
    </w:p>
    <w:p w14:paraId="32DA18F1" w14:textId="77777777" w:rsidR="00B211CA" w:rsidRPr="00FE2536" w:rsidRDefault="00B211CA" w:rsidP="00D11D22">
      <w:pPr>
        <w:rPr>
          <w:rFonts w:ascii="Times New Roman" w:hAnsi="Times New Roman" w:cs="Times New Roman"/>
        </w:rPr>
      </w:pPr>
    </w:p>
    <w:p w14:paraId="1AE7007C" w14:textId="18E8591C" w:rsidR="0027486F" w:rsidRPr="00FE2536" w:rsidRDefault="00172DC6" w:rsidP="00D11D22">
      <w:pPr>
        <w:rPr>
          <w:rFonts w:ascii="Times New Roman" w:hAnsi="Times New Roman" w:cs="Times New Roman"/>
        </w:rPr>
      </w:pPr>
      <w:r w:rsidRPr="00FE2536">
        <w:rPr>
          <w:rFonts w:ascii="Times New Roman" w:hAnsi="Times New Roman" w:cs="Times New Roman"/>
        </w:rPr>
        <w:t>Cottle, M. and Alexander, E. (2012) ‘Quality in Early Years Settings: Government Research and Practitioner Perspectives’, British Educational Research Journal. Volume 38, Issue 4, pp635-654.(Accessed: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w:t>
      </w:r>
    </w:p>
    <w:p w14:paraId="791CB229" w14:textId="77777777" w:rsidR="00172DC6" w:rsidRPr="00FE2536" w:rsidRDefault="00172DC6" w:rsidP="00D11D22">
      <w:pPr>
        <w:rPr>
          <w:rFonts w:ascii="Times New Roman" w:hAnsi="Times New Roman" w:cs="Times New Roman"/>
        </w:rPr>
      </w:pPr>
    </w:p>
    <w:p w14:paraId="5D7A454E" w14:textId="3E62C07D" w:rsidR="00A916E7" w:rsidRPr="00FE2536" w:rsidRDefault="00A916E7" w:rsidP="00D11D22">
      <w:pPr>
        <w:rPr>
          <w:rFonts w:ascii="Times New Roman" w:hAnsi="Times New Roman" w:cs="Times New Roman"/>
        </w:rPr>
      </w:pPr>
      <w:proofErr w:type="spellStart"/>
      <w:r w:rsidRPr="00FE2536">
        <w:rPr>
          <w:rFonts w:ascii="Times New Roman" w:hAnsi="Times New Roman" w:cs="Times New Roman"/>
        </w:rPr>
        <w:t>Ecersuk</w:t>
      </w:r>
      <w:proofErr w:type="spellEnd"/>
      <w:r w:rsidRPr="00FE2536">
        <w:rPr>
          <w:rFonts w:ascii="Times New Roman" w:hAnsi="Times New Roman" w:cs="Times New Roman"/>
        </w:rPr>
        <w:t xml:space="preserve">. (no date) ‘The Environment Rating Scales’ </w:t>
      </w:r>
      <w:hyperlink r:id="rId8" w:history="1">
        <w:r w:rsidRPr="00FE2536">
          <w:rPr>
            <w:rStyle w:val="Hyperlink"/>
            <w:rFonts w:ascii="Times New Roman" w:hAnsi="Times New Roman" w:cs="Times New Roman"/>
          </w:rPr>
          <w:t>http://www.ecersuk.org/2.html</w:t>
        </w:r>
      </w:hyperlink>
      <w:r w:rsidRPr="00FE2536">
        <w:rPr>
          <w:rFonts w:ascii="Times New Roman" w:hAnsi="Times New Roman" w:cs="Times New Roman"/>
        </w:rPr>
        <w:t xml:space="preserve"> </w:t>
      </w:r>
    </w:p>
    <w:p w14:paraId="3D2B9780" w14:textId="1AC650DF" w:rsidR="00A916E7" w:rsidRPr="00FE2536" w:rsidRDefault="00A916E7" w:rsidP="00D11D22">
      <w:pPr>
        <w:rPr>
          <w:rFonts w:ascii="Times New Roman" w:hAnsi="Times New Roman" w:cs="Times New Roman"/>
        </w:rPr>
      </w:pPr>
      <w:r w:rsidRPr="00FE2536">
        <w:rPr>
          <w:rFonts w:ascii="Times New Roman" w:hAnsi="Times New Roman" w:cs="Times New Roman"/>
        </w:rPr>
        <w:t>(Accessed: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w:t>
      </w:r>
    </w:p>
    <w:p w14:paraId="74FC103B" w14:textId="77777777" w:rsidR="00A916E7" w:rsidRPr="00FE2536" w:rsidRDefault="00A916E7" w:rsidP="00D11D22">
      <w:pPr>
        <w:rPr>
          <w:rFonts w:ascii="Times New Roman" w:hAnsi="Times New Roman" w:cs="Times New Roman"/>
        </w:rPr>
      </w:pPr>
    </w:p>
    <w:p w14:paraId="0D6FBB50" w14:textId="3AC848AC" w:rsidR="00A916E7" w:rsidRPr="00FE2536" w:rsidRDefault="00A916E7" w:rsidP="00D11D22">
      <w:pPr>
        <w:rPr>
          <w:rFonts w:ascii="Times New Roman" w:hAnsi="Times New Roman" w:cs="Times New Roman"/>
        </w:rPr>
      </w:pPr>
      <w:r w:rsidRPr="00FE2536">
        <w:rPr>
          <w:rFonts w:ascii="Times New Roman" w:hAnsi="Times New Roman" w:cs="Times New Roman"/>
        </w:rPr>
        <w:t>ESTYN. (2019) ‘Guidance handbook for inspecting care and education in regulated non-school settings eligible for funding for part-time education’ https://www.estyn.gov.wales/sites/default/files/documents/Guidance%20handbook% 20for%20the%20inspection%20of%20nonmaintained%20nursery%20settings%20September%202018%20V1%20en.pdf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w:t>
      </w:r>
    </w:p>
    <w:p w14:paraId="3E538909" w14:textId="77777777" w:rsidR="00A916E7" w:rsidRPr="00FE2536" w:rsidRDefault="00A916E7" w:rsidP="00D11D22">
      <w:pPr>
        <w:rPr>
          <w:rFonts w:ascii="Times New Roman" w:hAnsi="Times New Roman" w:cs="Times New Roman"/>
        </w:rPr>
      </w:pPr>
    </w:p>
    <w:p w14:paraId="10CE76E2" w14:textId="54C21E2A" w:rsidR="006C7FD5" w:rsidRPr="00FE2536" w:rsidRDefault="006C7FD5" w:rsidP="00D11D22">
      <w:pPr>
        <w:rPr>
          <w:rFonts w:ascii="Times New Roman" w:hAnsi="Times New Roman" w:cs="Times New Roman"/>
        </w:rPr>
      </w:pPr>
      <w:r w:rsidRPr="00FE2536">
        <w:rPr>
          <w:rFonts w:ascii="Times New Roman" w:hAnsi="Times New Roman" w:cs="Times New Roman"/>
        </w:rPr>
        <w:t xml:space="preserve">Howard, S., Siraj, I., </w:t>
      </w:r>
      <w:proofErr w:type="spellStart"/>
      <w:r w:rsidRPr="00FE2536">
        <w:rPr>
          <w:rFonts w:ascii="Times New Roman" w:hAnsi="Times New Roman" w:cs="Times New Roman"/>
        </w:rPr>
        <w:t>Melhuish</w:t>
      </w:r>
      <w:proofErr w:type="spellEnd"/>
      <w:r w:rsidRPr="00FE2536">
        <w:rPr>
          <w:rFonts w:ascii="Times New Roman" w:hAnsi="Times New Roman" w:cs="Times New Roman"/>
        </w:rPr>
        <w:t xml:space="preserve">, E., Kingston, D., </w:t>
      </w:r>
      <w:proofErr w:type="spellStart"/>
      <w:r w:rsidRPr="00FE2536">
        <w:rPr>
          <w:rFonts w:ascii="Times New Roman" w:hAnsi="Times New Roman" w:cs="Times New Roman"/>
        </w:rPr>
        <w:t>Neilsen</w:t>
      </w:r>
      <w:proofErr w:type="spellEnd"/>
      <w:r w:rsidRPr="00FE2536">
        <w:rPr>
          <w:rFonts w:ascii="Times New Roman" w:hAnsi="Times New Roman" w:cs="Times New Roman"/>
        </w:rPr>
        <w:t xml:space="preserve">-Hewett, C., </w:t>
      </w:r>
      <w:proofErr w:type="spellStart"/>
      <w:r w:rsidRPr="00FE2536">
        <w:rPr>
          <w:rFonts w:ascii="Times New Roman" w:hAnsi="Times New Roman" w:cs="Times New Roman"/>
        </w:rPr>
        <w:t>Rosnay</w:t>
      </w:r>
      <w:proofErr w:type="spellEnd"/>
      <w:r w:rsidRPr="00FE2536">
        <w:rPr>
          <w:rFonts w:ascii="Times New Roman" w:hAnsi="Times New Roman" w:cs="Times New Roman"/>
        </w:rPr>
        <w:t xml:space="preserve">, M., </w:t>
      </w:r>
      <w:proofErr w:type="spellStart"/>
      <w:r w:rsidRPr="00FE2536">
        <w:rPr>
          <w:rFonts w:ascii="Times New Roman" w:hAnsi="Times New Roman" w:cs="Times New Roman"/>
        </w:rPr>
        <w:t>Duursma</w:t>
      </w:r>
      <w:proofErr w:type="spellEnd"/>
      <w:r w:rsidRPr="00FE2536">
        <w:rPr>
          <w:rFonts w:ascii="Times New Roman" w:hAnsi="Times New Roman" w:cs="Times New Roman"/>
        </w:rPr>
        <w:t xml:space="preserve">, E. and </w:t>
      </w:r>
      <w:proofErr w:type="spellStart"/>
      <w:r w:rsidRPr="00FE2536">
        <w:rPr>
          <w:rFonts w:ascii="Times New Roman" w:hAnsi="Times New Roman" w:cs="Times New Roman"/>
        </w:rPr>
        <w:t>Luu</w:t>
      </w:r>
      <w:proofErr w:type="spellEnd"/>
      <w:r w:rsidRPr="00FE2536">
        <w:rPr>
          <w:rFonts w:ascii="Times New Roman" w:hAnsi="Times New Roman" w:cs="Times New Roman"/>
        </w:rPr>
        <w:t>, B. (2018) ‘Measuring Interactional Quality in Pre-School Settings: Introduction and Validation of The Sustained Shared Thinking and Emotional Wellbeing (SSTEW) Scale’, Early Childhood Development and Care. Pp 1-14.</w:t>
      </w:r>
      <w:r w:rsidR="009155E1" w:rsidRPr="00FE2536">
        <w:rPr>
          <w:rFonts w:ascii="Times New Roman" w:hAnsi="Times New Roman" w:cs="Times New Roman"/>
        </w:rPr>
        <w:t xml:space="preserve"> (Accessed: 27</w:t>
      </w:r>
      <w:r w:rsidR="009155E1" w:rsidRPr="00FE2536">
        <w:rPr>
          <w:rFonts w:ascii="Times New Roman" w:hAnsi="Times New Roman" w:cs="Times New Roman"/>
          <w:vertAlign w:val="superscript"/>
        </w:rPr>
        <w:t>th</w:t>
      </w:r>
      <w:r w:rsidR="009155E1" w:rsidRPr="00FE2536">
        <w:rPr>
          <w:rFonts w:ascii="Times New Roman" w:hAnsi="Times New Roman" w:cs="Times New Roman"/>
        </w:rPr>
        <w:t xml:space="preserve"> March 2024)</w:t>
      </w:r>
      <w:r w:rsidR="009509E0" w:rsidRPr="00FE2536">
        <w:rPr>
          <w:rFonts w:ascii="Times New Roman" w:hAnsi="Times New Roman" w:cs="Times New Roman"/>
        </w:rPr>
        <w:t xml:space="preserve">. </w:t>
      </w:r>
    </w:p>
    <w:p w14:paraId="10E2CEE0" w14:textId="77777777" w:rsidR="006C7FD5" w:rsidRPr="00FE2536" w:rsidRDefault="006C7FD5" w:rsidP="00D11D22">
      <w:pPr>
        <w:rPr>
          <w:rFonts w:ascii="Times New Roman" w:hAnsi="Times New Roman" w:cs="Times New Roman"/>
        </w:rPr>
      </w:pPr>
    </w:p>
    <w:p w14:paraId="23F65682" w14:textId="515789A9" w:rsidR="009155E1" w:rsidRPr="00FE2536" w:rsidRDefault="009155E1" w:rsidP="00D11D22">
      <w:pPr>
        <w:rPr>
          <w:rFonts w:ascii="Times New Roman" w:hAnsi="Times New Roman" w:cs="Times New Roman"/>
        </w:rPr>
      </w:pPr>
      <w:r w:rsidRPr="00FE2536">
        <w:rPr>
          <w:rFonts w:ascii="Times New Roman" w:hAnsi="Times New Roman" w:cs="Times New Roman"/>
        </w:rPr>
        <w:t>Ishimine, K. (2011) ‘Quality in Early Childhood Education and Care: A Case Study of Disadvantage’, Australian Educational Researcher. Volume 38, Issue 3, pp257-274.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w:t>
      </w:r>
    </w:p>
    <w:p w14:paraId="05738EF0" w14:textId="77777777" w:rsidR="009155E1" w:rsidRPr="00FE2536" w:rsidRDefault="009155E1" w:rsidP="00D11D22">
      <w:pPr>
        <w:rPr>
          <w:rFonts w:ascii="Times New Roman" w:hAnsi="Times New Roman" w:cs="Times New Roman"/>
        </w:rPr>
      </w:pPr>
    </w:p>
    <w:p w14:paraId="66B0C16A" w14:textId="77777777" w:rsidR="0040075B" w:rsidRPr="00FE2536" w:rsidRDefault="009155E1" w:rsidP="00D11D22">
      <w:pPr>
        <w:rPr>
          <w:rFonts w:ascii="Times New Roman" w:hAnsi="Times New Roman" w:cs="Times New Roman"/>
        </w:rPr>
      </w:pPr>
      <w:r w:rsidRPr="00FE2536">
        <w:rPr>
          <w:rFonts w:ascii="Times New Roman" w:hAnsi="Times New Roman" w:cs="Times New Roman"/>
        </w:rPr>
        <w:t xml:space="preserve">Kingston, D. and Siraj, I. (2017) ‘Supporting the Implementation of The Foundation Phase Through Effective Professional Development’, Wales Journal of Education. </w:t>
      </w:r>
    </w:p>
    <w:p w14:paraId="201D7137" w14:textId="77777777" w:rsidR="000D33DA" w:rsidRPr="00FE2536" w:rsidRDefault="000D33DA" w:rsidP="00D11D22">
      <w:pPr>
        <w:rPr>
          <w:rFonts w:ascii="Times New Roman" w:hAnsi="Times New Roman" w:cs="Times New Roman"/>
        </w:rPr>
      </w:pPr>
      <w:r w:rsidRPr="00FE2536">
        <w:rPr>
          <w:rFonts w:ascii="Times New Roman" w:hAnsi="Times New Roman" w:cs="Times New Roman"/>
        </w:rPr>
        <w:t xml:space="preserve">Lewis, A. (2016) ‘Well-Being and the Early Years Curriculum: A Case Study of The Foundation Phase in Wales’ 12 </w:t>
      </w:r>
      <w:hyperlink r:id="rId9" w:history="1">
        <w:r w:rsidRPr="00FE2536">
          <w:rPr>
            <w:rStyle w:val="Hyperlink"/>
            <w:rFonts w:ascii="Times New Roman" w:hAnsi="Times New Roman" w:cs="Times New Roman"/>
          </w:rPr>
          <w:t>https://orca.cf.ac.uk/98708/1/thesis_Alyson_Lewis_March2017%20FINAL.pdf</w:t>
        </w:r>
      </w:hyperlink>
      <w:r w:rsidRPr="00FE2536">
        <w:rPr>
          <w:rFonts w:ascii="Times New Roman" w:hAnsi="Times New Roman" w:cs="Times New Roman"/>
        </w:rPr>
        <w:t xml:space="preserve"> </w:t>
      </w:r>
    </w:p>
    <w:p w14:paraId="6ECC59A3" w14:textId="36250184" w:rsidR="000D33DA" w:rsidRPr="00FE2536" w:rsidRDefault="000D33DA" w:rsidP="00D11D22">
      <w:pPr>
        <w:rPr>
          <w:rFonts w:ascii="Times New Roman" w:hAnsi="Times New Roman" w:cs="Times New Roman"/>
        </w:rPr>
      </w:pPr>
      <w:r w:rsidRPr="00FE2536">
        <w:rPr>
          <w:rFonts w:ascii="Times New Roman" w:hAnsi="Times New Roman" w:cs="Times New Roman"/>
        </w:rPr>
        <w:t>(Accessed: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45A07BEF" w14:textId="77777777" w:rsidR="000D33DA" w:rsidRPr="00FE2536" w:rsidRDefault="000D33DA" w:rsidP="00D11D22">
      <w:pPr>
        <w:rPr>
          <w:rFonts w:ascii="Times New Roman" w:hAnsi="Times New Roman" w:cs="Times New Roman"/>
        </w:rPr>
      </w:pPr>
    </w:p>
    <w:p w14:paraId="5C377DA2" w14:textId="4577FE98" w:rsidR="0040075B" w:rsidRPr="00FE2536" w:rsidRDefault="0040075B" w:rsidP="00D11D22">
      <w:pPr>
        <w:rPr>
          <w:rFonts w:ascii="Times New Roman" w:hAnsi="Times New Roman" w:cs="Times New Roman"/>
        </w:rPr>
      </w:pPr>
      <w:r w:rsidRPr="00FE2536">
        <w:rPr>
          <w:rFonts w:ascii="Times New Roman" w:hAnsi="Times New Roman" w:cs="Times New Roman"/>
        </w:rPr>
        <w:t xml:space="preserve">Siraj-Blatchford, I., Sylva, K., </w:t>
      </w:r>
      <w:proofErr w:type="spellStart"/>
      <w:r w:rsidRPr="00FE2536">
        <w:rPr>
          <w:rFonts w:ascii="Times New Roman" w:hAnsi="Times New Roman" w:cs="Times New Roman"/>
        </w:rPr>
        <w:t>Muttock</w:t>
      </w:r>
      <w:proofErr w:type="spellEnd"/>
      <w:r w:rsidRPr="00FE2536">
        <w:rPr>
          <w:rFonts w:ascii="Times New Roman" w:hAnsi="Times New Roman" w:cs="Times New Roman"/>
        </w:rPr>
        <w:t xml:space="preserve">, S., </w:t>
      </w:r>
      <w:proofErr w:type="spellStart"/>
      <w:r w:rsidRPr="00FE2536">
        <w:rPr>
          <w:rFonts w:ascii="Times New Roman" w:hAnsi="Times New Roman" w:cs="Times New Roman"/>
        </w:rPr>
        <w:t>Gilden</w:t>
      </w:r>
      <w:proofErr w:type="spellEnd"/>
      <w:r w:rsidRPr="00FE2536">
        <w:rPr>
          <w:rFonts w:ascii="Times New Roman" w:hAnsi="Times New Roman" w:cs="Times New Roman"/>
        </w:rPr>
        <w:t xml:space="preserve">, R. and Bell, D. (2002) ‘Researching Effective Pedagogy in the Early Years.’ </w:t>
      </w:r>
      <w:hyperlink r:id="rId10" w:history="1">
        <w:r w:rsidRPr="00FE2536">
          <w:rPr>
            <w:rStyle w:val="Hyperlink"/>
            <w:rFonts w:ascii="Times New Roman" w:hAnsi="Times New Roman" w:cs="Times New Roman"/>
          </w:rPr>
          <w:t>https://dera.ioe.ac.uk/4650/1/RR356.pdf</w:t>
        </w:r>
      </w:hyperlink>
      <w:r w:rsidRPr="00FE2536">
        <w:rPr>
          <w:rFonts w:ascii="Times New Roman" w:hAnsi="Times New Roman" w:cs="Times New Roman"/>
        </w:rPr>
        <w:t xml:space="preserve"> (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 </w:t>
      </w:r>
    </w:p>
    <w:p w14:paraId="254CB37C" w14:textId="77777777" w:rsidR="0040075B" w:rsidRPr="00FE2536" w:rsidRDefault="0040075B" w:rsidP="00D11D22">
      <w:pPr>
        <w:rPr>
          <w:rFonts w:ascii="Times New Roman" w:hAnsi="Times New Roman" w:cs="Times New Roman"/>
        </w:rPr>
      </w:pPr>
    </w:p>
    <w:p w14:paraId="7D2C3317" w14:textId="0FD4C773" w:rsidR="00C47B67" w:rsidRPr="00FE2536" w:rsidRDefault="00C47B67" w:rsidP="00D11D22">
      <w:pPr>
        <w:rPr>
          <w:rFonts w:ascii="Times New Roman" w:hAnsi="Times New Roman" w:cs="Times New Roman"/>
        </w:rPr>
      </w:pPr>
      <w:r w:rsidRPr="00FE2536">
        <w:rPr>
          <w:rFonts w:ascii="Times New Roman" w:hAnsi="Times New Roman" w:cs="Times New Roman"/>
        </w:rPr>
        <w:t xml:space="preserve">Siraj, I., Kingston, D. and </w:t>
      </w:r>
      <w:proofErr w:type="spellStart"/>
      <w:r w:rsidRPr="00FE2536">
        <w:rPr>
          <w:rFonts w:ascii="Times New Roman" w:hAnsi="Times New Roman" w:cs="Times New Roman"/>
        </w:rPr>
        <w:t>Melhuish</w:t>
      </w:r>
      <w:proofErr w:type="spellEnd"/>
      <w:r w:rsidRPr="00FE2536">
        <w:rPr>
          <w:rFonts w:ascii="Times New Roman" w:hAnsi="Times New Roman" w:cs="Times New Roman"/>
        </w:rPr>
        <w:t>, E. (2015) Assessing Quality in Early Childhood Education and Care: Sustained Shared Thinking and Emotional Well-being (SSTEW) Scale for 2-5 Year Olds Provision. Stoke-on-Trent: IOS Press.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559F6913" w14:textId="77777777" w:rsidR="00C47B67" w:rsidRPr="00FE2536" w:rsidRDefault="00C47B67" w:rsidP="00D11D22">
      <w:pPr>
        <w:rPr>
          <w:rFonts w:ascii="Times New Roman" w:hAnsi="Times New Roman" w:cs="Times New Roman"/>
        </w:rPr>
      </w:pPr>
    </w:p>
    <w:p w14:paraId="6034A1A9" w14:textId="23B0EDCC" w:rsidR="009155E1" w:rsidRPr="00FE2536" w:rsidRDefault="009155E1" w:rsidP="00D11D22">
      <w:pPr>
        <w:rPr>
          <w:rFonts w:ascii="Times New Roman" w:hAnsi="Times New Roman" w:cs="Times New Roman"/>
        </w:rPr>
      </w:pPr>
      <w:r w:rsidRPr="00FE2536">
        <w:rPr>
          <w:rFonts w:ascii="Times New Roman" w:hAnsi="Times New Roman" w:cs="Times New Roman"/>
        </w:rPr>
        <w:t>Special Edition: Professional Learning. Volume 19, Issue 1, pp39-68.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1CD37F9A" w14:textId="77777777" w:rsidR="009155E1" w:rsidRPr="00FE2536" w:rsidRDefault="009155E1" w:rsidP="00D11D22">
      <w:pPr>
        <w:rPr>
          <w:rFonts w:ascii="Times New Roman" w:hAnsi="Times New Roman" w:cs="Times New Roman"/>
        </w:rPr>
      </w:pPr>
    </w:p>
    <w:p w14:paraId="5CB9EC4F" w14:textId="78D2E553" w:rsidR="00172DC6" w:rsidRPr="00FE2536" w:rsidRDefault="00172DC6" w:rsidP="00D11D22">
      <w:pPr>
        <w:rPr>
          <w:rFonts w:ascii="Times New Roman" w:hAnsi="Times New Roman" w:cs="Times New Roman"/>
        </w:rPr>
      </w:pPr>
      <w:proofErr w:type="spellStart"/>
      <w:r w:rsidRPr="00FE2536">
        <w:rPr>
          <w:rFonts w:ascii="Times New Roman" w:hAnsi="Times New Roman" w:cs="Times New Roman"/>
        </w:rPr>
        <w:t>Melhuish</w:t>
      </w:r>
      <w:proofErr w:type="spellEnd"/>
      <w:r w:rsidRPr="00FE2536">
        <w:rPr>
          <w:rFonts w:ascii="Times New Roman" w:hAnsi="Times New Roman" w:cs="Times New Roman"/>
        </w:rPr>
        <w:t>, T. (2015) ‘How SSTEW Scale Supports Quality Improvement’ https://www.foundationyears.org.uk/files/2015/03/Eary-Childhood-Matters-apresentation-by-Iram-and-Denise.pdf [Accessed: 27th March 2024].</w:t>
      </w:r>
    </w:p>
    <w:p w14:paraId="453D2249" w14:textId="1E0A1B4F" w:rsidR="00FE2536" w:rsidRPr="00FE2536" w:rsidRDefault="00FE2536" w:rsidP="00FE2536">
      <w:pPr>
        <w:pStyle w:val="NormalWeb"/>
        <w:ind w:left="567" w:hanging="567"/>
        <w:rPr>
          <w:color w:val="000000"/>
        </w:rPr>
      </w:pPr>
      <w:r w:rsidRPr="00FE2536">
        <w:rPr>
          <w:color w:val="000000"/>
        </w:rPr>
        <w:t>Moss, P. 2016. Why can’t we get beyond quality?</w:t>
      </w:r>
      <w:r w:rsidRPr="00FE2536">
        <w:rPr>
          <w:rStyle w:val="apple-converted-space"/>
          <w:rFonts w:eastAsiaTheme="majorEastAsia"/>
          <w:color w:val="000000"/>
        </w:rPr>
        <w:t> </w:t>
      </w:r>
      <w:r w:rsidRPr="00FE2536">
        <w:rPr>
          <w:i/>
          <w:iCs/>
          <w:color w:val="000000"/>
        </w:rPr>
        <w:t>Contemporary Issues in Early</w:t>
      </w:r>
      <w:r>
        <w:rPr>
          <w:i/>
          <w:iCs/>
          <w:color w:val="000000"/>
        </w:rPr>
        <w:t xml:space="preserve">     </w:t>
      </w:r>
      <w:r w:rsidRPr="00FE2536">
        <w:rPr>
          <w:i/>
          <w:iCs/>
          <w:color w:val="000000"/>
        </w:rPr>
        <w:t>Childhood</w:t>
      </w:r>
      <w:r w:rsidRPr="00FE2536">
        <w:rPr>
          <w:rStyle w:val="apple-converted-space"/>
          <w:rFonts w:eastAsiaTheme="majorEastAsia"/>
          <w:color w:val="000000"/>
        </w:rPr>
        <w:t> </w:t>
      </w:r>
      <w:r w:rsidRPr="00FE2536">
        <w:rPr>
          <w:color w:val="000000"/>
        </w:rPr>
        <w:t>17(1), pp. 8–15.</w:t>
      </w:r>
      <w:r w:rsidRPr="00FE2536">
        <w:rPr>
          <w:rStyle w:val="apple-converted-space"/>
          <w:rFonts w:eastAsiaTheme="majorEastAsia"/>
          <w:color w:val="000000"/>
        </w:rPr>
        <w:t> </w:t>
      </w:r>
      <w:r>
        <w:rPr>
          <w:rStyle w:val="apple-converted-space"/>
          <w:rFonts w:eastAsiaTheme="majorEastAsia"/>
          <w:color w:val="000000"/>
        </w:rPr>
        <w:t>(Accessed: 23</w:t>
      </w:r>
      <w:r w:rsidRPr="00FE2536">
        <w:rPr>
          <w:rStyle w:val="apple-converted-space"/>
          <w:rFonts w:eastAsiaTheme="majorEastAsia"/>
          <w:color w:val="000000"/>
          <w:vertAlign w:val="superscript"/>
        </w:rPr>
        <w:t>rd</w:t>
      </w:r>
      <w:r>
        <w:rPr>
          <w:rStyle w:val="apple-converted-space"/>
          <w:rFonts w:eastAsiaTheme="majorEastAsia"/>
          <w:color w:val="000000"/>
        </w:rPr>
        <w:t xml:space="preserve"> March 2024). </w:t>
      </w:r>
    </w:p>
    <w:p w14:paraId="5FF55A50" w14:textId="2D4494E4" w:rsidR="00B211CA" w:rsidRPr="00FE2536" w:rsidRDefault="00B211CA" w:rsidP="00D11D22">
      <w:pPr>
        <w:rPr>
          <w:rFonts w:ascii="Times New Roman" w:hAnsi="Times New Roman" w:cs="Times New Roman"/>
        </w:rPr>
      </w:pPr>
      <w:proofErr w:type="spellStart"/>
      <w:r w:rsidRPr="00FE2536">
        <w:rPr>
          <w:rFonts w:ascii="Times New Roman" w:hAnsi="Times New Roman" w:cs="Times New Roman"/>
        </w:rPr>
        <w:t>Munton</w:t>
      </w:r>
      <w:proofErr w:type="spellEnd"/>
      <w:r w:rsidRPr="00FE2536">
        <w:rPr>
          <w:rFonts w:ascii="Times New Roman" w:hAnsi="Times New Roman" w:cs="Times New Roman"/>
        </w:rPr>
        <w:t xml:space="preserve">, T., McCullum, B. and Rivers, K. (2001) ‘Childcare Quality Improvement and Assurance Practice’ </w:t>
      </w:r>
      <w:hyperlink r:id="rId11" w:history="1">
        <w:r w:rsidRPr="00FE2536">
          <w:rPr>
            <w:rStyle w:val="Hyperlink"/>
            <w:rFonts w:ascii="Times New Roman" w:hAnsi="Times New Roman" w:cs="Times New Roman"/>
          </w:rPr>
          <w:t>h</w:t>
        </w:r>
        <w:r w:rsidRPr="00FE2536">
          <w:rPr>
            <w:rStyle w:val="Hyperlink"/>
            <w:rFonts w:ascii="Times New Roman" w:hAnsi="Times New Roman" w:cs="Times New Roman"/>
          </w:rPr>
          <w:t>t</w:t>
        </w:r>
        <w:r w:rsidRPr="00FE2536">
          <w:rPr>
            <w:rStyle w:val="Hyperlink"/>
            <w:rFonts w:ascii="Times New Roman" w:hAnsi="Times New Roman" w:cs="Times New Roman"/>
          </w:rPr>
          <w:t>tps://dera.ioe.ac.uk/4631/1/RR266.pdf</w:t>
        </w:r>
      </w:hyperlink>
      <w:r w:rsidRPr="00FE2536">
        <w:rPr>
          <w:rFonts w:ascii="Times New Roman" w:hAnsi="Times New Roman" w:cs="Times New Roman"/>
        </w:rPr>
        <w:t xml:space="preserve"> (Accessed: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w:t>
      </w:r>
    </w:p>
    <w:p w14:paraId="71164790" w14:textId="77777777" w:rsidR="00B211CA" w:rsidRPr="00FE2536" w:rsidRDefault="00B211CA" w:rsidP="00D11D22">
      <w:pPr>
        <w:rPr>
          <w:rFonts w:ascii="Times New Roman" w:hAnsi="Times New Roman" w:cs="Times New Roman"/>
        </w:rPr>
      </w:pPr>
    </w:p>
    <w:p w14:paraId="56A5D9BC" w14:textId="6E785529" w:rsidR="00172DC6" w:rsidRPr="00FE2536" w:rsidRDefault="00172DC6" w:rsidP="00D11D22">
      <w:pPr>
        <w:rPr>
          <w:rFonts w:ascii="Times New Roman" w:hAnsi="Times New Roman" w:cs="Times New Roman"/>
        </w:rPr>
      </w:pPr>
      <w:r w:rsidRPr="00FE2536">
        <w:rPr>
          <w:rFonts w:ascii="Times New Roman" w:hAnsi="Times New Roman" w:cs="Times New Roman"/>
        </w:rPr>
        <w:t xml:space="preserve">Nutbrown, C. (2012) ‘Foundations for quality, </w:t>
      </w:r>
      <w:proofErr w:type="gramStart"/>
      <w:r w:rsidRPr="00FE2536">
        <w:rPr>
          <w:rFonts w:ascii="Times New Roman" w:hAnsi="Times New Roman" w:cs="Times New Roman"/>
        </w:rPr>
        <w:t>The</w:t>
      </w:r>
      <w:proofErr w:type="gramEnd"/>
      <w:r w:rsidRPr="00FE2536">
        <w:rPr>
          <w:rFonts w:ascii="Times New Roman" w:hAnsi="Times New Roman" w:cs="Times New Roman"/>
        </w:rPr>
        <w:t xml:space="preserve"> independent review of early education and childcare qualifications, Final Report’ https://assets.publishing.service.gov.uk/government/uploads/system/uploads/attach metadata/file/175463/Nutbrown-Review.pdf (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w:t>
      </w:r>
      <w:r w:rsidR="009155E1" w:rsidRPr="00FE2536">
        <w:rPr>
          <w:rFonts w:ascii="Times New Roman" w:hAnsi="Times New Roman" w:cs="Times New Roman"/>
        </w:rPr>
        <w:t xml:space="preserve"> 2024</w:t>
      </w:r>
      <w:r w:rsidRPr="00FE2536">
        <w:rPr>
          <w:rFonts w:ascii="Times New Roman" w:hAnsi="Times New Roman" w:cs="Times New Roman"/>
        </w:rPr>
        <w:t>)</w:t>
      </w:r>
      <w:r w:rsidR="009155E1" w:rsidRPr="00FE2536">
        <w:rPr>
          <w:rFonts w:ascii="Times New Roman" w:hAnsi="Times New Roman" w:cs="Times New Roman"/>
        </w:rPr>
        <w:t>.</w:t>
      </w:r>
    </w:p>
    <w:p w14:paraId="7180116B" w14:textId="77777777" w:rsidR="00172DC6" w:rsidRPr="00FE2536" w:rsidRDefault="00172DC6" w:rsidP="00D11D22">
      <w:pPr>
        <w:rPr>
          <w:rFonts w:ascii="Times New Roman" w:hAnsi="Times New Roman" w:cs="Times New Roman"/>
        </w:rPr>
      </w:pPr>
    </w:p>
    <w:p w14:paraId="2F40ABD7" w14:textId="212DDDD4" w:rsidR="009509E0" w:rsidRPr="00FE2536" w:rsidRDefault="009509E0" w:rsidP="00D11D22">
      <w:pPr>
        <w:rPr>
          <w:rFonts w:ascii="Times New Roman" w:hAnsi="Times New Roman" w:cs="Times New Roman"/>
        </w:rPr>
      </w:pPr>
      <w:r w:rsidRPr="00FE2536">
        <w:rPr>
          <w:rFonts w:ascii="Times New Roman" w:hAnsi="Times New Roman" w:cs="Times New Roman"/>
        </w:rPr>
        <w:t xml:space="preserve">Sylva, K., </w:t>
      </w:r>
      <w:proofErr w:type="spellStart"/>
      <w:r w:rsidRPr="00FE2536">
        <w:rPr>
          <w:rFonts w:ascii="Times New Roman" w:hAnsi="Times New Roman" w:cs="Times New Roman"/>
        </w:rPr>
        <w:t>Melhuish</w:t>
      </w:r>
      <w:proofErr w:type="spellEnd"/>
      <w:r w:rsidRPr="00FE2536">
        <w:rPr>
          <w:rFonts w:ascii="Times New Roman" w:hAnsi="Times New Roman" w:cs="Times New Roman"/>
        </w:rPr>
        <w:t xml:space="preserve">, E., Sammons, P., Siraj-Blatchford, I. and Taggart, B. (2004) ‘The Effective Provision of Pre-School Education (EPPE) Project: Final Report.’ </w:t>
      </w:r>
      <w:hyperlink r:id="rId12" w:history="1">
        <w:r w:rsidRPr="00FE2536">
          <w:rPr>
            <w:rStyle w:val="Hyperlink"/>
            <w:rFonts w:ascii="Times New Roman" w:hAnsi="Times New Roman" w:cs="Times New Roman"/>
          </w:rPr>
          <w:t>http://discovery.ucl.ac.uk/10005309/1/sylva2004EPPEfinal.pdf</w:t>
        </w:r>
      </w:hyperlink>
      <w:r w:rsidRPr="00FE2536">
        <w:rPr>
          <w:rFonts w:ascii="Times New Roman" w:hAnsi="Times New Roman" w:cs="Times New Roman"/>
        </w:rPr>
        <w:t xml:space="preserve"> (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18A57F62" w14:textId="6FA4DBD9" w:rsidR="009509E0" w:rsidRPr="00FE2536" w:rsidRDefault="009509E0" w:rsidP="00D11D22">
      <w:pPr>
        <w:rPr>
          <w:rFonts w:ascii="Times New Roman" w:hAnsi="Times New Roman" w:cs="Times New Roman"/>
        </w:rPr>
      </w:pPr>
      <w:r w:rsidRPr="00FE2536">
        <w:rPr>
          <w:rFonts w:ascii="Times New Roman" w:hAnsi="Times New Roman" w:cs="Times New Roman"/>
        </w:rPr>
        <w:t xml:space="preserve"> </w:t>
      </w:r>
    </w:p>
    <w:p w14:paraId="397E61C2" w14:textId="77777777" w:rsidR="00C41BA4" w:rsidRPr="00FE2536" w:rsidRDefault="00C41BA4" w:rsidP="00D11D22">
      <w:pPr>
        <w:rPr>
          <w:rFonts w:ascii="Times New Roman" w:hAnsi="Times New Roman" w:cs="Times New Roman"/>
        </w:rPr>
      </w:pPr>
      <w:r w:rsidRPr="00FE2536">
        <w:rPr>
          <w:rFonts w:ascii="Times New Roman" w:hAnsi="Times New Roman" w:cs="Times New Roman"/>
        </w:rPr>
        <w:t>Tanner, E., Welsh, E. and Jane, L. (2006) ‘The Quality Defining Process in Early Years Services: A Case Study’, Children and Society. Volume 20, Issue 1, pp4-16. 9</w:t>
      </w:r>
    </w:p>
    <w:p w14:paraId="604DFC1C" w14:textId="40791A1B" w:rsidR="00C41BA4" w:rsidRPr="00FE2536" w:rsidRDefault="00C41BA4" w:rsidP="00D11D22">
      <w:pPr>
        <w:rPr>
          <w:rFonts w:ascii="Times New Roman" w:hAnsi="Times New Roman" w:cs="Times New Roman"/>
        </w:rPr>
      </w:pPr>
      <w:r w:rsidRPr="00FE2536">
        <w:rPr>
          <w:rFonts w:ascii="Times New Roman" w:hAnsi="Times New Roman" w:cs="Times New Roman"/>
        </w:rPr>
        <w:t>(Accessed: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 </w:t>
      </w:r>
    </w:p>
    <w:p w14:paraId="2E306709" w14:textId="77777777" w:rsidR="00C41BA4" w:rsidRPr="00FE2536" w:rsidRDefault="00C41BA4" w:rsidP="00D11D22">
      <w:pPr>
        <w:rPr>
          <w:rFonts w:ascii="Times New Roman" w:hAnsi="Times New Roman" w:cs="Times New Roman"/>
        </w:rPr>
      </w:pPr>
    </w:p>
    <w:p w14:paraId="4C316495" w14:textId="77777777" w:rsidR="00C41BA4" w:rsidRPr="00FE2536" w:rsidRDefault="00C41BA4" w:rsidP="00D11D22">
      <w:pPr>
        <w:rPr>
          <w:rFonts w:ascii="Times New Roman" w:hAnsi="Times New Roman" w:cs="Times New Roman"/>
        </w:rPr>
      </w:pPr>
      <w:r w:rsidRPr="00FE2536">
        <w:rPr>
          <w:rFonts w:ascii="Times New Roman" w:hAnsi="Times New Roman" w:cs="Times New Roman"/>
        </w:rPr>
        <w:t xml:space="preserve">UNC Child Development Institute. (no date) ‘Environment Rating Scales’ </w:t>
      </w:r>
      <w:hyperlink r:id="rId13" w:history="1">
        <w:r w:rsidRPr="00FE2536">
          <w:rPr>
            <w:rStyle w:val="Hyperlink"/>
            <w:rFonts w:ascii="Times New Roman" w:hAnsi="Times New Roman" w:cs="Times New Roman"/>
          </w:rPr>
          <w:t>https://ers.fpg.unc.edu/about-environment-rating-scales</w:t>
        </w:r>
      </w:hyperlink>
      <w:r w:rsidRPr="00FE2536">
        <w:rPr>
          <w:rFonts w:ascii="Times New Roman" w:hAnsi="Times New Roman" w:cs="Times New Roman"/>
        </w:rPr>
        <w:t xml:space="preserve"> </w:t>
      </w:r>
    </w:p>
    <w:p w14:paraId="5F0FD2AA" w14:textId="5C628FBE" w:rsidR="00C41BA4" w:rsidRPr="00FE2536" w:rsidRDefault="00C41BA4" w:rsidP="00D11D22">
      <w:pPr>
        <w:rPr>
          <w:rFonts w:ascii="Times New Roman" w:hAnsi="Times New Roman" w:cs="Times New Roman"/>
        </w:rPr>
      </w:pPr>
      <w:r w:rsidRPr="00FE2536">
        <w:rPr>
          <w:rFonts w:ascii="Times New Roman" w:hAnsi="Times New Roman" w:cs="Times New Roman"/>
        </w:rPr>
        <w:t>(Accessed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p>
    <w:p w14:paraId="2BF3E463" w14:textId="77777777" w:rsidR="00C41BA4" w:rsidRPr="00FE2536" w:rsidRDefault="00C41BA4" w:rsidP="00D11D22">
      <w:pPr>
        <w:rPr>
          <w:rFonts w:ascii="Times New Roman" w:hAnsi="Times New Roman" w:cs="Times New Roman"/>
        </w:rPr>
      </w:pPr>
    </w:p>
    <w:p w14:paraId="5B92F100" w14:textId="7D11B905" w:rsidR="00B211CA" w:rsidRPr="00FE2536" w:rsidRDefault="00B211CA" w:rsidP="00D11D22">
      <w:pPr>
        <w:rPr>
          <w:rFonts w:ascii="Times New Roman" w:hAnsi="Times New Roman" w:cs="Times New Roman"/>
        </w:rPr>
      </w:pPr>
      <w:r w:rsidRPr="00FE2536">
        <w:rPr>
          <w:rFonts w:ascii="Times New Roman" w:hAnsi="Times New Roman" w:cs="Times New Roman"/>
        </w:rPr>
        <w:lastRenderedPageBreak/>
        <w:t xml:space="preserve">UNICEF. (1992) ‘United Nations Conventions on the Rights of the Child’ </w:t>
      </w:r>
      <w:hyperlink r:id="rId14" w:history="1">
        <w:r w:rsidRPr="00FE2536">
          <w:rPr>
            <w:rStyle w:val="Hyperlink"/>
            <w:rFonts w:ascii="Times New Roman" w:hAnsi="Times New Roman" w:cs="Times New Roman"/>
          </w:rPr>
          <w:t>https://www.unicef.org.uk/what-we-do/un-convention-child-rights/</w:t>
        </w:r>
      </w:hyperlink>
      <w:r w:rsidRPr="00FE2536">
        <w:rPr>
          <w:rFonts w:ascii="Times New Roman" w:hAnsi="Times New Roman" w:cs="Times New Roman"/>
        </w:rPr>
        <w:t xml:space="preserve"> </w:t>
      </w:r>
    </w:p>
    <w:p w14:paraId="6A1DD04E" w14:textId="77A3E395" w:rsidR="00B211CA" w:rsidRPr="00FE2536" w:rsidRDefault="00B211CA" w:rsidP="00D11D22">
      <w:pPr>
        <w:rPr>
          <w:rFonts w:ascii="Times New Roman" w:hAnsi="Times New Roman" w:cs="Times New Roman"/>
        </w:rPr>
      </w:pPr>
      <w:r w:rsidRPr="00FE2536">
        <w:rPr>
          <w:rFonts w:ascii="Times New Roman" w:hAnsi="Times New Roman" w:cs="Times New Roman"/>
        </w:rPr>
        <w:t>(Accessed: 26</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w:t>
      </w:r>
    </w:p>
    <w:p w14:paraId="1EB95C42" w14:textId="77777777" w:rsidR="00B211CA" w:rsidRPr="00FE2536" w:rsidRDefault="00B211CA" w:rsidP="00D11D22">
      <w:pPr>
        <w:rPr>
          <w:rFonts w:ascii="Times New Roman" w:hAnsi="Times New Roman" w:cs="Times New Roman"/>
        </w:rPr>
      </w:pPr>
    </w:p>
    <w:p w14:paraId="008193DE" w14:textId="1EFFAB33" w:rsidR="00B211CA" w:rsidRPr="00FE2536" w:rsidRDefault="00B211CA" w:rsidP="00D11D22">
      <w:pPr>
        <w:rPr>
          <w:rFonts w:ascii="Times New Roman" w:hAnsi="Times New Roman" w:cs="Times New Roman"/>
        </w:rPr>
      </w:pPr>
      <w:r w:rsidRPr="00FE2536">
        <w:rPr>
          <w:rFonts w:ascii="Times New Roman" w:hAnsi="Times New Roman" w:cs="Times New Roman"/>
        </w:rPr>
        <w:t xml:space="preserve">Welsh Government. (2009) ‘Outdoor Learning Handbook’ 14 </w:t>
      </w:r>
      <w:hyperlink r:id="rId15" w:history="1">
        <w:r w:rsidRPr="00FE2536">
          <w:rPr>
            <w:rStyle w:val="Hyperlink"/>
            <w:rFonts w:ascii="Times New Roman" w:hAnsi="Times New Roman" w:cs="Times New Roman"/>
          </w:rPr>
          <w:t>http://learning.gov.wales/docs/learningwales/publications/140828-foundation-phaseoutdoor-learning-handbook-en.pdf</w:t>
        </w:r>
      </w:hyperlink>
      <w:r w:rsidRPr="00FE2536">
        <w:rPr>
          <w:rFonts w:ascii="Times New Roman" w:hAnsi="Times New Roman" w:cs="Times New Roman"/>
        </w:rPr>
        <w:t xml:space="preserve">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 2024)</w:t>
      </w:r>
      <w:r w:rsidR="009509E0" w:rsidRPr="00FE2536">
        <w:rPr>
          <w:rFonts w:ascii="Times New Roman" w:hAnsi="Times New Roman" w:cs="Times New Roman"/>
        </w:rPr>
        <w:t xml:space="preserve">. </w:t>
      </w:r>
    </w:p>
    <w:p w14:paraId="09FD7E9F" w14:textId="77777777" w:rsidR="00B211CA" w:rsidRPr="00FE2536" w:rsidRDefault="00B211CA" w:rsidP="00D11D22">
      <w:pPr>
        <w:rPr>
          <w:rFonts w:ascii="Times New Roman" w:hAnsi="Times New Roman" w:cs="Times New Roman"/>
        </w:rPr>
      </w:pPr>
    </w:p>
    <w:p w14:paraId="224564EF" w14:textId="24C42B5A" w:rsidR="009509E0" w:rsidRPr="00FE2536" w:rsidRDefault="009509E0" w:rsidP="00D11D22">
      <w:pPr>
        <w:rPr>
          <w:rFonts w:ascii="Times New Roman" w:hAnsi="Times New Roman" w:cs="Times New Roman"/>
        </w:rPr>
      </w:pPr>
      <w:r w:rsidRPr="00FE2536">
        <w:rPr>
          <w:rFonts w:ascii="Times New Roman" w:hAnsi="Times New Roman" w:cs="Times New Roman"/>
        </w:rPr>
        <w:t xml:space="preserve">Welsh Government. (2011) ‘Nurturing Children, Supporting Families’ </w:t>
      </w:r>
      <w:hyperlink r:id="rId16" w:history="1">
        <w:r w:rsidRPr="00FE2536">
          <w:rPr>
            <w:rStyle w:val="Hyperlink"/>
            <w:rFonts w:ascii="Times New Roman" w:hAnsi="Times New Roman" w:cs="Times New Roman"/>
          </w:rPr>
          <w:t>https://gweddill.gov.wales/docs/dcells/publications/110216policyen.pdf</w:t>
        </w:r>
      </w:hyperlink>
      <w:r w:rsidRPr="00FE2536">
        <w:rPr>
          <w:rFonts w:ascii="Times New Roman" w:hAnsi="Times New Roman" w:cs="Times New Roman"/>
        </w:rPr>
        <w:t xml:space="preserve"> ( Accessed: 27</w:t>
      </w:r>
      <w:r w:rsidRPr="00FE2536">
        <w:rPr>
          <w:rFonts w:ascii="Times New Roman" w:hAnsi="Times New Roman" w:cs="Times New Roman"/>
          <w:vertAlign w:val="superscript"/>
        </w:rPr>
        <w:t>th</w:t>
      </w:r>
      <w:r w:rsidRPr="00FE2536">
        <w:rPr>
          <w:rFonts w:ascii="Times New Roman" w:hAnsi="Times New Roman" w:cs="Times New Roman"/>
        </w:rPr>
        <w:t xml:space="preserve"> March). </w:t>
      </w:r>
    </w:p>
    <w:p w14:paraId="6F634AD9" w14:textId="77777777" w:rsidR="009509E0" w:rsidRPr="00FE2536" w:rsidRDefault="009509E0" w:rsidP="00D11D22">
      <w:pPr>
        <w:rPr>
          <w:rFonts w:ascii="Times New Roman" w:hAnsi="Times New Roman" w:cs="Times New Roman"/>
        </w:rPr>
      </w:pPr>
    </w:p>
    <w:p w14:paraId="29D64DF2" w14:textId="5B3DDD65" w:rsidR="00172DC6" w:rsidRPr="00FE2536" w:rsidRDefault="00172DC6" w:rsidP="00D11D22">
      <w:pPr>
        <w:rPr>
          <w:rFonts w:ascii="Times New Roman" w:hAnsi="Times New Roman" w:cs="Times New Roman"/>
        </w:rPr>
      </w:pPr>
      <w:r w:rsidRPr="00FE2536">
        <w:rPr>
          <w:rFonts w:ascii="Times New Roman" w:hAnsi="Times New Roman" w:cs="Times New Roman"/>
        </w:rPr>
        <w:t>Welsh Government. (2014) ‘Flying Start Annex: Quality Childcare Guidance’ https://gweddill.gov.wales/docs/dsjlg/publications/130926fsannex2en.pdf [Accessed: 28th March 20</w:t>
      </w:r>
      <w:r w:rsidR="009155E1" w:rsidRPr="00FE2536">
        <w:rPr>
          <w:rFonts w:ascii="Times New Roman" w:hAnsi="Times New Roman" w:cs="Times New Roman"/>
        </w:rPr>
        <w:t>24)</w:t>
      </w:r>
      <w:r w:rsidRPr="00FE2536">
        <w:rPr>
          <w:rFonts w:ascii="Times New Roman" w:hAnsi="Times New Roman" w:cs="Times New Roman"/>
        </w:rPr>
        <w:t>.</w:t>
      </w:r>
    </w:p>
    <w:p w14:paraId="604C6C6B" w14:textId="77777777" w:rsidR="00172DC6" w:rsidRPr="00FE2536" w:rsidRDefault="00172DC6" w:rsidP="00D11D22">
      <w:pPr>
        <w:rPr>
          <w:rFonts w:ascii="Times New Roman" w:hAnsi="Times New Roman" w:cs="Times New Roman"/>
        </w:rPr>
      </w:pPr>
    </w:p>
    <w:p w14:paraId="5ABDF47A" w14:textId="349CEA01" w:rsidR="00172DC6" w:rsidRPr="00FE2536" w:rsidRDefault="00172DC6" w:rsidP="00D11D22">
      <w:pPr>
        <w:rPr>
          <w:rFonts w:ascii="Times New Roman" w:hAnsi="Times New Roman" w:cs="Times New Roman"/>
        </w:rPr>
      </w:pPr>
      <w:r w:rsidRPr="00FE2536">
        <w:rPr>
          <w:rFonts w:ascii="Times New Roman" w:hAnsi="Times New Roman" w:cs="Times New Roman"/>
        </w:rPr>
        <w:t>Welsh Government. (2015) ‘Implementation of Children’s Rights in Wales’ https://gweddill.gov.wales/topics/people-and-communities/people/children-andyoung-people/rights/implementation-of-childrens-rights/?lang=en [Accessed: 23rd March 20</w:t>
      </w:r>
      <w:r w:rsidR="009155E1" w:rsidRPr="00FE2536">
        <w:rPr>
          <w:rFonts w:ascii="Times New Roman" w:hAnsi="Times New Roman" w:cs="Times New Roman"/>
        </w:rPr>
        <w:t>24</w:t>
      </w:r>
      <w:r w:rsidRPr="00FE2536">
        <w:rPr>
          <w:rFonts w:ascii="Times New Roman" w:hAnsi="Times New Roman" w:cs="Times New Roman"/>
        </w:rPr>
        <w:t>].</w:t>
      </w:r>
    </w:p>
    <w:p w14:paraId="06A07AC3" w14:textId="77777777" w:rsidR="006C7FD5" w:rsidRPr="00FE2536" w:rsidRDefault="006C7FD5" w:rsidP="00D11D22">
      <w:pPr>
        <w:rPr>
          <w:rFonts w:ascii="Times New Roman" w:hAnsi="Times New Roman" w:cs="Times New Roman"/>
        </w:rPr>
      </w:pPr>
    </w:p>
    <w:p w14:paraId="1C9562B9" w14:textId="211A8970" w:rsidR="00172DC6" w:rsidRPr="00FE2536" w:rsidRDefault="00172DC6" w:rsidP="00D11D22">
      <w:pPr>
        <w:rPr>
          <w:rFonts w:ascii="Times New Roman" w:hAnsi="Times New Roman" w:cs="Times New Roman"/>
        </w:rPr>
      </w:pPr>
      <w:r w:rsidRPr="00FE2536">
        <w:rPr>
          <w:rFonts w:ascii="Times New Roman" w:hAnsi="Times New Roman" w:cs="Times New Roman"/>
        </w:rPr>
        <w:t xml:space="preserve">Welsh Government. (2016) ‘National Minimum Standards for Regulated Childcare for Children up to the Age of 12 Years’ </w:t>
      </w:r>
      <w:hyperlink r:id="rId17" w:history="1">
        <w:r w:rsidRPr="00FE2536">
          <w:rPr>
            <w:rStyle w:val="Hyperlink"/>
            <w:rFonts w:ascii="Times New Roman" w:hAnsi="Times New Roman" w:cs="Times New Roman"/>
          </w:rPr>
          <w:t>https://careinspectorate.wales/sites/default/files/2018-01/160411regchildcareen.pdf</w:t>
        </w:r>
      </w:hyperlink>
      <w:r w:rsidRPr="00FE2536">
        <w:rPr>
          <w:rFonts w:ascii="Times New Roman" w:hAnsi="Times New Roman" w:cs="Times New Roman"/>
        </w:rPr>
        <w:t xml:space="preserve"> (Accessed 27th March</w:t>
      </w:r>
      <w:r w:rsidR="009155E1" w:rsidRPr="00FE2536">
        <w:rPr>
          <w:rFonts w:ascii="Times New Roman" w:hAnsi="Times New Roman" w:cs="Times New Roman"/>
        </w:rPr>
        <w:t xml:space="preserve"> 2024</w:t>
      </w:r>
      <w:r w:rsidRPr="00FE2536">
        <w:rPr>
          <w:rFonts w:ascii="Times New Roman" w:hAnsi="Times New Roman" w:cs="Times New Roman"/>
        </w:rPr>
        <w:t>)</w:t>
      </w:r>
      <w:r w:rsidR="009155E1" w:rsidRPr="00FE2536">
        <w:rPr>
          <w:rFonts w:ascii="Times New Roman" w:hAnsi="Times New Roman" w:cs="Times New Roman"/>
        </w:rPr>
        <w:t>.</w:t>
      </w:r>
    </w:p>
    <w:p w14:paraId="58E3BCDC" w14:textId="77777777" w:rsidR="00172DC6" w:rsidRDefault="00172DC6" w:rsidP="00D11D22"/>
    <w:p w14:paraId="1D30ED96" w14:textId="77777777" w:rsidR="00C028BF" w:rsidRDefault="00C028BF" w:rsidP="00D11D22"/>
    <w:p w14:paraId="7C1E6917" w14:textId="77777777" w:rsidR="00172DC6" w:rsidRPr="0027486F" w:rsidRDefault="00172DC6" w:rsidP="00D11D22">
      <w:pPr>
        <w:rPr>
          <w:rFonts w:ascii="Kohinoor Devanagari" w:hAnsi="Kohinoor Devanagari" w:cs="Kohinoor Devanagari"/>
          <w:b/>
          <w:bCs/>
          <w:u w:val="single"/>
        </w:rPr>
      </w:pPr>
    </w:p>
    <w:sectPr w:rsidR="00172DC6" w:rsidRPr="0027486F" w:rsidSect="00DA34FD">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CDA6B" w14:textId="77777777" w:rsidR="00DA34FD" w:rsidRDefault="00DA34FD" w:rsidP="001259E1">
      <w:r>
        <w:separator/>
      </w:r>
    </w:p>
  </w:endnote>
  <w:endnote w:type="continuationSeparator" w:id="0">
    <w:p w14:paraId="3B1323C0" w14:textId="77777777" w:rsidR="00DA34FD" w:rsidRDefault="00DA34FD" w:rsidP="00125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843594"/>
      <w:docPartObj>
        <w:docPartGallery w:val="Page Numbers (Bottom of Page)"/>
        <w:docPartUnique/>
      </w:docPartObj>
    </w:sdtPr>
    <w:sdtContent>
      <w:p w14:paraId="0EA26C0F" w14:textId="264823AE" w:rsidR="001259E1" w:rsidRDefault="001259E1" w:rsidP="00DA77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5AC0C8" w14:textId="77777777" w:rsidR="001259E1" w:rsidRDefault="001259E1" w:rsidP="001259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728352"/>
      <w:docPartObj>
        <w:docPartGallery w:val="Page Numbers (Bottom of Page)"/>
        <w:docPartUnique/>
      </w:docPartObj>
    </w:sdtPr>
    <w:sdtContent>
      <w:p w14:paraId="5E6E6857" w14:textId="2BE8A197" w:rsidR="001259E1" w:rsidRDefault="001259E1" w:rsidP="00DA77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7436FE" w14:textId="77777777" w:rsidR="001259E1" w:rsidRDefault="001259E1" w:rsidP="001259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1288F" w14:textId="77777777" w:rsidR="00DA34FD" w:rsidRDefault="00DA34FD" w:rsidP="001259E1">
      <w:r>
        <w:separator/>
      </w:r>
    </w:p>
  </w:footnote>
  <w:footnote w:type="continuationSeparator" w:id="0">
    <w:p w14:paraId="5FA3B192" w14:textId="77777777" w:rsidR="00DA34FD" w:rsidRDefault="00DA34FD" w:rsidP="00125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3EA81" w14:textId="1FDF7E8B" w:rsidR="00E75A7E" w:rsidRDefault="00E75A7E">
    <w:pPr>
      <w:pStyle w:val="Header"/>
    </w:pPr>
    <w:r>
      <w:t xml:space="preserve">Zahra Bashir </w:t>
    </w:r>
  </w:p>
  <w:p w14:paraId="7C3A14F9" w14:textId="6591051C" w:rsidR="00E75A7E" w:rsidRDefault="00E75A7E">
    <w:pPr>
      <w:pStyle w:val="Header"/>
    </w:pPr>
    <w:r>
      <w:t>Student Number: 2308220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76"/>
    <w:rsid w:val="00057FA7"/>
    <w:rsid w:val="000627F8"/>
    <w:rsid w:val="000A468A"/>
    <w:rsid w:val="000D33DA"/>
    <w:rsid w:val="001259E1"/>
    <w:rsid w:val="0015016B"/>
    <w:rsid w:val="001534A0"/>
    <w:rsid w:val="00164E22"/>
    <w:rsid w:val="00171357"/>
    <w:rsid w:val="00172DC6"/>
    <w:rsid w:val="001E35FE"/>
    <w:rsid w:val="00243975"/>
    <w:rsid w:val="0027486F"/>
    <w:rsid w:val="00297551"/>
    <w:rsid w:val="002C2ECC"/>
    <w:rsid w:val="00316209"/>
    <w:rsid w:val="00344A65"/>
    <w:rsid w:val="00373908"/>
    <w:rsid w:val="00391E42"/>
    <w:rsid w:val="003B094A"/>
    <w:rsid w:val="003D5784"/>
    <w:rsid w:val="0040075B"/>
    <w:rsid w:val="00444C29"/>
    <w:rsid w:val="004569D9"/>
    <w:rsid w:val="004606EE"/>
    <w:rsid w:val="004A6BA5"/>
    <w:rsid w:val="004C0AA7"/>
    <w:rsid w:val="00505956"/>
    <w:rsid w:val="00586329"/>
    <w:rsid w:val="00592F72"/>
    <w:rsid w:val="005A0E06"/>
    <w:rsid w:val="00604774"/>
    <w:rsid w:val="00636B76"/>
    <w:rsid w:val="006461E9"/>
    <w:rsid w:val="006A7DE3"/>
    <w:rsid w:val="006B31FD"/>
    <w:rsid w:val="006C7FD5"/>
    <w:rsid w:val="007B0FB5"/>
    <w:rsid w:val="007C1D0B"/>
    <w:rsid w:val="007D1B41"/>
    <w:rsid w:val="0081195B"/>
    <w:rsid w:val="008354A2"/>
    <w:rsid w:val="00855199"/>
    <w:rsid w:val="00895C51"/>
    <w:rsid w:val="008B7CC1"/>
    <w:rsid w:val="008C1701"/>
    <w:rsid w:val="008D5A46"/>
    <w:rsid w:val="008D78C9"/>
    <w:rsid w:val="009155E1"/>
    <w:rsid w:val="009269D1"/>
    <w:rsid w:val="009275A3"/>
    <w:rsid w:val="009509E0"/>
    <w:rsid w:val="00A21B6F"/>
    <w:rsid w:val="00A548CF"/>
    <w:rsid w:val="00A54D28"/>
    <w:rsid w:val="00A916E7"/>
    <w:rsid w:val="00AD6351"/>
    <w:rsid w:val="00B0466E"/>
    <w:rsid w:val="00B211CA"/>
    <w:rsid w:val="00B4067C"/>
    <w:rsid w:val="00B4236A"/>
    <w:rsid w:val="00B47F8A"/>
    <w:rsid w:val="00B82CE5"/>
    <w:rsid w:val="00BE7DB5"/>
    <w:rsid w:val="00C028BF"/>
    <w:rsid w:val="00C41BA4"/>
    <w:rsid w:val="00C47B67"/>
    <w:rsid w:val="00CE6E87"/>
    <w:rsid w:val="00D11D22"/>
    <w:rsid w:val="00D44585"/>
    <w:rsid w:val="00D605EA"/>
    <w:rsid w:val="00D835CF"/>
    <w:rsid w:val="00DA34FD"/>
    <w:rsid w:val="00DC71EA"/>
    <w:rsid w:val="00DD4AA3"/>
    <w:rsid w:val="00E75A7E"/>
    <w:rsid w:val="00E83327"/>
    <w:rsid w:val="00F23751"/>
    <w:rsid w:val="00F631F2"/>
    <w:rsid w:val="00FA11BE"/>
    <w:rsid w:val="00FD573F"/>
    <w:rsid w:val="00FE2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D70687"/>
  <w15:chartTrackingRefBased/>
  <w15:docId w15:val="{AC2BB3A0-CF32-4742-AA15-1E2CAA0EA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B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B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B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B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B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B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B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B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B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B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B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B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B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B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B76"/>
    <w:rPr>
      <w:rFonts w:eastAsiaTheme="majorEastAsia" w:cstheme="majorBidi"/>
      <w:color w:val="272727" w:themeColor="text1" w:themeTint="D8"/>
    </w:rPr>
  </w:style>
  <w:style w:type="paragraph" w:styleId="Title">
    <w:name w:val="Title"/>
    <w:basedOn w:val="Normal"/>
    <w:next w:val="Normal"/>
    <w:link w:val="TitleChar"/>
    <w:uiPriority w:val="10"/>
    <w:qFormat/>
    <w:rsid w:val="00636B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B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B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6B76"/>
    <w:rPr>
      <w:i/>
      <w:iCs/>
      <w:color w:val="404040" w:themeColor="text1" w:themeTint="BF"/>
    </w:rPr>
  </w:style>
  <w:style w:type="paragraph" w:styleId="ListParagraph">
    <w:name w:val="List Paragraph"/>
    <w:basedOn w:val="Normal"/>
    <w:uiPriority w:val="34"/>
    <w:qFormat/>
    <w:rsid w:val="00636B76"/>
    <w:pPr>
      <w:ind w:left="720"/>
      <w:contextualSpacing/>
    </w:pPr>
  </w:style>
  <w:style w:type="character" w:styleId="IntenseEmphasis">
    <w:name w:val="Intense Emphasis"/>
    <w:basedOn w:val="DefaultParagraphFont"/>
    <w:uiPriority w:val="21"/>
    <w:qFormat/>
    <w:rsid w:val="00636B76"/>
    <w:rPr>
      <w:i/>
      <w:iCs/>
      <w:color w:val="0F4761" w:themeColor="accent1" w:themeShade="BF"/>
    </w:rPr>
  </w:style>
  <w:style w:type="paragraph" w:styleId="IntenseQuote">
    <w:name w:val="Intense Quote"/>
    <w:basedOn w:val="Normal"/>
    <w:next w:val="Normal"/>
    <w:link w:val="IntenseQuoteChar"/>
    <w:uiPriority w:val="30"/>
    <w:qFormat/>
    <w:rsid w:val="00636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B76"/>
    <w:rPr>
      <w:i/>
      <w:iCs/>
      <w:color w:val="0F4761" w:themeColor="accent1" w:themeShade="BF"/>
    </w:rPr>
  </w:style>
  <w:style w:type="character" w:styleId="IntenseReference">
    <w:name w:val="Intense Reference"/>
    <w:basedOn w:val="DefaultParagraphFont"/>
    <w:uiPriority w:val="32"/>
    <w:qFormat/>
    <w:rsid w:val="00636B76"/>
    <w:rPr>
      <w:b/>
      <w:bCs/>
      <w:smallCaps/>
      <w:color w:val="0F4761" w:themeColor="accent1" w:themeShade="BF"/>
      <w:spacing w:val="5"/>
    </w:rPr>
  </w:style>
  <w:style w:type="paragraph" w:styleId="Footer">
    <w:name w:val="footer"/>
    <w:basedOn w:val="Normal"/>
    <w:link w:val="FooterChar"/>
    <w:uiPriority w:val="99"/>
    <w:unhideWhenUsed/>
    <w:rsid w:val="001259E1"/>
    <w:pPr>
      <w:tabs>
        <w:tab w:val="center" w:pos="4513"/>
        <w:tab w:val="right" w:pos="9026"/>
      </w:tabs>
    </w:pPr>
  </w:style>
  <w:style w:type="character" w:customStyle="1" w:styleId="FooterChar">
    <w:name w:val="Footer Char"/>
    <w:basedOn w:val="DefaultParagraphFont"/>
    <w:link w:val="Footer"/>
    <w:uiPriority w:val="99"/>
    <w:rsid w:val="001259E1"/>
  </w:style>
  <w:style w:type="character" w:styleId="PageNumber">
    <w:name w:val="page number"/>
    <w:basedOn w:val="DefaultParagraphFont"/>
    <w:uiPriority w:val="99"/>
    <w:semiHidden/>
    <w:unhideWhenUsed/>
    <w:rsid w:val="001259E1"/>
  </w:style>
  <w:style w:type="character" w:styleId="Hyperlink">
    <w:name w:val="Hyperlink"/>
    <w:basedOn w:val="DefaultParagraphFont"/>
    <w:uiPriority w:val="99"/>
    <w:unhideWhenUsed/>
    <w:rsid w:val="00172DC6"/>
    <w:rPr>
      <w:color w:val="467886" w:themeColor="hyperlink"/>
      <w:u w:val="single"/>
    </w:rPr>
  </w:style>
  <w:style w:type="character" w:styleId="UnresolvedMention">
    <w:name w:val="Unresolved Mention"/>
    <w:basedOn w:val="DefaultParagraphFont"/>
    <w:uiPriority w:val="99"/>
    <w:semiHidden/>
    <w:unhideWhenUsed/>
    <w:rsid w:val="00172DC6"/>
    <w:rPr>
      <w:color w:val="605E5C"/>
      <w:shd w:val="clear" w:color="auto" w:fill="E1DFDD"/>
    </w:rPr>
  </w:style>
  <w:style w:type="paragraph" w:styleId="Header">
    <w:name w:val="header"/>
    <w:basedOn w:val="Normal"/>
    <w:link w:val="HeaderChar"/>
    <w:uiPriority w:val="99"/>
    <w:unhideWhenUsed/>
    <w:rsid w:val="00E75A7E"/>
    <w:pPr>
      <w:tabs>
        <w:tab w:val="center" w:pos="4513"/>
        <w:tab w:val="right" w:pos="9026"/>
      </w:tabs>
    </w:pPr>
  </w:style>
  <w:style w:type="character" w:customStyle="1" w:styleId="HeaderChar">
    <w:name w:val="Header Char"/>
    <w:basedOn w:val="DefaultParagraphFont"/>
    <w:link w:val="Header"/>
    <w:uiPriority w:val="99"/>
    <w:rsid w:val="00E75A7E"/>
  </w:style>
  <w:style w:type="paragraph" w:styleId="NormalWeb">
    <w:name w:val="Normal (Web)"/>
    <w:basedOn w:val="Normal"/>
    <w:uiPriority w:val="99"/>
    <w:semiHidden/>
    <w:unhideWhenUsed/>
    <w:rsid w:val="00FE253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E2536"/>
  </w:style>
  <w:style w:type="character" w:styleId="FollowedHyperlink">
    <w:name w:val="FollowedHyperlink"/>
    <w:basedOn w:val="DefaultParagraphFont"/>
    <w:uiPriority w:val="99"/>
    <w:semiHidden/>
    <w:unhideWhenUsed/>
    <w:rsid w:val="00FE25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42418">
      <w:bodyDiv w:val="1"/>
      <w:marLeft w:val="0"/>
      <w:marRight w:val="0"/>
      <w:marTop w:val="0"/>
      <w:marBottom w:val="0"/>
      <w:divBdr>
        <w:top w:val="none" w:sz="0" w:space="0" w:color="auto"/>
        <w:left w:val="none" w:sz="0" w:space="0" w:color="auto"/>
        <w:bottom w:val="none" w:sz="0" w:space="0" w:color="auto"/>
        <w:right w:val="none" w:sz="0" w:space="0" w:color="auto"/>
      </w:divBdr>
    </w:div>
    <w:div w:id="198496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ersuk.org/2.html" TargetMode="External"/><Relationship Id="rId13" Type="http://schemas.openxmlformats.org/officeDocument/2006/relationships/hyperlink" Target="https://ers.fpg.unc.edu/about-environment-rating-scal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rs.fpg.unc.edu/sites/ers.fpg.unc.edu/files/ReliabilityEcers.pdf" TargetMode="External"/><Relationship Id="rId12" Type="http://schemas.openxmlformats.org/officeDocument/2006/relationships/hyperlink" Target="http://discovery.ucl.ac.uk/10005309/1/sylva2004EPPEfinal.pdf" TargetMode="External"/><Relationship Id="rId17" Type="http://schemas.openxmlformats.org/officeDocument/2006/relationships/hyperlink" Target="https://careinspectorate.wales/sites/default/files/2018-01/160411regchildcareen.pdf" TargetMode="External"/><Relationship Id="rId2" Type="http://schemas.openxmlformats.org/officeDocument/2006/relationships/styles" Target="styles.xml"/><Relationship Id="rId16" Type="http://schemas.openxmlformats.org/officeDocument/2006/relationships/hyperlink" Target="https://gweddill.gov.wales/docs/dcells/publications/110216policyen.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era.ioe.ac.uk/4631/1/RR266.pdf"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40828-foundation-phaseoutdoor-learning-handbook-en.pdf" TargetMode="External"/><Relationship Id="rId10" Type="http://schemas.openxmlformats.org/officeDocument/2006/relationships/hyperlink" Target="https://dera.ioe.ac.uk/4650/1/RR356.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rca.cf.ac.uk/98708/1/thesis_Alyson_Lewis_March2017%20FINAL.pdf" TargetMode="External"/><Relationship Id="rId14" Type="http://schemas.openxmlformats.org/officeDocument/2006/relationships/hyperlink" Target="https://www.unicef.org.uk/what-we-do/un-convention-child-righ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6E67F-2866-C141-BE0C-66306E98B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9</Pages>
  <Words>3210</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cp:lastModifiedBy>
  <cp:revision>36</cp:revision>
  <dcterms:created xsi:type="dcterms:W3CDTF">2024-03-26T13:24:00Z</dcterms:created>
  <dcterms:modified xsi:type="dcterms:W3CDTF">2024-03-28T17:01:00Z</dcterms:modified>
</cp:coreProperties>
</file>