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9CEE5" w14:textId="77777777" w:rsidR="002B2A20" w:rsidRPr="002B2A20" w:rsidRDefault="002B2A20" w:rsidP="002B2A20">
      <w:pPr>
        <w:pStyle w:val="Heading1"/>
        <w:spacing w:line="360" w:lineRule="auto"/>
        <w:jc w:val="center"/>
        <w:rPr>
          <w:rFonts w:ascii="Arial" w:hAnsi="Arial" w:cs="Arial"/>
        </w:rPr>
      </w:pPr>
      <w:r w:rsidRPr="002B2A20">
        <w:rPr>
          <w:rFonts w:ascii="Arial" w:hAnsi="Arial" w:cs="Arial"/>
        </w:rPr>
        <w:t>A Vision of Change: Sustainability in the hotel industry</w:t>
      </w:r>
    </w:p>
    <w:p w14:paraId="69B2DA11" w14:textId="77777777" w:rsidR="002B2A20" w:rsidRDefault="002B2A20" w:rsidP="002B2A20">
      <w:pPr>
        <w:spacing w:line="360" w:lineRule="auto"/>
        <w:jc w:val="center"/>
        <w:rPr>
          <w:rFonts w:ascii="Arial" w:hAnsi="Arial" w:cs="Arial"/>
          <w:b/>
          <w:bCs/>
          <w:sz w:val="32"/>
        </w:rPr>
      </w:pPr>
    </w:p>
    <w:p w14:paraId="0D64A4D5" w14:textId="77777777" w:rsidR="0096395C" w:rsidRPr="002B2A20" w:rsidRDefault="0096395C" w:rsidP="002B2A20">
      <w:pPr>
        <w:spacing w:line="360" w:lineRule="auto"/>
        <w:jc w:val="center"/>
        <w:rPr>
          <w:rFonts w:ascii="Arial" w:hAnsi="Arial" w:cs="Arial"/>
          <w:b/>
          <w:bCs/>
          <w:sz w:val="32"/>
        </w:rPr>
      </w:pPr>
      <w:r w:rsidRPr="002B2A20">
        <w:rPr>
          <w:rFonts w:ascii="Arial" w:hAnsi="Arial" w:cs="Arial"/>
          <w:b/>
          <w:bCs/>
          <w:sz w:val="32"/>
        </w:rPr>
        <w:t>Module: Sustainable Hospitality &amp; Tourism Management</w:t>
      </w:r>
    </w:p>
    <w:p w14:paraId="69142D02" w14:textId="77777777" w:rsidR="0096395C" w:rsidRPr="002B2A20" w:rsidRDefault="0096395C" w:rsidP="002B2A20">
      <w:pPr>
        <w:spacing w:line="360" w:lineRule="auto"/>
        <w:jc w:val="center"/>
        <w:rPr>
          <w:rFonts w:ascii="Arial" w:hAnsi="Arial" w:cs="Arial"/>
          <w:b/>
          <w:bCs/>
          <w:sz w:val="32"/>
        </w:rPr>
      </w:pPr>
    </w:p>
    <w:p w14:paraId="460F9751" w14:textId="77777777" w:rsidR="0096395C" w:rsidRPr="002B2A20" w:rsidRDefault="0096395C" w:rsidP="002B2A20">
      <w:pPr>
        <w:spacing w:line="360" w:lineRule="auto"/>
        <w:jc w:val="center"/>
        <w:rPr>
          <w:rFonts w:ascii="Arial" w:hAnsi="Arial" w:cs="Arial"/>
          <w:b/>
          <w:bCs/>
          <w:sz w:val="32"/>
        </w:rPr>
      </w:pPr>
      <w:r w:rsidRPr="002B2A20">
        <w:rPr>
          <w:rFonts w:ascii="Arial" w:hAnsi="Arial" w:cs="Arial"/>
          <w:b/>
          <w:bCs/>
          <w:sz w:val="32"/>
        </w:rPr>
        <w:t>Module code: BMIH5006</w:t>
      </w:r>
    </w:p>
    <w:p w14:paraId="5F2CE65A" w14:textId="77777777" w:rsidR="0096395C" w:rsidRPr="002B2A20" w:rsidRDefault="0096395C" w:rsidP="002B2A20">
      <w:pPr>
        <w:spacing w:line="360" w:lineRule="auto"/>
        <w:jc w:val="center"/>
        <w:rPr>
          <w:rFonts w:ascii="Arial" w:hAnsi="Arial" w:cs="Arial"/>
          <w:b/>
          <w:bCs/>
          <w:sz w:val="32"/>
        </w:rPr>
      </w:pPr>
    </w:p>
    <w:p w14:paraId="588DE20F" w14:textId="77777777" w:rsidR="0096395C" w:rsidRPr="002B2A20" w:rsidRDefault="0096395C" w:rsidP="002B2A20">
      <w:pPr>
        <w:spacing w:line="360" w:lineRule="auto"/>
        <w:jc w:val="center"/>
        <w:rPr>
          <w:rFonts w:ascii="Arial" w:hAnsi="Arial" w:cs="Arial"/>
          <w:b/>
          <w:bCs/>
          <w:sz w:val="32"/>
        </w:rPr>
      </w:pPr>
      <w:r w:rsidRPr="002B2A20">
        <w:rPr>
          <w:rFonts w:ascii="Arial" w:hAnsi="Arial" w:cs="Arial"/>
          <w:b/>
          <w:bCs/>
          <w:sz w:val="32"/>
        </w:rPr>
        <w:t>Lecturer: Dr. Huw Thomas</w:t>
      </w:r>
    </w:p>
    <w:p w14:paraId="562651B5" w14:textId="77777777" w:rsidR="0096395C" w:rsidRPr="002B2A20" w:rsidRDefault="0096395C" w:rsidP="002B2A20">
      <w:pPr>
        <w:spacing w:line="360" w:lineRule="auto"/>
        <w:jc w:val="center"/>
        <w:rPr>
          <w:rFonts w:ascii="Arial" w:hAnsi="Arial" w:cs="Arial"/>
          <w:bCs/>
          <w:sz w:val="32"/>
        </w:rPr>
      </w:pPr>
    </w:p>
    <w:p w14:paraId="17197B0D" w14:textId="77777777" w:rsidR="0096395C" w:rsidRPr="002B2A20" w:rsidRDefault="0096395C" w:rsidP="002B2A20">
      <w:pPr>
        <w:spacing w:line="360" w:lineRule="auto"/>
        <w:jc w:val="center"/>
        <w:rPr>
          <w:rFonts w:ascii="Arial" w:hAnsi="Arial" w:cs="Arial"/>
          <w:bCs/>
          <w:sz w:val="32"/>
        </w:rPr>
      </w:pPr>
    </w:p>
    <w:p w14:paraId="47926396" w14:textId="42084548" w:rsidR="0096395C" w:rsidRPr="002B2A20" w:rsidRDefault="0096395C" w:rsidP="002B2A20">
      <w:pPr>
        <w:spacing w:line="360" w:lineRule="auto"/>
        <w:jc w:val="center"/>
        <w:rPr>
          <w:rFonts w:ascii="Arial" w:hAnsi="Arial" w:cs="Arial"/>
          <w:bCs/>
          <w:sz w:val="32"/>
        </w:rPr>
      </w:pPr>
      <w:r w:rsidRPr="002B2A20">
        <w:rPr>
          <w:rFonts w:ascii="Arial" w:hAnsi="Arial" w:cs="Arial"/>
          <w:bCs/>
          <w:sz w:val="32"/>
        </w:rPr>
        <w:t>S</w:t>
      </w:r>
      <w:r w:rsidR="007A4FFB">
        <w:rPr>
          <w:rFonts w:ascii="Arial" w:hAnsi="Arial" w:cs="Arial"/>
          <w:bCs/>
          <w:sz w:val="32"/>
        </w:rPr>
        <w:t xml:space="preserve">tudent </w:t>
      </w:r>
      <w:r w:rsidRPr="002B2A20">
        <w:rPr>
          <w:rFonts w:ascii="Arial" w:hAnsi="Arial" w:cs="Arial"/>
          <w:bCs/>
          <w:sz w:val="32"/>
        </w:rPr>
        <w:t xml:space="preserve"> Name:</w:t>
      </w:r>
      <w:r w:rsidR="007A4FFB">
        <w:rPr>
          <w:rFonts w:ascii="Arial" w:hAnsi="Arial" w:cs="Arial"/>
          <w:bCs/>
          <w:sz w:val="32"/>
        </w:rPr>
        <w:t>Kazi Yousuf</w:t>
      </w:r>
    </w:p>
    <w:p w14:paraId="56033E5E" w14:textId="7281FCCC" w:rsidR="0096395C" w:rsidRPr="002B2A20" w:rsidRDefault="0096395C" w:rsidP="002B2A20">
      <w:pPr>
        <w:spacing w:line="360" w:lineRule="auto"/>
        <w:jc w:val="center"/>
        <w:rPr>
          <w:rFonts w:ascii="Arial" w:hAnsi="Arial" w:cs="Arial"/>
          <w:sz w:val="32"/>
        </w:rPr>
      </w:pPr>
      <w:r w:rsidRPr="002B2A20">
        <w:rPr>
          <w:rFonts w:ascii="Arial" w:hAnsi="Arial" w:cs="Arial"/>
          <w:bCs/>
          <w:sz w:val="32"/>
        </w:rPr>
        <w:t>Student ID:</w:t>
      </w:r>
      <w:r w:rsidR="00A559DF">
        <w:rPr>
          <w:rFonts w:ascii="Arial" w:hAnsi="Arial" w:cs="Arial"/>
          <w:bCs/>
          <w:sz w:val="32"/>
        </w:rPr>
        <w:t>1918744</w:t>
      </w:r>
    </w:p>
    <w:p w14:paraId="557C83EC" w14:textId="77777777" w:rsidR="00A82BBE" w:rsidRPr="002B2A20" w:rsidRDefault="00B946C4" w:rsidP="002B2A20">
      <w:pPr>
        <w:spacing w:line="360" w:lineRule="auto"/>
        <w:rPr>
          <w:rFonts w:ascii="Arial" w:hAnsi="Arial" w:cs="Arial"/>
          <w:sz w:val="22"/>
        </w:rPr>
      </w:pPr>
      <w:r w:rsidRPr="002B2A20">
        <w:rPr>
          <w:rFonts w:ascii="Arial" w:hAnsi="Arial" w:cs="Arial"/>
          <w:sz w:val="22"/>
        </w:rPr>
        <w:br w:type="page"/>
      </w:r>
    </w:p>
    <w:p w14:paraId="24DDE488" w14:textId="77777777" w:rsidR="00B946C4" w:rsidRPr="002B2A20" w:rsidRDefault="00B946C4" w:rsidP="002B2A20">
      <w:pPr>
        <w:pStyle w:val="Heading1"/>
        <w:spacing w:line="360" w:lineRule="auto"/>
        <w:jc w:val="both"/>
        <w:rPr>
          <w:rFonts w:ascii="Arial" w:hAnsi="Arial" w:cs="Arial"/>
        </w:rPr>
      </w:pPr>
      <w:bookmarkStart w:id="0" w:name="_Toc116982110"/>
      <w:r w:rsidRPr="002B2A20">
        <w:rPr>
          <w:rFonts w:ascii="Arial" w:hAnsi="Arial" w:cs="Arial"/>
        </w:rPr>
        <w:lastRenderedPageBreak/>
        <w:t>A Vision of Change: Sustainability in the hotel industry</w:t>
      </w:r>
      <w:bookmarkEnd w:id="0"/>
    </w:p>
    <w:p w14:paraId="6F94E92E" w14:textId="77777777" w:rsidR="00051F44" w:rsidRPr="002B2A20" w:rsidRDefault="00927711" w:rsidP="002B2A20">
      <w:pPr>
        <w:spacing w:line="360" w:lineRule="auto"/>
        <w:jc w:val="both"/>
        <w:rPr>
          <w:rFonts w:ascii="Arial" w:hAnsi="Arial" w:cs="Arial"/>
        </w:rPr>
      </w:pPr>
      <w:r w:rsidRPr="002B2A20">
        <w:rPr>
          <w:rFonts w:ascii="Arial" w:hAnsi="Arial" w:cs="Arial"/>
        </w:rPr>
        <w:t>To exploit natural resources without depleting supplies for future generations, businesses need to be cognizant of sustainability</w:t>
      </w:r>
      <w:r w:rsidR="00B946C4" w:rsidRPr="002B2A20">
        <w:rPr>
          <w:rFonts w:ascii="Arial" w:hAnsi="Arial" w:cs="Arial"/>
        </w:rPr>
        <w:t xml:space="preserve"> (Nossoni &amp; Braxtan, 2019)</w:t>
      </w:r>
      <w:r w:rsidRPr="002B2A20">
        <w:rPr>
          <w:rFonts w:ascii="Arial" w:hAnsi="Arial" w:cs="Arial"/>
        </w:rPr>
        <w:t>. In this view, sustainable development may be achieved by a balance of economic growth, community development, and environmental conservation. The hotel business is a major contributor to environmental degradation due to its massive resource use. Consideration must be given to several factors, including water use, energy consumption, and the overall carbon footprint that hotels and their visitors create</w:t>
      </w:r>
      <w:r w:rsidR="00B946C4" w:rsidRPr="002B2A20">
        <w:rPr>
          <w:rFonts w:ascii="Arial" w:hAnsi="Arial" w:cs="Arial"/>
        </w:rPr>
        <w:t xml:space="preserve"> (Kirk, 2020)</w:t>
      </w:r>
      <w:r w:rsidRPr="002B2A20">
        <w:rPr>
          <w:rFonts w:ascii="Arial" w:hAnsi="Arial" w:cs="Arial"/>
        </w:rPr>
        <w:t>. Given the scope and significance of the hotel industry, it would be foolish to dismiss the issues that have been raised. Natural and cultural aspects are essential to the long-term viability of tourism sites and the hospitality industry. In contrast, corporate social responsibility (CSR) is when businesses consider the wider community, the environment, and their shareholders when making decisions (CSR). The circular economy promotes the reusing, repairing, and recycling of goods. Human avarice and a thirst for more have led to the depletion of natural resources, causing the current crisis. The concepts of the circular economy lead to ethical behaviour. This paper will describe sustainability, its tenets, and how they pertain to the hospitality sector. The ability of the hotel industry to evolve in the face of growing challenges will also be explored. In addition, CSR examples will be used to demonstrate the circular economy and its connection to CSR activities.</w:t>
      </w:r>
    </w:p>
    <w:p w14:paraId="3EC27742" w14:textId="77777777" w:rsidR="000E36CE" w:rsidRPr="002B2A20" w:rsidRDefault="00927711" w:rsidP="002B2A20">
      <w:pPr>
        <w:spacing w:line="360" w:lineRule="auto"/>
        <w:jc w:val="both"/>
        <w:rPr>
          <w:rFonts w:ascii="Arial" w:hAnsi="Arial" w:cs="Arial"/>
        </w:rPr>
      </w:pPr>
      <w:r w:rsidRPr="002B2A20">
        <w:rPr>
          <w:rFonts w:ascii="Arial" w:hAnsi="Arial" w:cs="Arial"/>
        </w:rPr>
        <w:t>Infinite or not, sustainability guarantees the continuation of prosperity for future generations</w:t>
      </w:r>
      <w:r w:rsidR="00B946C4" w:rsidRPr="002B2A20">
        <w:rPr>
          <w:rFonts w:ascii="Arial" w:hAnsi="Arial" w:cs="Arial"/>
        </w:rPr>
        <w:t xml:space="preserve"> (Costa, 2018)</w:t>
      </w:r>
      <w:r w:rsidRPr="002B2A20">
        <w:rPr>
          <w:rFonts w:ascii="Arial" w:hAnsi="Arial" w:cs="Arial"/>
        </w:rPr>
        <w:t>. Even though "sustainability" and "environment" are not interchangeable, sustainable practices always take environmental considerations into account. Therefore, sustainability takes into account things like environmental quality, capital, and resources that may be handed down to future generations. It is unfortunately impossible to prevent the depletion of all natural resources. In the event of a loss of resources, they may be replaced by boosting funding and introducing relevant activities. Several groups are studying sustainability from a policy perspective. maintenance of unused materials for use in the future. To ensure no damage comes to people, it is necessary to provide their demands without clogging the drains.</w:t>
      </w:r>
    </w:p>
    <w:p w14:paraId="4565E808" w14:textId="77777777" w:rsidR="000E36CE" w:rsidRPr="002B2A20" w:rsidRDefault="00927711" w:rsidP="002B2A20">
      <w:pPr>
        <w:spacing w:line="360" w:lineRule="auto"/>
        <w:jc w:val="both"/>
        <w:rPr>
          <w:rFonts w:ascii="Arial" w:hAnsi="Arial" w:cs="Arial"/>
        </w:rPr>
      </w:pPr>
      <w:r w:rsidRPr="002B2A20">
        <w:rPr>
          <w:rFonts w:ascii="Arial" w:hAnsi="Arial" w:cs="Arial"/>
        </w:rPr>
        <w:t xml:space="preserve">Long-term sustainability depends on three interconnected pillars: social justice, environmental protection, and economic growth. These elements are often </w:t>
      </w:r>
      <w:r w:rsidRPr="002B2A20">
        <w:rPr>
          <w:rFonts w:ascii="Arial" w:hAnsi="Arial" w:cs="Arial"/>
        </w:rPr>
        <w:lastRenderedPageBreak/>
        <w:t xml:space="preserve">represented as interlocking rings with long-term viability at their centre (Farmiloe, 2021). It has, throughout time, shown concrete examples of what it means to be sustainable. Economists may point out several unsustainable behaviours in a consumer-driven society that places a high value on scarce resources. Numerous natural disasters, according to economists, might be avoided if the market were to take over. It's worth noting that being exposed to different kinds of situations is an integral aspect of what it is to be human. The social pillar, which considers people and their needs in the context of the universe at large, includes the planet and its resources. Therefore, several measures must be performed to keep society functional. </w:t>
      </w:r>
    </w:p>
    <w:p w14:paraId="71835890" w14:textId="77777777" w:rsidR="000E36CE" w:rsidRPr="002B2A20" w:rsidRDefault="00927711" w:rsidP="002B2A20">
      <w:pPr>
        <w:spacing w:line="360" w:lineRule="auto"/>
        <w:jc w:val="both"/>
        <w:rPr>
          <w:rFonts w:ascii="Arial" w:hAnsi="Arial" w:cs="Arial"/>
        </w:rPr>
      </w:pPr>
      <w:r w:rsidRPr="002B2A20">
        <w:rPr>
          <w:rFonts w:ascii="Arial" w:hAnsi="Arial" w:cs="Arial"/>
        </w:rPr>
        <w:t>One of the most crucial aspects of running a successful company in the twenty-first century is committing to long-term viability. One sector of the economy must adhere to socially responsible principles if it is to survive and thrive in the hotel business. The business, public, and hospitality industries are all beginning to place more emphasis on social responsibility. To maintain their reputation as friendly businesses, hotels must avoid doing any harm to the natural world. The hotel sector has included sustainability in its CSR strategy in response to government regulations, growing expenses, and competitive manoeuvres.</w:t>
      </w:r>
    </w:p>
    <w:p w14:paraId="56E98E76" w14:textId="77777777" w:rsidR="000E36CE" w:rsidRPr="002B2A20" w:rsidRDefault="00927711" w:rsidP="002B2A20">
      <w:pPr>
        <w:spacing w:line="360" w:lineRule="auto"/>
        <w:jc w:val="both"/>
        <w:rPr>
          <w:rFonts w:ascii="Arial" w:hAnsi="Arial" w:cs="Arial"/>
        </w:rPr>
      </w:pPr>
      <w:r w:rsidRPr="002B2A20">
        <w:rPr>
          <w:rFonts w:ascii="Arial" w:hAnsi="Arial" w:cs="Arial"/>
        </w:rPr>
        <w:t>Customers and guests are already one step closer to doing their part in preserving the planet. Therefore, guests have high standards for how hotels demonstrate eco-friendliness. Since this is the case, guests are more inclined to choose eco-friendly lodgings. Hotels may more easily adopt and take responsibility for sustainability when they know the efforts of their competitors</w:t>
      </w:r>
      <w:r w:rsidR="008E33AF" w:rsidRPr="002B2A20">
        <w:rPr>
          <w:rFonts w:ascii="Arial" w:hAnsi="Arial" w:cs="Arial"/>
        </w:rPr>
        <w:t xml:space="preserve"> (Mihalic, 2016)</w:t>
      </w:r>
      <w:r w:rsidRPr="002B2A20">
        <w:rPr>
          <w:rFonts w:ascii="Arial" w:hAnsi="Arial" w:cs="Arial"/>
        </w:rPr>
        <w:t>. All major players in the hotel industry are mandated by government sustainability laws to file sustainability reports that detail their efforts to be socially responsible. Such reports not only show that the hotels are conscious of the repercussions of unsustainable growth, but also that they are willing to make amends for the terrible experiences locals have had as a result of such actions. Third, increasing accommodation prices threaten business continuity. Hotels must ensure that they can keep up with their costs despite their commitment to sustainable initiatives</w:t>
      </w:r>
      <w:r w:rsidR="0087169B" w:rsidRPr="002B2A20">
        <w:rPr>
          <w:rFonts w:ascii="Arial" w:hAnsi="Arial" w:cs="Arial"/>
        </w:rPr>
        <w:t xml:space="preserve"> (Hallstrom, 2021)</w:t>
      </w:r>
      <w:r w:rsidRPr="002B2A20">
        <w:rPr>
          <w:rFonts w:ascii="Arial" w:hAnsi="Arial" w:cs="Arial"/>
        </w:rPr>
        <w:t>. Costs might be cut even more if a CSR approach were used. Therefore, CSR policies have an indirect effect on a company's bottom line.</w:t>
      </w:r>
    </w:p>
    <w:p w14:paraId="590B3256" w14:textId="77777777" w:rsidR="008375FF" w:rsidRPr="002B2A20" w:rsidRDefault="00927711" w:rsidP="002B2A20">
      <w:pPr>
        <w:spacing w:line="360" w:lineRule="auto"/>
        <w:jc w:val="both"/>
        <w:rPr>
          <w:rFonts w:ascii="Arial" w:hAnsi="Arial" w:cs="Arial"/>
        </w:rPr>
      </w:pPr>
      <w:r w:rsidRPr="002B2A20">
        <w:rPr>
          <w:rFonts w:ascii="Arial" w:hAnsi="Arial" w:cs="Arial"/>
        </w:rPr>
        <w:lastRenderedPageBreak/>
        <w:t>There are several variations in the point of view held by travellers and travel businesses all around the world. This varies considerably from nation to country and from country to country, just as the expectations of visitors from other countries vary as well. In general, research places less importance on the expectations of visitors</w:t>
      </w:r>
      <w:r w:rsidR="00EA6929" w:rsidRPr="002B2A20">
        <w:rPr>
          <w:rFonts w:ascii="Arial" w:hAnsi="Arial" w:cs="Arial"/>
        </w:rPr>
        <w:t xml:space="preserve"> (Cang, 2018)</w:t>
      </w:r>
      <w:r w:rsidRPr="002B2A20">
        <w:rPr>
          <w:rFonts w:ascii="Arial" w:hAnsi="Arial" w:cs="Arial"/>
        </w:rPr>
        <w:t>. The evaluation takes into account first-order considerations, which include things like publicity, personal experience, the public image of the place, and suggestions from other people. Because of the factors discussed above, vacationers have very specific expectations for the destinations that they want to visit. Because the majority of tourists do research on a destination before planning a vacation there, the impression that they acquire before coming may have a considerable influence on the experience that they have when they get there. To increase the number of tourists who visit and stay at a place, the appropriate authorities need to manage the destination's image and the quality of their experiences there.</w:t>
      </w:r>
    </w:p>
    <w:p w14:paraId="1D96F58B" w14:textId="77777777" w:rsidR="00E3567F" w:rsidRPr="002B2A20" w:rsidRDefault="00927711" w:rsidP="002B2A20">
      <w:pPr>
        <w:spacing w:line="360" w:lineRule="auto"/>
        <w:jc w:val="both"/>
        <w:rPr>
          <w:rFonts w:ascii="Arial" w:hAnsi="Arial" w:cs="Arial"/>
        </w:rPr>
      </w:pPr>
      <w:r w:rsidRPr="002B2A20">
        <w:rPr>
          <w:rFonts w:ascii="Arial" w:hAnsi="Arial" w:cs="Arial"/>
        </w:rPr>
        <w:t>On the other side, tourism is built on a foundation of collaborative creativity between visitors and host communities</w:t>
      </w:r>
      <w:r w:rsidR="006200A9" w:rsidRPr="002B2A20">
        <w:rPr>
          <w:rFonts w:ascii="Arial" w:hAnsi="Arial" w:cs="Arial"/>
        </w:rPr>
        <w:t xml:space="preserve"> (Phi &amp; Dredge, 2021)</w:t>
      </w:r>
      <w:r w:rsidRPr="002B2A20">
        <w:rPr>
          <w:rFonts w:ascii="Arial" w:hAnsi="Arial" w:cs="Arial"/>
        </w:rPr>
        <w:t>. The mental and emotional well-being of the visitor is of paramount importance at all stages of the journey. In particular, tourists may influence the overall or phase-based characteristics of a trip. "co-creation" refers to "systems of linked interactions and activities that connect the tourist and other players before, during, and after travel." Visitors have a more nuanced understanding of the vast array of shopping opportunities presented to them throughout their stay</w:t>
      </w:r>
      <w:r w:rsidR="007F24B9" w:rsidRPr="002B2A20">
        <w:rPr>
          <w:rFonts w:ascii="Arial" w:hAnsi="Arial" w:cs="Arial"/>
        </w:rPr>
        <w:t xml:space="preserve"> (Costa, 2018)</w:t>
      </w:r>
      <w:r w:rsidRPr="002B2A20">
        <w:rPr>
          <w:rFonts w:ascii="Arial" w:hAnsi="Arial" w:cs="Arial"/>
        </w:rPr>
        <w:t>.</w:t>
      </w:r>
    </w:p>
    <w:p w14:paraId="4356A957" w14:textId="77777777" w:rsidR="008375FF" w:rsidRPr="002B2A20" w:rsidRDefault="00927711" w:rsidP="002B2A20">
      <w:pPr>
        <w:spacing w:line="360" w:lineRule="auto"/>
        <w:jc w:val="both"/>
        <w:rPr>
          <w:rFonts w:ascii="Arial" w:hAnsi="Arial" w:cs="Arial"/>
        </w:rPr>
      </w:pPr>
      <w:r w:rsidRPr="002B2A20">
        <w:rPr>
          <w:rFonts w:ascii="Arial" w:hAnsi="Arial" w:cs="Arial"/>
        </w:rPr>
        <w:t>The success of a hotel is determined mostly by two aspects: the number of visitors it can draw in as well as its ability to keep accurate financial records</w:t>
      </w:r>
      <w:r w:rsidR="00D24111" w:rsidRPr="002B2A20">
        <w:rPr>
          <w:rFonts w:ascii="Arial" w:hAnsi="Arial" w:cs="Arial"/>
        </w:rPr>
        <w:t xml:space="preserve"> (Greelish, 2019)</w:t>
      </w:r>
      <w:r w:rsidRPr="002B2A20">
        <w:rPr>
          <w:rFonts w:ascii="Arial" w:hAnsi="Arial" w:cs="Arial"/>
        </w:rPr>
        <w:t>. Although the tactics are intended to help the company remain in business, the visits have a far higher influence on the company. For example, a hotel is responsible for doing all in its ability to uphold the five-star reputation that it has painstakingly built up over many years. This situation involves a large quantity of potential financial gain. If hotels want to make more money, they need to improve their customers' perceptions about what they expect from co-creation hotels.</w:t>
      </w:r>
    </w:p>
    <w:p w14:paraId="6EAB5242" w14:textId="77777777" w:rsidR="00B26216" w:rsidRPr="002B2A20" w:rsidRDefault="00927711" w:rsidP="002B2A20">
      <w:pPr>
        <w:spacing w:line="360" w:lineRule="auto"/>
        <w:jc w:val="both"/>
        <w:rPr>
          <w:rFonts w:ascii="Arial" w:hAnsi="Arial" w:cs="Arial"/>
        </w:rPr>
      </w:pPr>
      <w:r w:rsidRPr="002B2A20">
        <w:rPr>
          <w:rFonts w:ascii="Arial" w:hAnsi="Arial" w:cs="Arial"/>
        </w:rPr>
        <w:t>Both the first and the second laws of thermodynamics are used in the concept of a circular economy</w:t>
      </w:r>
      <w:r w:rsidR="00D24111" w:rsidRPr="002B2A20">
        <w:rPr>
          <w:rFonts w:ascii="Arial" w:hAnsi="Arial" w:cs="Arial"/>
        </w:rPr>
        <w:t xml:space="preserve"> (Faulkner, 2020)</w:t>
      </w:r>
      <w:r w:rsidRPr="002B2A20">
        <w:rPr>
          <w:rFonts w:ascii="Arial" w:hAnsi="Arial" w:cs="Arial"/>
        </w:rPr>
        <w:t xml:space="preserve">. A paradigm change is represented by the circular model, which calls for a rethinking of how resources are utilized in the economy. The </w:t>
      </w:r>
      <w:r w:rsidRPr="002B2A20">
        <w:rPr>
          <w:rFonts w:ascii="Arial" w:hAnsi="Arial" w:cs="Arial"/>
        </w:rPr>
        <w:lastRenderedPageBreak/>
        <w:t>by-products of plant life are a valuable resource that may be reused for a variety of purposes than just being thrown away. In addition, this strategy emphasizes limiting resource use, recycling, and reusing materials to reduce the amount of wasteful consumption. In a circular economy, the value of the resources is maximized as they are stored for the maximum amount of time that is practical</w:t>
      </w:r>
      <w:r w:rsidR="00EA6929" w:rsidRPr="002B2A20">
        <w:rPr>
          <w:rFonts w:ascii="Arial" w:hAnsi="Arial" w:cs="Arial"/>
        </w:rPr>
        <w:t xml:space="preserve"> (Ritchie &amp; Freed, 2021)</w:t>
      </w:r>
      <w:r w:rsidRPr="002B2A20">
        <w:rPr>
          <w:rFonts w:ascii="Arial" w:hAnsi="Arial" w:cs="Arial"/>
        </w:rPr>
        <w:t>. Not only are things that may be reused or given a new function beneficial to the environment, but they are also beneficial to the people who put them to use.</w:t>
      </w:r>
    </w:p>
    <w:p w14:paraId="3D7F9E25" w14:textId="77777777" w:rsidR="008375FF" w:rsidRPr="002B2A20" w:rsidRDefault="00927711" w:rsidP="002B2A20">
      <w:pPr>
        <w:spacing w:line="360" w:lineRule="auto"/>
        <w:jc w:val="both"/>
        <w:rPr>
          <w:rFonts w:ascii="Arial" w:hAnsi="Arial" w:cs="Arial"/>
        </w:rPr>
      </w:pPr>
      <w:r w:rsidRPr="002B2A20">
        <w:rPr>
          <w:rFonts w:ascii="Arial" w:hAnsi="Arial" w:cs="Arial"/>
        </w:rPr>
        <w:t>The circular economy and corporate social responsibility work hand in hand</w:t>
      </w:r>
      <w:r w:rsidR="00D24111" w:rsidRPr="002B2A20">
        <w:rPr>
          <w:rFonts w:ascii="Arial" w:hAnsi="Arial" w:cs="Arial"/>
        </w:rPr>
        <w:t xml:space="preserve"> (Li &amp; Xu, 2022)</w:t>
      </w:r>
      <w:r w:rsidRPr="002B2A20">
        <w:rPr>
          <w:rFonts w:ascii="Arial" w:hAnsi="Arial" w:cs="Arial"/>
        </w:rPr>
        <w:t>. As a result of the quick pace at which the global economy has developed, the importance of corporate social responsibility (also known as CSR) in the contemporary business environment has grown. Corporate social responsibility involves several tasks (CSR). As part of the concept of a circular economy, three economic functions are considered to be components of the surrounding environment. a consumer of primary resources as well as a provider of those resources and a converter of secondary resources into goods that may be used. The conclusion that can be drawn from this is that there is a link between environmental analysis and long-term viability.</w:t>
      </w:r>
    </w:p>
    <w:p w14:paraId="63E2C822" w14:textId="77777777" w:rsidR="008375FF" w:rsidRPr="002B2A20" w:rsidRDefault="00927711" w:rsidP="002B2A20">
      <w:pPr>
        <w:spacing w:line="360" w:lineRule="auto"/>
        <w:jc w:val="both"/>
        <w:rPr>
          <w:rFonts w:ascii="Arial" w:hAnsi="Arial" w:cs="Arial"/>
        </w:rPr>
      </w:pPr>
      <w:r w:rsidRPr="002B2A20">
        <w:rPr>
          <w:rFonts w:ascii="Arial" w:hAnsi="Arial" w:cs="Arial"/>
        </w:rPr>
        <w:t>CSR and the circular economy go hand in hand. The relevance of corporate social responsibility (CSR) in today's business environment has increased as the global economy has evolved at a rapid speed</w:t>
      </w:r>
      <w:r w:rsidR="00D24111" w:rsidRPr="002B2A20">
        <w:rPr>
          <w:rFonts w:ascii="Arial" w:hAnsi="Arial" w:cs="Arial"/>
        </w:rPr>
        <w:t xml:space="preserve"> (Krémer, 2019)</w:t>
      </w:r>
      <w:r w:rsidRPr="002B2A20">
        <w:rPr>
          <w:rFonts w:ascii="Arial" w:hAnsi="Arial" w:cs="Arial"/>
        </w:rPr>
        <w:t>. Corporate social responsibility encompasses several duties (CSR). Three economic functions are regarded to be part of the environment as part of a circular economy. Provider of resources, a user of primary resources, and a converter of secondary resources into usable products. Therefore, it is possible to draw a connection between environmental analysis and long-term viability.</w:t>
      </w:r>
    </w:p>
    <w:p w14:paraId="0E24A043" w14:textId="77777777" w:rsidR="008375FF" w:rsidRPr="002B2A20" w:rsidRDefault="00927711" w:rsidP="002B2A20">
      <w:pPr>
        <w:spacing w:line="360" w:lineRule="auto"/>
        <w:jc w:val="both"/>
        <w:rPr>
          <w:rFonts w:ascii="Arial" w:hAnsi="Arial" w:cs="Arial"/>
        </w:rPr>
      </w:pPr>
      <w:r w:rsidRPr="002B2A20">
        <w:rPr>
          <w:rFonts w:ascii="Arial" w:hAnsi="Arial" w:cs="Arial"/>
        </w:rPr>
        <w:t>The Landmark London Hotel recognizes that fostering sustainable growth and having a beneficial influence on the local economy, community, and culture are fundamental principles that must be upheld</w:t>
      </w:r>
      <w:r w:rsidR="00D24111" w:rsidRPr="002B2A20">
        <w:rPr>
          <w:rFonts w:ascii="Arial" w:hAnsi="Arial" w:cs="Arial"/>
        </w:rPr>
        <w:t xml:space="preserve"> (Jonas, 2021)</w:t>
      </w:r>
      <w:r w:rsidRPr="002B2A20">
        <w:rPr>
          <w:rFonts w:ascii="Arial" w:hAnsi="Arial" w:cs="Arial"/>
        </w:rPr>
        <w:t xml:space="preserve">. The hotel has decided to use this guiding concept as the foundation of its operating philosophy. The efforts of the Giving Something Back team and the Sustainability Taskforce, both of which are comprised of workers from across all levels and departments, allow the hotel to uphold the policy through several different initiatives and projects thanks to the efforts of the Giving Something Back team and the Sustainability Taskforce. Guests of the hotel are </w:t>
      </w:r>
      <w:r w:rsidRPr="002B2A20">
        <w:rPr>
          <w:rFonts w:ascii="Arial" w:hAnsi="Arial" w:cs="Arial"/>
        </w:rPr>
        <w:lastRenderedPageBreak/>
        <w:t>encouraged to work together on projects related to the establishment's corporate social responsibility efforts. All employees must recycle materials, not print emails, consider the ethical stances of suppliers before placing orders, responsibly dispose of any chemicals used, and think about the impact their decisions will have on the world around them. These are just some of the many strategies that are in place to guarantee CSTR.</w:t>
      </w:r>
    </w:p>
    <w:p w14:paraId="2E24F100" w14:textId="77777777" w:rsidR="008375FF" w:rsidRPr="002B2A20" w:rsidRDefault="00927711" w:rsidP="002B2A20">
      <w:pPr>
        <w:spacing w:line="360" w:lineRule="auto"/>
        <w:jc w:val="both"/>
        <w:rPr>
          <w:rFonts w:ascii="Arial" w:hAnsi="Arial" w:cs="Arial"/>
        </w:rPr>
      </w:pPr>
      <w:r w:rsidRPr="002B2A20">
        <w:rPr>
          <w:rFonts w:ascii="Arial" w:hAnsi="Arial" w:cs="Arial"/>
        </w:rPr>
        <w:t>The environment, the economy, and the social fabric of society all contribute to its sustainable foundation. The charity efforts of the London Landmark Hotel are only the beginning of the hotel's CSR, which is devoted to social responsibility in all its forms. There are many different kinds of hospitality events, some of which are Springboard charity and COSMI. The hotels' care for recycling and the correct disposal of hazardous waste might be the inspiration for their eco-friendly offerings</w:t>
      </w:r>
      <w:r w:rsidR="0087169B" w:rsidRPr="002B2A20">
        <w:rPr>
          <w:rFonts w:ascii="Arial" w:hAnsi="Arial" w:cs="Arial"/>
        </w:rPr>
        <w:t xml:space="preserve"> (W., 2000)</w:t>
      </w:r>
      <w:r w:rsidRPr="002B2A20">
        <w:rPr>
          <w:rFonts w:ascii="Arial" w:hAnsi="Arial" w:cs="Arial"/>
        </w:rPr>
        <w:t>. That's why this CSR strategy has such a strong foundation in environmental sustainability. The hotel's revenue management plan still puts the charity's survival ahead of its claimed purpose of mending ties with the local community.</w:t>
      </w:r>
    </w:p>
    <w:p w14:paraId="5A3E4B7D" w14:textId="77777777" w:rsidR="00B946C4" w:rsidRPr="002B2A20" w:rsidRDefault="00927711" w:rsidP="002B2A20">
      <w:pPr>
        <w:spacing w:line="360" w:lineRule="auto"/>
        <w:jc w:val="both"/>
        <w:rPr>
          <w:rFonts w:ascii="Arial" w:hAnsi="Arial" w:cs="Arial"/>
        </w:rPr>
      </w:pPr>
      <w:r w:rsidRPr="002B2A20">
        <w:rPr>
          <w:rFonts w:ascii="Arial" w:hAnsi="Arial" w:cs="Arial"/>
        </w:rPr>
        <w:t>The study concludes by discussing how the hotel industry might become more sustainable by implementing several suggested changes. Studies show that hotels contribute significantly to the economies of many countries. Changes in one sector might have repercussions in the other due to the interconnected nature of the hotel and tourist businesses. Therefore, to survive, hotels need to adopt sustainable practices that are in line with the three pillars of sustainability. One company that has made significant strides in CSR is the London Landmark Hotels.</w:t>
      </w:r>
    </w:p>
    <w:p w14:paraId="22E2E6FC" w14:textId="77777777" w:rsidR="00B946C4" w:rsidRPr="002B2A20" w:rsidRDefault="00B946C4" w:rsidP="002B2A20">
      <w:pPr>
        <w:spacing w:line="360" w:lineRule="auto"/>
        <w:jc w:val="both"/>
        <w:rPr>
          <w:rFonts w:ascii="Arial" w:hAnsi="Arial" w:cs="Arial"/>
        </w:rPr>
      </w:pPr>
      <w:r w:rsidRPr="002B2A20">
        <w:rPr>
          <w:rFonts w:ascii="Arial" w:hAnsi="Arial" w:cs="Arial"/>
        </w:rPr>
        <w:br w:type="page"/>
      </w:r>
    </w:p>
    <w:p w14:paraId="75C40C96" w14:textId="77777777" w:rsidR="008375FF" w:rsidRPr="002B2A20" w:rsidRDefault="00B946C4" w:rsidP="002B2A20">
      <w:pPr>
        <w:pStyle w:val="Heading1"/>
        <w:spacing w:line="360" w:lineRule="auto"/>
        <w:jc w:val="both"/>
        <w:rPr>
          <w:rFonts w:ascii="Arial" w:hAnsi="Arial" w:cs="Arial"/>
        </w:rPr>
      </w:pPr>
      <w:bookmarkStart w:id="1" w:name="_Toc116982111"/>
      <w:r w:rsidRPr="002B2A20">
        <w:rPr>
          <w:rFonts w:ascii="Arial" w:hAnsi="Arial" w:cs="Arial"/>
        </w:rPr>
        <w:lastRenderedPageBreak/>
        <w:t>Reference</w:t>
      </w:r>
      <w:bookmarkEnd w:id="1"/>
    </w:p>
    <w:p w14:paraId="7D23DBC9"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Cang, S. (2018) “Expectation maximization algorithm cluster analysis for UK National Trust Visitors,” </w:t>
      </w:r>
      <w:r w:rsidRPr="002B2A20">
        <w:rPr>
          <w:rFonts w:ascii="Arial" w:hAnsi="Arial" w:cs="Arial"/>
          <w:i/>
          <w:iCs/>
        </w:rPr>
        <w:t>Tourism Analysis</w:t>
      </w:r>
      <w:r w:rsidRPr="002B2A20">
        <w:rPr>
          <w:rFonts w:ascii="Arial" w:hAnsi="Arial" w:cs="Arial"/>
        </w:rPr>
        <w:t xml:space="preserve">, 14(5), pp. 637–650. Available at: https://doi.org/10.3727/108354209x12597959359257. </w:t>
      </w:r>
    </w:p>
    <w:p w14:paraId="63B3B39D"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Costa, F. (2018) </w:t>
      </w:r>
      <w:r w:rsidRPr="002B2A20">
        <w:rPr>
          <w:rFonts w:ascii="Arial" w:hAnsi="Arial" w:cs="Arial"/>
          <w:i/>
          <w:iCs/>
        </w:rPr>
        <w:t>Considering future generations - sustainability in theory and Practice</w:t>
      </w:r>
      <w:r w:rsidRPr="002B2A20">
        <w:rPr>
          <w:rFonts w:ascii="Arial" w:hAnsi="Arial" w:cs="Arial"/>
        </w:rPr>
        <w:t xml:space="preserve">, </w:t>
      </w:r>
      <w:r w:rsidRPr="002B2A20">
        <w:rPr>
          <w:rFonts w:ascii="Arial" w:hAnsi="Arial" w:cs="Arial"/>
          <w:i/>
          <w:iCs/>
        </w:rPr>
        <w:t>Considering future generations - sustainability in theory and practice | Treasury.gov.au</w:t>
      </w:r>
      <w:r w:rsidRPr="002B2A20">
        <w:rPr>
          <w:rFonts w:ascii="Arial" w:hAnsi="Arial" w:cs="Arial"/>
        </w:rPr>
        <w:t xml:space="preserve">. Available at: https://treasury.gov.au/publication/economic-roundup-issue-3-2012-2/economic-roundup-issue-3-2012/considering-future-generations-sustainability-in-theory-and-practice (Accessed: October 18, 2022). </w:t>
      </w:r>
    </w:p>
    <w:p w14:paraId="7FFE8924" w14:textId="77777777" w:rsidR="0096395C" w:rsidRPr="002B2A20" w:rsidRDefault="0096395C" w:rsidP="002B2A20">
      <w:pPr>
        <w:pStyle w:val="NormalWeb"/>
        <w:spacing w:line="360" w:lineRule="auto"/>
        <w:ind w:left="567" w:hanging="567"/>
        <w:rPr>
          <w:rFonts w:ascii="Arial" w:hAnsi="Arial" w:cs="Arial"/>
        </w:rPr>
      </w:pPr>
      <w:r w:rsidRPr="002B2A20">
        <w:rPr>
          <w:rFonts w:ascii="Arial" w:hAnsi="Arial" w:cs="Arial"/>
        </w:rPr>
        <w:t>Esken, B., Franco-García, M.L. and Fisscher, O.A., 2018. CSR perception as a signpost for circular economy. </w:t>
      </w:r>
      <w:r w:rsidRPr="002B2A20">
        <w:rPr>
          <w:rFonts w:ascii="Arial" w:hAnsi="Arial" w:cs="Arial"/>
          <w:i/>
          <w:iCs/>
        </w:rPr>
        <w:t>Management research review</w:t>
      </w:r>
      <w:r w:rsidRPr="002B2A20">
        <w:rPr>
          <w:rFonts w:ascii="Arial" w:hAnsi="Arial" w:cs="Arial"/>
        </w:rPr>
        <w:t>.</w:t>
      </w:r>
    </w:p>
    <w:p w14:paraId="62E014A0"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Farmiloe, B. (2021) </w:t>
      </w:r>
      <w:r w:rsidRPr="002B2A20">
        <w:rPr>
          <w:rFonts w:ascii="Arial" w:hAnsi="Arial" w:cs="Arial"/>
          <w:i/>
          <w:iCs/>
        </w:rPr>
        <w:t>9 long-term sustainability strategies for small businesses • conscious capitalism Arizona</w:t>
      </w:r>
      <w:r w:rsidRPr="002B2A20">
        <w:rPr>
          <w:rFonts w:ascii="Arial" w:hAnsi="Arial" w:cs="Arial"/>
        </w:rPr>
        <w:t xml:space="preserve">, </w:t>
      </w:r>
      <w:r w:rsidRPr="002B2A20">
        <w:rPr>
          <w:rFonts w:ascii="Arial" w:hAnsi="Arial" w:cs="Arial"/>
          <w:i/>
          <w:iCs/>
        </w:rPr>
        <w:t>Conscious Capitalism Arizona</w:t>
      </w:r>
      <w:r w:rsidRPr="002B2A20">
        <w:rPr>
          <w:rFonts w:ascii="Arial" w:hAnsi="Arial" w:cs="Arial"/>
        </w:rPr>
        <w:t xml:space="preserve">. Available at: https://ccarizona.org/long-term-sustainability-strategies/ (Accessed: October 18, 2022). </w:t>
      </w:r>
    </w:p>
    <w:p w14:paraId="4984235A"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Faulkner, D.D.R. (2020) </w:t>
      </w:r>
      <w:r w:rsidRPr="002B2A20">
        <w:rPr>
          <w:rFonts w:ascii="Arial" w:hAnsi="Arial" w:cs="Arial"/>
          <w:i/>
          <w:iCs/>
        </w:rPr>
        <w:t>The first and second laws of thermodynamics and the origin of the universe</w:t>
      </w:r>
      <w:r w:rsidRPr="002B2A20">
        <w:rPr>
          <w:rFonts w:ascii="Arial" w:hAnsi="Arial" w:cs="Arial"/>
        </w:rPr>
        <w:t xml:space="preserve">, </w:t>
      </w:r>
      <w:r w:rsidRPr="002B2A20">
        <w:rPr>
          <w:rFonts w:ascii="Arial" w:hAnsi="Arial" w:cs="Arial"/>
          <w:i/>
          <w:iCs/>
        </w:rPr>
        <w:t>Answers in Genesis</w:t>
      </w:r>
      <w:r w:rsidRPr="002B2A20">
        <w:rPr>
          <w:rFonts w:ascii="Arial" w:hAnsi="Arial" w:cs="Arial"/>
        </w:rPr>
        <w:t xml:space="preserve">. Answers In Genesis. Available at: https://answersingenesis.org/physics/the-first-and-second-laws-of-thermodynamics-and-the-origin-of-the-universe/ (Accessed: October 18, 2022). </w:t>
      </w:r>
    </w:p>
    <w:p w14:paraId="6D4D1CBE" w14:textId="77777777" w:rsidR="0096395C" w:rsidRPr="002B2A20" w:rsidRDefault="0096395C" w:rsidP="002B2A20">
      <w:pPr>
        <w:pStyle w:val="NormalWeb"/>
        <w:spacing w:line="360" w:lineRule="auto"/>
        <w:ind w:left="567" w:hanging="567"/>
        <w:rPr>
          <w:rFonts w:ascii="Arial" w:hAnsi="Arial" w:cs="Arial"/>
          <w:lang w:val="en-US"/>
        </w:rPr>
      </w:pPr>
      <w:r w:rsidRPr="002B2A20">
        <w:rPr>
          <w:rFonts w:ascii="Arial" w:hAnsi="Arial" w:cs="Arial"/>
          <w:lang w:val="en-US"/>
        </w:rPr>
        <w:t>Font, X., 2017. Sustainability in the hospitality industry: Principles of sustainable operations. </w:t>
      </w:r>
      <w:r w:rsidRPr="002B2A20">
        <w:rPr>
          <w:rFonts w:ascii="Arial" w:hAnsi="Arial" w:cs="Arial"/>
          <w:i/>
          <w:iCs/>
          <w:lang w:val="en-US"/>
        </w:rPr>
        <w:t>Tourism Management</w:t>
      </w:r>
      <w:r w:rsidRPr="002B2A20">
        <w:rPr>
          <w:rFonts w:ascii="Arial" w:hAnsi="Arial" w:cs="Arial"/>
          <w:lang w:val="en-US"/>
        </w:rPr>
        <w:t>, 63, pp.10-11.</w:t>
      </w:r>
    </w:p>
    <w:p w14:paraId="42549830" w14:textId="77777777" w:rsidR="0096395C" w:rsidRPr="002B2A20" w:rsidRDefault="0096395C" w:rsidP="002B2A20">
      <w:pPr>
        <w:pStyle w:val="NormalWeb"/>
        <w:spacing w:line="360" w:lineRule="auto"/>
        <w:ind w:left="567" w:hanging="567"/>
        <w:rPr>
          <w:rFonts w:ascii="Arial" w:hAnsi="Arial" w:cs="Arial"/>
          <w:lang w:val="en-US"/>
        </w:rPr>
      </w:pPr>
      <w:r w:rsidRPr="002B2A20">
        <w:rPr>
          <w:rFonts w:ascii="Arial" w:hAnsi="Arial" w:cs="Arial"/>
          <w:lang w:val="en-US"/>
        </w:rPr>
        <w:t>Geiger, N., Swim, J. and Benson, L., 2021. Using the three-pillar model of sustainability to understand lay reactions to climate policy: A multilevel approach. </w:t>
      </w:r>
      <w:r w:rsidRPr="002B2A20">
        <w:rPr>
          <w:rFonts w:ascii="Arial" w:hAnsi="Arial" w:cs="Arial"/>
          <w:i/>
          <w:iCs/>
          <w:lang w:val="en-US"/>
        </w:rPr>
        <w:t>Environmental Science &amp;amp; Policy</w:t>
      </w:r>
      <w:r w:rsidRPr="002B2A20">
        <w:rPr>
          <w:rFonts w:ascii="Arial" w:hAnsi="Arial" w:cs="Arial"/>
          <w:lang w:val="en-US"/>
        </w:rPr>
        <w:t>, 126, pp.132-141.</w:t>
      </w:r>
    </w:p>
    <w:p w14:paraId="425F4A52"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Greelish, F. (2019) “Best practices guide – successful energy efficiency technologies integration in SME Hotels.” Available at: https://doi.org/10.18111/9789284414994. </w:t>
      </w:r>
    </w:p>
    <w:p w14:paraId="5CB3004F"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lastRenderedPageBreak/>
        <w:t xml:space="preserve">Hallstrom, C. (2021) </w:t>
      </w:r>
      <w:r w:rsidRPr="002B2A20">
        <w:rPr>
          <w:rFonts w:ascii="Arial" w:hAnsi="Arial" w:cs="Arial"/>
          <w:i/>
          <w:iCs/>
        </w:rPr>
        <w:t>Customer expectations in hotels: How to make your guests happy every time</w:t>
      </w:r>
      <w:r w:rsidRPr="002B2A20">
        <w:rPr>
          <w:rFonts w:ascii="Arial" w:hAnsi="Arial" w:cs="Arial"/>
        </w:rPr>
        <w:t xml:space="preserve">, </w:t>
      </w:r>
      <w:r w:rsidRPr="002B2A20">
        <w:rPr>
          <w:rFonts w:ascii="Arial" w:hAnsi="Arial" w:cs="Arial"/>
          <w:i/>
          <w:iCs/>
        </w:rPr>
        <w:t>HermesThemes</w:t>
      </w:r>
      <w:r w:rsidRPr="002B2A20">
        <w:rPr>
          <w:rFonts w:ascii="Arial" w:hAnsi="Arial" w:cs="Arial"/>
        </w:rPr>
        <w:t xml:space="preserve">. Available at: https://www.hermesthemes.com/customer-expectations-hotels-make-guests-happy-every-time/ (Accessed: October 18, 2022). </w:t>
      </w:r>
    </w:p>
    <w:p w14:paraId="5A1FAC57" w14:textId="77777777" w:rsidR="0096395C" w:rsidRPr="002B2A20" w:rsidRDefault="0096395C" w:rsidP="002B2A20">
      <w:pPr>
        <w:pStyle w:val="NormalWeb"/>
        <w:spacing w:line="360" w:lineRule="auto"/>
        <w:ind w:left="567" w:hanging="567"/>
        <w:rPr>
          <w:rFonts w:ascii="Arial" w:hAnsi="Arial" w:cs="Arial"/>
          <w:lang w:val="en-US"/>
        </w:rPr>
      </w:pPr>
      <w:r w:rsidRPr="002B2A20">
        <w:rPr>
          <w:rFonts w:ascii="Arial" w:hAnsi="Arial" w:cs="Arial"/>
          <w:lang w:val="en-US"/>
        </w:rPr>
        <w:t>Hamid, M., 2022. CSR in Tourism Industry. </w:t>
      </w:r>
      <w:r w:rsidRPr="002B2A20">
        <w:rPr>
          <w:rFonts w:ascii="Arial" w:hAnsi="Arial" w:cs="Arial"/>
          <w:i/>
          <w:iCs/>
          <w:lang w:val="en-US"/>
        </w:rPr>
        <w:t>SSRN Electronic Journal</w:t>
      </w:r>
      <w:r w:rsidRPr="002B2A20">
        <w:rPr>
          <w:rFonts w:ascii="Arial" w:hAnsi="Arial" w:cs="Arial"/>
          <w:lang w:val="en-US"/>
        </w:rPr>
        <w:t>,.</w:t>
      </w:r>
    </w:p>
    <w:p w14:paraId="0C23770D" w14:textId="77777777" w:rsidR="0096395C" w:rsidRPr="002B2A20" w:rsidRDefault="0096395C" w:rsidP="002B2A20">
      <w:pPr>
        <w:pStyle w:val="NormalWeb"/>
        <w:spacing w:line="360" w:lineRule="auto"/>
        <w:ind w:left="567" w:hanging="567"/>
        <w:rPr>
          <w:rFonts w:ascii="Arial" w:hAnsi="Arial" w:cs="Arial"/>
          <w:lang w:val="en-US"/>
        </w:rPr>
      </w:pPr>
      <w:r w:rsidRPr="002B2A20">
        <w:rPr>
          <w:rFonts w:ascii="Arial" w:hAnsi="Arial" w:cs="Arial"/>
          <w:lang w:val="en-US"/>
        </w:rPr>
        <w:t>Hawn, O. and Kang, H., 2021. The Market for Corporate Social Responsibility (CSR): How Industry Structure Determines CSR. </w:t>
      </w:r>
      <w:r w:rsidRPr="002B2A20">
        <w:rPr>
          <w:rFonts w:ascii="Arial" w:hAnsi="Arial" w:cs="Arial"/>
          <w:i/>
          <w:iCs/>
          <w:lang w:val="en-US"/>
        </w:rPr>
        <w:t>SSRN Electronic Journal</w:t>
      </w:r>
      <w:r w:rsidRPr="002B2A20">
        <w:rPr>
          <w:rFonts w:ascii="Arial" w:hAnsi="Arial" w:cs="Arial"/>
          <w:lang w:val="en-US"/>
        </w:rPr>
        <w:t>,.</w:t>
      </w:r>
    </w:p>
    <w:p w14:paraId="479AE159"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Jonas, M. (2021) </w:t>
      </w:r>
      <w:r w:rsidRPr="002B2A20">
        <w:rPr>
          <w:rFonts w:ascii="Arial" w:hAnsi="Arial" w:cs="Arial"/>
          <w:i/>
          <w:iCs/>
        </w:rPr>
        <w:t>Corporate Social Responsibility Policy: The landmark london</w:t>
      </w:r>
      <w:r w:rsidRPr="002B2A20">
        <w:rPr>
          <w:rFonts w:ascii="Arial" w:hAnsi="Arial" w:cs="Arial"/>
        </w:rPr>
        <w:t xml:space="preserve">, </w:t>
      </w:r>
      <w:r w:rsidRPr="002B2A20">
        <w:rPr>
          <w:rFonts w:ascii="Arial" w:hAnsi="Arial" w:cs="Arial"/>
          <w:i/>
          <w:iCs/>
        </w:rPr>
        <w:t>The Landmark London Hotel</w:t>
      </w:r>
      <w:r w:rsidRPr="002B2A20">
        <w:rPr>
          <w:rFonts w:ascii="Arial" w:hAnsi="Arial" w:cs="Arial"/>
        </w:rPr>
        <w:t xml:space="preserve">. Available at: https://www.landmarklondon.co.uk/corporate-social-responsibility/ (Accessed: October 18, 2022). </w:t>
      </w:r>
    </w:p>
    <w:p w14:paraId="1BC3F2F1"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Kirk, D. (2020) “Management of the indoor environment,” </w:t>
      </w:r>
      <w:r w:rsidRPr="002B2A20">
        <w:rPr>
          <w:rFonts w:ascii="Arial" w:hAnsi="Arial" w:cs="Arial"/>
          <w:i/>
          <w:iCs/>
        </w:rPr>
        <w:t>Environmental Management for Hotels</w:t>
      </w:r>
      <w:r w:rsidRPr="002B2A20">
        <w:rPr>
          <w:rFonts w:ascii="Arial" w:hAnsi="Arial" w:cs="Arial"/>
        </w:rPr>
        <w:t xml:space="preserve">, pp. 80–101. Available at: https://doi.org/10.1016/b978-0-7506-2380-3.50008-5. </w:t>
      </w:r>
    </w:p>
    <w:p w14:paraId="474BD8B3"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Krémer, V. (2019) “The impact of CSR on job satisfaction and employee retention in Hungarian Hotels,” </w:t>
      </w:r>
      <w:r w:rsidRPr="002B2A20">
        <w:rPr>
          <w:rFonts w:ascii="Arial" w:hAnsi="Arial" w:cs="Arial"/>
          <w:i/>
          <w:iCs/>
        </w:rPr>
        <w:t>International Dimensions of Sustainable Management</w:t>
      </w:r>
      <w:r w:rsidRPr="002B2A20">
        <w:rPr>
          <w:rFonts w:ascii="Arial" w:hAnsi="Arial" w:cs="Arial"/>
        </w:rPr>
        <w:t xml:space="preserve">, pp. 307–327. Available at: https://doi.org/10.1007/978-3-030-04819-8_19. </w:t>
      </w:r>
    </w:p>
    <w:p w14:paraId="43C51A00"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Li, J. and Xu, G. (2022) “Circular economy towards Zero waste and decarbonization,” </w:t>
      </w:r>
      <w:r w:rsidRPr="002B2A20">
        <w:rPr>
          <w:rFonts w:ascii="Arial" w:hAnsi="Arial" w:cs="Arial"/>
          <w:i/>
          <w:iCs/>
        </w:rPr>
        <w:t>Circular Economy</w:t>
      </w:r>
      <w:r w:rsidRPr="002B2A20">
        <w:rPr>
          <w:rFonts w:ascii="Arial" w:hAnsi="Arial" w:cs="Arial"/>
        </w:rPr>
        <w:t xml:space="preserve">, 1(1), p. 100002. Available at: https://doi.org/10.1016/j.cec.2022.100002. </w:t>
      </w:r>
    </w:p>
    <w:p w14:paraId="7B835D12"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Mihalic, T. (2016) </w:t>
      </w:r>
      <w:r w:rsidRPr="002B2A20">
        <w:rPr>
          <w:rFonts w:ascii="Arial" w:hAnsi="Arial" w:cs="Arial"/>
          <w:i/>
          <w:iCs/>
        </w:rPr>
        <w:t>Hotels and Sustainability</w:t>
      </w:r>
      <w:r w:rsidRPr="002B2A20">
        <w:rPr>
          <w:rFonts w:ascii="Arial" w:hAnsi="Arial" w:cs="Arial"/>
        </w:rPr>
        <w:t xml:space="preserve">, </w:t>
      </w:r>
      <w:r w:rsidRPr="002B2A20">
        <w:rPr>
          <w:rFonts w:ascii="Arial" w:hAnsi="Arial" w:cs="Arial"/>
          <w:i/>
          <w:iCs/>
        </w:rPr>
        <w:t>Sustainable Tourism and Responsible Travel</w:t>
      </w:r>
      <w:r w:rsidRPr="002B2A20">
        <w:rPr>
          <w:rFonts w:ascii="Arial" w:hAnsi="Arial" w:cs="Arial"/>
        </w:rPr>
        <w:t xml:space="preserve">. Available at: https://sustainabletourismandresponsibletravel.com/hotels-and-sustainability/ (Accessed: October 18, 2022). </w:t>
      </w:r>
    </w:p>
    <w:p w14:paraId="79966B07"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Nossoni, G. and Braxtan, N. (2019) “Making students cognizant of sustainability through a multidisciplinary term project in low-level courses,” </w:t>
      </w:r>
      <w:r w:rsidRPr="002B2A20">
        <w:rPr>
          <w:rFonts w:ascii="Arial" w:hAnsi="Arial" w:cs="Arial"/>
          <w:i/>
          <w:iCs/>
        </w:rPr>
        <w:t>2015 ASEE Annual Conference and Exposition Proceedings</w:t>
      </w:r>
      <w:r w:rsidRPr="002B2A20">
        <w:rPr>
          <w:rFonts w:ascii="Arial" w:hAnsi="Arial" w:cs="Arial"/>
        </w:rPr>
        <w:t xml:space="preserve"> [Preprint]. Available at: https://doi.org/10.18260/p.24463. </w:t>
      </w:r>
    </w:p>
    <w:p w14:paraId="1A94F68A"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lastRenderedPageBreak/>
        <w:t xml:space="preserve">Phi, G.T. and Dredge, D. (2021) “Introduction: Critical issues in tourism co-creation,” </w:t>
      </w:r>
      <w:r w:rsidRPr="002B2A20">
        <w:rPr>
          <w:rFonts w:ascii="Arial" w:hAnsi="Arial" w:cs="Arial"/>
          <w:i/>
          <w:iCs/>
        </w:rPr>
        <w:t>Critical Issues in Tourism Co-Creation</w:t>
      </w:r>
      <w:r w:rsidRPr="002B2A20">
        <w:rPr>
          <w:rFonts w:ascii="Arial" w:hAnsi="Arial" w:cs="Arial"/>
        </w:rPr>
        <w:t xml:space="preserve">, pp. 1–4. Available at: https://doi.org/10.4324/9781003165835-1. </w:t>
      </w:r>
    </w:p>
    <w:p w14:paraId="5FC2BD82"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Ritchie, K.J. and Freed, E.C. (2021) </w:t>
      </w:r>
      <w:r w:rsidRPr="002B2A20">
        <w:rPr>
          <w:rFonts w:ascii="Arial" w:hAnsi="Arial" w:cs="Arial"/>
          <w:i/>
          <w:iCs/>
        </w:rPr>
        <w:t>Circular economy</w:t>
      </w:r>
      <w:r w:rsidRPr="002B2A20">
        <w:rPr>
          <w:rFonts w:ascii="Arial" w:hAnsi="Arial" w:cs="Arial"/>
        </w:rPr>
        <w:t xml:space="preserve">. Hoboken, NJ: John Wiley &amp; Sons, Inc. </w:t>
      </w:r>
    </w:p>
    <w:p w14:paraId="4CED18F7" w14:textId="77777777" w:rsidR="0096395C" w:rsidRPr="002B2A20" w:rsidRDefault="0096395C" w:rsidP="002B2A20">
      <w:pPr>
        <w:pStyle w:val="NormalWeb"/>
        <w:spacing w:line="360" w:lineRule="auto"/>
        <w:ind w:left="567" w:hanging="567"/>
        <w:jc w:val="both"/>
        <w:rPr>
          <w:rFonts w:ascii="Arial" w:hAnsi="Arial" w:cs="Arial"/>
        </w:rPr>
      </w:pPr>
      <w:r w:rsidRPr="002B2A20">
        <w:rPr>
          <w:rFonts w:ascii="Arial" w:hAnsi="Arial" w:cs="Arial"/>
        </w:rPr>
        <w:t xml:space="preserve">W., G. (2000) “Hotels: Recycling and Reuse,” </w:t>
      </w:r>
      <w:r w:rsidRPr="002B2A20">
        <w:rPr>
          <w:rFonts w:ascii="Arial" w:hAnsi="Arial" w:cs="Arial"/>
          <w:i/>
          <w:iCs/>
        </w:rPr>
        <w:t>Cornell Hotel and Restaurant Administration Quarterly</w:t>
      </w:r>
      <w:r w:rsidRPr="002B2A20">
        <w:rPr>
          <w:rFonts w:ascii="Arial" w:hAnsi="Arial" w:cs="Arial"/>
        </w:rPr>
        <w:t xml:space="preserve">, 41(5), pp. 10–10. Available at: https://doi.org/10.1177/001088040004100512. </w:t>
      </w:r>
    </w:p>
    <w:sectPr w:rsidR="0096395C" w:rsidRPr="002B2A2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3D263" w14:textId="77777777" w:rsidR="00213D5C" w:rsidRDefault="00213D5C" w:rsidP="00A82BBE">
      <w:pPr>
        <w:spacing w:after="0" w:line="240" w:lineRule="auto"/>
      </w:pPr>
      <w:r>
        <w:separator/>
      </w:r>
    </w:p>
  </w:endnote>
  <w:endnote w:type="continuationSeparator" w:id="0">
    <w:p w14:paraId="0142088B" w14:textId="77777777" w:rsidR="00213D5C" w:rsidRDefault="00213D5C" w:rsidP="00A82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3592310"/>
      <w:docPartObj>
        <w:docPartGallery w:val="Page Numbers (Bottom of Page)"/>
        <w:docPartUnique/>
      </w:docPartObj>
    </w:sdtPr>
    <w:sdtEndPr/>
    <w:sdtContent>
      <w:p w14:paraId="01B389DB" w14:textId="77777777" w:rsidR="00A82BBE" w:rsidRDefault="0096395C">
        <w:pPr>
          <w:pStyle w:val="Footer"/>
        </w:pPr>
        <w:r>
          <w:rPr>
            <w:noProof/>
            <w:lang w:val="en-US"/>
          </w:rPr>
          <mc:AlternateContent>
            <mc:Choice Requires="wps">
              <w:drawing>
                <wp:anchor distT="0" distB="0" distL="114300" distR="114300" simplePos="0" relativeHeight="251660288" behindDoc="0" locked="0" layoutInCell="1" allowOverlap="1" wp14:anchorId="2DFDDBFA" wp14:editId="7EECD1B8">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E625C30" w14:textId="77777777" w:rsidR="0096395C" w:rsidRDefault="0096395C">
                              <w:pPr>
                                <w:jc w:val="center"/>
                              </w:pPr>
                              <w:r>
                                <w:fldChar w:fldCharType="begin"/>
                              </w:r>
                              <w:r>
                                <w:instrText xml:space="preserve"> PAGE    \* MERGEFORMAT </w:instrText>
                              </w:r>
                              <w:r>
                                <w:fldChar w:fldCharType="separate"/>
                              </w:r>
                              <w:r w:rsidR="002B2A20">
                                <w:rPr>
                                  <w:noProof/>
                                </w:rPr>
                                <w:t>6</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DFDDBF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3E625C30" w14:textId="77777777" w:rsidR="0096395C" w:rsidRDefault="0096395C">
                        <w:pPr>
                          <w:jc w:val="center"/>
                        </w:pPr>
                        <w:r>
                          <w:fldChar w:fldCharType="begin"/>
                        </w:r>
                        <w:r>
                          <w:instrText xml:space="preserve"> PAGE    \* MERGEFORMAT </w:instrText>
                        </w:r>
                        <w:r>
                          <w:fldChar w:fldCharType="separate"/>
                        </w:r>
                        <w:r w:rsidR="002B2A20">
                          <w:rPr>
                            <w:noProof/>
                          </w:rPr>
                          <w:t>6</w:t>
                        </w:r>
                        <w:r>
                          <w:rPr>
                            <w:noProof/>
                          </w:rPr>
                          <w:fldChar w:fldCharType="end"/>
                        </w: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1" allowOverlap="1" wp14:anchorId="5E36801F" wp14:editId="6BDDFDE6">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030DA3D"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20B0C" w14:textId="77777777" w:rsidR="00213D5C" w:rsidRDefault="00213D5C" w:rsidP="00A82BBE">
      <w:pPr>
        <w:spacing w:after="0" w:line="240" w:lineRule="auto"/>
      </w:pPr>
      <w:r>
        <w:separator/>
      </w:r>
    </w:p>
  </w:footnote>
  <w:footnote w:type="continuationSeparator" w:id="0">
    <w:p w14:paraId="179D0CF7" w14:textId="77777777" w:rsidR="00213D5C" w:rsidRDefault="00213D5C" w:rsidP="00A82B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043"/>
    <w:rsid w:val="0001061F"/>
    <w:rsid w:val="00051F44"/>
    <w:rsid w:val="000E36CE"/>
    <w:rsid w:val="001343A4"/>
    <w:rsid w:val="00213D5C"/>
    <w:rsid w:val="002B2A20"/>
    <w:rsid w:val="003C22B2"/>
    <w:rsid w:val="0048202A"/>
    <w:rsid w:val="00550E54"/>
    <w:rsid w:val="006200A9"/>
    <w:rsid w:val="007A4FFB"/>
    <w:rsid w:val="007F24B9"/>
    <w:rsid w:val="008375FF"/>
    <w:rsid w:val="0087169B"/>
    <w:rsid w:val="008E33AF"/>
    <w:rsid w:val="00927711"/>
    <w:rsid w:val="0096395C"/>
    <w:rsid w:val="00A559DF"/>
    <w:rsid w:val="00A82BBE"/>
    <w:rsid w:val="00AD4043"/>
    <w:rsid w:val="00B26216"/>
    <w:rsid w:val="00B946C4"/>
    <w:rsid w:val="00BD1AF6"/>
    <w:rsid w:val="00C2093F"/>
    <w:rsid w:val="00D24111"/>
    <w:rsid w:val="00E3567F"/>
    <w:rsid w:val="00E94650"/>
    <w:rsid w:val="00EA6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8A9FA"/>
  <w15:chartTrackingRefBased/>
  <w15:docId w15:val="{41D64F51-95B0-435B-89E8-C926B41A9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6CE"/>
    <w:rPr>
      <w:rFonts w:ascii="Times New Roman" w:hAnsi="Times New Roman"/>
      <w:sz w:val="24"/>
    </w:rPr>
  </w:style>
  <w:style w:type="paragraph" w:styleId="Heading1">
    <w:name w:val="heading 1"/>
    <w:basedOn w:val="Normal"/>
    <w:next w:val="Normal"/>
    <w:link w:val="Heading1Char"/>
    <w:uiPriority w:val="9"/>
    <w:qFormat/>
    <w:rsid w:val="00B946C4"/>
    <w:pPr>
      <w:keepNext/>
      <w:keepLines/>
      <w:spacing w:before="240" w:after="0"/>
      <w:outlineLvl w:val="0"/>
    </w:pPr>
    <w:rPr>
      <w:rFonts w:eastAsiaTheme="majorEastAsia"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6C4"/>
    <w:rPr>
      <w:rFonts w:ascii="Times New Roman" w:eastAsiaTheme="majorEastAsia" w:hAnsi="Times New Roman" w:cstheme="majorBidi"/>
      <w:b/>
      <w:color w:val="000000" w:themeColor="text1"/>
      <w:sz w:val="32"/>
      <w:szCs w:val="32"/>
    </w:rPr>
  </w:style>
  <w:style w:type="paragraph" w:styleId="NormalWeb">
    <w:name w:val="Normal (Web)"/>
    <w:basedOn w:val="Normal"/>
    <w:uiPriority w:val="99"/>
    <w:unhideWhenUsed/>
    <w:rsid w:val="008E33AF"/>
    <w:pPr>
      <w:spacing w:before="100" w:beforeAutospacing="1" w:after="100" w:afterAutospacing="1" w:line="240" w:lineRule="auto"/>
    </w:pPr>
    <w:rPr>
      <w:rFonts w:eastAsia="Times New Roman" w:cs="Times New Roman"/>
      <w:szCs w:val="24"/>
      <w:lang w:eastAsia="en-GB"/>
    </w:rPr>
  </w:style>
  <w:style w:type="paragraph" w:styleId="Header">
    <w:name w:val="header"/>
    <w:basedOn w:val="Normal"/>
    <w:link w:val="HeaderChar"/>
    <w:uiPriority w:val="99"/>
    <w:unhideWhenUsed/>
    <w:rsid w:val="00A82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BBE"/>
    <w:rPr>
      <w:rFonts w:ascii="Times New Roman" w:hAnsi="Times New Roman"/>
      <w:sz w:val="24"/>
    </w:rPr>
  </w:style>
  <w:style w:type="paragraph" w:styleId="Footer">
    <w:name w:val="footer"/>
    <w:basedOn w:val="Normal"/>
    <w:link w:val="FooterChar"/>
    <w:uiPriority w:val="99"/>
    <w:unhideWhenUsed/>
    <w:rsid w:val="00A82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BBE"/>
    <w:rPr>
      <w:rFonts w:ascii="Times New Roman" w:hAnsi="Times New Roman"/>
      <w:sz w:val="24"/>
    </w:rPr>
  </w:style>
  <w:style w:type="paragraph" w:styleId="TOCHeading">
    <w:name w:val="TOC Heading"/>
    <w:basedOn w:val="Heading1"/>
    <w:next w:val="Normal"/>
    <w:uiPriority w:val="39"/>
    <w:unhideWhenUsed/>
    <w:qFormat/>
    <w:rsid w:val="00A82BBE"/>
    <w:pPr>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A82BBE"/>
    <w:pPr>
      <w:spacing w:after="100"/>
    </w:pPr>
  </w:style>
  <w:style w:type="character" w:styleId="Hyperlink">
    <w:name w:val="Hyperlink"/>
    <w:basedOn w:val="DefaultParagraphFont"/>
    <w:uiPriority w:val="99"/>
    <w:unhideWhenUsed/>
    <w:rsid w:val="00A82B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451555">
      <w:bodyDiv w:val="1"/>
      <w:marLeft w:val="0"/>
      <w:marRight w:val="0"/>
      <w:marTop w:val="0"/>
      <w:marBottom w:val="0"/>
      <w:divBdr>
        <w:top w:val="none" w:sz="0" w:space="0" w:color="auto"/>
        <w:left w:val="none" w:sz="0" w:space="0" w:color="auto"/>
        <w:bottom w:val="none" w:sz="0" w:space="0" w:color="auto"/>
        <w:right w:val="none" w:sz="0" w:space="0" w:color="auto"/>
      </w:divBdr>
    </w:div>
    <w:div w:id="1597254393">
      <w:bodyDiv w:val="1"/>
      <w:marLeft w:val="0"/>
      <w:marRight w:val="0"/>
      <w:marTop w:val="0"/>
      <w:marBottom w:val="0"/>
      <w:divBdr>
        <w:top w:val="none" w:sz="0" w:space="0" w:color="auto"/>
        <w:left w:val="none" w:sz="0" w:space="0" w:color="auto"/>
        <w:bottom w:val="none" w:sz="0" w:space="0" w:color="auto"/>
        <w:right w:val="none" w:sz="0" w:space="0" w:color="auto"/>
      </w:divBdr>
      <w:divsChild>
        <w:div w:id="1184711633">
          <w:marLeft w:val="0"/>
          <w:marRight w:val="0"/>
          <w:marTop w:val="0"/>
          <w:marBottom w:val="0"/>
          <w:divBdr>
            <w:top w:val="single" w:sz="2" w:space="0" w:color="auto"/>
            <w:left w:val="single" w:sz="2" w:space="0" w:color="auto"/>
            <w:bottom w:val="single" w:sz="2" w:space="0" w:color="auto"/>
            <w:right w:val="single" w:sz="2" w:space="0" w:color="auto"/>
          </w:divBdr>
        </w:div>
        <w:div w:id="1302812416">
          <w:marLeft w:val="0"/>
          <w:marRight w:val="0"/>
          <w:marTop w:val="0"/>
          <w:marBottom w:val="0"/>
          <w:divBdr>
            <w:top w:val="single" w:sz="2" w:space="0" w:color="auto"/>
            <w:left w:val="single" w:sz="2" w:space="0" w:color="auto"/>
            <w:bottom w:val="single" w:sz="2" w:space="0" w:color="auto"/>
            <w:right w:val="single" w:sz="2" w:space="0" w:color="auto"/>
          </w:divBdr>
        </w:div>
        <w:div w:id="897396134">
          <w:marLeft w:val="0"/>
          <w:marRight w:val="0"/>
          <w:marTop w:val="0"/>
          <w:marBottom w:val="0"/>
          <w:divBdr>
            <w:top w:val="single" w:sz="2" w:space="0" w:color="auto"/>
            <w:left w:val="single" w:sz="2" w:space="0" w:color="auto"/>
            <w:bottom w:val="single" w:sz="2" w:space="0" w:color="auto"/>
            <w:right w:val="single" w:sz="2" w:space="0" w:color="auto"/>
          </w:divBdr>
        </w:div>
      </w:divsChild>
    </w:div>
    <w:div w:id="209073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3464F-6858-4946-A059-5C0BDEF11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2424</Words>
  <Characters>13818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Mohammad Arifur Rahman Khan (2022401)</dc:creator>
  <cp:lastModifiedBy>KAZI YOUSUF</cp:lastModifiedBy>
  <cp:revision>2</cp:revision>
  <dcterms:created xsi:type="dcterms:W3CDTF">2022-10-25T21:44:00Z</dcterms:created>
  <dcterms:modified xsi:type="dcterms:W3CDTF">2022-10-25T21:44:00Z</dcterms:modified>
</cp:coreProperties>
</file>