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2B78E4" w:rsidRDefault="00715990" w:rsidP="00041A5A">
      <w:pPr>
        <w:spacing w:line="360" w:lineRule="auto"/>
        <w:jc w:val="center"/>
        <w:rPr>
          <w:rFonts w:ascii="Arial" w:hAnsi="Arial" w:cs="Arial"/>
          <w:b/>
          <w:bCs/>
          <w:sz w:val="22"/>
        </w:rPr>
      </w:pPr>
      <w:r w:rsidRPr="002B78E4">
        <w:rPr>
          <w:rFonts w:ascii="Arial" w:hAnsi="Arial" w:cs="Arial"/>
          <w:b/>
          <w:bCs/>
          <w:sz w:val="22"/>
        </w:rPr>
        <w:t>BSc (Hons) Health and Social Care</w:t>
      </w:r>
    </w:p>
    <w:p w14:paraId="358C7E62" w14:textId="77777777" w:rsidR="00AD0E8D" w:rsidRPr="002B78E4" w:rsidRDefault="00AD0E8D" w:rsidP="00041A5A">
      <w:pPr>
        <w:spacing w:line="360" w:lineRule="auto"/>
        <w:jc w:val="center"/>
        <w:rPr>
          <w:rFonts w:ascii="Arial" w:hAnsi="Arial" w:cs="Arial"/>
          <w:b/>
          <w:bCs/>
          <w:sz w:val="22"/>
        </w:rPr>
      </w:pPr>
    </w:p>
    <w:p w14:paraId="7680A4B0" w14:textId="3F72E373" w:rsidR="00715990" w:rsidRPr="002B78E4" w:rsidRDefault="00715990" w:rsidP="00041A5A">
      <w:pPr>
        <w:spacing w:line="360" w:lineRule="auto"/>
        <w:jc w:val="center"/>
        <w:rPr>
          <w:rFonts w:ascii="Arial" w:hAnsi="Arial" w:cs="Arial"/>
          <w:b/>
          <w:bCs/>
          <w:sz w:val="22"/>
        </w:rPr>
      </w:pPr>
      <w:r w:rsidRPr="002B78E4">
        <w:rPr>
          <w:rFonts w:ascii="Arial" w:hAnsi="Arial" w:cs="Arial"/>
          <w:b/>
          <w:bCs/>
          <w:sz w:val="22"/>
        </w:rPr>
        <w:t xml:space="preserve">Module: </w:t>
      </w:r>
      <w:r w:rsidR="00AD0E8D" w:rsidRPr="002B78E4">
        <w:rPr>
          <w:rFonts w:ascii="Arial" w:hAnsi="Arial" w:cs="Arial"/>
          <w:b/>
          <w:bCs/>
          <w:sz w:val="22"/>
        </w:rPr>
        <w:t>Introduction to Independent Research Skills</w:t>
      </w:r>
      <w:r w:rsidRPr="002B78E4">
        <w:rPr>
          <w:rFonts w:ascii="Arial" w:hAnsi="Arial" w:cs="Arial"/>
          <w:b/>
          <w:bCs/>
          <w:sz w:val="22"/>
        </w:rPr>
        <w:t xml:space="preserve"> (BMHP</w:t>
      </w:r>
      <w:r w:rsidR="00AD0E8D" w:rsidRPr="002B78E4">
        <w:rPr>
          <w:rFonts w:ascii="Arial" w:hAnsi="Arial" w:cs="Arial"/>
          <w:b/>
          <w:bCs/>
          <w:sz w:val="22"/>
        </w:rPr>
        <w:t>5019</w:t>
      </w:r>
      <w:r w:rsidRPr="002B78E4">
        <w:rPr>
          <w:rFonts w:ascii="Arial" w:hAnsi="Arial" w:cs="Arial"/>
          <w:b/>
          <w:bCs/>
          <w:sz w:val="22"/>
        </w:rPr>
        <w:t>)</w:t>
      </w:r>
    </w:p>
    <w:p w14:paraId="3157DF3C" w14:textId="77777777" w:rsidR="00715990" w:rsidRPr="002B78E4" w:rsidRDefault="00715990" w:rsidP="00041A5A">
      <w:pPr>
        <w:spacing w:line="360" w:lineRule="auto"/>
        <w:jc w:val="center"/>
        <w:rPr>
          <w:rFonts w:ascii="Arial" w:hAnsi="Arial" w:cs="Arial"/>
          <w:sz w:val="22"/>
        </w:rPr>
      </w:pPr>
    </w:p>
    <w:p w14:paraId="08BDA311" w14:textId="38F1B3E7" w:rsidR="00041A5A" w:rsidRPr="002B78E4" w:rsidRDefault="00715990" w:rsidP="00041A5A">
      <w:pPr>
        <w:spacing w:line="360" w:lineRule="auto"/>
        <w:jc w:val="center"/>
        <w:rPr>
          <w:rFonts w:ascii="Arial" w:hAnsi="Arial" w:cs="Arial"/>
          <w:sz w:val="22"/>
        </w:rPr>
      </w:pPr>
      <w:r w:rsidRPr="002B78E4">
        <w:rPr>
          <w:rFonts w:ascii="Arial" w:hAnsi="Arial" w:cs="Arial"/>
          <w:b/>
          <w:bCs/>
          <w:sz w:val="22"/>
        </w:rPr>
        <w:t xml:space="preserve">Assessment title: </w:t>
      </w:r>
      <w:r w:rsidR="00AD0E8D" w:rsidRPr="002B78E4">
        <w:rPr>
          <w:rFonts w:ascii="Arial" w:hAnsi="Arial" w:cs="Arial"/>
          <w:sz w:val="22"/>
        </w:rPr>
        <w:t>Assessment 1 - Research</w:t>
      </w:r>
      <w:r w:rsidRPr="002B78E4">
        <w:rPr>
          <w:rFonts w:ascii="Arial" w:hAnsi="Arial" w:cs="Arial"/>
          <w:sz w:val="22"/>
        </w:rPr>
        <w:t xml:space="preserve"> Proposal</w:t>
      </w:r>
      <w:r w:rsidR="00545684" w:rsidRPr="002B78E4">
        <w:rPr>
          <w:rFonts w:ascii="Arial" w:hAnsi="Arial" w:cs="Arial"/>
          <w:sz w:val="22"/>
        </w:rPr>
        <w:t xml:space="preserve"> </w:t>
      </w:r>
    </w:p>
    <w:p w14:paraId="2EDEAE0B" w14:textId="149B09BE" w:rsidR="00715990" w:rsidRPr="002B78E4" w:rsidRDefault="00715990" w:rsidP="00041A5A">
      <w:pPr>
        <w:spacing w:line="360" w:lineRule="auto"/>
        <w:rPr>
          <w:rFonts w:ascii="Arial" w:hAnsi="Arial" w:cs="Arial"/>
          <w:sz w:val="22"/>
        </w:rPr>
      </w:pPr>
    </w:p>
    <w:p w14:paraId="1AD185BB" w14:textId="77777777" w:rsidR="00FF5B70" w:rsidRPr="002B78E4" w:rsidRDefault="00FF5B70" w:rsidP="00041A5A">
      <w:pPr>
        <w:spacing w:line="360" w:lineRule="auto"/>
        <w:rPr>
          <w:rFonts w:ascii="Arial" w:hAnsi="Arial" w:cs="Arial"/>
          <w:sz w:val="22"/>
        </w:rPr>
      </w:pPr>
    </w:p>
    <w:p w14:paraId="684DDF82" w14:textId="1F8510EB" w:rsidR="00715990" w:rsidRPr="002B78E4" w:rsidRDefault="00715990" w:rsidP="00041A5A">
      <w:pPr>
        <w:spacing w:line="360" w:lineRule="auto"/>
        <w:rPr>
          <w:rFonts w:ascii="Arial" w:hAnsi="Arial" w:cs="Arial"/>
          <w:sz w:val="22"/>
        </w:rPr>
      </w:pPr>
      <w:r w:rsidRPr="002B78E4">
        <w:rPr>
          <w:rFonts w:ascii="Arial" w:hAnsi="Arial" w:cs="Arial"/>
          <w:b/>
          <w:bCs/>
          <w:sz w:val="22"/>
        </w:rPr>
        <w:t>Student ID</w:t>
      </w:r>
      <w:r w:rsidRPr="002B78E4">
        <w:rPr>
          <w:rFonts w:ascii="Arial" w:hAnsi="Arial" w:cs="Arial"/>
          <w:sz w:val="22"/>
        </w:rPr>
        <w:t xml:space="preserve">: </w:t>
      </w:r>
      <w:r w:rsidR="00FB6FF1" w:rsidRPr="002B78E4">
        <w:rPr>
          <w:rFonts w:ascii="Arial" w:hAnsi="Arial" w:cs="Arial"/>
          <w:sz w:val="22"/>
        </w:rPr>
        <w:t>2328050</w:t>
      </w:r>
    </w:p>
    <w:p w14:paraId="01D5D8DB" w14:textId="03ED09ED" w:rsidR="00FF5B70" w:rsidRPr="002B78E4" w:rsidRDefault="00FF5B70" w:rsidP="00041A5A">
      <w:pPr>
        <w:spacing w:line="360" w:lineRule="auto"/>
        <w:rPr>
          <w:rFonts w:ascii="Arial" w:hAnsi="Arial" w:cs="Arial"/>
          <w:sz w:val="22"/>
        </w:rPr>
      </w:pPr>
    </w:p>
    <w:p w14:paraId="37A27DB3" w14:textId="46859709" w:rsidR="00FF5B70" w:rsidRPr="002B78E4" w:rsidRDefault="00FF5B70" w:rsidP="00041A5A">
      <w:pPr>
        <w:spacing w:line="360" w:lineRule="auto"/>
        <w:rPr>
          <w:rFonts w:ascii="Arial" w:hAnsi="Arial" w:cs="Arial"/>
          <w:sz w:val="22"/>
        </w:rPr>
      </w:pPr>
      <w:r w:rsidRPr="002B78E4">
        <w:rPr>
          <w:rFonts w:ascii="Arial" w:hAnsi="Arial" w:cs="Arial"/>
          <w:b/>
          <w:bCs/>
          <w:sz w:val="22"/>
        </w:rPr>
        <w:t>Student Name</w:t>
      </w:r>
      <w:r w:rsidRPr="002B78E4">
        <w:rPr>
          <w:rFonts w:ascii="Arial" w:hAnsi="Arial" w:cs="Arial"/>
          <w:sz w:val="22"/>
        </w:rPr>
        <w:t xml:space="preserve">: </w:t>
      </w:r>
      <w:r w:rsidR="00FB6FF1" w:rsidRPr="002B78E4">
        <w:rPr>
          <w:rFonts w:ascii="Arial" w:hAnsi="Arial" w:cs="Arial"/>
          <w:sz w:val="22"/>
        </w:rPr>
        <w:t>Abdulai Kamara</w:t>
      </w:r>
    </w:p>
    <w:p w14:paraId="638A4615" w14:textId="77777777" w:rsidR="00715990" w:rsidRPr="002B78E4" w:rsidRDefault="00715990" w:rsidP="00041A5A">
      <w:pPr>
        <w:spacing w:line="360" w:lineRule="auto"/>
        <w:rPr>
          <w:rFonts w:ascii="Arial" w:hAnsi="Arial" w:cs="Arial"/>
          <w:sz w:val="22"/>
        </w:rPr>
      </w:pPr>
    </w:p>
    <w:p w14:paraId="033C4B12" w14:textId="77777777" w:rsidR="00FB6FF1" w:rsidRPr="002B78E4" w:rsidRDefault="00715990" w:rsidP="00FB6FF1">
      <w:pPr>
        <w:spacing w:line="360" w:lineRule="auto"/>
        <w:rPr>
          <w:rFonts w:ascii="Arial" w:hAnsi="Arial" w:cs="Arial"/>
          <w:sz w:val="22"/>
        </w:rPr>
      </w:pPr>
      <w:r w:rsidRPr="002B78E4">
        <w:rPr>
          <w:rFonts w:ascii="Arial" w:hAnsi="Arial" w:cs="Arial"/>
          <w:b/>
          <w:bCs/>
          <w:sz w:val="22"/>
        </w:rPr>
        <w:t>Date of submission</w:t>
      </w:r>
      <w:r w:rsidRPr="002B78E4">
        <w:rPr>
          <w:rFonts w:ascii="Arial" w:hAnsi="Arial" w:cs="Arial"/>
          <w:sz w:val="22"/>
        </w:rPr>
        <w:t xml:space="preserve">: </w:t>
      </w:r>
      <w:r w:rsidR="00FB6FF1" w:rsidRPr="002B78E4">
        <w:rPr>
          <w:rFonts w:ascii="Arial" w:hAnsi="Arial" w:cs="Arial"/>
          <w:sz w:val="22"/>
        </w:rPr>
        <w:t>6</w:t>
      </w:r>
      <w:r w:rsidR="00FB6FF1" w:rsidRPr="002B78E4">
        <w:rPr>
          <w:rFonts w:ascii="Arial" w:hAnsi="Arial" w:cs="Arial"/>
          <w:sz w:val="22"/>
          <w:vertAlign w:val="superscript"/>
        </w:rPr>
        <w:t>th</w:t>
      </w:r>
      <w:r w:rsidR="00FB6FF1" w:rsidRPr="002B78E4">
        <w:rPr>
          <w:rFonts w:ascii="Arial" w:hAnsi="Arial" w:cs="Arial"/>
          <w:sz w:val="22"/>
        </w:rPr>
        <w:t xml:space="preserve"> November 2025</w:t>
      </w:r>
    </w:p>
    <w:p w14:paraId="3B18AEE8" w14:textId="77777777" w:rsidR="00FB6FF1" w:rsidRPr="002B78E4" w:rsidRDefault="00FB6FF1" w:rsidP="00FB6FF1">
      <w:pPr>
        <w:spacing w:line="360" w:lineRule="auto"/>
        <w:rPr>
          <w:rFonts w:ascii="Arial" w:hAnsi="Arial" w:cs="Arial"/>
          <w:b/>
          <w:bCs/>
          <w:sz w:val="22"/>
        </w:rPr>
      </w:pPr>
      <w:r w:rsidRPr="002B78E4">
        <w:rPr>
          <w:rFonts w:ascii="Arial" w:hAnsi="Arial" w:cs="Arial"/>
          <w:sz w:val="22"/>
        </w:rPr>
        <w:t>14:00 (2PM)</w:t>
      </w:r>
    </w:p>
    <w:p w14:paraId="0B04E018" w14:textId="3CFACB0F" w:rsidR="00715990" w:rsidRPr="002B78E4" w:rsidRDefault="00715990" w:rsidP="00041A5A">
      <w:pPr>
        <w:spacing w:line="360" w:lineRule="auto"/>
        <w:rPr>
          <w:rFonts w:ascii="Arial" w:hAnsi="Arial" w:cs="Arial"/>
          <w:sz w:val="22"/>
        </w:rPr>
      </w:pPr>
    </w:p>
    <w:p w14:paraId="19AA26A9" w14:textId="2F99F205" w:rsidR="00FF5B70" w:rsidRPr="002B78E4" w:rsidRDefault="00FF5B70" w:rsidP="00041A5A">
      <w:pPr>
        <w:spacing w:line="360" w:lineRule="auto"/>
        <w:rPr>
          <w:rFonts w:ascii="Arial" w:hAnsi="Arial" w:cs="Arial"/>
          <w:sz w:val="22"/>
        </w:rPr>
      </w:pPr>
    </w:p>
    <w:p w14:paraId="262C6A38" w14:textId="55B97963" w:rsidR="00FB6FF1" w:rsidRPr="002B78E4" w:rsidRDefault="00FF5B70" w:rsidP="00FB6FF1">
      <w:pPr>
        <w:spacing w:line="360" w:lineRule="auto"/>
        <w:rPr>
          <w:rFonts w:ascii="Arial" w:hAnsi="Arial" w:cs="Arial"/>
          <w:b/>
          <w:bCs/>
          <w:sz w:val="22"/>
        </w:rPr>
      </w:pPr>
      <w:r w:rsidRPr="002B78E4">
        <w:rPr>
          <w:rFonts w:ascii="Arial" w:hAnsi="Arial" w:cs="Arial"/>
          <w:b/>
          <w:bCs/>
          <w:sz w:val="22"/>
        </w:rPr>
        <w:t>Word count</w:t>
      </w:r>
      <w:r w:rsidRPr="002B78E4">
        <w:rPr>
          <w:rFonts w:ascii="Arial" w:hAnsi="Arial" w:cs="Arial"/>
          <w:sz w:val="22"/>
        </w:rPr>
        <w:t xml:space="preserve">: </w:t>
      </w:r>
      <w:r w:rsidR="00FB6FF1" w:rsidRPr="002B78E4">
        <w:rPr>
          <w:rFonts w:ascii="Arial" w:hAnsi="Arial" w:cs="Arial"/>
          <w:sz w:val="22"/>
        </w:rPr>
        <w:t>400 Words</w:t>
      </w:r>
    </w:p>
    <w:p w14:paraId="5BD313B6" w14:textId="4BA804DC" w:rsidR="00715990" w:rsidRPr="002B78E4" w:rsidRDefault="00715990" w:rsidP="00041A5A">
      <w:pPr>
        <w:spacing w:line="360" w:lineRule="auto"/>
        <w:rPr>
          <w:rFonts w:ascii="Arial" w:hAnsi="Arial" w:cs="Arial"/>
          <w:sz w:val="22"/>
        </w:rPr>
      </w:pPr>
    </w:p>
    <w:p w14:paraId="5B11EA1A" w14:textId="77777777" w:rsidR="004C108E" w:rsidRPr="002B78E4" w:rsidRDefault="004C108E" w:rsidP="00041A5A">
      <w:pPr>
        <w:spacing w:line="360" w:lineRule="auto"/>
        <w:rPr>
          <w:rFonts w:ascii="Arial" w:hAnsi="Arial" w:cs="Arial"/>
          <w:sz w:val="22"/>
        </w:rPr>
      </w:pPr>
    </w:p>
    <w:p w14:paraId="3FBB43C6" w14:textId="77777777" w:rsidR="004C108E" w:rsidRPr="002B78E4" w:rsidRDefault="004C108E" w:rsidP="00041A5A">
      <w:pPr>
        <w:spacing w:line="360" w:lineRule="auto"/>
        <w:rPr>
          <w:rFonts w:ascii="Arial" w:hAnsi="Arial" w:cs="Arial"/>
          <w:sz w:val="22"/>
        </w:rPr>
      </w:pPr>
    </w:p>
    <w:p w14:paraId="12157504" w14:textId="77777777" w:rsidR="004C108E" w:rsidRPr="002B78E4" w:rsidRDefault="004C108E" w:rsidP="00041A5A">
      <w:pPr>
        <w:spacing w:line="360" w:lineRule="auto"/>
        <w:rPr>
          <w:rFonts w:ascii="Arial" w:hAnsi="Arial" w:cs="Arial"/>
          <w:sz w:val="22"/>
        </w:rPr>
      </w:pPr>
    </w:p>
    <w:p w14:paraId="4A6BFC52" w14:textId="77777777" w:rsidR="00AA7E40" w:rsidRPr="002B78E4" w:rsidRDefault="00AA7E40" w:rsidP="004C108E">
      <w:pPr>
        <w:keepNext/>
        <w:keepLines/>
        <w:spacing w:before="240" w:after="0" w:line="360" w:lineRule="auto"/>
        <w:jc w:val="center"/>
        <w:outlineLvl w:val="0"/>
        <w:rPr>
          <w:rFonts w:ascii="Arial" w:eastAsiaTheme="majorEastAsia" w:hAnsi="Arial" w:cstheme="majorBidi"/>
          <w:b/>
          <w:sz w:val="22"/>
          <w:lang w:val="en-US"/>
        </w:rPr>
      </w:pPr>
    </w:p>
    <w:p w14:paraId="7594D6FA" w14:textId="77777777" w:rsidR="00DC46CB" w:rsidRPr="002B78E4" w:rsidRDefault="00DC46CB" w:rsidP="00DC46CB">
      <w:pPr>
        <w:spacing w:before="120" w:after="240" w:line="360" w:lineRule="auto"/>
        <w:jc w:val="both"/>
        <w:rPr>
          <w:b/>
          <w:bCs/>
          <w:sz w:val="22"/>
          <w:lang w:val="en-US"/>
        </w:rPr>
      </w:pPr>
    </w:p>
    <w:p w14:paraId="53ED66B5" w14:textId="77777777" w:rsidR="00DC46CB" w:rsidRPr="002B78E4" w:rsidRDefault="00DC46CB" w:rsidP="00DC46CB">
      <w:pPr>
        <w:spacing w:before="120" w:after="240" w:line="360" w:lineRule="auto"/>
        <w:jc w:val="both"/>
        <w:rPr>
          <w:b/>
          <w:bCs/>
          <w:sz w:val="22"/>
          <w:lang w:val="en-US"/>
        </w:rPr>
      </w:pPr>
    </w:p>
    <w:p w14:paraId="6672C44E" w14:textId="6A081A7F" w:rsidR="00DC46CB" w:rsidRPr="002B78E4" w:rsidRDefault="00DC46CB" w:rsidP="00DC46CB">
      <w:pPr>
        <w:pStyle w:val="Heading1"/>
        <w:rPr>
          <w:sz w:val="22"/>
          <w:lang w:val="en-US"/>
        </w:rPr>
      </w:pPr>
      <w:r w:rsidRPr="002B78E4">
        <w:rPr>
          <w:sz w:val="22"/>
          <w:lang w:val="en-US"/>
        </w:rPr>
        <w:lastRenderedPageBreak/>
        <w:t>Research Proposal</w:t>
      </w:r>
    </w:p>
    <w:p w14:paraId="5BE1D148" w14:textId="77777777" w:rsidR="00DC46CB" w:rsidRPr="002B78E4" w:rsidRDefault="00DC46CB" w:rsidP="00DC46CB">
      <w:pPr>
        <w:pStyle w:val="Heading1"/>
        <w:rPr>
          <w:sz w:val="22"/>
          <w:lang w:val="en-US"/>
        </w:rPr>
      </w:pPr>
      <w:r w:rsidRPr="002B78E4">
        <w:rPr>
          <w:sz w:val="22"/>
          <w:lang w:val="en-US"/>
        </w:rPr>
        <w:t>Topic:</w:t>
      </w:r>
    </w:p>
    <w:p w14:paraId="40309153" w14:textId="4508E6E7" w:rsidR="00DC46CB" w:rsidRPr="002B78E4" w:rsidRDefault="0064599F" w:rsidP="00DC46CB">
      <w:pPr>
        <w:spacing w:before="120" w:after="240" w:line="360" w:lineRule="auto"/>
        <w:jc w:val="both"/>
        <w:rPr>
          <w:sz w:val="22"/>
          <w:lang w:val="en-US"/>
        </w:rPr>
      </w:pPr>
      <w:r w:rsidRPr="002B78E4">
        <w:rPr>
          <w:sz w:val="22"/>
          <w:lang w:val="en-US"/>
        </w:rPr>
        <w:t xml:space="preserve">The Impact of Life choices on Adult’s </w:t>
      </w:r>
      <w:r w:rsidR="00A857E4" w:rsidRPr="002B78E4">
        <w:rPr>
          <w:sz w:val="22"/>
          <w:lang w:val="en-US"/>
        </w:rPr>
        <w:t xml:space="preserve">Mental Health in the UK. </w:t>
      </w:r>
    </w:p>
    <w:p w14:paraId="2243FE30" w14:textId="77777777" w:rsidR="00DC46CB" w:rsidRPr="002B78E4" w:rsidRDefault="00DC46CB" w:rsidP="00DC46CB">
      <w:pPr>
        <w:pStyle w:val="Heading1"/>
        <w:rPr>
          <w:sz w:val="22"/>
          <w:lang w:val="en-US"/>
        </w:rPr>
      </w:pPr>
      <w:r w:rsidRPr="002B78E4">
        <w:rPr>
          <w:sz w:val="22"/>
          <w:lang w:val="en-US"/>
        </w:rPr>
        <w:t>1) Review Question</w:t>
      </w:r>
    </w:p>
    <w:p w14:paraId="042C8206" w14:textId="6417B804" w:rsidR="00DC46CB" w:rsidRPr="002B78E4" w:rsidRDefault="00DC46CB" w:rsidP="00DC46CB">
      <w:pPr>
        <w:spacing w:before="120" w:after="240" w:line="360" w:lineRule="auto"/>
        <w:jc w:val="both"/>
        <w:rPr>
          <w:sz w:val="22"/>
          <w:lang w:val="en-US"/>
        </w:rPr>
      </w:pPr>
      <w:r w:rsidRPr="002B78E4">
        <w:rPr>
          <w:sz w:val="22"/>
          <w:lang w:val="en-US"/>
        </w:rPr>
        <w:t>How do lifestyle choices influence the mental health of adults in the UK?</w:t>
      </w:r>
    </w:p>
    <w:p w14:paraId="3A84DB4C" w14:textId="77777777" w:rsidR="00DC46CB" w:rsidRPr="002B78E4" w:rsidRDefault="00DC46CB" w:rsidP="00DC46CB">
      <w:pPr>
        <w:spacing w:before="120" w:after="240" w:line="360" w:lineRule="auto"/>
        <w:jc w:val="both"/>
        <w:rPr>
          <w:b/>
          <w:bCs/>
          <w:sz w:val="22"/>
          <w:lang w:val="en-US"/>
        </w:rPr>
      </w:pPr>
      <w:r w:rsidRPr="002B78E4">
        <w:rPr>
          <w:b/>
          <w:bCs/>
          <w:sz w:val="22"/>
          <w:lang w:val="en-US"/>
        </w:rPr>
        <w:t>2) Objectives</w:t>
      </w:r>
    </w:p>
    <w:p w14:paraId="29D13CF8" w14:textId="77777777" w:rsidR="00DC46CB" w:rsidRPr="002B78E4" w:rsidRDefault="00DC46CB" w:rsidP="00DC46CB">
      <w:pPr>
        <w:spacing w:before="120" w:after="240" w:line="360" w:lineRule="auto"/>
        <w:jc w:val="both"/>
        <w:rPr>
          <w:sz w:val="22"/>
          <w:lang w:val="en-US"/>
        </w:rPr>
      </w:pPr>
      <w:r w:rsidRPr="002B78E4">
        <w:rPr>
          <w:sz w:val="22"/>
          <w:lang w:val="en-US"/>
        </w:rPr>
        <w:t>This scoping review aims to:</w:t>
      </w:r>
    </w:p>
    <w:p w14:paraId="08B5EFDC" w14:textId="77777777" w:rsidR="00DC46CB" w:rsidRPr="002B78E4" w:rsidRDefault="00DC46CB" w:rsidP="00DC46CB">
      <w:pPr>
        <w:pStyle w:val="ListParagraph"/>
        <w:numPr>
          <w:ilvl w:val="0"/>
          <w:numId w:val="6"/>
        </w:numPr>
        <w:spacing w:before="120" w:after="240" w:line="360" w:lineRule="auto"/>
        <w:jc w:val="both"/>
        <w:rPr>
          <w:sz w:val="22"/>
          <w:lang w:val="en-US"/>
        </w:rPr>
      </w:pPr>
      <w:r w:rsidRPr="002B78E4">
        <w:rPr>
          <w:sz w:val="22"/>
          <w:lang w:val="en-US"/>
        </w:rPr>
        <w:t>Identify key lifestyle factors affecting adult mental health in the UK.</w:t>
      </w:r>
    </w:p>
    <w:p w14:paraId="63516117" w14:textId="77777777" w:rsidR="00DC46CB" w:rsidRPr="002B78E4" w:rsidRDefault="00DC46CB" w:rsidP="00DC46CB">
      <w:pPr>
        <w:pStyle w:val="ListParagraph"/>
        <w:numPr>
          <w:ilvl w:val="0"/>
          <w:numId w:val="6"/>
        </w:numPr>
        <w:spacing w:before="120" w:after="240" w:line="360" w:lineRule="auto"/>
        <w:jc w:val="both"/>
        <w:rPr>
          <w:sz w:val="22"/>
          <w:lang w:val="en-US"/>
        </w:rPr>
      </w:pPr>
      <w:r w:rsidRPr="002B78E4">
        <w:rPr>
          <w:sz w:val="22"/>
          <w:lang w:val="en-US"/>
        </w:rPr>
        <w:t>Examine the relationship between these factors and mental health outcomes.</w:t>
      </w:r>
    </w:p>
    <w:p w14:paraId="61537171" w14:textId="77777777" w:rsidR="00DC46CB" w:rsidRPr="002B78E4" w:rsidRDefault="00DC46CB" w:rsidP="00DC46CB">
      <w:pPr>
        <w:pStyle w:val="ListParagraph"/>
        <w:numPr>
          <w:ilvl w:val="0"/>
          <w:numId w:val="6"/>
        </w:numPr>
        <w:spacing w:before="120" w:after="240" w:line="360" w:lineRule="auto"/>
        <w:jc w:val="both"/>
        <w:rPr>
          <w:sz w:val="22"/>
          <w:lang w:val="en-US"/>
        </w:rPr>
      </w:pPr>
      <w:r w:rsidRPr="002B78E4">
        <w:rPr>
          <w:sz w:val="22"/>
          <w:lang w:val="en-US"/>
        </w:rPr>
        <w:t>Assess the effectiveness of lifestyle choice interventions in improving mental health.</w:t>
      </w:r>
    </w:p>
    <w:p w14:paraId="7AC7F4A0" w14:textId="56766F16" w:rsidR="00DC46CB" w:rsidRPr="002B78E4" w:rsidRDefault="00DC46CB" w:rsidP="00DC46CB">
      <w:pPr>
        <w:pStyle w:val="ListParagraph"/>
        <w:numPr>
          <w:ilvl w:val="0"/>
          <w:numId w:val="6"/>
        </w:numPr>
        <w:spacing w:before="120" w:after="240" w:line="360" w:lineRule="auto"/>
        <w:jc w:val="both"/>
        <w:rPr>
          <w:sz w:val="22"/>
          <w:lang w:val="en-US"/>
        </w:rPr>
      </w:pPr>
      <w:r w:rsidRPr="002B78E4">
        <w:rPr>
          <w:sz w:val="22"/>
          <w:lang w:val="en-US"/>
        </w:rPr>
        <w:t>Provide recommendations for integrating lifestyle modifications into mental health care strategies.</w:t>
      </w:r>
    </w:p>
    <w:p w14:paraId="64009290" w14:textId="77777777" w:rsidR="00DC46CB" w:rsidRPr="002B78E4" w:rsidRDefault="00DC46CB" w:rsidP="00DC46CB">
      <w:pPr>
        <w:pStyle w:val="Heading1"/>
        <w:rPr>
          <w:sz w:val="22"/>
          <w:lang w:val="en-US"/>
        </w:rPr>
      </w:pPr>
      <w:r w:rsidRPr="002B78E4">
        <w:rPr>
          <w:sz w:val="22"/>
          <w:lang w:val="en-US"/>
        </w:rPr>
        <w:t>3) Rationale</w:t>
      </w:r>
    </w:p>
    <w:p w14:paraId="72B7AFBB" w14:textId="6AB40F14" w:rsidR="00DC46CB" w:rsidRPr="002B78E4" w:rsidRDefault="00DC46CB" w:rsidP="00DC46CB">
      <w:pPr>
        <w:spacing w:before="120" w:after="240" w:line="360" w:lineRule="auto"/>
        <w:jc w:val="both"/>
        <w:rPr>
          <w:sz w:val="22"/>
          <w:lang w:val="en-US"/>
        </w:rPr>
      </w:pPr>
      <w:r w:rsidRPr="002B78E4">
        <w:rPr>
          <w:sz w:val="22"/>
        </w:rPr>
        <w:t xml:space="preserve">Mental disorders are widespread among the adult population in the UK and healthy lifestyles play a significant role in determining the well-being. There are unhealthy habits that include poor diet, physical inactivity, and poor sleep when it comes to an increased chance of stress, anxiety, and depression (Solomon-Moore et al., 2022). In this regard, physical activity, specifically, has been established as one of the determinants that contribute to mental health (Jones et al., 2021). The Mental Health Foundation (2024) also claims that in England, one out of four adults has not managed to maintain adequate exercise levels, which puts them at risk of both developing physical and mental health conditions. </w:t>
      </w:r>
    </w:p>
    <w:p w14:paraId="0BDD9731" w14:textId="77777777" w:rsidR="00DC46CB" w:rsidRPr="002B78E4" w:rsidRDefault="00DC46CB" w:rsidP="00DC46CB">
      <w:pPr>
        <w:pStyle w:val="Heading1"/>
        <w:rPr>
          <w:sz w:val="22"/>
          <w:lang w:val="en-US"/>
        </w:rPr>
      </w:pPr>
      <w:r w:rsidRPr="002B78E4">
        <w:rPr>
          <w:sz w:val="22"/>
          <w:lang w:val="en-US"/>
        </w:rPr>
        <w:t>4) Methods</w:t>
      </w:r>
    </w:p>
    <w:p w14:paraId="4EFDE8D3" w14:textId="77777777" w:rsidR="00DC46CB" w:rsidRPr="002B78E4" w:rsidRDefault="00DC46CB" w:rsidP="00DC46CB">
      <w:pPr>
        <w:spacing w:before="120" w:after="240" w:line="360" w:lineRule="auto"/>
        <w:jc w:val="both"/>
        <w:rPr>
          <w:b/>
          <w:bCs/>
          <w:sz w:val="22"/>
          <w:lang w:val="en-US"/>
        </w:rPr>
      </w:pPr>
      <w:r w:rsidRPr="002B78E4">
        <w:rPr>
          <w:b/>
          <w:bCs/>
          <w:sz w:val="22"/>
          <w:lang w:val="en-US"/>
        </w:rPr>
        <w:t>Research Design</w:t>
      </w:r>
    </w:p>
    <w:p w14:paraId="7DD9BF10" w14:textId="12E15CDC" w:rsidR="00DC46CB" w:rsidRPr="002B78E4" w:rsidRDefault="00DC46CB" w:rsidP="00DC46CB">
      <w:pPr>
        <w:spacing w:before="120" w:after="240" w:line="360" w:lineRule="auto"/>
        <w:jc w:val="both"/>
        <w:rPr>
          <w:sz w:val="22"/>
          <w:lang w:val="en-US"/>
        </w:rPr>
      </w:pPr>
      <w:r w:rsidRPr="002B78E4">
        <w:rPr>
          <w:sz w:val="22"/>
          <w:lang w:val="en-US"/>
        </w:rPr>
        <w:t>The secondary research study will be done through a scoping review study. Using this approach, the researcher can find, tabulate, and further analyse the available peer-reviewed articles pertaining to the subject.</w:t>
      </w:r>
    </w:p>
    <w:p w14:paraId="2583D5E8" w14:textId="77777777" w:rsidR="00DC46CB" w:rsidRPr="002B78E4" w:rsidRDefault="00DC46CB" w:rsidP="00DC46CB">
      <w:pPr>
        <w:spacing w:before="120" w:after="240" w:line="360" w:lineRule="auto"/>
        <w:jc w:val="both"/>
        <w:rPr>
          <w:b/>
          <w:bCs/>
          <w:sz w:val="22"/>
          <w:lang w:val="en-US"/>
        </w:rPr>
      </w:pPr>
      <w:r w:rsidRPr="002B78E4">
        <w:rPr>
          <w:b/>
          <w:bCs/>
          <w:sz w:val="22"/>
          <w:lang w:val="en-US"/>
        </w:rPr>
        <w:t>Databases to be Used</w:t>
      </w:r>
    </w:p>
    <w:p w14:paraId="31C352D9" w14:textId="77777777" w:rsidR="00654FA6" w:rsidRPr="002B78E4" w:rsidRDefault="00DC46CB" w:rsidP="00DC46CB">
      <w:pPr>
        <w:pStyle w:val="ListParagraph"/>
        <w:numPr>
          <w:ilvl w:val="0"/>
          <w:numId w:val="5"/>
        </w:numPr>
        <w:spacing w:before="120" w:after="240" w:line="360" w:lineRule="auto"/>
        <w:jc w:val="both"/>
        <w:rPr>
          <w:sz w:val="22"/>
          <w:lang w:val="en-US"/>
        </w:rPr>
      </w:pPr>
      <w:r w:rsidRPr="002B78E4">
        <w:rPr>
          <w:sz w:val="22"/>
          <w:lang w:val="en-US"/>
        </w:rPr>
        <w:t>PubMed</w:t>
      </w:r>
    </w:p>
    <w:p w14:paraId="08882184" w14:textId="065F2B7A" w:rsidR="00DC46CB" w:rsidRPr="002B78E4" w:rsidRDefault="00654FA6" w:rsidP="00DC46CB">
      <w:pPr>
        <w:pStyle w:val="ListParagraph"/>
        <w:numPr>
          <w:ilvl w:val="0"/>
          <w:numId w:val="5"/>
        </w:numPr>
        <w:spacing w:before="120" w:after="240" w:line="360" w:lineRule="auto"/>
        <w:jc w:val="both"/>
        <w:rPr>
          <w:sz w:val="22"/>
          <w:lang w:val="en-US"/>
        </w:rPr>
      </w:pPr>
      <w:r w:rsidRPr="002B78E4">
        <w:rPr>
          <w:sz w:val="22"/>
          <w:lang w:val="en-US"/>
        </w:rPr>
        <w:t>ProQuest</w:t>
      </w:r>
    </w:p>
    <w:p w14:paraId="4502A2D3" w14:textId="14AB3E77" w:rsidR="00DC46CB" w:rsidRPr="002B78E4" w:rsidRDefault="00DC46CB" w:rsidP="00DC46CB">
      <w:pPr>
        <w:pStyle w:val="ListParagraph"/>
        <w:numPr>
          <w:ilvl w:val="0"/>
          <w:numId w:val="5"/>
        </w:numPr>
        <w:spacing w:before="120" w:after="240" w:line="360" w:lineRule="auto"/>
        <w:jc w:val="both"/>
        <w:rPr>
          <w:sz w:val="22"/>
          <w:lang w:val="en-US"/>
        </w:rPr>
      </w:pPr>
      <w:r w:rsidRPr="002B78E4">
        <w:rPr>
          <w:sz w:val="22"/>
          <w:lang w:val="en-US"/>
        </w:rPr>
        <w:t>Google Scholar</w:t>
      </w:r>
    </w:p>
    <w:p w14:paraId="4DB1D9F5" w14:textId="02EC79A0" w:rsidR="00DC46CB" w:rsidRPr="002B78E4" w:rsidRDefault="00DC46CB" w:rsidP="00DC46CB">
      <w:pPr>
        <w:pStyle w:val="ListParagraph"/>
        <w:numPr>
          <w:ilvl w:val="0"/>
          <w:numId w:val="5"/>
        </w:numPr>
        <w:spacing w:before="120" w:after="240" w:line="360" w:lineRule="auto"/>
        <w:jc w:val="both"/>
        <w:rPr>
          <w:sz w:val="22"/>
          <w:lang w:val="en-US"/>
        </w:rPr>
      </w:pPr>
      <w:r w:rsidRPr="002B78E4">
        <w:rPr>
          <w:sz w:val="22"/>
          <w:lang w:val="en-US"/>
        </w:rPr>
        <w:lastRenderedPageBreak/>
        <w:t>UWTSD Library Database</w:t>
      </w:r>
    </w:p>
    <w:p w14:paraId="3B035A14" w14:textId="77777777" w:rsidR="00DC46CB" w:rsidRPr="002B78E4" w:rsidRDefault="00DC46CB" w:rsidP="00DC46CB">
      <w:pPr>
        <w:spacing w:before="120" w:after="240" w:line="360" w:lineRule="auto"/>
        <w:jc w:val="both"/>
        <w:rPr>
          <w:b/>
          <w:bCs/>
          <w:sz w:val="22"/>
          <w:lang w:val="en-US"/>
        </w:rPr>
      </w:pPr>
      <w:r w:rsidRPr="002B78E4">
        <w:rPr>
          <w:b/>
          <w:bCs/>
          <w:sz w:val="22"/>
          <w:lang w:val="en-US"/>
        </w:rPr>
        <w:t>Keywords</w:t>
      </w:r>
    </w:p>
    <w:p w14:paraId="0AA39573" w14:textId="77777777" w:rsidR="00DC46CB" w:rsidRPr="002B78E4" w:rsidRDefault="00DC46CB" w:rsidP="00DC46CB">
      <w:pPr>
        <w:spacing w:before="120" w:after="240" w:line="360" w:lineRule="auto"/>
        <w:jc w:val="both"/>
        <w:rPr>
          <w:sz w:val="22"/>
          <w:lang w:val="en-US"/>
        </w:rPr>
      </w:pPr>
      <w:r w:rsidRPr="002B78E4">
        <w:rPr>
          <w:sz w:val="22"/>
          <w:lang w:val="en-US"/>
        </w:rPr>
        <w:t>Lifestyle choices, influence, impact, mental health, adults, UK.</w:t>
      </w:r>
    </w:p>
    <w:p w14:paraId="40A90AA2" w14:textId="77777777" w:rsidR="00DC46CB" w:rsidRPr="002B78E4" w:rsidRDefault="00DC46CB" w:rsidP="00DC46CB">
      <w:pPr>
        <w:spacing w:before="120" w:after="240" w:line="360" w:lineRule="auto"/>
        <w:jc w:val="both"/>
        <w:rPr>
          <w:b/>
          <w:bCs/>
          <w:sz w:val="22"/>
          <w:lang w:val="en-US"/>
        </w:rPr>
      </w:pPr>
      <w:r w:rsidRPr="002B78E4">
        <w:rPr>
          <w:b/>
          <w:bCs/>
          <w:sz w:val="22"/>
          <w:lang w:val="en-US"/>
        </w:rPr>
        <w:t>Inclusion Criteria</w:t>
      </w:r>
    </w:p>
    <w:p w14:paraId="68934000" w14:textId="77777777" w:rsidR="00DC46CB" w:rsidRPr="002B78E4" w:rsidRDefault="00DC46CB" w:rsidP="00DC46CB">
      <w:pPr>
        <w:pStyle w:val="ListParagraph"/>
        <w:numPr>
          <w:ilvl w:val="0"/>
          <w:numId w:val="4"/>
        </w:numPr>
        <w:spacing w:before="120" w:after="240" w:line="360" w:lineRule="auto"/>
        <w:jc w:val="both"/>
        <w:rPr>
          <w:sz w:val="22"/>
          <w:lang w:val="en-US"/>
        </w:rPr>
      </w:pPr>
      <w:r w:rsidRPr="002B78E4">
        <w:rPr>
          <w:sz w:val="22"/>
          <w:lang w:val="en-US"/>
        </w:rPr>
        <w:t>Studies published in English between 2020 and 2025.</w:t>
      </w:r>
    </w:p>
    <w:p w14:paraId="6CF31059" w14:textId="2221B8B3" w:rsidR="00DC46CB" w:rsidRPr="002B78E4" w:rsidRDefault="00DC46CB" w:rsidP="00DC46CB">
      <w:pPr>
        <w:pStyle w:val="ListParagraph"/>
        <w:numPr>
          <w:ilvl w:val="0"/>
          <w:numId w:val="4"/>
        </w:numPr>
        <w:spacing w:before="120" w:after="240" w:line="360" w:lineRule="auto"/>
        <w:jc w:val="both"/>
        <w:rPr>
          <w:sz w:val="22"/>
          <w:lang w:val="en-US"/>
        </w:rPr>
      </w:pPr>
      <w:r w:rsidRPr="002B78E4">
        <w:rPr>
          <w:sz w:val="22"/>
          <w:lang w:val="en-US"/>
        </w:rPr>
        <w:t>Peer-reviewed primary and secondary research studies.</w:t>
      </w:r>
    </w:p>
    <w:p w14:paraId="46D10D8A" w14:textId="7ED08F98" w:rsidR="00DC46CB" w:rsidRPr="002B78E4" w:rsidRDefault="00DC46CB" w:rsidP="00DC46CB">
      <w:pPr>
        <w:pStyle w:val="ListParagraph"/>
        <w:numPr>
          <w:ilvl w:val="0"/>
          <w:numId w:val="4"/>
        </w:numPr>
        <w:spacing w:before="120" w:after="240" w:line="360" w:lineRule="auto"/>
        <w:jc w:val="both"/>
        <w:rPr>
          <w:sz w:val="22"/>
          <w:lang w:val="en-US"/>
        </w:rPr>
      </w:pPr>
      <w:r w:rsidRPr="002B78E4">
        <w:rPr>
          <w:sz w:val="22"/>
          <w:lang w:val="en-US"/>
        </w:rPr>
        <w:t>Studies focusing on adults aged 18–65 years living in the UK.</w:t>
      </w:r>
    </w:p>
    <w:p w14:paraId="38553EB6" w14:textId="62BE6C84" w:rsidR="00DC46CB" w:rsidRPr="002B78E4" w:rsidRDefault="00DC46CB" w:rsidP="00DC46CB">
      <w:pPr>
        <w:pStyle w:val="ListParagraph"/>
        <w:numPr>
          <w:ilvl w:val="0"/>
          <w:numId w:val="4"/>
        </w:numPr>
        <w:spacing w:before="120" w:after="240" w:line="360" w:lineRule="auto"/>
        <w:jc w:val="both"/>
        <w:rPr>
          <w:sz w:val="22"/>
          <w:lang w:val="en-US"/>
        </w:rPr>
      </w:pPr>
      <w:r w:rsidRPr="002B78E4">
        <w:rPr>
          <w:sz w:val="22"/>
          <w:lang w:val="en-US"/>
        </w:rPr>
        <w:t>Research discussing the relationship between lifestyle choices (e.g., diet, exercise, sleep, smoking, alcohol use) and mental health outcomes (e.g., stress, anxiety, depression, wellbeing).</w:t>
      </w:r>
    </w:p>
    <w:p w14:paraId="0270471D" w14:textId="77777777" w:rsidR="00DC46CB" w:rsidRPr="00777F81" w:rsidRDefault="00DC46CB" w:rsidP="00DC46CB">
      <w:pPr>
        <w:spacing w:before="120" w:after="240" w:line="360" w:lineRule="auto"/>
        <w:jc w:val="both"/>
        <w:rPr>
          <w:b/>
          <w:bCs/>
          <w:sz w:val="22"/>
          <w:lang w:val="en-US"/>
        </w:rPr>
      </w:pPr>
      <w:r w:rsidRPr="00777F81">
        <w:rPr>
          <w:b/>
          <w:bCs/>
          <w:sz w:val="22"/>
          <w:lang w:val="en-US"/>
        </w:rPr>
        <w:t>Exclusion Criteria</w:t>
      </w:r>
    </w:p>
    <w:p w14:paraId="5E08FE06" w14:textId="77777777" w:rsidR="00DC46CB" w:rsidRPr="002B78E4" w:rsidRDefault="00DC46CB" w:rsidP="00DC46CB">
      <w:pPr>
        <w:pStyle w:val="ListParagraph"/>
        <w:numPr>
          <w:ilvl w:val="0"/>
          <w:numId w:val="3"/>
        </w:numPr>
        <w:spacing w:before="120" w:after="240" w:line="360" w:lineRule="auto"/>
        <w:jc w:val="both"/>
        <w:rPr>
          <w:sz w:val="22"/>
          <w:lang w:val="en-US"/>
        </w:rPr>
      </w:pPr>
      <w:r w:rsidRPr="002B78E4">
        <w:rPr>
          <w:sz w:val="22"/>
          <w:lang w:val="en-US"/>
        </w:rPr>
        <w:t>Studies focused on children or adolescents.</w:t>
      </w:r>
    </w:p>
    <w:p w14:paraId="43BD0F0E" w14:textId="77777777" w:rsidR="00DC46CB" w:rsidRPr="002B78E4" w:rsidRDefault="00DC46CB" w:rsidP="00DC46CB">
      <w:pPr>
        <w:pStyle w:val="ListParagraph"/>
        <w:numPr>
          <w:ilvl w:val="0"/>
          <w:numId w:val="3"/>
        </w:numPr>
        <w:spacing w:before="120" w:after="240" w:line="360" w:lineRule="auto"/>
        <w:jc w:val="both"/>
        <w:rPr>
          <w:sz w:val="22"/>
          <w:lang w:val="en-US"/>
        </w:rPr>
      </w:pPr>
      <w:r w:rsidRPr="002B78E4">
        <w:rPr>
          <w:sz w:val="22"/>
          <w:lang w:val="en-US"/>
        </w:rPr>
        <w:t>Research conducted outside the UK.</w:t>
      </w:r>
    </w:p>
    <w:p w14:paraId="058BA45C" w14:textId="77777777" w:rsidR="00DC46CB" w:rsidRPr="002B78E4" w:rsidRDefault="00DC46CB" w:rsidP="00DC46CB">
      <w:pPr>
        <w:pStyle w:val="ListParagraph"/>
        <w:numPr>
          <w:ilvl w:val="0"/>
          <w:numId w:val="3"/>
        </w:numPr>
        <w:spacing w:before="120" w:after="240" w:line="360" w:lineRule="auto"/>
        <w:jc w:val="both"/>
        <w:rPr>
          <w:sz w:val="22"/>
          <w:lang w:val="en-US"/>
        </w:rPr>
      </w:pPr>
      <w:r w:rsidRPr="002B78E4">
        <w:rPr>
          <w:sz w:val="22"/>
          <w:lang w:val="en-US"/>
        </w:rPr>
        <w:t>Non-English language papers or those published before 2020.</w:t>
      </w:r>
    </w:p>
    <w:p w14:paraId="3F65A218" w14:textId="4514246A" w:rsidR="00DC46CB" w:rsidRDefault="00DC46CB" w:rsidP="00DC46CB">
      <w:pPr>
        <w:pStyle w:val="ListParagraph"/>
        <w:numPr>
          <w:ilvl w:val="0"/>
          <w:numId w:val="3"/>
        </w:numPr>
        <w:spacing w:before="120" w:after="240" w:line="360" w:lineRule="auto"/>
        <w:jc w:val="both"/>
        <w:rPr>
          <w:sz w:val="22"/>
          <w:lang w:val="en-US"/>
        </w:rPr>
      </w:pPr>
      <w:r w:rsidRPr="002B78E4">
        <w:rPr>
          <w:sz w:val="22"/>
          <w:lang w:val="en-US"/>
        </w:rPr>
        <w:t>Reports, books, or websites that are not peer-reviewed research.</w:t>
      </w:r>
    </w:p>
    <w:p w14:paraId="22C71B3C" w14:textId="7CE813FE" w:rsidR="00777F81" w:rsidRPr="00777F81" w:rsidRDefault="00777F81" w:rsidP="00777F81">
      <w:pPr>
        <w:spacing w:before="120" w:after="240" w:line="360" w:lineRule="auto"/>
        <w:jc w:val="both"/>
        <w:rPr>
          <w:b/>
          <w:bCs/>
          <w:sz w:val="22"/>
          <w:lang w:val="en-US"/>
        </w:rPr>
      </w:pPr>
      <w:r w:rsidRPr="00777F81">
        <w:rPr>
          <w:b/>
          <w:bCs/>
          <w:sz w:val="22"/>
          <w:lang w:val="en-US"/>
        </w:rPr>
        <w:t>Data analysis: Thematic analysis – (Braun and Clarke, 2021)</w:t>
      </w:r>
    </w:p>
    <w:p w14:paraId="39083A33" w14:textId="77777777" w:rsidR="00DC46CB" w:rsidRDefault="00DC46CB" w:rsidP="00DC46CB">
      <w:pPr>
        <w:pStyle w:val="Heading1"/>
        <w:rPr>
          <w:sz w:val="22"/>
          <w:lang w:val="en-US"/>
        </w:rPr>
      </w:pPr>
      <w:r w:rsidRPr="002B78E4">
        <w:rPr>
          <w:sz w:val="22"/>
          <w:lang w:val="en-US"/>
        </w:rPr>
        <w:t>5) Ethical Considerations</w:t>
      </w:r>
    </w:p>
    <w:p w14:paraId="3EC22ECD" w14:textId="77777777" w:rsidR="006700AB" w:rsidRPr="006700AB" w:rsidRDefault="006700AB" w:rsidP="006700AB">
      <w:pPr>
        <w:rPr>
          <w:lang w:val="en-US"/>
        </w:rPr>
      </w:pPr>
    </w:p>
    <w:p w14:paraId="1E2BE4F1" w14:textId="5B3EBA61" w:rsidR="00DC46CB" w:rsidRPr="002B78E4" w:rsidRDefault="00DC46CB" w:rsidP="00DC46CB">
      <w:pPr>
        <w:spacing w:before="120" w:after="240" w:line="360" w:lineRule="auto"/>
        <w:jc w:val="both"/>
        <w:rPr>
          <w:sz w:val="22"/>
          <w:lang w:val="en-US"/>
        </w:rPr>
      </w:pPr>
      <w:r w:rsidRPr="002B78E4">
        <w:rPr>
          <w:sz w:val="22"/>
        </w:rPr>
        <w:t xml:space="preserve">In this case, a secondary research study is </w:t>
      </w:r>
      <w:r w:rsidR="0056117F" w:rsidRPr="002B78E4">
        <w:rPr>
          <w:sz w:val="22"/>
        </w:rPr>
        <w:t>done,</w:t>
      </w:r>
      <w:r w:rsidRPr="002B78E4">
        <w:rPr>
          <w:sz w:val="22"/>
        </w:rPr>
        <w:t xml:space="preserve"> and thus formal ethical approval is not necessary. Ethics will be maintained by making sure that one uses studies that can be accessed in public and peer reviewed. To prevent plagiarism, adequate citation will be applied, and the researcher will be objective and transparent in choosing and analysing the data (Ghanad, 2023). The research will also be conducted in accordance </w:t>
      </w:r>
      <w:r w:rsidR="0056117F" w:rsidRPr="002B78E4">
        <w:rPr>
          <w:sz w:val="22"/>
        </w:rPr>
        <w:t>with</w:t>
      </w:r>
      <w:r w:rsidRPr="002B78E4">
        <w:rPr>
          <w:sz w:val="22"/>
        </w:rPr>
        <w:t xml:space="preserve"> the ethical standards of secondary research, without dishonesty and disrespect to the original authors.</w:t>
      </w:r>
    </w:p>
    <w:p w14:paraId="2C2161E5" w14:textId="77777777" w:rsidR="00DC46CB" w:rsidRPr="002B78E4" w:rsidRDefault="00DC46CB">
      <w:pPr>
        <w:rPr>
          <w:b/>
          <w:bCs/>
          <w:sz w:val="22"/>
          <w:lang w:val="en-US"/>
        </w:rPr>
      </w:pPr>
      <w:r w:rsidRPr="002B78E4">
        <w:rPr>
          <w:b/>
          <w:bCs/>
          <w:sz w:val="22"/>
          <w:lang w:val="en-US"/>
        </w:rPr>
        <w:br w:type="page"/>
      </w:r>
    </w:p>
    <w:p w14:paraId="14FAB0B8" w14:textId="3050F059" w:rsidR="00DC46CB" w:rsidRPr="002B78E4" w:rsidRDefault="00DC46CB" w:rsidP="00DC46CB">
      <w:pPr>
        <w:pStyle w:val="Heading1"/>
        <w:rPr>
          <w:sz w:val="22"/>
          <w:lang w:val="en-US"/>
        </w:rPr>
      </w:pPr>
      <w:r w:rsidRPr="002B78E4">
        <w:rPr>
          <w:sz w:val="22"/>
          <w:lang w:val="en-US"/>
        </w:rPr>
        <w:lastRenderedPageBreak/>
        <w:t>References</w:t>
      </w:r>
    </w:p>
    <w:p w14:paraId="705A3B0A" w14:textId="77777777" w:rsidR="00DC46CB" w:rsidRDefault="00DC46CB" w:rsidP="00DC46CB">
      <w:pPr>
        <w:spacing w:before="120" w:after="240" w:line="360" w:lineRule="auto"/>
        <w:jc w:val="both"/>
        <w:rPr>
          <w:sz w:val="22"/>
          <w:lang w:val="en-US"/>
        </w:rPr>
      </w:pPr>
      <w:r w:rsidRPr="002B78E4">
        <w:rPr>
          <w:sz w:val="22"/>
          <w:lang w:val="en-US"/>
        </w:rPr>
        <w:t xml:space="preserve">Ghanad, A., 2023. </w:t>
      </w:r>
      <w:r w:rsidRPr="002B78E4">
        <w:rPr>
          <w:i/>
          <w:iCs/>
          <w:sz w:val="22"/>
          <w:lang w:val="en-US"/>
        </w:rPr>
        <w:t>An overview of quantitative research methods.</w:t>
      </w:r>
      <w:r w:rsidRPr="002B78E4">
        <w:rPr>
          <w:sz w:val="22"/>
          <w:lang w:val="en-US"/>
        </w:rPr>
        <w:t xml:space="preserve"> </w:t>
      </w:r>
      <w:r w:rsidRPr="002B78E4">
        <w:rPr>
          <w:i/>
          <w:iCs/>
          <w:sz w:val="22"/>
          <w:lang w:val="en-US"/>
        </w:rPr>
        <w:t>International Journal of Multidisciplinary Research and Analysis</w:t>
      </w:r>
      <w:r w:rsidRPr="002B78E4">
        <w:rPr>
          <w:sz w:val="22"/>
          <w:lang w:val="en-US"/>
        </w:rPr>
        <w:t>, 6(08), pp.3794–3803.</w:t>
      </w:r>
      <w:r w:rsidRPr="002B78E4">
        <w:rPr>
          <w:sz w:val="22"/>
          <w:lang w:val="en-US"/>
        </w:rPr>
        <w:br/>
        <w:t xml:space="preserve">Jones, R.A., Lawlor, E.R., Birch, J.M., Patel, M.I., Werneck, A.O., Hoare, E., Griffin, S.J., van Sluijs, E.M., Sharp, S.J. and Ahern, A.L., 2021. </w:t>
      </w:r>
      <w:r w:rsidRPr="002B78E4">
        <w:rPr>
          <w:i/>
          <w:iCs/>
          <w:sz w:val="22"/>
          <w:lang w:val="en-US"/>
        </w:rPr>
        <w:t xml:space="preserve">The impact of adult </w:t>
      </w:r>
      <w:proofErr w:type="spellStart"/>
      <w:r w:rsidRPr="002B78E4">
        <w:rPr>
          <w:i/>
          <w:iCs/>
          <w:sz w:val="22"/>
          <w:lang w:val="en-US"/>
        </w:rPr>
        <w:t>behavioural</w:t>
      </w:r>
      <w:proofErr w:type="spellEnd"/>
      <w:r w:rsidRPr="002B78E4">
        <w:rPr>
          <w:i/>
          <w:iCs/>
          <w:sz w:val="22"/>
          <w:lang w:val="en-US"/>
        </w:rPr>
        <w:t xml:space="preserve"> weight management interventions on mental health: A systematic review and meta‐analysis.</w:t>
      </w:r>
      <w:r w:rsidRPr="002B78E4">
        <w:rPr>
          <w:sz w:val="22"/>
          <w:lang w:val="en-US"/>
        </w:rPr>
        <w:t xml:space="preserve"> </w:t>
      </w:r>
      <w:r w:rsidRPr="002B78E4">
        <w:rPr>
          <w:i/>
          <w:iCs/>
          <w:sz w:val="22"/>
          <w:lang w:val="en-US"/>
        </w:rPr>
        <w:t>Obesity Reviews</w:t>
      </w:r>
      <w:r w:rsidRPr="002B78E4">
        <w:rPr>
          <w:sz w:val="22"/>
          <w:lang w:val="en-US"/>
        </w:rPr>
        <w:t>, 22(4), p.e13150.</w:t>
      </w:r>
      <w:r w:rsidRPr="002B78E4">
        <w:rPr>
          <w:sz w:val="22"/>
          <w:lang w:val="en-US"/>
        </w:rPr>
        <w:br/>
        <w:t xml:space="preserve">Mental Health Foundation. (2024). </w:t>
      </w:r>
      <w:r w:rsidRPr="002B78E4">
        <w:rPr>
          <w:i/>
          <w:iCs/>
          <w:sz w:val="22"/>
          <w:lang w:val="en-US"/>
        </w:rPr>
        <w:t>Moving more is good for our mental health, so what's stopping us?</w:t>
      </w:r>
      <w:r w:rsidRPr="002B78E4">
        <w:rPr>
          <w:sz w:val="22"/>
          <w:lang w:val="en-US"/>
        </w:rPr>
        <w:t xml:space="preserve"> [online] Available at: </w:t>
      </w:r>
      <w:hyperlink r:id="rId7" w:tgtFrame="_new" w:history="1">
        <w:r w:rsidRPr="002B78E4">
          <w:rPr>
            <w:rStyle w:val="Hyperlink"/>
            <w:sz w:val="22"/>
            <w:lang w:val="en-US"/>
          </w:rPr>
          <w:t>https://www.mentalhealth.org.uk/explore-mental-health/movement/movement-research</w:t>
        </w:r>
      </w:hyperlink>
      <w:r w:rsidRPr="002B78E4">
        <w:rPr>
          <w:sz w:val="22"/>
          <w:lang w:val="en-US"/>
        </w:rPr>
        <w:br/>
        <w:t xml:space="preserve">Nii Laryeafio, M. and Ogbewe, O.C., 2023. </w:t>
      </w:r>
      <w:r w:rsidRPr="002B78E4">
        <w:rPr>
          <w:i/>
          <w:iCs/>
          <w:sz w:val="22"/>
          <w:lang w:val="en-US"/>
        </w:rPr>
        <w:t>Ethical consideration dilemma: systematic review of ethics in qualitative data collection through interviews.</w:t>
      </w:r>
      <w:r w:rsidRPr="002B78E4">
        <w:rPr>
          <w:sz w:val="22"/>
          <w:lang w:val="en-US"/>
        </w:rPr>
        <w:t xml:space="preserve"> </w:t>
      </w:r>
      <w:r w:rsidRPr="002B78E4">
        <w:rPr>
          <w:i/>
          <w:iCs/>
          <w:sz w:val="22"/>
          <w:lang w:val="en-US"/>
        </w:rPr>
        <w:t>Journal of Ethics in Entrepreneurship and Technology</w:t>
      </w:r>
      <w:r w:rsidRPr="002B78E4">
        <w:rPr>
          <w:sz w:val="22"/>
          <w:lang w:val="en-US"/>
        </w:rPr>
        <w:t>, 3(2), pp.94–110.</w:t>
      </w:r>
      <w:r w:rsidRPr="002B78E4">
        <w:rPr>
          <w:sz w:val="22"/>
          <w:lang w:val="en-US"/>
        </w:rPr>
        <w:br/>
        <w:t xml:space="preserve">Solomon-Moore, E., Lambert, J., Grey, E., Gillison, F., Townsend, N., Busam, B., </w:t>
      </w:r>
      <w:proofErr w:type="spellStart"/>
      <w:r w:rsidRPr="002B78E4">
        <w:rPr>
          <w:sz w:val="22"/>
          <w:lang w:val="en-US"/>
        </w:rPr>
        <w:t>Velemis</w:t>
      </w:r>
      <w:proofErr w:type="spellEnd"/>
      <w:r w:rsidRPr="002B78E4">
        <w:rPr>
          <w:sz w:val="22"/>
          <w:lang w:val="en-US"/>
        </w:rPr>
        <w:t xml:space="preserve">, K., Millen, C., Baber, F. and Griffin, T., 2022. </w:t>
      </w:r>
      <w:r w:rsidRPr="002B78E4">
        <w:rPr>
          <w:i/>
          <w:iCs/>
          <w:sz w:val="22"/>
          <w:lang w:val="en-US"/>
        </w:rPr>
        <w:t xml:space="preserve">Life in lockdown: a longitudinal study investigating the impact of the UK COVID-19 lockdown measures on lifestyle </w:t>
      </w:r>
      <w:proofErr w:type="spellStart"/>
      <w:r w:rsidRPr="002B78E4">
        <w:rPr>
          <w:i/>
          <w:iCs/>
          <w:sz w:val="22"/>
          <w:lang w:val="en-US"/>
        </w:rPr>
        <w:t>behaviours</w:t>
      </w:r>
      <w:proofErr w:type="spellEnd"/>
      <w:r w:rsidRPr="002B78E4">
        <w:rPr>
          <w:i/>
          <w:iCs/>
          <w:sz w:val="22"/>
          <w:lang w:val="en-US"/>
        </w:rPr>
        <w:t xml:space="preserve"> and mental health.</w:t>
      </w:r>
      <w:r w:rsidRPr="002B78E4">
        <w:rPr>
          <w:sz w:val="22"/>
          <w:lang w:val="en-US"/>
        </w:rPr>
        <w:t xml:space="preserve"> </w:t>
      </w:r>
      <w:r w:rsidRPr="002B78E4">
        <w:rPr>
          <w:i/>
          <w:iCs/>
          <w:sz w:val="22"/>
          <w:lang w:val="en-US"/>
        </w:rPr>
        <w:t>BMC Public Health</w:t>
      </w:r>
      <w:r w:rsidRPr="002B78E4">
        <w:rPr>
          <w:sz w:val="22"/>
          <w:lang w:val="en-US"/>
        </w:rPr>
        <w:t>, 22(1), p.1495.</w:t>
      </w:r>
    </w:p>
    <w:p w14:paraId="268ED1F7" w14:textId="48EAE4D2" w:rsidR="00777F81" w:rsidRDefault="00777F81" w:rsidP="00DC46CB">
      <w:pPr>
        <w:spacing w:before="120" w:after="240" w:line="360" w:lineRule="auto"/>
        <w:jc w:val="both"/>
        <w:rPr>
          <w:sz w:val="22"/>
          <w:lang w:val="en-US"/>
        </w:rPr>
      </w:pPr>
      <w:r>
        <w:rPr>
          <w:sz w:val="22"/>
          <w:lang w:val="en-US"/>
        </w:rPr>
        <w:t>BHBIA – British Healthcare Business Intelligence Association (2020) BHBIA Data Analysis Guidelines</w:t>
      </w:r>
      <w:r w:rsidR="00E524EE">
        <w:rPr>
          <w:sz w:val="22"/>
          <w:lang w:val="en-US"/>
        </w:rPr>
        <w:t xml:space="preserve"> Secondary Data – Ethical Principles. Available at:</w:t>
      </w:r>
    </w:p>
    <w:p w14:paraId="5B6D0145" w14:textId="043C8D64" w:rsidR="00FC30C5" w:rsidRDefault="00FC30C5" w:rsidP="00DC46CB">
      <w:pPr>
        <w:spacing w:before="120" w:after="240" w:line="360" w:lineRule="auto"/>
        <w:jc w:val="both"/>
        <w:rPr>
          <w:sz w:val="22"/>
          <w:lang w:val="en-US"/>
        </w:rPr>
      </w:pPr>
      <w:hyperlink r:id="rId8" w:history="1">
        <w:r w:rsidRPr="00376E07">
          <w:rPr>
            <w:rStyle w:val="Hyperlink"/>
            <w:sz w:val="22"/>
            <w:lang w:val="en-US"/>
          </w:rPr>
          <w:t>https://www.bhbia.org.uk/assets/Downloads/Guidelines/4_secondary_data_ethical_principles_aug2020_fv.PDF</w:t>
        </w:r>
      </w:hyperlink>
    </w:p>
    <w:p w14:paraId="131F2655" w14:textId="21A667BD" w:rsidR="00FC30C5" w:rsidRDefault="00FC30C5" w:rsidP="00DC46CB">
      <w:pPr>
        <w:spacing w:before="120" w:after="240" w:line="360" w:lineRule="auto"/>
        <w:jc w:val="both"/>
        <w:rPr>
          <w:sz w:val="22"/>
          <w:lang w:val="en-US"/>
        </w:rPr>
      </w:pPr>
      <w:r>
        <w:rPr>
          <w:sz w:val="22"/>
          <w:lang w:val="en-US"/>
        </w:rPr>
        <w:t>(Accessed: 23 October 2025).</w:t>
      </w:r>
    </w:p>
    <w:p w14:paraId="2F3B95A1" w14:textId="34F6ADBC" w:rsidR="00FC30C5" w:rsidRDefault="00FC30C5" w:rsidP="00DC46CB">
      <w:pPr>
        <w:spacing w:before="120" w:after="240" w:line="360" w:lineRule="auto"/>
        <w:jc w:val="both"/>
        <w:rPr>
          <w:sz w:val="22"/>
          <w:lang w:val="en-US"/>
        </w:rPr>
      </w:pPr>
      <w:r>
        <w:rPr>
          <w:sz w:val="22"/>
          <w:lang w:val="en-US"/>
        </w:rPr>
        <w:t>Emick, J. (2024) Introduction to the special issue: unlocking the potential of secondary data analysis in pediatric health research’, Children’s health care, 53(4), pp. 323-328. Available at:</w:t>
      </w:r>
    </w:p>
    <w:p w14:paraId="57410801" w14:textId="05168979" w:rsidR="00FC30C5" w:rsidRDefault="00FC30C5" w:rsidP="00DC46CB">
      <w:pPr>
        <w:spacing w:before="120" w:after="240" w:line="360" w:lineRule="auto"/>
        <w:jc w:val="both"/>
        <w:rPr>
          <w:sz w:val="22"/>
          <w:lang w:val="en-US"/>
        </w:rPr>
      </w:pPr>
      <w:hyperlink r:id="rId9" w:history="1">
        <w:r w:rsidRPr="00376E07">
          <w:rPr>
            <w:rStyle w:val="Hyperlink"/>
            <w:sz w:val="22"/>
            <w:lang w:val="en-US"/>
          </w:rPr>
          <w:t>https://doi.org/10.1080/02739615.2023.2294782</w:t>
        </w:r>
      </w:hyperlink>
      <w:r>
        <w:rPr>
          <w:sz w:val="22"/>
          <w:lang w:val="en-US"/>
        </w:rPr>
        <w:t xml:space="preserve">. </w:t>
      </w:r>
    </w:p>
    <w:p w14:paraId="53CB20A9" w14:textId="77777777" w:rsidR="00E524EE" w:rsidRDefault="00E524EE" w:rsidP="00DC46CB">
      <w:pPr>
        <w:spacing w:before="120" w:after="240" w:line="360" w:lineRule="auto"/>
        <w:jc w:val="both"/>
        <w:rPr>
          <w:sz w:val="22"/>
          <w:lang w:val="en-US"/>
        </w:rPr>
      </w:pPr>
    </w:p>
    <w:p w14:paraId="7594591F" w14:textId="77777777" w:rsidR="00E524EE" w:rsidRPr="002B78E4" w:rsidRDefault="00E524EE" w:rsidP="00DC46CB">
      <w:pPr>
        <w:spacing w:before="120" w:after="240" w:line="360" w:lineRule="auto"/>
        <w:jc w:val="both"/>
        <w:rPr>
          <w:sz w:val="22"/>
          <w:lang w:val="en-US"/>
        </w:rPr>
      </w:pPr>
    </w:p>
    <w:p w14:paraId="052985A5" w14:textId="77777777" w:rsidR="00FB6FF1" w:rsidRPr="002B78E4" w:rsidRDefault="00FB6FF1" w:rsidP="003D2EC4">
      <w:pPr>
        <w:spacing w:before="120" w:after="240" w:line="360" w:lineRule="auto"/>
        <w:jc w:val="both"/>
        <w:rPr>
          <w:rFonts w:ascii="Arial" w:hAnsi="Arial" w:cs="Arial"/>
          <w:sz w:val="22"/>
        </w:rPr>
      </w:pPr>
    </w:p>
    <w:p w14:paraId="07CF3A4D" w14:textId="4AAF8C7D" w:rsidR="00715990" w:rsidRPr="002B78E4" w:rsidRDefault="00715990" w:rsidP="003D2EC4">
      <w:pPr>
        <w:spacing w:line="360" w:lineRule="auto"/>
        <w:jc w:val="both"/>
        <w:rPr>
          <w:rFonts w:ascii="Arial" w:hAnsi="Arial" w:cs="Arial"/>
          <w:sz w:val="22"/>
        </w:rPr>
      </w:pPr>
      <w:r w:rsidRPr="002B78E4">
        <w:rPr>
          <w:rFonts w:ascii="Arial" w:hAnsi="Arial" w:cs="Arial"/>
          <w:sz w:val="22"/>
        </w:rPr>
        <w:br w:type="page"/>
      </w:r>
    </w:p>
    <w:p w14:paraId="12EFF29B" w14:textId="77777777" w:rsidR="00FB6FF1" w:rsidRPr="002B78E4" w:rsidRDefault="00FB6FF1" w:rsidP="00AD0E8D">
      <w:pPr>
        <w:pStyle w:val="Heading1"/>
        <w:rPr>
          <w:sz w:val="22"/>
        </w:rPr>
      </w:pPr>
    </w:p>
    <w:p w14:paraId="62773D85" w14:textId="77777777" w:rsidR="00FB6FF1" w:rsidRDefault="00FB6FF1" w:rsidP="00AD0E8D">
      <w:pPr>
        <w:pStyle w:val="Heading1"/>
      </w:pPr>
    </w:p>
    <w:p w14:paraId="0686A3B1" w14:textId="77777777" w:rsidR="00FB6FF1" w:rsidRDefault="00FB6FF1" w:rsidP="00AD0E8D">
      <w:pPr>
        <w:pStyle w:val="Heading1"/>
      </w:pPr>
    </w:p>
    <w:p w14:paraId="6BB70D71" w14:textId="77777777" w:rsidR="00FB6FF1" w:rsidRDefault="00FB6FF1" w:rsidP="00AD0E8D">
      <w:pPr>
        <w:pStyle w:val="Heading1"/>
      </w:pPr>
    </w:p>
    <w:p w14:paraId="4BE30F7D" w14:textId="77777777" w:rsidR="00FB6FF1" w:rsidRDefault="00FB6FF1" w:rsidP="00AD0E8D">
      <w:pPr>
        <w:pStyle w:val="Heading1"/>
      </w:pPr>
    </w:p>
    <w:p w14:paraId="5BC91157" w14:textId="77777777" w:rsidR="00545684" w:rsidRPr="00AD0E8D" w:rsidRDefault="00545684" w:rsidP="00FB6FF1">
      <w:pPr>
        <w:spacing w:line="360" w:lineRule="auto"/>
        <w:jc w:val="both"/>
        <w:rPr>
          <w:rFonts w:ascii="Arial" w:hAnsi="Arial" w:cs="Arial"/>
          <w:sz w:val="22"/>
        </w:rPr>
      </w:pPr>
    </w:p>
    <w:sectPr w:rsidR="00545684" w:rsidRPr="00AD0E8D"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7E37E" w14:textId="77777777" w:rsidR="008F6B19" w:rsidRDefault="008F6B19" w:rsidP="00545684">
      <w:pPr>
        <w:spacing w:after="0" w:line="240" w:lineRule="auto"/>
      </w:pPr>
      <w:r>
        <w:separator/>
      </w:r>
    </w:p>
  </w:endnote>
  <w:endnote w:type="continuationSeparator" w:id="0">
    <w:p w14:paraId="1385BCE0" w14:textId="77777777" w:rsidR="008F6B19" w:rsidRDefault="008F6B1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975BA" w14:textId="77777777" w:rsidR="008F6B19" w:rsidRDefault="008F6B19" w:rsidP="00545684">
      <w:pPr>
        <w:spacing w:after="0" w:line="240" w:lineRule="auto"/>
      </w:pPr>
      <w:r>
        <w:separator/>
      </w:r>
    </w:p>
  </w:footnote>
  <w:footnote w:type="continuationSeparator" w:id="0">
    <w:p w14:paraId="3A4B1736" w14:textId="77777777" w:rsidR="008F6B19" w:rsidRDefault="008F6B19"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3B211E"/>
    <w:multiLevelType w:val="hybridMultilevel"/>
    <w:tmpl w:val="422A9F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F43A8C"/>
    <w:multiLevelType w:val="hybridMultilevel"/>
    <w:tmpl w:val="B8AE7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0E092A"/>
    <w:multiLevelType w:val="hybridMultilevel"/>
    <w:tmpl w:val="883E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77779D"/>
    <w:multiLevelType w:val="hybridMultilevel"/>
    <w:tmpl w:val="07546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AB327F"/>
    <w:multiLevelType w:val="hybridMultilevel"/>
    <w:tmpl w:val="C17A1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1228696">
    <w:abstractNumId w:val="5"/>
  </w:num>
  <w:num w:numId="2" w16cid:durableId="1415324436">
    <w:abstractNumId w:val="3"/>
  </w:num>
  <w:num w:numId="3" w16cid:durableId="787621533">
    <w:abstractNumId w:val="2"/>
  </w:num>
  <w:num w:numId="4" w16cid:durableId="86852908">
    <w:abstractNumId w:val="1"/>
  </w:num>
  <w:num w:numId="5" w16cid:durableId="2035841158">
    <w:abstractNumId w:val="4"/>
  </w:num>
  <w:num w:numId="6" w16cid:durableId="933708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52E2"/>
    <w:rsid w:val="00024BE8"/>
    <w:rsid w:val="00041A5A"/>
    <w:rsid w:val="000A5161"/>
    <w:rsid w:val="000B7489"/>
    <w:rsid w:val="000B7CD5"/>
    <w:rsid w:val="000D7470"/>
    <w:rsid w:val="000F2D35"/>
    <w:rsid w:val="00101816"/>
    <w:rsid w:val="00134B58"/>
    <w:rsid w:val="001418ED"/>
    <w:rsid w:val="001C66A7"/>
    <w:rsid w:val="00204DF7"/>
    <w:rsid w:val="00216C85"/>
    <w:rsid w:val="00260277"/>
    <w:rsid w:val="00273EDD"/>
    <w:rsid w:val="002A15DA"/>
    <w:rsid w:val="002B78E4"/>
    <w:rsid w:val="002C3965"/>
    <w:rsid w:val="002E5640"/>
    <w:rsid w:val="00321C4C"/>
    <w:rsid w:val="003803D8"/>
    <w:rsid w:val="003A220F"/>
    <w:rsid w:val="003B5B7F"/>
    <w:rsid w:val="003C59DA"/>
    <w:rsid w:val="003D2EC4"/>
    <w:rsid w:val="003F1CAE"/>
    <w:rsid w:val="00447EB9"/>
    <w:rsid w:val="004662F9"/>
    <w:rsid w:val="004903AA"/>
    <w:rsid w:val="004A2640"/>
    <w:rsid w:val="004C108E"/>
    <w:rsid w:val="004E6C3B"/>
    <w:rsid w:val="00545684"/>
    <w:rsid w:val="0056117F"/>
    <w:rsid w:val="00572127"/>
    <w:rsid w:val="005A2F18"/>
    <w:rsid w:val="0061260B"/>
    <w:rsid w:val="00632D76"/>
    <w:rsid w:val="0064599F"/>
    <w:rsid w:val="00654FA6"/>
    <w:rsid w:val="006700AB"/>
    <w:rsid w:val="006A6475"/>
    <w:rsid w:val="006C0F5A"/>
    <w:rsid w:val="006E77AB"/>
    <w:rsid w:val="00715990"/>
    <w:rsid w:val="00762023"/>
    <w:rsid w:val="00777F81"/>
    <w:rsid w:val="00784670"/>
    <w:rsid w:val="007B6592"/>
    <w:rsid w:val="0082130F"/>
    <w:rsid w:val="0082547D"/>
    <w:rsid w:val="00866B7B"/>
    <w:rsid w:val="008E5015"/>
    <w:rsid w:val="008F6B19"/>
    <w:rsid w:val="00994CBA"/>
    <w:rsid w:val="009D1D1E"/>
    <w:rsid w:val="00A035FD"/>
    <w:rsid w:val="00A857E4"/>
    <w:rsid w:val="00A92F2F"/>
    <w:rsid w:val="00AA7E40"/>
    <w:rsid w:val="00AD0E8D"/>
    <w:rsid w:val="00B31FA1"/>
    <w:rsid w:val="00B54E38"/>
    <w:rsid w:val="00C00192"/>
    <w:rsid w:val="00C07B1E"/>
    <w:rsid w:val="00CC5480"/>
    <w:rsid w:val="00CD47CA"/>
    <w:rsid w:val="00D769F0"/>
    <w:rsid w:val="00D87DE5"/>
    <w:rsid w:val="00D92E9A"/>
    <w:rsid w:val="00DC46CB"/>
    <w:rsid w:val="00DD308F"/>
    <w:rsid w:val="00E01F45"/>
    <w:rsid w:val="00E524EE"/>
    <w:rsid w:val="00E614D4"/>
    <w:rsid w:val="00F0238E"/>
    <w:rsid w:val="00F07931"/>
    <w:rsid w:val="00F26EF2"/>
    <w:rsid w:val="00F278D4"/>
    <w:rsid w:val="00FB6FF1"/>
    <w:rsid w:val="00FC30C5"/>
    <w:rsid w:val="00FD72D6"/>
    <w:rsid w:val="00FF5B70"/>
    <w:rsid w:val="00FF7C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DC46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3C59DA"/>
    <w:pPr>
      <w:ind w:left="720"/>
      <w:contextualSpacing/>
    </w:pPr>
  </w:style>
  <w:style w:type="character" w:customStyle="1" w:styleId="Heading4Char">
    <w:name w:val="Heading 4 Char"/>
    <w:basedOn w:val="DefaultParagraphFont"/>
    <w:link w:val="Heading4"/>
    <w:uiPriority w:val="9"/>
    <w:semiHidden/>
    <w:rsid w:val="00DC46C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C46CB"/>
    <w:rPr>
      <w:color w:val="0563C1" w:themeColor="hyperlink"/>
      <w:u w:val="single"/>
    </w:rPr>
  </w:style>
  <w:style w:type="character" w:styleId="UnresolvedMention">
    <w:name w:val="Unresolved Mention"/>
    <w:basedOn w:val="DefaultParagraphFont"/>
    <w:uiPriority w:val="99"/>
    <w:semiHidden/>
    <w:unhideWhenUsed/>
    <w:rsid w:val="00DC46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482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bia.org.uk/assets/Downloads/Guidelines/4_secondary_data_ethical_principles_aug2020_fv.PDF" TargetMode="External"/><Relationship Id="rId3" Type="http://schemas.openxmlformats.org/officeDocument/2006/relationships/settings" Target="settings.xml"/><Relationship Id="rId7" Type="http://schemas.openxmlformats.org/officeDocument/2006/relationships/hyperlink" Target="https://www.mentalhealth.org.uk/explore-mental-health/movement/movement-resear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80/02739615.2023.22947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777</Words>
  <Characters>4433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Abdulai Kamara (2328050)</cp:lastModifiedBy>
  <cp:revision>20</cp:revision>
  <dcterms:created xsi:type="dcterms:W3CDTF">2025-10-19T10:37:00Z</dcterms:created>
  <dcterms:modified xsi:type="dcterms:W3CDTF">2025-11-02T16:02:00Z</dcterms:modified>
</cp:coreProperties>
</file>