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FD7D8" w14:textId="59E976C6" w:rsidR="00BF4845" w:rsidRDefault="00BF4845" w:rsidP="00ED0FF8">
      <w:pPr>
        <w:spacing w:line="278" w:lineRule="auto"/>
        <w:jc w:val="center"/>
        <w:rPr>
          <w:b/>
          <w:bCs/>
          <w:sz w:val="32"/>
          <w:szCs w:val="32"/>
        </w:rPr>
      </w:pPr>
    </w:p>
    <w:p w14:paraId="7C8F30E8" w14:textId="77777777" w:rsidR="00ED0FF8" w:rsidRDefault="00ED0FF8" w:rsidP="00ED0FF8">
      <w:pPr>
        <w:spacing w:line="278" w:lineRule="auto"/>
        <w:jc w:val="center"/>
        <w:rPr>
          <w:b/>
          <w:bCs/>
          <w:sz w:val="32"/>
          <w:szCs w:val="32"/>
        </w:rPr>
      </w:pPr>
    </w:p>
    <w:p w14:paraId="1D4A3917" w14:textId="77777777" w:rsidR="00ED0FF8" w:rsidRDefault="00ED0FF8" w:rsidP="00ED0FF8">
      <w:pPr>
        <w:spacing w:line="278" w:lineRule="auto"/>
        <w:jc w:val="center"/>
        <w:rPr>
          <w:b/>
          <w:bCs/>
          <w:sz w:val="32"/>
          <w:szCs w:val="32"/>
        </w:rPr>
      </w:pPr>
    </w:p>
    <w:p w14:paraId="4821C795" w14:textId="77777777" w:rsidR="00ED0FF8" w:rsidRDefault="00ED0FF8" w:rsidP="00ED0FF8">
      <w:pPr>
        <w:spacing w:line="278" w:lineRule="auto"/>
        <w:jc w:val="center"/>
        <w:rPr>
          <w:b/>
          <w:bCs/>
          <w:sz w:val="32"/>
          <w:szCs w:val="32"/>
        </w:rPr>
      </w:pPr>
    </w:p>
    <w:p w14:paraId="645D3701" w14:textId="77777777" w:rsidR="00ED0FF8" w:rsidRDefault="00ED0FF8" w:rsidP="00ED0FF8">
      <w:pPr>
        <w:spacing w:line="278" w:lineRule="auto"/>
        <w:jc w:val="center"/>
        <w:rPr>
          <w:b/>
          <w:bCs/>
          <w:sz w:val="32"/>
          <w:szCs w:val="32"/>
        </w:rPr>
      </w:pPr>
    </w:p>
    <w:p w14:paraId="6E28B40E" w14:textId="77777777" w:rsidR="00ED0FF8" w:rsidRDefault="00ED0FF8" w:rsidP="00ED0FF8">
      <w:pPr>
        <w:spacing w:line="278" w:lineRule="auto"/>
        <w:jc w:val="center"/>
        <w:rPr>
          <w:b/>
          <w:bCs/>
          <w:sz w:val="32"/>
          <w:szCs w:val="32"/>
        </w:rPr>
      </w:pPr>
    </w:p>
    <w:p w14:paraId="288286B9" w14:textId="797A0A48" w:rsidR="00BF4845" w:rsidRPr="00ED0FF8" w:rsidRDefault="00ED0FF8" w:rsidP="00ED0FF8">
      <w:pPr>
        <w:spacing w:line="278" w:lineRule="auto"/>
        <w:jc w:val="center"/>
        <w:rPr>
          <w:rFonts w:ascii="Arial" w:hAnsi="Arial" w:cs="Arial"/>
          <w:b/>
          <w:bCs/>
          <w:sz w:val="44"/>
          <w:szCs w:val="44"/>
        </w:rPr>
      </w:pPr>
      <w:bookmarkStart w:id="0" w:name="_Hlk212379886"/>
      <w:r w:rsidRPr="00ED0FF8">
        <w:rPr>
          <w:rFonts w:ascii="Arial" w:hAnsi="Arial" w:cs="Arial"/>
          <w:b/>
          <w:bCs/>
          <w:sz w:val="44"/>
          <w:szCs w:val="44"/>
        </w:rPr>
        <w:t>University of Wales Trinity Saint David</w:t>
      </w:r>
    </w:p>
    <w:p w14:paraId="21E023B8" w14:textId="52F27419" w:rsidR="00BF4845" w:rsidRPr="00ED0FF8" w:rsidRDefault="00BF4845" w:rsidP="00BF4845">
      <w:pPr>
        <w:spacing w:line="278" w:lineRule="auto"/>
        <w:jc w:val="center"/>
        <w:rPr>
          <w:rFonts w:ascii="Arial" w:hAnsi="Arial" w:cs="Arial"/>
          <w:b/>
          <w:bCs/>
          <w:sz w:val="44"/>
          <w:szCs w:val="44"/>
        </w:rPr>
      </w:pPr>
      <w:r w:rsidRPr="00ED0FF8">
        <w:rPr>
          <w:rFonts w:ascii="Arial" w:hAnsi="Arial" w:cs="Arial"/>
          <w:b/>
          <w:bCs/>
          <w:sz w:val="44"/>
          <w:szCs w:val="44"/>
        </w:rPr>
        <w:t>LCBB4013</w:t>
      </w:r>
    </w:p>
    <w:p w14:paraId="48ECAA71" w14:textId="3A5CBC2C" w:rsidR="00BF4845" w:rsidRDefault="00BF4845" w:rsidP="00ED0FF8">
      <w:pPr>
        <w:spacing w:line="278" w:lineRule="auto"/>
        <w:jc w:val="center"/>
        <w:rPr>
          <w:rFonts w:ascii="Arial" w:hAnsi="Arial" w:cs="Arial"/>
          <w:b/>
          <w:bCs/>
          <w:sz w:val="44"/>
          <w:szCs w:val="44"/>
        </w:rPr>
      </w:pPr>
      <w:r w:rsidRPr="00ED0FF8">
        <w:rPr>
          <w:rFonts w:ascii="Arial" w:hAnsi="Arial" w:cs="Arial"/>
          <w:b/>
          <w:bCs/>
          <w:sz w:val="44"/>
          <w:szCs w:val="44"/>
        </w:rPr>
        <w:t>Stakeholder Engagement</w:t>
      </w:r>
    </w:p>
    <w:p w14:paraId="131E2A2F" w14:textId="44869EA1" w:rsidR="00ED0FF8" w:rsidRPr="00ED0FF8" w:rsidRDefault="00ED0FF8" w:rsidP="00ED0FF8">
      <w:pPr>
        <w:spacing w:line="278" w:lineRule="auto"/>
        <w:jc w:val="center"/>
        <w:rPr>
          <w:rFonts w:ascii="Arial" w:hAnsi="Arial" w:cs="Arial"/>
          <w:b/>
          <w:bCs/>
          <w:sz w:val="44"/>
          <w:szCs w:val="44"/>
        </w:rPr>
      </w:pPr>
      <w:r>
        <w:rPr>
          <w:rFonts w:ascii="Arial" w:hAnsi="Arial" w:cs="Arial"/>
          <w:b/>
          <w:bCs/>
          <w:sz w:val="44"/>
          <w:szCs w:val="44"/>
        </w:rPr>
        <w:t>Ivan Rodriguez Hernandez</w:t>
      </w:r>
    </w:p>
    <w:p w14:paraId="7DDB0530" w14:textId="067EE8EB" w:rsidR="00BF4845" w:rsidRPr="00ED0FF8" w:rsidRDefault="00D136BB" w:rsidP="00BF4845">
      <w:pPr>
        <w:spacing w:line="278" w:lineRule="auto"/>
        <w:jc w:val="center"/>
        <w:rPr>
          <w:rFonts w:ascii="Arial" w:hAnsi="Arial" w:cs="Arial"/>
          <w:b/>
          <w:bCs/>
          <w:sz w:val="44"/>
          <w:szCs w:val="44"/>
        </w:rPr>
      </w:pPr>
      <w:r>
        <w:rPr>
          <w:rFonts w:ascii="Arial" w:hAnsi="Arial" w:cs="Arial"/>
          <w:b/>
          <w:bCs/>
          <w:sz w:val="44"/>
          <w:szCs w:val="44"/>
        </w:rPr>
        <w:t>Floarea-Stanca Costea</w:t>
      </w:r>
    </w:p>
    <w:bookmarkEnd w:id="0"/>
    <w:p w14:paraId="6764CF97" w14:textId="3469E588" w:rsidR="00DB4E5B" w:rsidRDefault="00ED0FF8" w:rsidP="00BF4845">
      <w:pPr>
        <w:spacing w:line="278" w:lineRule="auto"/>
        <w:jc w:val="center"/>
        <w:rPr>
          <w:rFonts w:eastAsiaTheme="majorEastAsia" w:cstheme="majorBidi"/>
          <w:b/>
          <w:color w:val="000000" w:themeColor="text1"/>
          <w:sz w:val="32"/>
          <w:szCs w:val="32"/>
        </w:rPr>
      </w:pPr>
      <w:r w:rsidRPr="00ED0FF8">
        <w:rPr>
          <w:rFonts w:ascii="Arial" w:hAnsi="Arial" w:cs="Arial"/>
          <w:b/>
          <w:bCs/>
          <w:sz w:val="44"/>
          <w:szCs w:val="44"/>
        </w:rPr>
        <w:t>23232</w:t>
      </w:r>
      <w:r w:rsidR="00D136BB">
        <w:rPr>
          <w:rFonts w:ascii="Arial" w:hAnsi="Arial" w:cs="Arial"/>
          <w:b/>
          <w:bCs/>
          <w:sz w:val="44"/>
          <w:szCs w:val="44"/>
        </w:rPr>
        <w:t>50</w:t>
      </w:r>
      <w:r w:rsidR="00DB4E5B">
        <w:br w:type="page"/>
      </w:r>
    </w:p>
    <w:sdt>
      <w:sdtPr>
        <w:rPr>
          <w:rFonts w:ascii="Times New Roman" w:eastAsiaTheme="minorHAnsi" w:hAnsi="Times New Roman" w:cstheme="minorBidi"/>
          <w:color w:val="auto"/>
          <w:kern w:val="2"/>
          <w:sz w:val="24"/>
          <w:szCs w:val="24"/>
          <w:lang w:val="en-GB"/>
          <w14:ligatures w14:val="standardContextual"/>
        </w:rPr>
        <w:id w:val="98923168"/>
        <w:docPartObj>
          <w:docPartGallery w:val="Table of Contents"/>
          <w:docPartUnique/>
        </w:docPartObj>
      </w:sdtPr>
      <w:sdtEndPr>
        <w:rPr>
          <w:b/>
          <w:bCs/>
          <w:noProof/>
        </w:rPr>
      </w:sdtEndPr>
      <w:sdtContent>
        <w:p w14:paraId="55FBA500" w14:textId="24F53D15" w:rsidR="00F87973" w:rsidRPr="00F87973" w:rsidRDefault="00F87973" w:rsidP="00F87973">
          <w:pPr>
            <w:pStyle w:val="TOCHeading"/>
            <w:jc w:val="center"/>
            <w:rPr>
              <w:rFonts w:ascii="Times New Roman" w:hAnsi="Times New Roman" w:cs="Times New Roman"/>
            </w:rPr>
          </w:pPr>
          <w:r w:rsidRPr="00F87973">
            <w:rPr>
              <w:rFonts w:ascii="Times New Roman" w:hAnsi="Times New Roman" w:cs="Times New Roman"/>
            </w:rPr>
            <w:t>Table of Contents</w:t>
          </w:r>
        </w:p>
        <w:p w14:paraId="3DC7DF6E" w14:textId="4B36AAFC" w:rsidR="00A726F6" w:rsidRDefault="00F87973">
          <w:pPr>
            <w:pStyle w:val="TOC1"/>
            <w:rPr>
              <w:rFonts w:asciiTheme="minorHAnsi" w:eastAsiaTheme="minorEastAsia" w:hAnsiTheme="minorHAnsi"/>
              <w:b w:val="0"/>
              <w:bCs w:val="0"/>
              <w:lang w:eastAsia="en-GB"/>
            </w:rPr>
          </w:pPr>
          <w:r>
            <w:fldChar w:fldCharType="begin"/>
          </w:r>
          <w:r>
            <w:instrText xml:space="preserve"> TOC \o "1-3" \h \z \u </w:instrText>
          </w:r>
          <w:r>
            <w:fldChar w:fldCharType="separate"/>
          </w:r>
          <w:hyperlink w:anchor="_Toc211920942" w:history="1">
            <w:r w:rsidR="00A726F6" w:rsidRPr="003A0947">
              <w:rPr>
                <w:rStyle w:val="Hyperlink"/>
              </w:rPr>
              <w:t>Element 1: Introduction</w:t>
            </w:r>
            <w:r w:rsidR="00A726F6">
              <w:rPr>
                <w:webHidden/>
              </w:rPr>
              <w:tab/>
            </w:r>
            <w:r w:rsidR="00A726F6">
              <w:rPr>
                <w:webHidden/>
              </w:rPr>
              <w:fldChar w:fldCharType="begin"/>
            </w:r>
            <w:r w:rsidR="00A726F6">
              <w:rPr>
                <w:webHidden/>
              </w:rPr>
              <w:instrText xml:space="preserve"> PAGEREF _Toc211920942 \h </w:instrText>
            </w:r>
            <w:r w:rsidR="00A726F6">
              <w:rPr>
                <w:webHidden/>
              </w:rPr>
            </w:r>
            <w:r w:rsidR="00A726F6">
              <w:rPr>
                <w:webHidden/>
              </w:rPr>
              <w:fldChar w:fldCharType="separate"/>
            </w:r>
            <w:r w:rsidR="00A726F6">
              <w:rPr>
                <w:webHidden/>
              </w:rPr>
              <w:t>3</w:t>
            </w:r>
            <w:r w:rsidR="00A726F6">
              <w:rPr>
                <w:webHidden/>
              </w:rPr>
              <w:fldChar w:fldCharType="end"/>
            </w:r>
          </w:hyperlink>
        </w:p>
        <w:p w14:paraId="37D34505" w14:textId="3E2916EC" w:rsidR="00A726F6" w:rsidRDefault="00A726F6">
          <w:pPr>
            <w:pStyle w:val="TOC1"/>
            <w:rPr>
              <w:rFonts w:asciiTheme="minorHAnsi" w:eastAsiaTheme="minorEastAsia" w:hAnsiTheme="minorHAnsi"/>
              <w:b w:val="0"/>
              <w:bCs w:val="0"/>
              <w:lang w:eastAsia="en-GB"/>
            </w:rPr>
          </w:pPr>
          <w:hyperlink w:anchor="_Toc211920943" w:history="1">
            <w:r w:rsidRPr="003A0947">
              <w:rPr>
                <w:rStyle w:val="Hyperlink"/>
              </w:rPr>
              <w:t>Element 2: Application and Stakeholder Engagement Strategy</w:t>
            </w:r>
            <w:r>
              <w:rPr>
                <w:webHidden/>
              </w:rPr>
              <w:tab/>
            </w:r>
            <w:r>
              <w:rPr>
                <w:webHidden/>
              </w:rPr>
              <w:fldChar w:fldCharType="begin"/>
            </w:r>
            <w:r>
              <w:rPr>
                <w:webHidden/>
              </w:rPr>
              <w:instrText xml:space="preserve"> PAGEREF _Toc211920943 \h </w:instrText>
            </w:r>
            <w:r>
              <w:rPr>
                <w:webHidden/>
              </w:rPr>
            </w:r>
            <w:r>
              <w:rPr>
                <w:webHidden/>
              </w:rPr>
              <w:fldChar w:fldCharType="separate"/>
            </w:r>
            <w:r>
              <w:rPr>
                <w:webHidden/>
              </w:rPr>
              <w:t>4</w:t>
            </w:r>
            <w:r>
              <w:rPr>
                <w:webHidden/>
              </w:rPr>
              <w:fldChar w:fldCharType="end"/>
            </w:r>
          </w:hyperlink>
        </w:p>
        <w:p w14:paraId="3F0BA449" w14:textId="326DAD46" w:rsidR="00A726F6" w:rsidRDefault="00A726F6">
          <w:pPr>
            <w:pStyle w:val="TOC2"/>
            <w:tabs>
              <w:tab w:val="right" w:leader="dot" w:pos="9016"/>
            </w:tabs>
            <w:rPr>
              <w:rFonts w:asciiTheme="minorHAnsi" w:eastAsiaTheme="minorEastAsia" w:hAnsiTheme="minorHAnsi"/>
              <w:noProof/>
              <w:lang w:eastAsia="en-GB"/>
            </w:rPr>
          </w:pPr>
          <w:hyperlink w:anchor="_Toc211920944" w:history="1">
            <w:r w:rsidRPr="003A0947">
              <w:rPr>
                <w:rStyle w:val="Hyperlink"/>
                <w:noProof/>
              </w:rPr>
              <w:t>2.1 Power, Influence and Interest Table</w:t>
            </w:r>
            <w:r>
              <w:rPr>
                <w:noProof/>
                <w:webHidden/>
              </w:rPr>
              <w:tab/>
            </w:r>
            <w:r>
              <w:rPr>
                <w:noProof/>
                <w:webHidden/>
              </w:rPr>
              <w:fldChar w:fldCharType="begin"/>
            </w:r>
            <w:r>
              <w:rPr>
                <w:noProof/>
                <w:webHidden/>
              </w:rPr>
              <w:instrText xml:space="preserve"> PAGEREF _Toc211920944 \h </w:instrText>
            </w:r>
            <w:r>
              <w:rPr>
                <w:noProof/>
                <w:webHidden/>
              </w:rPr>
            </w:r>
            <w:r>
              <w:rPr>
                <w:noProof/>
                <w:webHidden/>
              </w:rPr>
              <w:fldChar w:fldCharType="separate"/>
            </w:r>
            <w:r>
              <w:rPr>
                <w:noProof/>
                <w:webHidden/>
              </w:rPr>
              <w:t>4</w:t>
            </w:r>
            <w:r>
              <w:rPr>
                <w:noProof/>
                <w:webHidden/>
              </w:rPr>
              <w:fldChar w:fldCharType="end"/>
            </w:r>
          </w:hyperlink>
        </w:p>
        <w:p w14:paraId="3CAA6BB2" w14:textId="099A238C" w:rsidR="00A726F6" w:rsidRDefault="00A726F6">
          <w:pPr>
            <w:pStyle w:val="TOC2"/>
            <w:tabs>
              <w:tab w:val="right" w:leader="dot" w:pos="9016"/>
            </w:tabs>
            <w:rPr>
              <w:rFonts w:asciiTheme="minorHAnsi" w:eastAsiaTheme="minorEastAsia" w:hAnsiTheme="minorHAnsi"/>
              <w:noProof/>
              <w:lang w:eastAsia="en-GB"/>
            </w:rPr>
          </w:pPr>
          <w:hyperlink w:anchor="_Toc211920945" w:history="1">
            <w:r w:rsidRPr="003A0947">
              <w:rPr>
                <w:rStyle w:val="Hyperlink"/>
                <w:noProof/>
              </w:rPr>
              <w:t>2.2 Stakeholder Mapping and Quadrant Analysis</w:t>
            </w:r>
            <w:r>
              <w:rPr>
                <w:noProof/>
                <w:webHidden/>
              </w:rPr>
              <w:tab/>
            </w:r>
            <w:r>
              <w:rPr>
                <w:noProof/>
                <w:webHidden/>
              </w:rPr>
              <w:fldChar w:fldCharType="begin"/>
            </w:r>
            <w:r>
              <w:rPr>
                <w:noProof/>
                <w:webHidden/>
              </w:rPr>
              <w:instrText xml:space="preserve"> PAGEREF _Toc211920945 \h </w:instrText>
            </w:r>
            <w:r>
              <w:rPr>
                <w:noProof/>
                <w:webHidden/>
              </w:rPr>
            </w:r>
            <w:r>
              <w:rPr>
                <w:noProof/>
                <w:webHidden/>
              </w:rPr>
              <w:fldChar w:fldCharType="separate"/>
            </w:r>
            <w:r>
              <w:rPr>
                <w:noProof/>
                <w:webHidden/>
              </w:rPr>
              <w:t>5</w:t>
            </w:r>
            <w:r>
              <w:rPr>
                <w:noProof/>
                <w:webHidden/>
              </w:rPr>
              <w:fldChar w:fldCharType="end"/>
            </w:r>
          </w:hyperlink>
        </w:p>
        <w:p w14:paraId="70F26A12" w14:textId="6C2861D4" w:rsidR="00A726F6" w:rsidRDefault="00A726F6">
          <w:pPr>
            <w:pStyle w:val="TOC2"/>
            <w:tabs>
              <w:tab w:val="right" w:leader="dot" w:pos="9016"/>
            </w:tabs>
            <w:rPr>
              <w:rFonts w:asciiTheme="minorHAnsi" w:eastAsiaTheme="minorEastAsia" w:hAnsiTheme="minorHAnsi"/>
              <w:noProof/>
              <w:lang w:eastAsia="en-GB"/>
            </w:rPr>
          </w:pPr>
          <w:hyperlink w:anchor="_Toc211920946" w:history="1">
            <w:r w:rsidRPr="003A0947">
              <w:rPr>
                <w:rStyle w:val="Hyperlink"/>
                <w:noProof/>
              </w:rPr>
              <w:t>2.3 Communication Plan and Consultation Strategy</w:t>
            </w:r>
            <w:r>
              <w:rPr>
                <w:noProof/>
                <w:webHidden/>
              </w:rPr>
              <w:tab/>
            </w:r>
            <w:r>
              <w:rPr>
                <w:noProof/>
                <w:webHidden/>
              </w:rPr>
              <w:fldChar w:fldCharType="begin"/>
            </w:r>
            <w:r>
              <w:rPr>
                <w:noProof/>
                <w:webHidden/>
              </w:rPr>
              <w:instrText xml:space="preserve"> PAGEREF _Toc211920946 \h </w:instrText>
            </w:r>
            <w:r>
              <w:rPr>
                <w:noProof/>
                <w:webHidden/>
              </w:rPr>
            </w:r>
            <w:r>
              <w:rPr>
                <w:noProof/>
                <w:webHidden/>
              </w:rPr>
              <w:fldChar w:fldCharType="separate"/>
            </w:r>
            <w:r>
              <w:rPr>
                <w:noProof/>
                <w:webHidden/>
              </w:rPr>
              <w:t>6</w:t>
            </w:r>
            <w:r>
              <w:rPr>
                <w:noProof/>
                <w:webHidden/>
              </w:rPr>
              <w:fldChar w:fldCharType="end"/>
            </w:r>
          </w:hyperlink>
        </w:p>
        <w:p w14:paraId="1EDC2FA6" w14:textId="3A04AECC" w:rsidR="00A726F6" w:rsidRDefault="00A726F6">
          <w:pPr>
            <w:pStyle w:val="TOC1"/>
            <w:rPr>
              <w:rFonts w:asciiTheme="minorHAnsi" w:eastAsiaTheme="minorEastAsia" w:hAnsiTheme="minorHAnsi"/>
              <w:b w:val="0"/>
              <w:bCs w:val="0"/>
              <w:lang w:eastAsia="en-GB"/>
            </w:rPr>
          </w:pPr>
          <w:hyperlink w:anchor="_Toc211920947" w:history="1">
            <w:r w:rsidRPr="003A0947">
              <w:rPr>
                <w:rStyle w:val="Hyperlink"/>
              </w:rPr>
              <w:t>Element 3: Ethical Considerations in Stakeholder Consultation</w:t>
            </w:r>
            <w:r>
              <w:rPr>
                <w:webHidden/>
              </w:rPr>
              <w:tab/>
            </w:r>
            <w:r>
              <w:rPr>
                <w:webHidden/>
              </w:rPr>
              <w:fldChar w:fldCharType="begin"/>
            </w:r>
            <w:r>
              <w:rPr>
                <w:webHidden/>
              </w:rPr>
              <w:instrText xml:space="preserve"> PAGEREF _Toc211920947 \h </w:instrText>
            </w:r>
            <w:r>
              <w:rPr>
                <w:webHidden/>
              </w:rPr>
            </w:r>
            <w:r>
              <w:rPr>
                <w:webHidden/>
              </w:rPr>
              <w:fldChar w:fldCharType="separate"/>
            </w:r>
            <w:r>
              <w:rPr>
                <w:webHidden/>
              </w:rPr>
              <w:t>8</w:t>
            </w:r>
            <w:r>
              <w:rPr>
                <w:webHidden/>
              </w:rPr>
              <w:fldChar w:fldCharType="end"/>
            </w:r>
          </w:hyperlink>
        </w:p>
        <w:p w14:paraId="001CB792" w14:textId="4088929D" w:rsidR="00A726F6" w:rsidRDefault="00A726F6">
          <w:pPr>
            <w:pStyle w:val="TOC2"/>
            <w:tabs>
              <w:tab w:val="right" w:leader="dot" w:pos="9016"/>
            </w:tabs>
            <w:rPr>
              <w:rFonts w:asciiTheme="minorHAnsi" w:eastAsiaTheme="minorEastAsia" w:hAnsiTheme="minorHAnsi"/>
              <w:noProof/>
              <w:lang w:eastAsia="en-GB"/>
            </w:rPr>
          </w:pPr>
          <w:hyperlink w:anchor="_Toc211920948" w:history="1">
            <w:r w:rsidRPr="003A0947">
              <w:rPr>
                <w:rStyle w:val="Hyperlink"/>
                <w:noProof/>
              </w:rPr>
              <w:t>3.1 Consultation Methods and Approaches</w:t>
            </w:r>
            <w:r>
              <w:rPr>
                <w:noProof/>
                <w:webHidden/>
              </w:rPr>
              <w:tab/>
            </w:r>
            <w:r>
              <w:rPr>
                <w:noProof/>
                <w:webHidden/>
              </w:rPr>
              <w:fldChar w:fldCharType="begin"/>
            </w:r>
            <w:r>
              <w:rPr>
                <w:noProof/>
                <w:webHidden/>
              </w:rPr>
              <w:instrText xml:space="preserve"> PAGEREF _Toc211920948 \h </w:instrText>
            </w:r>
            <w:r>
              <w:rPr>
                <w:noProof/>
                <w:webHidden/>
              </w:rPr>
            </w:r>
            <w:r>
              <w:rPr>
                <w:noProof/>
                <w:webHidden/>
              </w:rPr>
              <w:fldChar w:fldCharType="separate"/>
            </w:r>
            <w:r>
              <w:rPr>
                <w:noProof/>
                <w:webHidden/>
              </w:rPr>
              <w:t>8</w:t>
            </w:r>
            <w:r>
              <w:rPr>
                <w:noProof/>
                <w:webHidden/>
              </w:rPr>
              <w:fldChar w:fldCharType="end"/>
            </w:r>
          </w:hyperlink>
        </w:p>
        <w:p w14:paraId="68BAFB5B" w14:textId="49149748" w:rsidR="00A726F6" w:rsidRDefault="00A726F6">
          <w:pPr>
            <w:pStyle w:val="TOC2"/>
            <w:tabs>
              <w:tab w:val="right" w:leader="dot" w:pos="9016"/>
            </w:tabs>
            <w:rPr>
              <w:rFonts w:asciiTheme="minorHAnsi" w:eastAsiaTheme="minorEastAsia" w:hAnsiTheme="minorHAnsi"/>
              <w:noProof/>
              <w:lang w:eastAsia="en-GB"/>
            </w:rPr>
          </w:pPr>
          <w:hyperlink w:anchor="_Toc211920949" w:history="1">
            <w:r w:rsidRPr="003A0947">
              <w:rPr>
                <w:rStyle w:val="Hyperlink"/>
                <w:noProof/>
              </w:rPr>
              <w:t>3.2 Ethical Considerations: Data Collection, Bias, and DEI</w:t>
            </w:r>
            <w:r>
              <w:rPr>
                <w:noProof/>
                <w:webHidden/>
              </w:rPr>
              <w:tab/>
            </w:r>
            <w:r>
              <w:rPr>
                <w:noProof/>
                <w:webHidden/>
              </w:rPr>
              <w:fldChar w:fldCharType="begin"/>
            </w:r>
            <w:r>
              <w:rPr>
                <w:noProof/>
                <w:webHidden/>
              </w:rPr>
              <w:instrText xml:space="preserve"> PAGEREF _Toc211920949 \h </w:instrText>
            </w:r>
            <w:r>
              <w:rPr>
                <w:noProof/>
                <w:webHidden/>
              </w:rPr>
            </w:r>
            <w:r>
              <w:rPr>
                <w:noProof/>
                <w:webHidden/>
              </w:rPr>
              <w:fldChar w:fldCharType="separate"/>
            </w:r>
            <w:r>
              <w:rPr>
                <w:noProof/>
                <w:webHidden/>
              </w:rPr>
              <w:t>9</w:t>
            </w:r>
            <w:r>
              <w:rPr>
                <w:noProof/>
                <w:webHidden/>
              </w:rPr>
              <w:fldChar w:fldCharType="end"/>
            </w:r>
          </w:hyperlink>
        </w:p>
        <w:p w14:paraId="6849CF6A" w14:textId="33672563" w:rsidR="00A726F6" w:rsidRDefault="00A726F6">
          <w:pPr>
            <w:pStyle w:val="TOC2"/>
            <w:tabs>
              <w:tab w:val="right" w:leader="dot" w:pos="9016"/>
            </w:tabs>
            <w:rPr>
              <w:rFonts w:asciiTheme="minorHAnsi" w:eastAsiaTheme="minorEastAsia" w:hAnsiTheme="minorHAnsi"/>
              <w:noProof/>
              <w:lang w:eastAsia="en-GB"/>
            </w:rPr>
          </w:pPr>
          <w:hyperlink w:anchor="_Toc211920950" w:history="1">
            <w:r w:rsidRPr="003A0947">
              <w:rPr>
                <w:rStyle w:val="Hyperlink"/>
                <w:noProof/>
              </w:rPr>
              <w:t>3.3 Feedback Collection and Review Processes</w:t>
            </w:r>
            <w:r>
              <w:rPr>
                <w:noProof/>
                <w:webHidden/>
              </w:rPr>
              <w:tab/>
            </w:r>
            <w:r>
              <w:rPr>
                <w:noProof/>
                <w:webHidden/>
              </w:rPr>
              <w:fldChar w:fldCharType="begin"/>
            </w:r>
            <w:r>
              <w:rPr>
                <w:noProof/>
                <w:webHidden/>
              </w:rPr>
              <w:instrText xml:space="preserve"> PAGEREF _Toc211920950 \h </w:instrText>
            </w:r>
            <w:r>
              <w:rPr>
                <w:noProof/>
                <w:webHidden/>
              </w:rPr>
            </w:r>
            <w:r>
              <w:rPr>
                <w:noProof/>
                <w:webHidden/>
              </w:rPr>
              <w:fldChar w:fldCharType="separate"/>
            </w:r>
            <w:r>
              <w:rPr>
                <w:noProof/>
                <w:webHidden/>
              </w:rPr>
              <w:t>9</w:t>
            </w:r>
            <w:r>
              <w:rPr>
                <w:noProof/>
                <w:webHidden/>
              </w:rPr>
              <w:fldChar w:fldCharType="end"/>
            </w:r>
          </w:hyperlink>
        </w:p>
        <w:p w14:paraId="72A6F94F" w14:textId="2B118C93" w:rsidR="00A726F6" w:rsidRDefault="00A726F6">
          <w:pPr>
            <w:pStyle w:val="TOC1"/>
            <w:rPr>
              <w:rFonts w:asciiTheme="minorHAnsi" w:eastAsiaTheme="minorEastAsia" w:hAnsiTheme="minorHAnsi"/>
              <w:b w:val="0"/>
              <w:bCs w:val="0"/>
              <w:lang w:eastAsia="en-GB"/>
            </w:rPr>
          </w:pPr>
          <w:hyperlink w:anchor="_Toc211920951" w:history="1">
            <w:r w:rsidRPr="003A0947">
              <w:rPr>
                <w:rStyle w:val="Hyperlink"/>
              </w:rPr>
              <w:t>Element 4: Conclusion and Reflection</w:t>
            </w:r>
            <w:r>
              <w:rPr>
                <w:webHidden/>
              </w:rPr>
              <w:tab/>
            </w:r>
            <w:r>
              <w:rPr>
                <w:webHidden/>
              </w:rPr>
              <w:fldChar w:fldCharType="begin"/>
            </w:r>
            <w:r>
              <w:rPr>
                <w:webHidden/>
              </w:rPr>
              <w:instrText xml:space="preserve"> PAGEREF _Toc211920951 \h </w:instrText>
            </w:r>
            <w:r>
              <w:rPr>
                <w:webHidden/>
              </w:rPr>
            </w:r>
            <w:r>
              <w:rPr>
                <w:webHidden/>
              </w:rPr>
              <w:fldChar w:fldCharType="separate"/>
            </w:r>
            <w:r>
              <w:rPr>
                <w:webHidden/>
              </w:rPr>
              <w:t>10</w:t>
            </w:r>
            <w:r>
              <w:rPr>
                <w:webHidden/>
              </w:rPr>
              <w:fldChar w:fldCharType="end"/>
            </w:r>
          </w:hyperlink>
        </w:p>
        <w:p w14:paraId="0AB749CF" w14:textId="5942D39F" w:rsidR="00A726F6" w:rsidRDefault="00A726F6">
          <w:pPr>
            <w:pStyle w:val="TOC2"/>
            <w:tabs>
              <w:tab w:val="right" w:leader="dot" w:pos="9016"/>
            </w:tabs>
            <w:rPr>
              <w:rFonts w:asciiTheme="minorHAnsi" w:eastAsiaTheme="minorEastAsia" w:hAnsiTheme="minorHAnsi"/>
              <w:noProof/>
              <w:lang w:eastAsia="en-GB"/>
            </w:rPr>
          </w:pPr>
          <w:hyperlink w:anchor="_Toc211920952" w:history="1">
            <w:r w:rsidRPr="003A0947">
              <w:rPr>
                <w:rStyle w:val="Hyperlink"/>
                <w:noProof/>
              </w:rPr>
              <w:t>4.1 Conclusion</w:t>
            </w:r>
            <w:r>
              <w:rPr>
                <w:noProof/>
                <w:webHidden/>
              </w:rPr>
              <w:tab/>
            </w:r>
            <w:r>
              <w:rPr>
                <w:noProof/>
                <w:webHidden/>
              </w:rPr>
              <w:fldChar w:fldCharType="begin"/>
            </w:r>
            <w:r>
              <w:rPr>
                <w:noProof/>
                <w:webHidden/>
              </w:rPr>
              <w:instrText xml:space="preserve"> PAGEREF _Toc211920952 \h </w:instrText>
            </w:r>
            <w:r>
              <w:rPr>
                <w:noProof/>
                <w:webHidden/>
              </w:rPr>
            </w:r>
            <w:r>
              <w:rPr>
                <w:noProof/>
                <w:webHidden/>
              </w:rPr>
              <w:fldChar w:fldCharType="separate"/>
            </w:r>
            <w:r>
              <w:rPr>
                <w:noProof/>
                <w:webHidden/>
              </w:rPr>
              <w:t>10</w:t>
            </w:r>
            <w:r>
              <w:rPr>
                <w:noProof/>
                <w:webHidden/>
              </w:rPr>
              <w:fldChar w:fldCharType="end"/>
            </w:r>
          </w:hyperlink>
        </w:p>
        <w:p w14:paraId="34973249" w14:textId="4490E505" w:rsidR="00A726F6" w:rsidRDefault="00A726F6">
          <w:pPr>
            <w:pStyle w:val="TOC2"/>
            <w:tabs>
              <w:tab w:val="right" w:leader="dot" w:pos="9016"/>
            </w:tabs>
            <w:rPr>
              <w:rFonts w:asciiTheme="minorHAnsi" w:eastAsiaTheme="minorEastAsia" w:hAnsiTheme="minorHAnsi"/>
              <w:noProof/>
              <w:lang w:eastAsia="en-GB"/>
            </w:rPr>
          </w:pPr>
          <w:hyperlink w:anchor="_Toc211920953" w:history="1">
            <w:r w:rsidRPr="003A0947">
              <w:rPr>
                <w:rStyle w:val="Hyperlink"/>
                <w:noProof/>
              </w:rPr>
              <w:t>4.2 Reflective Account</w:t>
            </w:r>
            <w:r>
              <w:rPr>
                <w:noProof/>
                <w:webHidden/>
              </w:rPr>
              <w:tab/>
            </w:r>
            <w:r>
              <w:rPr>
                <w:noProof/>
                <w:webHidden/>
              </w:rPr>
              <w:fldChar w:fldCharType="begin"/>
            </w:r>
            <w:r>
              <w:rPr>
                <w:noProof/>
                <w:webHidden/>
              </w:rPr>
              <w:instrText xml:space="preserve"> PAGEREF _Toc211920953 \h </w:instrText>
            </w:r>
            <w:r>
              <w:rPr>
                <w:noProof/>
                <w:webHidden/>
              </w:rPr>
            </w:r>
            <w:r>
              <w:rPr>
                <w:noProof/>
                <w:webHidden/>
              </w:rPr>
              <w:fldChar w:fldCharType="separate"/>
            </w:r>
            <w:r>
              <w:rPr>
                <w:noProof/>
                <w:webHidden/>
              </w:rPr>
              <w:t>11</w:t>
            </w:r>
            <w:r>
              <w:rPr>
                <w:noProof/>
                <w:webHidden/>
              </w:rPr>
              <w:fldChar w:fldCharType="end"/>
            </w:r>
          </w:hyperlink>
        </w:p>
        <w:p w14:paraId="2770FB2E" w14:textId="1B45BBDD" w:rsidR="00A726F6" w:rsidRDefault="00A726F6">
          <w:pPr>
            <w:pStyle w:val="TOC1"/>
            <w:rPr>
              <w:rFonts w:asciiTheme="minorHAnsi" w:eastAsiaTheme="minorEastAsia" w:hAnsiTheme="minorHAnsi"/>
              <w:b w:val="0"/>
              <w:bCs w:val="0"/>
              <w:lang w:eastAsia="en-GB"/>
            </w:rPr>
          </w:pPr>
          <w:hyperlink w:anchor="_Toc211920954" w:history="1">
            <w:r w:rsidRPr="003A0947">
              <w:rPr>
                <w:rStyle w:val="Hyperlink"/>
              </w:rPr>
              <w:t>References</w:t>
            </w:r>
            <w:r>
              <w:rPr>
                <w:webHidden/>
              </w:rPr>
              <w:tab/>
            </w:r>
            <w:r>
              <w:rPr>
                <w:webHidden/>
              </w:rPr>
              <w:fldChar w:fldCharType="begin"/>
            </w:r>
            <w:r>
              <w:rPr>
                <w:webHidden/>
              </w:rPr>
              <w:instrText xml:space="preserve"> PAGEREF _Toc211920954 \h </w:instrText>
            </w:r>
            <w:r>
              <w:rPr>
                <w:webHidden/>
              </w:rPr>
            </w:r>
            <w:r>
              <w:rPr>
                <w:webHidden/>
              </w:rPr>
              <w:fldChar w:fldCharType="separate"/>
            </w:r>
            <w:r>
              <w:rPr>
                <w:webHidden/>
              </w:rPr>
              <w:t>13</w:t>
            </w:r>
            <w:r>
              <w:rPr>
                <w:webHidden/>
              </w:rPr>
              <w:fldChar w:fldCharType="end"/>
            </w:r>
          </w:hyperlink>
        </w:p>
        <w:p w14:paraId="31F5E6DD" w14:textId="3460D353" w:rsidR="00F87973" w:rsidRDefault="00F87973">
          <w:r>
            <w:rPr>
              <w:b/>
              <w:bCs/>
              <w:noProof/>
            </w:rPr>
            <w:fldChar w:fldCharType="end"/>
          </w:r>
        </w:p>
      </w:sdtContent>
    </w:sdt>
    <w:p w14:paraId="4AC0CD90" w14:textId="77777777" w:rsidR="00DB4E5B" w:rsidRDefault="00DB4E5B">
      <w:pPr>
        <w:spacing w:line="278" w:lineRule="auto"/>
        <w:jc w:val="left"/>
        <w:rPr>
          <w:rFonts w:eastAsiaTheme="majorEastAsia" w:cstheme="majorBidi"/>
          <w:b/>
          <w:color w:val="000000" w:themeColor="text1"/>
          <w:sz w:val="32"/>
          <w:szCs w:val="32"/>
        </w:rPr>
      </w:pPr>
      <w:r>
        <w:br w:type="page"/>
      </w:r>
    </w:p>
    <w:p w14:paraId="045AF13E" w14:textId="5386A663" w:rsidR="00563360" w:rsidRDefault="00F87973" w:rsidP="00563360">
      <w:pPr>
        <w:pStyle w:val="Heading1"/>
      </w:pPr>
      <w:bookmarkStart w:id="1" w:name="_Toc211920942"/>
      <w:r>
        <w:lastRenderedPageBreak/>
        <w:t xml:space="preserve">Element </w:t>
      </w:r>
      <w:r w:rsidR="00563360" w:rsidRPr="00563360">
        <w:t>1</w:t>
      </w:r>
      <w:r>
        <w:t>:</w:t>
      </w:r>
      <w:r w:rsidR="00563360" w:rsidRPr="00563360">
        <w:t xml:space="preserve"> Introduction</w:t>
      </w:r>
      <w:bookmarkEnd w:id="1"/>
    </w:p>
    <w:p w14:paraId="15AE832D" w14:textId="137A32CD" w:rsidR="00563360" w:rsidRDefault="00D93B0B" w:rsidP="00563360">
      <w:r>
        <w:t>The Project Created for this report is called “Greenfield Community Park”.</w:t>
      </w:r>
      <w:r w:rsidR="006C64B5">
        <w:t xml:space="preserve"> </w:t>
      </w:r>
      <w:r w:rsidR="008F1C4A" w:rsidRPr="008F1C4A">
        <w:t>It is a massive urban renewal initiative that is aimed at changing a 15-acre plot of unused municipal land into a multifunctional community recreational facility.</w:t>
      </w:r>
      <w:r w:rsidR="008F1C4A">
        <w:t xml:space="preserve"> </w:t>
      </w:r>
      <w:r w:rsidRPr="00D93B0B">
        <w:t xml:space="preserve">The project site is in a rapidly urbanising region with population concentration, which continuously grows, and aims at satisfying basic community needs of convenient green spaces, outdoor recreational attractions and socialisation spaces. It </w:t>
      </w:r>
      <w:r>
        <w:t>applies</w:t>
      </w:r>
      <w:r w:rsidRPr="00D93B0B">
        <w:t xml:space="preserve"> not only to the elements of a physical development, but also the ecological sustainability, the improvement of a population health, social cohesiveness, and the economic rebirth of the area.</w:t>
      </w:r>
    </w:p>
    <w:p w14:paraId="28D9B568" w14:textId="63AD3D42" w:rsidR="00D71C6E" w:rsidRDefault="00D71C6E" w:rsidP="00563360">
      <w:r w:rsidRPr="00D71C6E">
        <w:t>A 15-acre underutilised municipal land on the outskirts of Cardiff will be transformed into a lively, sustainable public green space with the proposed Greenfield Community Park. The site was chosen in accordance with Cardiff Council's Green Infrastructure Strategy, which aims to provide access to safe, inclusive outdoor areas, foster biodiversity, and improve community well-being. Due of the region's limited green infrastructure and fast urbanisation, this development is essential to enhancing social cohesion and environmental resilience.</w:t>
      </w:r>
    </w:p>
    <w:p w14:paraId="6D6DDBF1" w14:textId="33C7E50D" w:rsidR="00563360" w:rsidRDefault="00563360" w:rsidP="00563360">
      <w:r>
        <w:t xml:space="preserve">The architecture of the park will combine walking and cycling paths of three </w:t>
      </w:r>
      <w:r w:rsidR="008F59A1">
        <w:t>kilometres</w:t>
      </w:r>
      <w:r>
        <w:t xml:space="preserve"> in length, child-friendly playgrounds, and outdoor gyms, community allotments gardens, multifunctional event areas, and ecological conservation zones that help to preserve the biodiversity. These differences have been created using community consultations and environmental audits and are cost effective in showcasing the preferences of residents and environmental sustainability checks</w:t>
      </w:r>
      <w:r w:rsidR="00D71C6E">
        <w:t>.</w:t>
      </w:r>
      <w:r w:rsidR="00D71C6E" w:rsidRPr="00D71C6E">
        <w:t xml:space="preserve"> </w:t>
      </w:r>
      <w:r w:rsidR="00D71C6E">
        <w:t>T</w:t>
      </w:r>
      <w:r w:rsidR="00D71C6E" w:rsidRPr="00D71C6E">
        <w:t>he park will also feature</w:t>
      </w:r>
      <w:r w:rsidR="00D71C6E">
        <w:t>d</w:t>
      </w:r>
      <w:r w:rsidR="00D71C6E" w:rsidRPr="00D71C6E">
        <w:t xml:space="preserve"> solar-powered, water-saving public restrooms.</w:t>
      </w:r>
      <w:r>
        <w:t xml:space="preserve"> The project is set to be completed after 18 months after the approval, with an estimated budget of £2.3 million, which is going to be financed in the form of municipal allocations and the partnership arrangements.</w:t>
      </w:r>
    </w:p>
    <w:p w14:paraId="31397A1F" w14:textId="489348AC" w:rsidR="00563360" w:rsidRDefault="00563360" w:rsidP="00563360">
      <w:r>
        <w:t xml:space="preserve">The project is based on six stakeholder groups. </w:t>
      </w:r>
      <w:r w:rsidR="0065314D">
        <w:t>Residents</w:t>
      </w:r>
      <w:r>
        <w:t xml:space="preserve">, especially family households and older generations are first line beneficiaries that have access to recreational amenities, better </w:t>
      </w:r>
      <w:r w:rsidR="008F59A1">
        <w:t>aesthetics</w:t>
      </w:r>
      <w:r>
        <w:t xml:space="preserve"> and increase in property value</w:t>
      </w:r>
      <w:r w:rsidR="00753E2A">
        <w:t xml:space="preserve"> </w:t>
      </w:r>
      <w:r w:rsidR="00753E2A" w:rsidRPr="00CE0148">
        <w:t>(Pedrini and Ferri, 2019)</w:t>
      </w:r>
      <w:r>
        <w:t>. Through the accomplishment of planning goals, the evidence of responsive government, and the possible enhancements of tax incomes, the Local Council gains. There will be an increase in the foot traffic, duration of customer interaction, and business activities of local businesses, such as cafes and retail stores, by using the park and attending the various events.</w:t>
      </w:r>
    </w:p>
    <w:p w14:paraId="141C0693" w14:textId="0F2185EF" w:rsidR="00BC4ADB" w:rsidRDefault="00563360" w:rsidP="00563360">
      <w:r>
        <w:lastRenderedPageBreak/>
        <w:t>Schools enjoy the benefit of having outdoor learning premises and physical education facilities, which promote experiential learning. The environmental interests gain with the promotion of conservation objectives, development of urban wildlife resources, and available resources on the carbon sequestration and biodiversity</w:t>
      </w:r>
      <w:r w:rsidR="00753E2A">
        <w:t xml:space="preserve"> </w:t>
      </w:r>
      <w:r w:rsidR="00753E2A" w:rsidRPr="00CE0148">
        <w:t>(Freeman, 2023)</w:t>
      </w:r>
      <w:r>
        <w:t xml:space="preserve">. </w:t>
      </w:r>
      <w:r w:rsidR="008F59A1">
        <w:t>Better population health</w:t>
      </w:r>
      <w:r>
        <w:t xml:space="preserve"> decreased incidences of obesity and cardiovascular diseases and better mental health bring improvement in health and social care groups. Generally, the Greenfield Community Park will provide massive social, environmental and economic amenities to the society.</w:t>
      </w:r>
    </w:p>
    <w:p w14:paraId="0A39C605" w14:textId="0D00341B" w:rsidR="00924F98" w:rsidRDefault="00F87973" w:rsidP="00924F98">
      <w:pPr>
        <w:pStyle w:val="Heading1"/>
      </w:pPr>
      <w:bookmarkStart w:id="2" w:name="_Toc211920943"/>
      <w:r>
        <w:t xml:space="preserve">Element </w:t>
      </w:r>
      <w:r w:rsidR="00924F98">
        <w:t>2</w:t>
      </w:r>
      <w:r>
        <w:t>:</w:t>
      </w:r>
      <w:r w:rsidR="00924F98">
        <w:t xml:space="preserve"> Application and Stakeholder Engagement Strategy</w:t>
      </w:r>
      <w:bookmarkEnd w:id="2"/>
    </w:p>
    <w:p w14:paraId="656E571A" w14:textId="707EA64D" w:rsidR="00924F98" w:rsidRDefault="00924F98" w:rsidP="00924F98">
      <w:pPr>
        <w:pStyle w:val="Heading2"/>
      </w:pPr>
      <w:bookmarkStart w:id="3" w:name="_Toc211920944"/>
      <w:r>
        <w:t>2.1 Power, Influence and Interest Table</w:t>
      </w:r>
      <w:bookmarkEnd w:id="3"/>
    </w:p>
    <w:p w14:paraId="55105D81" w14:textId="510141FF" w:rsidR="00924F98" w:rsidRDefault="00924F98" w:rsidP="00924F98">
      <w:r>
        <w:t xml:space="preserve">Proper stakeholder management </w:t>
      </w:r>
      <w:r w:rsidR="00753E2A">
        <w:t>assumes</w:t>
      </w:r>
      <w:r>
        <w:t xml:space="preserve"> the methodical study of the position of each group in the project</w:t>
      </w:r>
      <w:r w:rsidR="00753E2A">
        <w:t xml:space="preserve"> </w:t>
      </w:r>
      <w:r w:rsidR="00753E2A" w:rsidRPr="00CE0148">
        <w:t>(Xia et al., 2018)</w:t>
      </w:r>
      <w:r>
        <w:t>. The table below classifies the stakeholders based on the power (capacity to influence outcomes), influence (capacity to shape opinions) and interest (need to see success).</w:t>
      </w:r>
    </w:p>
    <w:tbl>
      <w:tblPr>
        <w:tblStyle w:val="TableGrid"/>
        <w:tblW w:w="0" w:type="auto"/>
        <w:tblLook w:val="04A0" w:firstRow="1" w:lastRow="0" w:firstColumn="1" w:lastColumn="0" w:noHBand="0" w:noVBand="1"/>
      </w:tblPr>
      <w:tblGrid>
        <w:gridCol w:w="2404"/>
        <w:gridCol w:w="1030"/>
        <w:gridCol w:w="1176"/>
        <w:gridCol w:w="1030"/>
        <w:gridCol w:w="3376"/>
      </w:tblGrid>
      <w:tr w:rsidR="00924F98" w:rsidRPr="00924F98" w14:paraId="0F564037" w14:textId="77777777" w:rsidTr="00924F98">
        <w:tc>
          <w:tcPr>
            <w:tcW w:w="0" w:type="auto"/>
            <w:hideMark/>
          </w:tcPr>
          <w:p w14:paraId="671A5E9D" w14:textId="77777777" w:rsidR="00924F98" w:rsidRPr="00924F98" w:rsidRDefault="00924F98" w:rsidP="00924F98">
            <w:pPr>
              <w:spacing w:after="160"/>
              <w:rPr>
                <w:b/>
                <w:bCs/>
              </w:rPr>
            </w:pPr>
            <w:r w:rsidRPr="00924F98">
              <w:rPr>
                <w:b/>
                <w:bCs/>
              </w:rPr>
              <w:t>Stakeholder Group</w:t>
            </w:r>
          </w:p>
        </w:tc>
        <w:tc>
          <w:tcPr>
            <w:tcW w:w="0" w:type="auto"/>
            <w:hideMark/>
          </w:tcPr>
          <w:p w14:paraId="79AC99C1" w14:textId="77777777" w:rsidR="00924F98" w:rsidRPr="00924F98" w:rsidRDefault="00924F98" w:rsidP="00924F98">
            <w:pPr>
              <w:spacing w:after="160"/>
              <w:rPr>
                <w:b/>
                <w:bCs/>
              </w:rPr>
            </w:pPr>
            <w:r w:rsidRPr="00924F98">
              <w:rPr>
                <w:b/>
                <w:bCs/>
              </w:rPr>
              <w:t>Power</w:t>
            </w:r>
          </w:p>
        </w:tc>
        <w:tc>
          <w:tcPr>
            <w:tcW w:w="0" w:type="auto"/>
            <w:hideMark/>
          </w:tcPr>
          <w:p w14:paraId="6D937074" w14:textId="77777777" w:rsidR="00924F98" w:rsidRPr="00924F98" w:rsidRDefault="00924F98" w:rsidP="00924F98">
            <w:pPr>
              <w:spacing w:after="160"/>
              <w:rPr>
                <w:b/>
                <w:bCs/>
              </w:rPr>
            </w:pPr>
            <w:r w:rsidRPr="00924F98">
              <w:rPr>
                <w:b/>
                <w:bCs/>
              </w:rPr>
              <w:t>Influence</w:t>
            </w:r>
          </w:p>
        </w:tc>
        <w:tc>
          <w:tcPr>
            <w:tcW w:w="0" w:type="auto"/>
            <w:hideMark/>
          </w:tcPr>
          <w:p w14:paraId="4C4E0F58" w14:textId="77777777" w:rsidR="00924F98" w:rsidRPr="00924F98" w:rsidRDefault="00924F98" w:rsidP="00924F98">
            <w:pPr>
              <w:spacing w:after="160"/>
              <w:rPr>
                <w:b/>
                <w:bCs/>
              </w:rPr>
            </w:pPr>
            <w:r w:rsidRPr="00924F98">
              <w:rPr>
                <w:b/>
                <w:bCs/>
              </w:rPr>
              <w:t>Interest</w:t>
            </w:r>
          </w:p>
        </w:tc>
        <w:tc>
          <w:tcPr>
            <w:tcW w:w="0" w:type="auto"/>
            <w:hideMark/>
          </w:tcPr>
          <w:p w14:paraId="69AF90E3" w14:textId="77777777" w:rsidR="00924F98" w:rsidRPr="00924F98" w:rsidRDefault="00924F98" w:rsidP="00924F98">
            <w:pPr>
              <w:spacing w:after="160"/>
              <w:rPr>
                <w:b/>
                <w:bCs/>
              </w:rPr>
            </w:pPr>
            <w:r w:rsidRPr="00924F98">
              <w:rPr>
                <w:b/>
                <w:bCs/>
              </w:rPr>
              <w:t>Justification</w:t>
            </w:r>
          </w:p>
        </w:tc>
      </w:tr>
      <w:tr w:rsidR="00924F98" w:rsidRPr="00924F98" w14:paraId="4FC252C7" w14:textId="77777777" w:rsidTr="00924F98">
        <w:tc>
          <w:tcPr>
            <w:tcW w:w="0" w:type="auto"/>
            <w:hideMark/>
          </w:tcPr>
          <w:p w14:paraId="7AEA3918" w14:textId="77777777" w:rsidR="00924F98" w:rsidRPr="00924F98" w:rsidRDefault="00924F98" w:rsidP="00924F98">
            <w:pPr>
              <w:spacing w:after="160"/>
            </w:pPr>
            <w:r w:rsidRPr="00924F98">
              <w:t>Local Council</w:t>
            </w:r>
          </w:p>
        </w:tc>
        <w:tc>
          <w:tcPr>
            <w:tcW w:w="0" w:type="auto"/>
            <w:hideMark/>
          </w:tcPr>
          <w:p w14:paraId="069D59FD" w14:textId="77777777" w:rsidR="00924F98" w:rsidRPr="00924F98" w:rsidRDefault="00924F98" w:rsidP="00924F98">
            <w:pPr>
              <w:spacing w:after="160"/>
            </w:pPr>
            <w:r w:rsidRPr="00924F98">
              <w:t>High</w:t>
            </w:r>
          </w:p>
        </w:tc>
        <w:tc>
          <w:tcPr>
            <w:tcW w:w="0" w:type="auto"/>
            <w:hideMark/>
          </w:tcPr>
          <w:p w14:paraId="5D91F395" w14:textId="77777777" w:rsidR="00924F98" w:rsidRPr="00924F98" w:rsidRDefault="00924F98" w:rsidP="00924F98">
            <w:pPr>
              <w:spacing w:after="160"/>
            </w:pPr>
            <w:r w:rsidRPr="00924F98">
              <w:t>High</w:t>
            </w:r>
          </w:p>
        </w:tc>
        <w:tc>
          <w:tcPr>
            <w:tcW w:w="0" w:type="auto"/>
            <w:hideMark/>
          </w:tcPr>
          <w:p w14:paraId="433A8F91" w14:textId="77777777" w:rsidR="00924F98" w:rsidRPr="00924F98" w:rsidRDefault="00924F98" w:rsidP="00924F98">
            <w:pPr>
              <w:spacing w:after="160"/>
            </w:pPr>
            <w:r w:rsidRPr="00924F98">
              <w:t>High</w:t>
            </w:r>
          </w:p>
        </w:tc>
        <w:tc>
          <w:tcPr>
            <w:tcW w:w="0" w:type="auto"/>
            <w:hideMark/>
          </w:tcPr>
          <w:p w14:paraId="38A291DB" w14:textId="77777777" w:rsidR="00924F98" w:rsidRPr="00924F98" w:rsidRDefault="00924F98" w:rsidP="00924F98">
            <w:pPr>
              <w:spacing w:after="160"/>
            </w:pPr>
            <w:r w:rsidRPr="00924F98">
              <w:t>Direct decision-making authority, budget control, planning permissions</w:t>
            </w:r>
          </w:p>
        </w:tc>
      </w:tr>
      <w:tr w:rsidR="00924F98" w:rsidRPr="00924F98" w14:paraId="0A22DF08" w14:textId="77777777" w:rsidTr="00924F98">
        <w:tc>
          <w:tcPr>
            <w:tcW w:w="0" w:type="auto"/>
            <w:hideMark/>
          </w:tcPr>
          <w:p w14:paraId="6CEE7C6C" w14:textId="77777777" w:rsidR="00924F98" w:rsidRPr="00924F98" w:rsidRDefault="00924F98" w:rsidP="00924F98">
            <w:pPr>
              <w:spacing w:after="160"/>
            </w:pPr>
            <w:r w:rsidRPr="00924F98">
              <w:t>Local Residents</w:t>
            </w:r>
          </w:p>
        </w:tc>
        <w:tc>
          <w:tcPr>
            <w:tcW w:w="0" w:type="auto"/>
            <w:hideMark/>
          </w:tcPr>
          <w:p w14:paraId="14283D2A" w14:textId="77777777" w:rsidR="00924F98" w:rsidRPr="00924F98" w:rsidRDefault="00924F98" w:rsidP="00924F98">
            <w:pPr>
              <w:spacing w:after="160"/>
            </w:pPr>
            <w:r w:rsidRPr="00924F98">
              <w:t>Medium</w:t>
            </w:r>
          </w:p>
        </w:tc>
        <w:tc>
          <w:tcPr>
            <w:tcW w:w="0" w:type="auto"/>
            <w:hideMark/>
          </w:tcPr>
          <w:p w14:paraId="66BF2688" w14:textId="77777777" w:rsidR="00924F98" w:rsidRPr="00924F98" w:rsidRDefault="00924F98" w:rsidP="00924F98">
            <w:pPr>
              <w:spacing w:after="160"/>
            </w:pPr>
            <w:r w:rsidRPr="00924F98">
              <w:t>Medium</w:t>
            </w:r>
          </w:p>
        </w:tc>
        <w:tc>
          <w:tcPr>
            <w:tcW w:w="0" w:type="auto"/>
            <w:hideMark/>
          </w:tcPr>
          <w:p w14:paraId="4E362B0A" w14:textId="77777777" w:rsidR="00924F98" w:rsidRPr="00924F98" w:rsidRDefault="00924F98" w:rsidP="00924F98">
            <w:pPr>
              <w:spacing w:after="160"/>
            </w:pPr>
            <w:r w:rsidRPr="00924F98">
              <w:t>High</w:t>
            </w:r>
          </w:p>
        </w:tc>
        <w:tc>
          <w:tcPr>
            <w:tcW w:w="0" w:type="auto"/>
            <w:hideMark/>
          </w:tcPr>
          <w:p w14:paraId="0F1DED3C" w14:textId="57A8B837" w:rsidR="00924F98" w:rsidRPr="00924F98" w:rsidRDefault="00924F98" w:rsidP="00924F98">
            <w:pPr>
              <w:spacing w:after="160"/>
            </w:pPr>
            <w:r w:rsidRPr="00924F98">
              <w:t>Collective voting power, public opinion formation, primary users</w:t>
            </w:r>
            <w:r w:rsidR="00753E2A">
              <w:t xml:space="preserve"> </w:t>
            </w:r>
            <w:r w:rsidR="00753E2A" w:rsidRPr="00CE0148">
              <w:t>(de Oliveira and Rabechini Jr, 2019)</w:t>
            </w:r>
          </w:p>
        </w:tc>
      </w:tr>
      <w:tr w:rsidR="00924F98" w:rsidRPr="00924F98" w14:paraId="7FFC3445" w14:textId="77777777" w:rsidTr="00924F98">
        <w:tc>
          <w:tcPr>
            <w:tcW w:w="0" w:type="auto"/>
            <w:hideMark/>
          </w:tcPr>
          <w:p w14:paraId="76D2ED46" w14:textId="77777777" w:rsidR="00924F98" w:rsidRPr="00924F98" w:rsidRDefault="00924F98" w:rsidP="00924F98">
            <w:pPr>
              <w:spacing w:after="160"/>
            </w:pPr>
            <w:r w:rsidRPr="00924F98">
              <w:t>Small Businesses</w:t>
            </w:r>
          </w:p>
        </w:tc>
        <w:tc>
          <w:tcPr>
            <w:tcW w:w="0" w:type="auto"/>
            <w:hideMark/>
          </w:tcPr>
          <w:p w14:paraId="14E59F8D" w14:textId="77777777" w:rsidR="00924F98" w:rsidRPr="00924F98" w:rsidRDefault="00924F98" w:rsidP="00924F98">
            <w:pPr>
              <w:spacing w:after="160"/>
            </w:pPr>
            <w:r w:rsidRPr="00924F98">
              <w:t>Low</w:t>
            </w:r>
          </w:p>
        </w:tc>
        <w:tc>
          <w:tcPr>
            <w:tcW w:w="0" w:type="auto"/>
            <w:hideMark/>
          </w:tcPr>
          <w:p w14:paraId="4826A749" w14:textId="77777777" w:rsidR="00924F98" w:rsidRPr="00924F98" w:rsidRDefault="00924F98" w:rsidP="00924F98">
            <w:pPr>
              <w:spacing w:after="160"/>
            </w:pPr>
            <w:r w:rsidRPr="00924F98">
              <w:t>Medium</w:t>
            </w:r>
          </w:p>
        </w:tc>
        <w:tc>
          <w:tcPr>
            <w:tcW w:w="0" w:type="auto"/>
            <w:hideMark/>
          </w:tcPr>
          <w:p w14:paraId="0DEC64CE" w14:textId="77777777" w:rsidR="00924F98" w:rsidRPr="00924F98" w:rsidRDefault="00924F98" w:rsidP="00924F98">
            <w:pPr>
              <w:spacing w:after="160"/>
            </w:pPr>
            <w:r w:rsidRPr="00924F98">
              <w:t>High</w:t>
            </w:r>
          </w:p>
        </w:tc>
        <w:tc>
          <w:tcPr>
            <w:tcW w:w="0" w:type="auto"/>
            <w:hideMark/>
          </w:tcPr>
          <w:p w14:paraId="40E3D8AD" w14:textId="77777777" w:rsidR="00924F98" w:rsidRPr="00924F98" w:rsidRDefault="00924F98" w:rsidP="00924F98">
            <w:pPr>
              <w:spacing w:after="160"/>
            </w:pPr>
            <w:r w:rsidRPr="00924F98">
              <w:t>Economic arguments, business association representation</w:t>
            </w:r>
          </w:p>
        </w:tc>
      </w:tr>
      <w:tr w:rsidR="00924F98" w:rsidRPr="00924F98" w14:paraId="2230A956" w14:textId="77777777" w:rsidTr="00924F98">
        <w:tc>
          <w:tcPr>
            <w:tcW w:w="0" w:type="auto"/>
            <w:hideMark/>
          </w:tcPr>
          <w:p w14:paraId="096E2997" w14:textId="77777777" w:rsidR="00924F98" w:rsidRPr="00924F98" w:rsidRDefault="00924F98" w:rsidP="00924F98">
            <w:pPr>
              <w:spacing w:after="160"/>
            </w:pPr>
            <w:r w:rsidRPr="00924F98">
              <w:t>Schools/Educational Institutions</w:t>
            </w:r>
          </w:p>
        </w:tc>
        <w:tc>
          <w:tcPr>
            <w:tcW w:w="0" w:type="auto"/>
            <w:hideMark/>
          </w:tcPr>
          <w:p w14:paraId="623E3655" w14:textId="77777777" w:rsidR="00924F98" w:rsidRPr="00924F98" w:rsidRDefault="00924F98" w:rsidP="00924F98">
            <w:pPr>
              <w:spacing w:after="160"/>
            </w:pPr>
            <w:r w:rsidRPr="00924F98">
              <w:t>Low</w:t>
            </w:r>
          </w:p>
        </w:tc>
        <w:tc>
          <w:tcPr>
            <w:tcW w:w="0" w:type="auto"/>
            <w:hideMark/>
          </w:tcPr>
          <w:p w14:paraId="07B748BA" w14:textId="77777777" w:rsidR="00924F98" w:rsidRPr="00924F98" w:rsidRDefault="00924F98" w:rsidP="00924F98">
            <w:pPr>
              <w:spacing w:after="160"/>
            </w:pPr>
            <w:r w:rsidRPr="00924F98">
              <w:t>Medium</w:t>
            </w:r>
          </w:p>
        </w:tc>
        <w:tc>
          <w:tcPr>
            <w:tcW w:w="0" w:type="auto"/>
            <w:hideMark/>
          </w:tcPr>
          <w:p w14:paraId="1D6DC5FD" w14:textId="77777777" w:rsidR="00924F98" w:rsidRPr="00924F98" w:rsidRDefault="00924F98" w:rsidP="00924F98">
            <w:pPr>
              <w:spacing w:after="160"/>
            </w:pPr>
            <w:r w:rsidRPr="00924F98">
              <w:t>Medium</w:t>
            </w:r>
          </w:p>
        </w:tc>
        <w:tc>
          <w:tcPr>
            <w:tcW w:w="0" w:type="auto"/>
            <w:hideMark/>
          </w:tcPr>
          <w:p w14:paraId="17513A27" w14:textId="77777777" w:rsidR="00924F98" w:rsidRPr="00924F98" w:rsidRDefault="00924F98" w:rsidP="00924F98">
            <w:pPr>
              <w:spacing w:after="160"/>
            </w:pPr>
            <w:r w:rsidRPr="00924F98">
              <w:t>Parent networks, community standing, supplementary beneficiaries</w:t>
            </w:r>
          </w:p>
        </w:tc>
      </w:tr>
      <w:tr w:rsidR="00924F98" w:rsidRPr="00924F98" w14:paraId="66069574" w14:textId="77777777" w:rsidTr="00924F98">
        <w:tc>
          <w:tcPr>
            <w:tcW w:w="0" w:type="auto"/>
            <w:hideMark/>
          </w:tcPr>
          <w:p w14:paraId="3FDD0070" w14:textId="77777777" w:rsidR="00924F98" w:rsidRPr="00924F98" w:rsidRDefault="00924F98" w:rsidP="00924F98">
            <w:pPr>
              <w:spacing w:after="160"/>
            </w:pPr>
            <w:r w:rsidRPr="00924F98">
              <w:t>Environmental Advocacy Groups</w:t>
            </w:r>
          </w:p>
        </w:tc>
        <w:tc>
          <w:tcPr>
            <w:tcW w:w="0" w:type="auto"/>
            <w:hideMark/>
          </w:tcPr>
          <w:p w14:paraId="1C66AB5F" w14:textId="77777777" w:rsidR="00924F98" w:rsidRPr="00924F98" w:rsidRDefault="00924F98" w:rsidP="00924F98">
            <w:pPr>
              <w:spacing w:after="160"/>
            </w:pPr>
            <w:r w:rsidRPr="00924F98">
              <w:t>Low</w:t>
            </w:r>
          </w:p>
        </w:tc>
        <w:tc>
          <w:tcPr>
            <w:tcW w:w="0" w:type="auto"/>
            <w:hideMark/>
          </w:tcPr>
          <w:p w14:paraId="29C91775" w14:textId="77777777" w:rsidR="00924F98" w:rsidRPr="00924F98" w:rsidRDefault="00924F98" w:rsidP="00924F98">
            <w:pPr>
              <w:spacing w:after="160"/>
            </w:pPr>
            <w:r w:rsidRPr="00924F98">
              <w:t>High</w:t>
            </w:r>
          </w:p>
        </w:tc>
        <w:tc>
          <w:tcPr>
            <w:tcW w:w="0" w:type="auto"/>
            <w:hideMark/>
          </w:tcPr>
          <w:p w14:paraId="2295A2F8" w14:textId="77777777" w:rsidR="00924F98" w:rsidRPr="00924F98" w:rsidRDefault="00924F98" w:rsidP="00924F98">
            <w:pPr>
              <w:spacing w:after="160"/>
            </w:pPr>
            <w:r w:rsidRPr="00924F98">
              <w:t>High</w:t>
            </w:r>
          </w:p>
        </w:tc>
        <w:tc>
          <w:tcPr>
            <w:tcW w:w="0" w:type="auto"/>
            <w:hideMark/>
          </w:tcPr>
          <w:p w14:paraId="6199D829" w14:textId="112859A6" w:rsidR="00924F98" w:rsidRPr="00924F98" w:rsidRDefault="00924F98" w:rsidP="00924F98">
            <w:pPr>
              <w:spacing w:after="160"/>
            </w:pPr>
            <w:r w:rsidRPr="00924F98">
              <w:t xml:space="preserve">Technical expertise, media presence, public opinion </w:t>
            </w:r>
            <w:r w:rsidRPr="00924F98">
              <w:lastRenderedPageBreak/>
              <w:t>mobili</w:t>
            </w:r>
            <w:r w:rsidR="008F59A1">
              <w:t>s</w:t>
            </w:r>
            <w:r w:rsidRPr="00924F98">
              <w:t>ation</w:t>
            </w:r>
            <w:r w:rsidR="00753E2A">
              <w:t xml:space="preserve"> </w:t>
            </w:r>
            <w:r w:rsidR="00753E2A" w:rsidRPr="00CE0148">
              <w:t>(Spang and Clausen, 2022)</w:t>
            </w:r>
          </w:p>
        </w:tc>
      </w:tr>
      <w:tr w:rsidR="00924F98" w:rsidRPr="00924F98" w14:paraId="01D51FF0" w14:textId="77777777" w:rsidTr="00924F98">
        <w:tc>
          <w:tcPr>
            <w:tcW w:w="0" w:type="auto"/>
            <w:hideMark/>
          </w:tcPr>
          <w:p w14:paraId="25A066F2" w14:textId="2C5AB9FE" w:rsidR="00924F98" w:rsidRPr="00924F98" w:rsidRDefault="00924F98" w:rsidP="00924F98">
            <w:pPr>
              <w:spacing w:after="160"/>
            </w:pPr>
            <w:r w:rsidRPr="00924F98">
              <w:lastRenderedPageBreak/>
              <w:t>Health/Social Care Organi</w:t>
            </w:r>
            <w:r w:rsidR="008F59A1">
              <w:t>s</w:t>
            </w:r>
            <w:r w:rsidRPr="00924F98">
              <w:t>ations</w:t>
            </w:r>
          </w:p>
        </w:tc>
        <w:tc>
          <w:tcPr>
            <w:tcW w:w="0" w:type="auto"/>
            <w:hideMark/>
          </w:tcPr>
          <w:p w14:paraId="159A29A8" w14:textId="77777777" w:rsidR="00924F98" w:rsidRPr="00924F98" w:rsidRDefault="00924F98" w:rsidP="00924F98">
            <w:pPr>
              <w:spacing w:after="160"/>
            </w:pPr>
            <w:r w:rsidRPr="00924F98">
              <w:t>Medium</w:t>
            </w:r>
          </w:p>
        </w:tc>
        <w:tc>
          <w:tcPr>
            <w:tcW w:w="0" w:type="auto"/>
            <w:hideMark/>
          </w:tcPr>
          <w:p w14:paraId="563CE068" w14:textId="77777777" w:rsidR="00924F98" w:rsidRPr="00924F98" w:rsidRDefault="00924F98" w:rsidP="00924F98">
            <w:pPr>
              <w:spacing w:after="160"/>
            </w:pPr>
            <w:r w:rsidRPr="00924F98">
              <w:t>Medium</w:t>
            </w:r>
          </w:p>
        </w:tc>
        <w:tc>
          <w:tcPr>
            <w:tcW w:w="0" w:type="auto"/>
            <w:hideMark/>
          </w:tcPr>
          <w:p w14:paraId="7879CF78" w14:textId="77777777" w:rsidR="00924F98" w:rsidRPr="00924F98" w:rsidRDefault="00924F98" w:rsidP="00924F98">
            <w:pPr>
              <w:spacing w:after="160"/>
            </w:pPr>
            <w:r w:rsidRPr="00924F98">
              <w:t>Medium</w:t>
            </w:r>
          </w:p>
        </w:tc>
        <w:tc>
          <w:tcPr>
            <w:tcW w:w="0" w:type="auto"/>
            <w:hideMark/>
          </w:tcPr>
          <w:p w14:paraId="741918B0" w14:textId="77777777" w:rsidR="00924F98" w:rsidRPr="00924F98" w:rsidRDefault="00924F98" w:rsidP="00924F98">
            <w:pPr>
              <w:spacing w:after="160"/>
            </w:pPr>
            <w:r w:rsidRPr="00924F98">
              <w:t>Professional recommendations, public health evidence</w:t>
            </w:r>
          </w:p>
        </w:tc>
      </w:tr>
    </w:tbl>
    <w:p w14:paraId="6FE00EA1" w14:textId="0169E562" w:rsidR="00924F98" w:rsidRDefault="00924F98" w:rsidP="00924F98">
      <w:pPr>
        <w:jc w:val="center"/>
      </w:pPr>
      <w:r>
        <w:t xml:space="preserve">Table: </w:t>
      </w:r>
      <w:r w:rsidRPr="00924F98">
        <w:t>Power, Influence, and Interest Table</w:t>
      </w:r>
      <w:r>
        <w:t xml:space="preserve"> with Justification</w:t>
      </w:r>
    </w:p>
    <w:p w14:paraId="621C8515" w14:textId="66BECD46" w:rsidR="00563360" w:rsidRDefault="00924F98" w:rsidP="00924F98">
      <w:r>
        <w:t xml:space="preserve">The Local Council is considered to have the overall best </w:t>
      </w:r>
      <w:r w:rsidR="008F59A1">
        <w:t>position,</w:t>
      </w:r>
      <w:r>
        <w:t xml:space="preserve"> and this is so given that they are the basic project sponsor, funder and controller. The interest of residents is high since they are in direct daily contact with the facility and can influence it greatly using the democratic process. The case of environmental advocacy groups is interesting: even though it has a low formal power, their influence is high due to their expertise and abilities to influence the discussions of the masses</w:t>
      </w:r>
      <w:r w:rsidR="00753E2A">
        <w:t xml:space="preserve"> </w:t>
      </w:r>
      <w:r w:rsidR="00753E2A" w:rsidRPr="00CE0148">
        <w:t>(Freeman, 2020)</w:t>
      </w:r>
      <w:r>
        <w:t>. The level of interest to the small business is high as it is economically beneficial but still powerless when it comes to formal decision-making.</w:t>
      </w:r>
    </w:p>
    <w:p w14:paraId="2928920A" w14:textId="0F14AECA" w:rsidR="00924F98" w:rsidRDefault="00BF4845" w:rsidP="00C86C7C">
      <w:pPr>
        <w:pStyle w:val="Heading2"/>
      </w:pPr>
      <w:bookmarkStart w:id="4" w:name="_Toc211920945"/>
      <w:r>
        <w:rPr>
          <w:noProof/>
        </w:rPr>
        <mc:AlternateContent>
          <mc:Choice Requires="wps">
            <w:drawing>
              <wp:anchor distT="45720" distB="45720" distL="114300" distR="114300" simplePos="0" relativeHeight="251660288" behindDoc="1" locked="0" layoutInCell="1" allowOverlap="1" wp14:anchorId="41F10646" wp14:editId="59C8525B">
                <wp:simplePos x="0" y="0"/>
                <wp:positionH relativeFrom="column">
                  <wp:posOffset>894715</wp:posOffset>
                </wp:positionH>
                <wp:positionV relativeFrom="paragraph">
                  <wp:posOffset>924560</wp:posOffset>
                </wp:positionV>
                <wp:extent cx="865820" cy="1007745"/>
                <wp:effectExtent l="0" t="0" r="0" b="0"/>
                <wp:wrapNone/>
                <wp:docPr id="1249772556"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65820" cy="1007745"/>
                        </a:xfrm>
                        <a:prstGeom prst="rect">
                          <a:avLst/>
                        </a:prstGeom>
                        <a:noFill/>
                        <a:ln w="9525">
                          <a:noFill/>
                          <a:miter lim="800000"/>
                          <a:headEnd/>
                          <a:tailEnd/>
                        </a:ln>
                      </wps:spPr>
                      <wps:txbx>
                        <w:txbxContent>
                          <w:p w14:paraId="41F4EC12" w14:textId="77777777" w:rsidR="00BF4845" w:rsidRPr="001900F3" w:rsidRDefault="00BF4845" w:rsidP="00BF4845">
                            <w:pPr>
                              <w:jc w:val="center"/>
                              <w:rPr>
                                <w:b/>
                                <w:bCs/>
                                <w:sz w:val="28"/>
                                <w:szCs w:val="28"/>
                              </w:rPr>
                            </w:pPr>
                            <w:r w:rsidRPr="001900F3">
                              <w:rPr>
                                <w:b/>
                                <w:bCs/>
                                <w:sz w:val="28"/>
                                <w:szCs w:val="28"/>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1F10646" id="_x0000_t202" coordsize="21600,21600" o:spt="202" path="m,l,21600r21600,l21600,xe">
                <v:stroke joinstyle="miter"/>
                <v:path gradientshapeok="t" o:connecttype="rect"/>
              </v:shapetype>
              <v:shape id="Text Box 50" o:spid="_x0000_s1026" type="#_x0000_t202" style="position:absolute;left:0;text-align:left;margin-left:70.45pt;margin-top:72.8pt;width:68.15pt;height:79.35pt;rotation:-90;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" filled="f" stroked="f">
                <v:textbox style="mso-fit-shape-to-text:t">
                  <w:txbxContent>
                    <w:p w14:paraId="41F4EC12" w14:textId="77777777" w:rsidR="00BF4845" w:rsidRPr="001900F3" w:rsidRDefault="00BF4845" w:rsidP="00BF4845">
                      <w:pPr>
                        <w:jc w:val="center"/>
                        <w:rPr>
                          <w:b/>
                          <w:bCs/>
                          <w:sz w:val="28"/>
                          <w:szCs w:val="28"/>
                        </w:rPr>
                      </w:pPr>
                      <w:r w:rsidRPr="001900F3">
                        <w:rPr>
                          <w:b/>
                          <w:bCs/>
                          <w:sz w:val="28"/>
                          <w:szCs w:val="28"/>
                        </w:rPr>
                        <w:t>Power</w:t>
                      </w:r>
                    </w:p>
                  </w:txbxContent>
                </v:textbox>
              </v:shape>
            </w:pict>
          </mc:Fallback>
        </mc:AlternateContent>
      </w:r>
      <w:r>
        <w:rPr>
          <w:noProof/>
        </w:rPr>
        <mc:AlternateContent>
          <mc:Choice Requires="wpg">
            <w:drawing>
              <wp:anchor distT="0" distB="0" distL="114300" distR="114300" simplePos="0" relativeHeight="251659264" behindDoc="0" locked="0" layoutInCell="1" allowOverlap="1" wp14:anchorId="5BAE7767" wp14:editId="7B8E3C08">
                <wp:simplePos x="0" y="0"/>
                <wp:positionH relativeFrom="margin">
                  <wp:posOffset>1206500</wp:posOffset>
                </wp:positionH>
                <wp:positionV relativeFrom="paragraph">
                  <wp:posOffset>350520</wp:posOffset>
                </wp:positionV>
                <wp:extent cx="3498850" cy="2051050"/>
                <wp:effectExtent l="57150" t="38100" r="82550" b="82550"/>
                <wp:wrapNone/>
                <wp:docPr id="154419707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498850" cy="2051050"/>
                          <a:chOff x="0" y="-48647"/>
                          <a:chExt cx="5820462" cy="2990502"/>
                        </a:xfrm>
                      </wpg:grpSpPr>
                      <wps:wsp>
                        <wps:cNvPr id="5" name="Straight Arrow Connector 5"/>
                        <wps:cNvCnPr/>
                        <wps:spPr>
                          <a:xfrm flipV="1">
                            <a:off x="13001" y="-48647"/>
                            <a:ext cx="34621" cy="2990007"/>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7" name="Straight Arrow Connector 7"/>
                        <wps:cNvCnPr/>
                        <wps:spPr>
                          <a:xfrm>
                            <a:off x="0" y="2941855"/>
                            <a:ext cx="5820462" cy="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5E1790A" id="Group 48" o:spid="_x0000_s1026" style="position:absolute;margin-left:95pt;margin-top:27.6pt;width:275.5pt;height:161.5pt;z-index:251659264;mso-position-horizontal-relative:margin;mso-width-relative:margin;mso-height-relative:margin" coordorigin=",-486" coordsize="58204,29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">
                <v:shapetype id="_x0000_t32" coordsize="21600,21600" o:spt="32" o:oned="t" path="m,l21600,21600e" filled="f">
                  <v:path arrowok="t" fillok="f" o:connecttype="none"/>
                  <o:lock v:ext="edit" shapetype="t"/>
                </v:shapetype>
                <v:shape id="Straight Arrow Connector 5" o:spid="_x0000_s1027" type="#_x0000_t32" style="position:absolute;left:130;top:-486;width:346;height:298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" strokecolor="black [3200]" strokeweight="2.25pt">
                  <v:stroke endarrow="block" joinstyle="miter"/>
                </v:shape>
                <v:shape id="Straight Arrow Connector 7" o:spid="_x0000_s1028" type="#_x0000_t32" style="position:absolute;top:29418;width:5820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" strokecolor="black [3200]" strokeweight="2.25pt">
                  <v:stroke endarrow="block" joinstyle="miter"/>
                </v:shape>
                <w10:wrap anchorx="margin"/>
              </v:group>
            </w:pict>
          </mc:Fallback>
        </mc:AlternateContent>
      </w:r>
      <w:r w:rsidR="00924F98">
        <w:t>2.2 Stakeholder Mapping and Quadrant Analysis</w:t>
      </w:r>
      <w:bookmarkEnd w:id="4"/>
    </w:p>
    <w:tbl>
      <w:tblPr>
        <w:tblStyle w:val="TableGrid"/>
        <w:tblW w:w="0" w:type="auto"/>
        <w:jc w:val="center"/>
        <w:tblLook w:val="04A0" w:firstRow="1" w:lastRow="0" w:firstColumn="1" w:lastColumn="0" w:noHBand="0" w:noVBand="1"/>
      </w:tblPr>
      <w:tblGrid>
        <w:gridCol w:w="648"/>
        <w:gridCol w:w="2142"/>
        <w:gridCol w:w="2366"/>
      </w:tblGrid>
      <w:tr w:rsidR="00BF4845" w:rsidRPr="006816DE" w14:paraId="24A840C1" w14:textId="77777777" w:rsidTr="00896A65">
        <w:trPr>
          <w:cantSplit/>
          <w:trHeight w:val="868"/>
          <w:jc w:val="center"/>
        </w:trPr>
        <w:tc>
          <w:tcPr>
            <w:tcW w:w="648" w:type="dxa"/>
            <w:tcBorders>
              <w:top w:val="nil"/>
              <w:left w:val="nil"/>
              <w:bottom w:val="nil"/>
            </w:tcBorders>
            <w:tcMar>
              <w:top w:w="113" w:type="dxa"/>
              <w:bottom w:w="113" w:type="dxa"/>
            </w:tcMar>
            <w:textDirection w:val="btLr"/>
            <w:vAlign w:val="center"/>
          </w:tcPr>
          <w:p w14:paraId="3A03BE16" w14:textId="23CD1E6B" w:rsidR="00BF4845" w:rsidRPr="006816DE" w:rsidRDefault="00BF4845" w:rsidP="00896A65">
            <w:pPr>
              <w:ind w:left="113" w:right="113"/>
              <w:jc w:val="center"/>
              <w:rPr>
                <w:rFonts w:cs="Arial"/>
                <w:b/>
                <w:bCs/>
              </w:rPr>
            </w:pPr>
            <w:r w:rsidRPr="006816DE">
              <w:rPr>
                <w:rFonts w:cs="Arial"/>
                <w:b/>
                <w:bCs/>
              </w:rPr>
              <w:t xml:space="preserve">High </w:t>
            </w:r>
          </w:p>
        </w:tc>
        <w:tc>
          <w:tcPr>
            <w:tcW w:w="2142" w:type="dxa"/>
            <w:shd w:val="clear" w:color="auto" w:fill="83CAEB" w:themeFill="accent1" w:themeFillTint="66"/>
            <w:tcMar>
              <w:top w:w="113" w:type="dxa"/>
              <w:bottom w:w="113" w:type="dxa"/>
            </w:tcMar>
            <w:vAlign w:val="center"/>
          </w:tcPr>
          <w:p w14:paraId="1CB0EA29" w14:textId="77777777" w:rsidR="00BF4845" w:rsidRPr="00BF4845" w:rsidRDefault="00BF4845" w:rsidP="00BF4845">
            <w:pPr>
              <w:pStyle w:val="ListParagraph"/>
              <w:spacing w:before="120" w:after="120" w:line="240" w:lineRule="auto"/>
              <w:ind w:left="176"/>
              <w:contextualSpacing w:val="0"/>
              <w:jc w:val="center"/>
              <w:rPr>
                <w:rFonts w:cs="Arial"/>
                <w:b/>
                <w:bCs/>
                <w:sz w:val="20"/>
                <w:szCs w:val="20"/>
              </w:rPr>
            </w:pPr>
          </w:p>
        </w:tc>
        <w:tc>
          <w:tcPr>
            <w:tcW w:w="2366" w:type="dxa"/>
            <w:shd w:val="clear" w:color="auto" w:fill="CAEDFB" w:themeFill="accent4" w:themeFillTint="33"/>
            <w:tcMar>
              <w:top w:w="113" w:type="dxa"/>
              <w:bottom w:w="113" w:type="dxa"/>
            </w:tcMar>
            <w:vAlign w:val="center"/>
          </w:tcPr>
          <w:p w14:paraId="2775C053" w14:textId="77777777" w:rsidR="00BF4845" w:rsidRPr="00BF4845" w:rsidRDefault="00BF4845" w:rsidP="00BF4845">
            <w:pPr>
              <w:pStyle w:val="ListParagraph"/>
              <w:spacing w:before="120" w:after="120" w:line="240" w:lineRule="auto"/>
              <w:ind w:left="0"/>
              <w:contextualSpacing w:val="0"/>
              <w:jc w:val="center"/>
              <w:rPr>
                <w:rFonts w:cs="Arial"/>
                <w:b/>
                <w:bCs/>
                <w:sz w:val="20"/>
                <w:szCs w:val="20"/>
              </w:rPr>
            </w:pPr>
            <w:r w:rsidRPr="00BF4845">
              <w:rPr>
                <w:rFonts w:cs="Arial"/>
                <w:b/>
                <w:bCs/>
                <w:sz w:val="20"/>
                <w:szCs w:val="20"/>
              </w:rPr>
              <w:t>Local Council</w:t>
            </w:r>
          </w:p>
          <w:p w14:paraId="6ED96298" w14:textId="50C37F14" w:rsidR="00BF4845" w:rsidRPr="00BF4845" w:rsidRDefault="00BF4845" w:rsidP="00BF4845">
            <w:pPr>
              <w:pStyle w:val="ListParagraph"/>
              <w:spacing w:before="120" w:after="120" w:line="240" w:lineRule="auto"/>
              <w:ind w:left="0"/>
              <w:contextualSpacing w:val="0"/>
              <w:jc w:val="center"/>
              <w:rPr>
                <w:rFonts w:cs="Arial"/>
                <w:b/>
                <w:bCs/>
                <w:sz w:val="20"/>
                <w:szCs w:val="20"/>
              </w:rPr>
            </w:pPr>
            <w:r w:rsidRPr="00BF4845">
              <w:rPr>
                <w:rFonts w:cs="Arial"/>
                <w:b/>
                <w:bCs/>
                <w:sz w:val="20"/>
                <w:szCs w:val="20"/>
              </w:rPr>
              <w:t>Local Residents</w:t>
            </w:r>
          </w:p>
        </w:tc>
      </w:tr>
      <w:tr w:rsidR="00BF4845" w:rsidRPr="006816DE" w14:paraId="7832BCF2" w14:textId="77777777" w:rsidTr="00896A65">
        <w:trPr>
          <w:cantSplit/>
          <w:trHeight w:val="781"/>
          <w:jc w:val="center"/>
        </w:trPr>
        <w:tc>
          <w:tcPr>
            <w:tcW w:w="648" w:type="dxa"/>
            <w:tcBorders>
              <w:top w:val="nil"/>
              <w:left w:val="nil"/>
              <w:bottom w:val="nil"/>
            </w:tcBorders>
            <w:tcMar>
              <w:top w:w="113" w:type="dxa"/>
              <w:bottom w:w="113" w:type="dxa"/>
            </w:tcMar>
            <w:textDirection w:val="btLr"/>
            <w:vAlign w:val="center"/>
          </w:tcPr>
          <w:p w14:paraId="65C8F65E" w14:textId="77777777" w:rsidR="00BF4845" w:rsidRPr="006816DE" w:rsidRDefault="00BF4845" w:rsidP="00896A65">
            <w:pPr>
              <w:ind w:left="113" w:right="113"/>
              <w:jc w:val="center"/>
              <w:rPr>
                <w:rFonts w:cs="Arial"/>
                <w:b/>
                <w:bCs/>
              </w:rPr>
            </w:pPr>
            <w:r w:rsidRPr="006816DE">
              <w:rPr>
                <w:rFonts w:cs="Arial"/>
                <w:b/>
                <w:bCs/>
              </w:rPr>
              <w:t xml:space="preserve">Low </w:t>
            </w:r>
          </w:p>
        </w:tc>
        <w:tc>
          <w:tcPr>
            <w:tcW w:w="2142" w:type="dxa"/>
            <w:tcBorders>
              <w:bottom w:val="single" w:sz="4" w:space="0" w:color="auto"/>
            </w:tcBorders>
            <w:shd w:val="clear" w:color="auto" w:fill="8DD873" w:themeFill="accent6" w:themeFillTint="99"/>
            <w:tcMar>
              <w:top w:w="113" w:type="dxa"/>
              <w:bottom w:w="113" w:type="dxa"/>
            </w:tcMar>
            <w:vAlign w:val="center"/>
          </w:tcPr>
          <w:p w14:paraId="12FEAE5E" w14:textId="77777777" w:rsidR="00BF4845" w:rsidRPr="00BF4845" w:rsidRDefault="00BF4845" w:rsidP="00BF4845">
            <w:pPr>
              <w:pStyle w:val="ListParagraph"/>
              <w:spacing w:before="120" w:after="120" w:line="240" w:lineRule="auto"/>
              <w:ind w:left="176"/>
              <w:contextualSpacing w:val="0"/>
              <w:jc w:val="center"/>
              <w:rPr>
                <w:rFonts w:cs="Arial"/>
                <w:b/>
                <w:bCs/>
                <w:sz w:val="20"/>
                <w:szCs w:val="20"/>
              </w:rPr>
            </w:pPr>
            <w:r w:rsidRPr="00BF4845">
              <w:rPr>
                <w:rFonts w:cs="Arial"/>
                <w:b/>
                <w:bCs/>
                <w:sz w:val="20"/>
                <w:szCs w:val="20"/>
              </w:rPr>
              <w:t>Schools/Educational Institutions</w:t>
            </w:r>
          </w:p>
          <w:p w14:paraId="69A04E36" w14:textId="1B439899" w:rsidR="00BF4845" w:rsidRPr="00BF4845" w:rsidRDefault="00BF4845" w:rsidP="00BF4845">
            <w:pPr>
              <w:pStyle w:val="ListParagraph"/>
              <w:spacing w:before="120" w:after="120" w:line="240" w:lineRule="auto"/>
              <w:ind w:left="176"/>
              <w:contextualSpacing w:val="0"/>
              <w:jc w:val="center"/>
              <w:rPr>
                <w:rFonts w:cs="Arial"/>
                <w:b/>
                <w:bCs/>
                <w:sz w:val="20"/>
                <w:szCs w:val="20"/>
              </w:rPr>
            </w:pPr>
            <w:r w:rsidRPr="00BF4845">
              <w:rPr>
                <w:rFonts w:cs="Arial"/>
                <w:b/>
                <w:bCs/>
                <w:sz w:val="20"/>
                <w:szCs w:val="20"/>
              </w:rPr>
              <w:t>Health/Social Care Organizations</w:t>
            </w:r>
          </w:p>
        </w:tc>
        <w:tc>
          <w:tcPr>
            <w:tcW w:w="2366" w:type="dxa"/>
            <w:tcBorders>
              <w:bottom w:val="single" w:sz="4" w:space="0" w:color="auto"/>
            </w:tcBorders>
            <w:shd w:val="clear" w:color="auto" w:fill="70A9E0" w:themeFill="text2" w:themeFillTint="66"/>
            <w:tcMar>
              <w:top w:w="113" w:type="dxa"/>
              <w:bottom w:w="113" w:type="dxa"/>
            </w:tcMar>
            <w:vAlign w:val="center"/>
          </w:tcPr>
          <w:p w14:paraId="4671307C" w14:textId="77777777" w:rsidR="00BF4845" w:rsidRPr="00BF4845" w:rsidRDefault="00BF4845" w:rsidP="00BF4845">
            <w:pPr>
              <w:spacing w:before="120" w:line="240" w:lineRule="auto"/>
              <w:jc w:val="center"/>
              <w:rPr>
                <w:rFonts w:cs="Arial"/>
                <w:b/>
                <w:bCs/>
                <w:sz w:val="20"/>
                <w:szCs w:val="20"/>
              </w:rPr>
            </w:pPr>
            <w:r w:rsidRPr="00BF4845">
              <w:rPr>
                <w:rFonts w:cs="Arial"/>
                <w:b/>
                <w:bCs/>
                <w:sz w:val="20"/>
                <w:szCs w:val="20"/>
              </w:rPr>
              <w:t>Environmental Advocacy Groups</w:t>
            </w:r>
          </w:p>
          <w:p w14:paraId="65974B5B" w14:textId="6A8A0D47" w:rsidR="00BF4845" w:rsidRPr="00BF4845" w:rsidRDefault="00BF4845" w:rsidP="00BF4845">
            <w:pPr>
              <w:spacing w:before="120" w:line="240" w:lineRule="auto"/>
              <w:jc w:val="center"/>
              <w:rPr>
                <w:rFonts w:cs="Arial"/>
                <w:b/>
                <w:bCs/>
                <w:sz w:val="20"/>
                <w:szCs w:val="20"/>
              </w:rPr>
            </w:pPr>
            <w:r w:rsidRPr="00BF4845">
              <w:rPr>
                <w:rFonts w:cs="Arial"/>
                <w:b/>
                <w:bCs/>
                <w:sz w:val="20"/>
                <w:szCs w:val="20"/>
              </w:rPr>
              <w:t>Small Businesses</w:t>
            </w:r>
          </w:p>
        </w:tc>
      </w:tr>
      <w:tr w:rsidR="00BF4845" w:rsidRPr="006816DE" w14:paraId="07E506A4" w14:textId="77777777" w:rsidTr="00896A65">
        <w:trPr>
          <w:trHeight w:val="132"/>
          <w:jc w:val="center"/>
        </w:trPr>
        <w:tc>
          <w:tcPr>
            <w:tcW w:w="648" w:type="dxa"/>
            <w:tcBorders>
              <w:top w:val="nil"/>
              <w:left w:val="nil"/>
              <w:bottom w:val="nil"/>
              <w:right w:val="nil"/>
            </w:tcBorders>
            <w:tcMar>
              <w:top w:w="113" w:type="dxa"/>
              <w:bottom w:w="113" w:type="dxa"/>
            </w:tcMar>
          </w:tcPr>
          <w:p w14:paraId="4D87766A" w14:textId="77777777" w:rsidR="00BF4845" w:rsidRPr="006816DE" w:rsidRDefault="00BF4845" w:rsidP="00896A65">
            <w:pPr>
              <w:rPr>
                <w:rFonts w:cs="Arial"/>
              </w:rPr>
            </w:pPr>
          </w:p>
        </w:tc>
        <w:tc>
          <w:tcPr>
            <w:tcW w:w="2142" w:type="dxa"/>
            <w:tcBorders>
              <w:left w:val="nil"/>
              <w:bottom w:val="nil"/>
              <w:right w:val="nil"/>
            </w:tcBorders>
            <w:tcMar>
              <w:top w:w="113" w:type="dxa"/>
              <w:bottom w:w="113" w:type="dxa"/>
            </w:tcMar>
          </w:tcPr>
          <w:p w14:paraId="60D6ACED" w14:textId="6FC4C525" w:rsidR="00BF4845" w:rsidRPr="006816DE" w:rsidRDefault="00BF4845" w:rsidP="00896A65">
            <w:pPr>
              <w:jc w:val="center"/>
              <w:rPr>
                <w:rFonts w:cs="Arial"/>
                <w:b/>
                <w:bCs/>
              </w:rPr>
            </w:pPr>
            <w:r>
              <w:rPr>
                <w:noProof/>
              </w:rPr>
              <mc:AlternateContent>
                <mc:Choice Requires="wps">
                  <w:drawing>
                    <wp:anchor distT="45720" distB="45720" distL="114300" distR="114300" simplePos="0" relativeHeight="251661312" behindDoc="1" locked="0" layoutInCell="1" allowOverlap="1" wp14:anchorId="18223C88" wp14:editId="7478DC75">
                      <wp:simplePos x="0" y="0"/>
                      <wp:positionH relativeFrom="column">
                        <wp:posOffset>826135</wp:posOffset>
                      </wp:positionH>
                      <wp:positionV relativeFrom="paragraph">
                        <wp:posOffset>278081</wp:posOffset>
                      </wp:positionV>
                      <wp:extent cx="1139825" cy="299085"/>
                      <wp:effectExtent l="0" t="0" r="0" b="5715"/>
                      <wp:wrapNone/>
                      <wp:docPr id="7655428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825" cy="299085"/>
                              </a:xfrm>
                              <a:prstGeom prst="rect">
                                <a:avLst/>
                              </a:prstGeom>
                              <a:noFill/>
                              <a:ln w="9525">
                                <a:noFill/>
                                <a:miter lim="800000"/>
                                <a:headEnd/>
                                <a:tailEnd/>
                              </a:ln>
                            </wps:spPr>
                            <wps:txbx>
                              <w:txbxContent>
                                <w:p w14:paraId="6FE14E16" w14:textId="77777777" w:rsidR="00BF4845" w:rsidRPr="001900F3" w:rsidRDefault="00BF4845" w:rsidP="00BF4845">
                                  <w:pPr>
                                    <w:jc w:val="center"/>
                                    <w:rPr>
                                      <w:b/>
                                      <w:bCs/>
                                      <w:sz w:val="28"/>
                                      <w:szCs w:val="28"/>
                                    </w:rPr>
                                  </w:pPr>
                                  <w:r w:rsidRPr="001900F3">
                                    <w:rPr>
                                      <w:b/>
                                      <w:bCs/>
                                      <w:sz w:val="28"/>
                                      <w:szCs w:val="28"/>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23C88" id="Text Box 46" o:spid="_x0000_s1027" type="#_x0000_t202" style="position:absolute;left:0;text-align:left;margin-left:65.05pt;margin-top:21.9pt;width:89.75pt;height:23.5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" filled="f" stroked="f">
                      <v:textbox>
                        <w:txbxContent>
                          <w:p w14:paraId="6FE14E16" w14:textId="77777777" w:rsidR="00BF4845" w:rsidRPr="001900F3" w:rsidRDefault="00BF4845" w:rsidP="00BF4845">
                            <w:pPr>
                              <w:jc w:val="center"/>
                              <w:rPr>
                                <w:b/>
                                <w:bCs/>
                                <w:sz w:val="28"/>
                                <w:szCs w:val="28"/>
                              </w:rPr>
                            </w:pPr>
                            <w:r w:rsidRPr="001900F3">
                              <w:rPr>
                                <w:b/>
                                <w:bCs/>
                                <w:sz w:val="28"/>
                                <w:szCs w:val="28"/>
                              </w:rPr>
                              <w:t>Interest</w:t>
                            </w:r>
                          </w:p>
                        </w:txbxContent>
                      </v:textbox>
                    </v:shape>
                  </w:pict>
                </mc:Fallback>
              </mc:AlternateContent>
            </w:r>
            <w:r w:rsidRPr="006816DE">
              <w:rPr>
                <w:rFonts w:cs="Arial"/>
                <w:b/>
                <w:bCs/>
              </w:rPr>
              <w:t xml:space="preserve">Low </w:t>
            </w:r>
          </w:p>
        </w:tc>
        <w:tc>
          <w:tcPr>
            <w:tcW w:w="2366" w:type="dxa"/>
            <w:tcBorders>
              <w:left w:val="nil"/>
              <w:bottom w:val="nil"/>
              <w:right w:val="nil"/>
            </w:tcBorders>
            <w:tcMar>
              <w:top w:w="113" w:type="dxa"/>
              <w:bottom w:w="113" w:type="dxa"/>
            </w:tcMar>
          </w:tcPr>
          <w:p w14:paraId="26B4F9EF" w14:textId="4D8F4F2F" w:rsidR="00BF4845" w:rsidRPr="006816DE" w:rsidRDefault="00BF4845" w:rsidP="00896A65">
            <w:pPr>
              <w:jc w:val="center"/>
              <w:rPr>
                <w:rFonts w:cs="Arial"/>
                <w:b/>
                <w:bCs/>
              </w:rPr>
            </w:pPr>
            <w:r w:rsidRPr="006816DE">
              <w:rPr>
                <w:rFonts w:cs="Arial"/>
                <w:b/>
                <w:bCs/>
              </w:rPr>
              <w:t>High</w:t>
            </w:r>
          </w:p>
        </w:tc>
      </w:tr>
    </w:tbl>
    <w:p w14:paraId="783C799F" w14:textId="79E08627" w:rsidR="00BF4845" w:rsidRDefault="00BF4845" w:rsidP="00BF4845"/>
    <w:p w14:paraId="4312C3DE" w14:textId="057B4629" w:rsidR="00BF4845" w:rsidRDefault="00BF4845" w:rsidP="00BF4845">
      <w:pPr>
        <w:jc w:val="center"/>
      </w:pPr>
      <w:r>
        <w:t>Figure: Stakeholder Mapping</w:t>
      </w:r>
    </w:p>
    <w:p w14:paraId="14775F21" w14:textId="2F65C099" w:rsidR="00924F98" w:rsidRDefault="00924F98" w:rsidP="00924F98">
      <w:r>
        <w:t>The power- interest grid offers a strategic model of classifying the stakeholders and deciding about the right levels of engagement so that the management could allocate resources efficiently, i.e. by aligning the frequency of engagement to the features of the stakeholders.</w:t>
      </w:r>
    </w:p>
    <w:p w14:paraId="6BA98933" w14:textId="6A41CEFE" w:rsidR="00924F98" w:rsidRDefault="00924F98" w:rsidP="009556C1">
      <w:pPr>
        <w:pStyle w:val="ListParagraph"/>
        <w:numPr>
          <w:ilvl w:val="0"/>
          <w:numId w:val="3"/>
        </w:numPr>
      </w:pPr>
      <w:r w:rsidRPr="009556C1">
        <w:rPr>
          <w:b/>
          <w:bCs/>
        </w:rPr>
        <w:t>Manage Intimately (High Power, High Interest):</w:t>
      </w:r>
      <w:r>
        <w:t xml:space="preserve"> The Local Council is in this critical quadrant and there has to be intensive and constant involvement in all the project phases. Such a positioning requires formal reporting </w:t>
      </w:r>
      <w:r w:rsidR="0065314D">
        <w:t>regularly</w:t>
      </w:r>
      <w:r>
        <w:t xml:space="preserve">, joint decision-making, prolific participation in the coordination of steering committees, and real-time communication on </w:t>
      </w:r>
      <w:r>
        <w:lastRenderedPageBreak/>
        <w:t>the emergent issues</w:t>
      </w:r>
      <w:r w:rsidR="00753E2A">
        <w:t xml:space="preserve"> </w:t>
      </w:r>
      <w:r w:rsidR="00753E2A" w:rsidRPr="00CE0148">
        <w:t>(Mahajan et al., 2023)</w:t>
      </w:r>
      <w:r>
        <w:t>. Formal quarterly presentation supported by monthly written reports can follow-up transparency and keep the council on track.</w:t>
      </w:r>
      <w:r w:rsidR="00C86C7C">
        <w:t xml:space="preserve"> </w:t>
      </w:r>
      <w:r>
        <w:t xml:space="preserve">Placing residents here is also justified given medium formal power since their ability to affect the results due to their collective power of creating public opinion qualifies their intensive involvement. Being key target beneficiaries, they should be taken into consideration in the underline of design. Lack of support to the residents means that delays in the projects, </w:t>
      </w:r>
      <w:r w:rsidR="008F59A1">
        <w:t>as well as</w:t>
      </w:r>
      <w:r>
        <w:t xml:space="preserve"> poor results are likely to occur.</w:t>
      </w:r>
    </w:p>
    <w:p w14:paraId="69A6E9AE" w14:textId="36E743AD" w:rsidR="00924F98" w:rsidRDefault="00924F98" w:rsidP="009556C1">
      <w:pPr>
        <w:pStyle w:val="ListParagraph"/>
        <w:numPr>
          <w:ilvl w:val="0"/>
          <w:numId w:val="3"/>
        </w:numPr>
      </w:pPr>
      <w:r w:rsidRPr="009556C1">
        <w:rPr>
          <w:b/>
          <w:bCs/>
        </w:rPr>
        <w:t>Keep Informed (Low Power, High Interest/Influence):</w:t>
      </w:r>
      <w:r>
        <w:t xml:space="preserve"> The environmental advocacy groups are included in this quadrant and have both high interests and influence, yet no direct power. These stakeholders demand frequent updates on the aspects of environmental designs and sustainability</w:t>
      </w:r>
      <w:r w:rsidR="00753E2A">
        <w:t xml:space="preserve"> </w:t>
      </w:r>
      <w:r w:rsidR="00753E2A" w:rsidRPr="00CE0148">
        <w:t>(Leonidou et al., 2020)</w:t>
      </w:r>
      <w:r>
        <w:t xml:space="preserve">. Technical documentation sharing and </w:t>
      </w:r>
      <w:r w:rsidR="008F59A1">
        <w:t>bimonthly</w:t>
      </w:r>
      <w:r>
        <w:t xml:space="preserve"> briefings recogni</w:t>
      </w:r>
      <w:r w:rsidR="008F59A1">
        <w:t>s</w:t>
      </w:r>
      <w:r>
        <w:t>es their experience as they develop project credibility. Their approval will be a strong third-party approval that will build social support.</w:t>
      </w:r>
      <w:r w:rsidR="00C86C7C">
        <w:t xml:space="preserve"> </w:t>
      </w:r>
      <w:r>
        <w:t>Small businesses too come under this category, they need regular updates regarding the schedules of the project, the plans on construction, and chances of engaging in the commercial activities. Business community meetings quarterly will enable people to address their concerns and hope to gain deeper support due to their economic interest.</w:t>
      </w:r>
    </w:p>
    <w:p w14:paraId="435FAB73" w14:textId="6BC520EE" w:rsidR="00924F98" w:rsidRDefault="00C86C7C" w:rsidP="009556C1">
      <w:pPr>
        <w:pStyle w:val="ListParagraph"/>
        <w:numPr>
          <w:ilvl w:val="0"/>
          <w:numId w:val="3"/>
        </w:numPr>
      </w:pPr>
      <w:r w:rsidRPr="009556C1">
        <w:rPr>
          <w:b/>
          <w:bCs/>
        </w:rPr>
        <w:t>Keep Satisfied (High Power, Low Interest):</w:t>
      </w:r>
      <w:r w:rsidRPr="00C86C7C">
        <w:t xml:space="preserve"> This quadrant usually includes stakeholders who have a lot of authority and little direct interest in the project details. Although there are no apparent stakeholders that directly fit this category in the case of the Greenfield Park project, the regional government agencies or utility providers may be the ones under this bracket where they need adequate information to complete their regulatory or service delivery position without being intimately involved in the design decision-making</w:t>
      </w:r>
      <w:r w:rsidR="00EE5A38">
        <w:t xml:space="preserve"> </w:t>
      </w:r>
      <w:r w:rsidR="00EE5A38" w:rsidRPr="00CE0148">
        <w:t>(Jiang et al., 2020)</w:t>
      </w:r>
      <w:r w:rsidRPr="00C86C7C">
        <w:t>.</w:t>
      </w:r>
    </w:p>
    <w:p w14:paraId="2846E7D2" w14:textId="1FA834B5" w:rsidR="00924F98" w:rsidRDefault="00924F98" w:rsidP="009556C1">
      <w:pPr>
        <w:pStyle w:val="ListParagraph"/>
        <w:numPr>
          <w:ilvl w:val="0"/>
          <w:numId w:val="3"/>
        </w:numPr>
      </w:pPr>
      <w:r w:rsidRPr="009556C1">
        <w:rPr>
          <w:b/>
          <w:bCs/>
        </w:rPr>
        <w:t>Monitor (Low Power, Low Interest):</w:t>
      </w:r>
      <w:r>
        <w:t xml:space="preserve"> This quadrant is occupied by schools and other educational institutions, social and health care organi</w:t>
      </w:r>
      <w:r w:rsidR="008F59A1">
        <w:t>s</w:t>
      </w:r>
      <w:r>
        <w:t>ations with medium interest but low power. These stakeholders need regular communication in terms of newsletters and annual meetings of consultations</w:t>
      </w:r>
      <w:r w:rsidR="00EE5A38">
        <w:t xml:space="preserve"> </w:t>
      </w:r>
      <w:r w:rsidR="00EE5A38" w:rsidRPr="00CE0148">
        <w:t>(Kujala et al., 2022)</w:t>
      </w:r>
      <w:r>
        <w:t>. The level of engagement is dedicated to the opportunities that are associated with their interests without requiring high-resource investment.</w:t>
      </w:r>
    </w:p>
    <w:p w14:paraId="63C38A03" w14:textId="617A8BF9" w:rsidR="00C86C7C" w:rsidRDefault="00C86C7C" w:rsidP="00C86C7C">
      <w:pPr>
        <w:pStyle w:val="Heading2"/>
      </w:pPr>
      <w:bookmarkStart w:id="5" w:name="_Toc211920946"/>
      <w:r>
        <w:t>2.3 Communication Plan and Consultation Strategy</w:t>
      </w:r>
      <w:bookmarkEnd w:id="5"/>
    </w:p>
    <w:p w14:paraId="5F927F7D" w14:textId="174E92E7" w:rsidR="00C86C7C" w:rsidRDefault="00C86C7C" w:rsidP="00C86C7C">
      <w:r>
        <w:t xml:space="preserve">A successful communication plan has to match the content of the message to be conveyed, timing, communication channels, and interaction approaches with the characteristics of the </w:t>
      </w:r>
      <w:r>
        <w:lastRenderedPageBreak/>
        <w:t>stakeholders and project cycle stage. The analysis of the stakeholder mapping is operationali</w:t>
      </w:r>
      <w:r w:rsidR="008F59A1">
        <w:t>s</w:t>
      </w:r>
      <w:r>
        <w:t>ed by the following plan in terms of the specific protocols of communication.</w:t>
      </w:r>
    </w:p>
    <w:p w14:paraId="180EC595" w14:textId="4920552C" w:rsidR="00C86C7C" w:rsidRDefault="00C86C7C" w:rsidP="00C86C7C">
      <w:pPr>
        <w:pStyle w:val="ListParagraph"/>
        <w:numPr>
          <w:ilvl w:val="0"/>
          <w:numId w:val="2"/>
        </w:numPr>
      </w:pPr>
      <w:r w:rsidRPr="00C86C7C">
        <w:rPr>
          <w:b/>
          <w:bCs/>
        </w:rPr>
        <w:t>Local Council:</w:t>
      </w:r>
      <w:r>
        <w:t xml:space="preserve"> The official monthly written reports made through formal governance processes record the milestone progress, budgetary expenditures, risks management, and critical decisions that must be made. Meetings of the steering committee quarterly offer a platform where strategy is debated, problems are </w:t>
      </w:r>
      <w:r w:rsidR="008F59A1">
        <w:t>discussed,</w:t>
      </w:r>
      <w:r>
        <w:t xml:space="preserve"> and the strategy is aligned with larger municipal goals. Ad-hoc briefings are used to respond to urgent issues or matters that are sometimes politically sensitive and required urgent response</w:t>
      </w:r>
      <w:r w:rsidR="00EE5A38">
        <w:t xml:space="preserve"> </w:t>
      </w:r>
      <w:r w:rsidR="00EE5A38" w:rsidRPr="00CE0148">
        <w:t>(Freeman et al., 2018)</w:t>
      </w:r>
      <w:r>
        <w:t>. Communication puts forward accountability, transparency and complying with council strategic priorities.</w:t>
      </w:r>
    </w:p>
    <w:p w14:paraId="6F1C8D8C" w14:textId="3A3FCB51" w:rsidR="00C86C7C" w:rsidRDefault="00C86C7C" w:rsidP="00C86C7C">
      <w:pPr>
        <w:pStyle w:val="ListParagraph"/>
        <w:numPr>
          <w:ilvl w:val="0"/>
          <w:numId w:val="2"/>
        </w:numPr>
      </w:pPr>
      <w:r w:rsidRPr="00C86C7C">
        <w:rPr>
          <w:b/>
          <w:bCs/>
        </w:rPr>
        <w:t>Local Residents:</w:t>
      </w:r>
      <w:r>
        <w:t xml:space="preserve"> Multi-channel interaction considers various affinities and access abilities of communities. Bi-monthly public consultation meetings during planning and the design stages provide the opportunity to discuss the project face-to-face, visually present the ideas of the design, and receive extensive feedback</w:t>
      </w:r>
      <w:r w:rsidR="00EE5A38">
        <w:t xml:space="preserve"> </w:t>
      </w:r>
      <w:r w:rsidR="00EE5A38" w:rsidRPr="00CE0148">
        <w:t>(Vuorinen and Martinsuo, 2019)</w:t>
      </w:r>
      <w:r>
        <w:t xml:space="preserve">. It has its own project web site where plans, schedules, frequently asked questions and comment submission systems are available at all times. Community discussion and updates can be fast with the help of social media networks such as Facebook and Twitter. Newsletters should be printed in quarterly issues sent to every household within the radius of one </w:t>
      </w:r>
      <w:r w:rsidR="008F59A1">
        <w:t>kilometre</w:t>
      </w:r>
      <w:r>
        <w:t xml:space="preserve"> </w:t>
      </w:r>
      <w:r w:rsidR="0065314D">
        <w:t>to</w:t>
      </w:r>
      <w:r>
        <w:t xml:space="preserve"> include those residents who lack digital technology. Between formal consultation events, timely updates to subscribers using email are provided. The content of the communication under discussion revolves around the aspects of design, update on the timeline, construction implications, and input opportunities.</w:t>
      </w:r>
    </w:p>
    <w:p w14:paraId="05D11FB4" w14:textId="6FE172E3" w:rsidR="00C86C7C" w:rsidRDefault="00C86C7C" w:rsidP="00C86C7C">
      <w:pPr>
        <w:pStyle w:val="ListParagraph"/>
        <w:numPr>
          <w:ilvl w:val="0"/>
          <w:numId w:val="2"/>
        </w:numPr>
      </w:pPr>
      <w:r w:rsidRPr="00C86C7C">
        <w:rPr>
          <w:b/>
          <w:bCs/>
        </w:rPr>
        <w:t>Small Businesses:</w:t>
      </w:r>
      <w:r>
        <w:t xml:space="preserve"> Structured consulting opportunities are available at quarterly meetings of business forums organi</w:t>
      </w:r>
      <w:r w:rsidR="008F59A1">
        <w:t>s</w:t>
      </w:r>
      <w:r>
        <w:t xml:space="preserve">ed jointly with the local business associations. During construction periods, email bulletins are sent </w:t>
      </w:r>
      <w:r w:rsidR="0065314D">
        <w:t>every month</w:t>
      </w:r>
      <w:r>
        <w:t xml:space="preserve"> and provide access arrangements, schedule adjustments and would mitigate operational effects</w:t>
      </w:r>
      <w:r w:rsidR="00EE5A38">
        <w:t xml:space="preserve"> </w:t>
      </w:r>
      <w:r w:rsidR="00EE5A38" w:rsidRPr="00CE0148">
        <w:t>(Langrafe et al., 2020)</w:t>
      </w:r>
      <w:r>
        <w:t>. This is attained through the existence of a business liaison contact point where issues or inquiries can be raised. Information concentrates on the management of construction phases, schedule visibility, and the business opportunities come along with the running of the parks.</w:t>
      </w:r>
    </w:p>
    <w:p w14:paraId="6FF22350" w14:textId="213A4B26" w:rsidR="00C86C7C" w:rsidRDefault="00C86C7C" w:rsidP="00C86C7C">
      <w:pPr>
        <w:pStyle w:val="ListParagraph"/>
        <w:numPr>
          <w:ilvl w:val="0"/>
          <w:numId w:val="2"/>
        </w:numPr>
      </w:pPr>
      <w:r w:rsidRPr="00C86C7C">
        <w:rPr>
          <w:b/>
          <w:bCs/>
        </w:rPr>
        <w:t>Schools/ Education Establishments:</w:t>
      </w:r>
      <w:r>
        <w:t xml:space="preserve"> Termly briefings are given to school governing bodies or senior leadership teams thus laying out education partnership opportunities. There is additional access to information via email messages and updates on websites</w:t>
      </w:r>
      <w:r w:rsidR="00EE5A38">
        <w:t xml:space="preserve"> </w:t>
      </w:r>
      <w:r w:rsidR="00EE5A38" w:rsidRPr="00CE0148">
        <w:t xml:space="preserve">(Jones et </w:t>
      </w:r>
      <w:r w:rsidR="00EE5A38" w:rsidRPr="00CE0148">
        <w:lastRenderedPageBreak/>
        <w:t>al., 2018)</w:t>
      </w:r>
      <w:r>
        <w:t>. Interest would be drawn to outdoor learning chances, chances in curriculum integration, and arrangements of facility use.</w:t>
      </w:r>
    </w:p>
    <w:p w14:paraId="6C43622D" w14:textId="32AA97C3" w:rsidR="00C86C7C" w:rsidRDefault="00C86C7C" w:rsidP="00C86C7C">
      <w:pPr>
        <w:pStyle w:val="ListParagraph"/>
        <w:numPr>
          <w:ilvl w:val="0"/>
          <w:numId w:val="2"/>
        </w:numPr>
      </w:pPr>
      <w:r w:rsidRPr="00C86C7C">
        <w:rPr>
          <w:b/>
          <w:bCs/>
        </w:rPr>
        <w:t>Environmental Advocacy Groups:</w:t>
      </w:r>
      <w:r>
        <w:t xml:space="preserve"> Once a month, technical briefings delivered by project environmental consultants will give precise information on ecological design aspects, environmental features and environmental analysis. Technical reports written in a form of email address allow such reports to be thoroughly reviewed and feedback be provided</w:t>
      </w:r>
      <w:r w:rsidR="00EE5A38">
        <w:t xml:space="preserve"> </w:t>
      </w:r>
      <w:r w:rsidR="00EE5A38" w:rsidRPr="00CE0148">
        <w:t>(Barney and Harrison, 2020)</w:t>
      </w:r>
      <w:r>
        <w:t xml:space="preserve">. Consultation </w:t>
      </w:r>
      <w:r w:rsidR="0065314D">
        <w:t>emphasi</w:t>
      </w:r>
      <w:r w:rsidR="008F59A1">
        <w:t>s</w:t>
      </w:r>
      <w:r w:rsidR="0065314D">
        <w:t>es</w:t>
      </w:r>
      <w:r>
        <w:t xml:space="preserve"> the environmental credentials, biodiversity enhancement initiatives and alignment to the conservation objectives.</w:t>
      </w:r>
    </w:p>
    <w:p w14:paraId="15242E50" w14:textId="77A03485" w:rsidR="00C86C7C" w:rsidRDefault="00C86C7C" w:rsidP="00C86C7C">
      <w:pPr>
        <w:pStyle w:val="ListParagraph"/>
        <w:numPr>
          <w:ilvl w:val="0"/>
          <w:numId w:val="2"/>
        </w:numPr>
      </w:pPr>
      <w:r w:rsidRPr="00C86C7C">
        <w:rPr>
          <w:b/>
          <w:bCs/>
        </w:rPr>
        <w:t>Health and Social Care Organi</w:t>
      </w:r>
      <w:r w:rsidR="008F59A1">
        <w:rPr>
          <w:b/>
          <w:bCs/>
        </w:rPr>
        <w:t>s</w:t>
      </w:r>
      <w:r w:rsidRPr="00C86C7C">
        <w:rPr>
          <w:b/>
          <w:bCs/>
        </w:rPr>
        <w:t>ations:</w:t>
      </w:r>
      <w:r>
        <w:t xml:space="preserve"> Quarterly briefings highlight features of health benefits to the public, promotion of physical activity, mental health and wellbeing, and opportunities of partnering in health intervention programming</w:t>
      </w:r>
      <w:r w:rsidR="00EE5A38">
        <w:t xml:space="preserve"> </w:t>
      </w:r>
      <w:r w:rsidR="00EE5A38" w:rsidRPr="00CE0148">
        <w:t>(Weiss, 2021)</w:t>
      </w:r>
      <w:r>
        <w:t>. Some of the communication channels are meetings of the professional network, emailing, and presentation in the forums of interest.</w:t>
      </w:r>
    </w:p>
    <w:p w14:paraId="62FCF157" w14:textId="5342CD28" w:rsidR="009556C1" w:rsidRDefault="00F87973" w:rsidP="009556C1">
      <w:pPr>
        <w:pStyle w:val="Heading1"/>
      </w:pPr>
      <w:bookmarkStart w:id="6" w:name="_Toc211920947"/>
      <w:r>
        <w:t xml:space="preserve">Element </w:t>
      </w:r>
      <w:r w:rsidR="009556C1">
        <w:t>3</w:t>
      </w:r>
      <w:r>
        <w:t>:</w:t>
      </w:r>
      <w:r w:rsidR="009556C1">
        <w:t xml:space="preserve"> </w:t>
      </w:r>
      <w:r w:rsidR="009556C1" w:rsidRPr="009556C1">
        <w:t>Ethical Considerations in Stakeholder Consultation</w:t>
      </w:r>
      <w:bookmarkEnd w:id="6"/>
    </w:p>
    <w:p w14:paraId="10FFB41D" w14:textId="367BDAA2" w:rsidR="009556C1" w:rsidRDefault="009556C1" w:rsidP="009556C1">
      <w:pPr>
        <w:pStyle w:val="Heading2"/>
      </w:pPr>
      <w:bookmarkStart w:id="7" w:name="_Toc211920948"/>
      <w:r>
        <w:t>3.1 Consultation Methods and Approaches</w:t>
      </w:r>
      <w:bookmarkEnd w:id="7"/>
    </w:p>
    <w:p w14:paraId="3CAD83DE" w14:textId="77777777" w:rsidR="009556C1" w:rsidRDefault="009556C1" w:rsidP="009556C1">
      <w:r>
        <w:t>The stakeholder involvement in Ethics needs a methodological integrity that upholds dignity of the participants, a realistic influence and transparency. To meet the inclusivity and fairness, the consultation process cannot be carried out without several complementary methods.</w:t>
      </w:r>
    </w:p>
    <w:p w14:paraId="4DD45341" w14:textId="0FF3D42E" w:rsidR="009556C1" w:rsidRDefault="009556C1" w:rsidP="009556C1">
      <w:pPr>
        <w:pStyle w:val="ListParagraph"/>
        <w:numPr>
          <w:ilvl w:val="0"/>
          <w:numId w:val="4"/>
        </w:numPr>
      </w:pPr>
      <w:r w:rsidRPr="009556C1">
        <w:rPr>
          <w:b/>
          <w:bCs/>
        </w:rPr>
        <w:t>Public Consultation Meetings:</w:t>
      </w:r>
      <w:r>
        <w:t xml:space="preserve"> This can be viewed as a convenient platform where community members get to comment and engage the planners behind the project. Meetings are conducted at different times, both in the evenings and during weekends to suit different schedules and conducted in convenient places</w:t>
      </w:r>
      <w:r w:rsidR="00EE5A38">
        <w:t xml:space="preserve"> </w:t>
      </w:r>
      <w:r w:rsidR="00EE5A38" w:rsidRPr="00CE0148">
        <w:t>(Freeman et al., 2021)</w:t>
      </w:r>
      <w:r>
        <w:t xml:space="preserve">. Combined forms that involve the presentations and open discussions will encourage participation. </w:t>
      </w:r>
    </w:p>
    <w:p w14:paraId="185CE6EF" w14:textId="4FFB96C5" w:rsidR="009556C1" w:rsidRDefault="009556C1" w:rsidP="009556C1">
      <w:pPr>
        <w:pStyle w:val="ListParagraph"/>
        <w:numPr>
          <w:ilvl w:val="0"/>
          <w:numId w:val="4"/>
        </w:numPr>
      </w:pPr>
      <w:r w:rsidRPr="009556C1">
        <w:rPr>
          <w:b/>
          <w:bCs/>
        </w:rPr>
        <w:t>Online Surveys:</w:t>
      </w:r>
      <w:r>
        <w:t xml:space="preserve"> Web-based surveys are convenient and </w:t>
      </w:r>
      <w:r w:rsidR="008F59A1">
        <w:t>saleable</w:t>
      </w:r>
      <w:r>
        <w:t>, which makes it possible to participate in these surveys even outside physical meetings. The neutral question framing, the use of open-ended items, and accessibility of the ethical administration are used in relation to the participants with different digital literacy levels</w:t>
      </w:r>
      <w:r w:rsidR="00EE5A38">
        <w:t xml:space="preserve"> </w:t>
      </w:r>
      <w:r w:rsidR="00EE5A38" w:rsidRPr="00CE0148">
        <w:t>(Pedrini and Ferri, 2019)</w:t>
      </w:r>
      <w:r>
        <w:t xml:space="preserve">. </w:t>
      </w:r>
    </w:p>
    <w:p w14:paraId="01CF5179" w14:textId="4B50ABB5" w:rsidR="009556C1" w:rsidRDefault="009556C1" w:rsidP="009556C1">
      <w:pPr>
        <w:pStyle w:val="ListParagraph"/>
        <w:numPr>
          <w:ilvl w:val="0"/>
          <w:numId w:val="4"/>
        </w:numPr>
      </w:pPr>
      <w:r w:rsidRPr="009556C1">
        <w:rPr>
          <w:b/>
          <w:bCs/>
        </w:rPr>
        <w:t>Focus Groups:</w:t>
      </w:r>
      <w:r>
        <w:t xml:space="preserve"> These are small groups (around six to ten people) that are led by a facilitator and provide qualitative information about particular demographic groups (e.g., families, youth, elderly residents, and persons with disabilities)</w:t>
      </w:r>
      <w:r w:rsidR="00EE5A38">
        <w:t xml:space="preserve"> </w:t>
      </w:r>
      <w:r w:rsidR="00EE5A38" w:rsidRPr="00CE0148">
        <w:t>(Xia et al., 2018)</w:t>
      </w:r>
      <w:r>
        <w:t xml:space="preserve">. The ethics practice </w:t>
      </w:r>
      <w:r>
        <w:lastRenderedPageBreak/>
        <w:t>is based on the need to provide informed consent, confidentiality, and conducive settings to allow open safe expression.</w:t>
      </w:r>
    </w:p>
    <w:p w14:paraId="20BB3C5A" w14:textId="0D902199" w:rsidR="009556C1" w:rsidRDefault="009556C1" w:rsidP="009556C1">
      <w:pPr>
        <w:pStyle w:val="ListParagraph"/>
        <w:numPr>
          <w:ilvl w:val="0"/>
          <w:numId w:val="4"/>
        </w:numPr>
      </w:pPr>
      <w:r w:rsidRPr="009556C1">
        <w:rPr>
          <w:b/>
          <w:bCs/>
        </w:rPr>
        <w:t>Individual Interviews:</w:t>
      </w:r>
      <w:r>
        <w:t xml:space="preserve"> These allow deep probing of complex or sensitive views and especially probing the institutional stakeholders or the school principals, business leaders and environmental representatives</w:t>
      </w:r>
      <w:r w:rsidR="00EE5A38">
        <w:t xml:space="preserve"> </w:t>
      </w:r>
      <w:r w:rsidR="00EE5A38" w:rsidRPr="00CE0148">
        <w:t>(de Oliveira and Rabechini Jr, 2019)</w:t>
      </w:r>
      <w:r>
        <w:t>. Ethical interviewing requires openness in the use of information, respect to the privacy of the information and proper reflecting the view of the stakeholders in reporting.</w:t>
      </w:r>
    </w:p>
    <w:p w14:paraId="193DF5AB" w14:textId="007BFB3A" w:rsidR="009556C1" w:rsidRDefault="009556C1" w:rsidP="009556C1">
      <w:pPr>
        <w:pStyle w:val="Heading2"/>
      </w:pPr>
      <w:bookmarkStart w:id="8" w:name="_Toc211920949"/>
      <w:r w:rsidRPr="009556C1">
        <w:t>3.2 Ethical Considerations: Data Collection, Bias, and DEI</w:t>
      </w:r>
      <w:bookmarkEnd w:id="8"/>
    </w:p>
    <w:p w14:paraId="790665D4" w14:textId="17837FB1" w:rsidR="009556C1" w:rsidRDefault="009556C1" w:rsidP="009556C1">
      <w:r>
        <w:t>To be able to achieve credible consultation outcomes, ethical management of data collection is essential. The informed consent is obligatory: the participants should be aware of the purpose of the consultation, the use of the data, and the restriction of access, as well as the confidentiality. Verbal and visual consent information should be used in the context of the public meetings whereas written consent statements should be used in terms of the surveys</w:t>
      </w:r>
      <w:r w:rsidR="00EE5A38">
        <w:t xml:space="preserve"> </w:t>
      </w:r>
      <w:r w:rsidR="00EE5A38" w:rsidRPr="00CE0148">
        <w:t>(Spang and Clausen, 2022)</w:t>
      </w:r>
      <w:r>
        <w:t>. Extra precautions need to be integrated to include other vulnerable populations like children or non-native speakers. Some of the data protection duties are ensuring the safe storage, limited access to data, anonymi</w:t>
      </w:r>
      <w:r w:rsidR="008F59A1">
        <w:t>s</w:t>
      </w:r>
      <w:r>
        <w:t>ing of published findings, and retention timelines.</w:t>
      </w:r>
    </w:p>
    <w:p w14:paraId="36AC10DB" w14:textId="52829018" w:rsidR="009556C1" w:rsidRDefault="009556C1" w:rsidP="009556C1">
      <w:r>
        <w:t>Prejudice is an ethical and analytical problem of great concern. The selection bias can omit the specific groups of people, alleviated by diversifying the entry paths, planning of the event, and reaching those people who are not represented</w:t>
      </w:r>
      <w:r w:rsidR="00EE5A38">
        <w:t xml:space="preserve"> </w:t>
      </w:r>
      <w:r w:rsidR="00EE5A38" w:rsidRPr="00CE0148">
        <w:t>(Mahajan et al., 2023)</w:t>
      </w:r>
      <w:r>
        <w:t>. Response bias should be demographically compared between the respondents and the community at large. Confirmation bias can occur when analysts focus on the feedback that supports the initial assumptions; to mitigate the effect, there are independent data examiners and systemati</w:t>
      </w:r>
      <w:r w:rsidR="008F59A1">
        <w:t>s</w:t>
      </w:r>
      <w:r>
        <w:t>ing the coding practices.</w:t>
      </w:r>
    </w:p>
    <w:p w14:paraId="2E395F80" w14:textId="60FBD7A1" w:rsidR="009556C1" w:rsidRDefault="009556C1" w:rsidP="009556C1">
      <w:r w:rsidRPr="009556C1">
        <w:t>The integration of principles of Diversity, Equity, and Inclusion (DEI) will help to make the whole consultation fair. Diversity recognition promotes different cultural, linguistic and socioeconomic differences in societies</w:t>
      </w:r>
      <w:r w:rsidR="00EE5A38">
        <w:t xml:space="preserve"> </w:t>
      </w:r>
      <w:r w:rsidR="00EE5A38" w:rsidRPr="00CE0148">
        <w:t>(Leonidou et al., 2020)</w:t>
      </w:r>
      <w:r w:rsidRPr="009556C1">
        <w:t>. Equity demands that it tackles participation barriers by means of translation facility, convenient locations, and active recruitment of marginali</w:t>
      </w:r>
      <w:r w:rsidR="008F59A1">
        <w:t>s</w:t>
      </w:r>
      <w:r w:rsidRPr="009556C1">
        <w:t xml:space="preserve">ed or isolated groups. Inclusion guarantees representation of all views that they are not tokenistic. Particular emphasis should be given to ethnically disadvantaged groups, families with low income, young people, older people and persons with disabilities. </w:t>
      </w:r>
    </w:p>
    <w:p w14:paraId="226BB32C" w14:textId="6CEBE82A" w:rsidR="009556C1" w:rsidRDefault="009556C1" w:rsidP="009556C1">
      <w:pPr>
        <w:pStyle w:val="Heading2"/>
      </w:pPr>
      <w:bookmarkStart w:id="9" w:name="_Toc211920950"/>
      <w:r w:rsidRPr="009556C1">
        <w:lastRenderedPageBreak/>
        <w:t>3.3 Feedback Collection and Review Processes</w:t>
      </w:r>
      <w:bookmarkEnd w:id="9"/>
    </w:p>
    <w:p w14:paraId="70B9C35B" w14:textId="5FF7DCAD" w:rsidR="009556C1" w:rsidRDefault="009556C1" w:rsidP="009556C1">
      <w:r w:rsidRPr="009556C1">
        <w:t>The standardi</w:t>
      </w:r>
      <w:r w:rsidR="008F59A1">
        <w:t>s</w:t>
      </w:r>
      <w:r w:rsidRPr="009556C1">
        <w:t xml:space="preserve">ed feedback ensures that the results of consultation are used to make decisions. </w:t>
      </w:r>
    </w:p>
    <w:p w14:paraId="790BFFCC" w14:textId="72E5F25F" w:rsidR="009556C1" w:rsidRDefault="009556C1" w:rsidP="009556C1">
      <w:pPr>
        <w:pStyle w:val="ListParagraph"/>
        <w:numPr>
          <w:ilvl w:val="0"/>
          <w:numId w:val="5"/>
        </w:numPr>
      </w:pPr>
      <w:r w:rsidRPr="009556C1">
        <w:rPr>
          <w:b/>
          <w:bCs/>
        </w:rPr>
        <w:t>Multiple Collection Mechanisms:</w:t>
      </w:r>
      <w:r>
        <w:t xml:space="preserve"> </w:t>
      </w:r>
      <w:r w:rsidRPr="009556C1">
        <w:t>Flexible ways of participation exist through written forms, online submissions, community display boards, social media platforms as well as telephone hotlines</w:t>
      </w:r>
      <w:r w:rsidR="00EE5A38">
        <w:t xml:space="preserve"> </w:t>
      </w:r>
      <w:r w:rsidR="00EE5A38" w:rsidRPr="00CE0148">
        <w:t>(Jiang et al., 2020)</w:t>
      </w:r>
      <w:r w:rsidRPr="009556C1">
        <w:t>.</w:t>
      </w:r>
    </w:p>
    <w:p w14:paraId="08DF1EF8" w14:textId="073A83DE" w:rsidR="009556C1" w:rsidRDefault="009556C1" w:rsidP="009556C1">
      <w:pPr>
        <w:pStyle w:val="ListParagraph"/>
        <w:numPr>
          <w:ilvl w:val="0"/>
          <w:numId w:val="5"/>
        </w:numPr>
      </w:pPr>
      <w:r w:rsidRPr="009556C1">
        <w:rPr>
          <w:b/>
          <w:bCs/>
        </w:rPr>
        <w:t>Centrali</w:t>
      </w:r>
      <w:r w:rsidR="008F59A1">
        <w:rPr>
          <w:b/>
          <w:bCs/>
        </w:rPr>
        <w:t>s</w:t>
      </w:r>
      <w:r w:rsidRPr="009556C1">
        <w:rPr>
          <w:b/>
          <w:bCs/>
        </w:rPr>
        <w:t>ed Database Recording:</w:t>
      </w:r>
      <w:r>
        <w:t xml:space="preserve"> Standard database records are taken to allow information on the submission, issues, and suggestions on how to solve a problem: to allow data to be organi</w:t>
      </w:r>
      <w:r w:rsidR="008F59A1">
        <w:t>s</w:t>
      </w:r>
      <w:r>
        <w:t xml:space="preserve">ed </w:t>
      </w:r>
      <w:r w:rsidR="0065314D">
        <w:t>consistently</w:t>
      </w:r>
      <w:r w:rsidR="00EE5A38">
        <w:t xml:space="preserve"> </w:t>
      </w:r>
      <w:r w:rsidR="00EE5A38" w:rsidRPr="00CE0148">
        <w:t>(Kujala et al., 2022)</w:t>
      </w:r>
      <w:r>
        <w:t>.</w:t>
      </w:r>
    </w:p>
    <w:p w14:paraId="7376FFD3" w14:textId="545FD547" w:rsidR="009556C1" w:rsidRDefault="009556C1" w:rsidP="009556C1">
      <w:pPr>
        <w:pStyle w:val="ListParagraph"/>
        <w:numPr>
          <w:ilvl w:val="0"/>
          <w:numId w:val="5"/>
        </w:numPr>
      </w:pPr>
      <w:r w:rsidRPr="009556C1">
        <w:rPr>
          <w:b/>
          <w:bCs/>
        </w:rPr>
        <w:t>Qualitative Coding and Categori</w:t>
      </w:r>
      <w:r w:rsidR="008F59A1">
        <w:rPr>
          <w:b/>
          <w:bCs/>
        </w:rPr>
        <w:t>s</w:t>
      </w:r>
      <w:r w:rsidRPr="009556C1">
        <w:rPr>
          <w:b/>
          <w:bCs/>
        </w:rPr>
        <w:t>ation:</w:t>
      </w:r>
      <w:r>
        <w:t xml:space="preserve"> Thematic coding helps to find recurring problems, areas of consensus, and priorities of the stakeholders.</w:t>
      </w:r>
    </w:p>
    <w:p w14:paraId="59D96AB9" w14:textId="3AD4C4C8" w:rsidR="009556C1" w:rsidRDefault="009556C1" w:rsidP="009556C1">
      <w:pPr>
        <w:pStyle w:val="ListParagraph"/>
        <w:numPr>
          <w:ilvl w:val="0"/>
          <w:numId w:val="5"/>
        </w:numPr>
      </w:pPr>
      <w:r w:rsidRPr="009556C1">
        <w:rPr>
          <w:b/>
          <w:bCs/>
        </w:rPr>
        <w:t>Multi-Analyst Review Team:</w:t>
      </w:r>
      <w:r>
        <w:t xml:space="preserve"> Project managers, engagement specialists, and independent reviewers should </w:t>
      </w:r>
      <w:r w:rsidR="008F59A1">
        <w:t>analyse</w:t>
      </w:r>
      <w:r>
        <w:t xml:space="preserve"> it </w:t>
      </w:r>
      <w:r w:rsidR="0065314D">
        <w:t>to</w:t>
      </w:r>
      <w:r>
        <w:t xml:space="preserve"> get objectivity in terms of comment frequency, intensity, group distribution, feasibility, and project alignment</w:t>
      </w:r>
      <w:r w:rsidR="00EE5A38">
        <w:t xml:space="preserve"> </w:t>
      </w:r>
      <w:r w:rsidR="00EE5A38" w:rsidRPr="00CE0148">
        <w:t>(Vuorinen and Martinsuo, 2019)</w:t>
      </w:r>
      <w:r>
        <w:t>.</w:t>
      </w:r>
    </w:p>
    <w:p w14:paraId="7700D659" w14:textId="51CC53D8" w:rsidR="004F6C38" w:rsidRPr="00403EAA" w:rsidRDefault="00403EAA" w:rsidP="004F6C38">
      <w:pPr>
        <w:pStyle w:val="ListParagraph"/>
        <w:numPr>
          <w:ilvl w:val="0"/>
          <w:numId w:val="5"/>
        </w:numPr>
      </w:pPr>
      <w:r w:rsidRPr="00403EAA">
        <w:rPr>
          <w:b/>
          <w:bCs/>
        </w:rPr>
        <w:t xml:space="preserve">Open Reporting and Response: </w:t>
      </w:r>
      <w:r w:rsidRPr="00403EAA">
        <w:t>The findings are presented in published overviews, open presentations and descriptions of the use of feedback to influence the decisions. When advice is lacking something that can be adopted, motivational factors make the party members to remain faithful and give respect to contributions.</w:t>
      </w:r>
    </w:p>
    <w:p w14:paraId="762C14FB" w14:textId="77777777" w:rsidR="004F6C38" w:rsidRDefault="004F6C38" w:rsidP="004F6C38">
      <w:pPr>
        <w:pStyle w:val="Heading1"/>
      </w:pPr>
      <w:bookmarkStart w:id="10" w:name="_Toc211920951"/>
      <w:r>
        <w:t>Element 4: Conclusion and Reflection</w:t>
      </w:r>
      <w:bookmarkEnd w:id="10"/>
    </w:p>
    <w:p w14:paraId="142DDCBE" w14:textId="77777777" w:rsidR="004F6C38" w:rsidRDefault="004F6C38" w:rsidP="004F6C38">
      <w:pPr>
        <w:pStyle w:val="Heading2"/>
      </w:pPr>
      <w:bookmarkStart w:id="11" w:name="_Toc211920952"/>
      <w:r>
        <w:t>4.1 Conclusion</w:t>
      </w:r>
      <w:bookmarkEnd w:id="11"/>
    </w:p>
    <w:p w14:paraId="0FCEE2C3" w14:textId="77777777" w:rsidR="00403EAA" w:rsidRDefault="00403EAA" w:rsidP="00403EAA">
      <w:r>
        <w:t>According to the Stakeholder Management Plan of the Greenfield Community Park, the systemic engagement of the stakeholders that affect the infrastructure delivery and establish the sustainable relations with different community interests is ethically-based. The employed analytical framework, power-influence-interest mapping, strategic-communication-planning and ethical-consultation-design, provides a repeatable means of coping with complicated stakeholder milieu.</w:t>
      </w:r>
    </w:p>
    <w:p w14:paraId="0EDE12D5" w14:textId="77777777" w:rsidR="00403EAA" w:rsidRDefault="00403EAA" w:rsidP="00403EAA">
      <w:r>
        <w:t xml:space="preserve">A number of critical success factors emerge. To start with, the significance of the initial and persistent interaction enables determining the stakeholder buy-in and the precious local knowledge that would improve quality design. Second, the differentiated engagement schemes based on the specifics of the stakeholders enable allocating resources effectively and ensuring that the needs of all interested groups of people may be addressed. Third, to ensure reputation and integrity in consultation, ethics rigor protects decision-making of the project based on </w:t>
      </w:r>
      <w:r>
        <w:lastRenderedPageBreak/>
        <w:t>representative and impartial knowledge of what is required in the community. Fourth, one can make sure that the communication aspect is transparent enough in terms of the role of stakeholder input in the decision-making process, as one of the ways to defend taking part and maintaining trust.</w:t>
      </w:r>
    </w:p>
    <w:p w14:paraId="3D4F6B3E" w14:textId="78852D7F" w:rsidR="0065314D" w:rsidRDefault="00403EAA" w:rsidP="00403EAA">
      <w:r>
        <w:t>The Greenfield Community Park project is a legitimate instance of how critical interaction between stakeholders could reorganize what might have otherwise been hot-tempered developments in the community into an example of community-making processes. By a systematic procedure of stipulating the stakeholders, locating them, facilitating the requisite engagement undertakings and putting in place ethical consultation custom, this plan furnishes the project with an opportunity to succeed in its schedules and funds, as well, in its communal ownership and longevity of use.</w:t>
      </w:r>
    </w:p>
    <w:p w14:paraId="53BB70C5" w14:textId="77777777" w:rsidR="0065314D" w:rsidRDefault="0065314D" w:rsidP="0065314D">
      <w:pPr>
        <w:pStyle w:val="Heading2"/>
      </w:pPr>
      <w:bookmarkStart w:id="12" w:name="_Toc211920953"/>
      <w:r>
        <w:t>4.2 Reflective Account</w:t>
      </w:r>
      <w:bookmarkEnd w:id="12"/>
    </w:p>
    <w:p w14:paraId="4662D645" w14:textId="77777777" w:rsidR="0080119F" w:rsidRDefault="0080119F" w:rsidP="0080119F">
      <w:r>
        <w:t>This stakeholder management plan has immensely enlightened my thoughts about the aspect of engagement which is the project success. First, I learnt that stakeholder management was a communication act - bringing information and clearing issues. It is a practice that made me realize that it is a tactical procedure that requires analysis intensity, ethical and commitment into honest participation. My interpretation was that engagement does not only exist as a concern with information only, but with co-creating decisions, which reflect the priorities of the community and bring trust.</w:t>
      </w:r>
    </w:p>
    <w:p w14:paraId="09254F42" w14:textId="2CDF8C6E" w:rsidR="0065314D" w:rsidRDefault="0080119F" w:rsidP="0080119F">
      <w:r>
        <w:t xml:space="preserve">This power-influence-interest mapping exercise was a turning point to me. </w:t>
      </w:r>
      <w:r w:rsidR="0065314D">
        <w:t xml:space="preserve">It revealed that authority is not enough to judge the importance of stakeholders. Such institutions as environmental groups might not have the formal power to make decisions but be highly influential by virtue of the societal credibility and knowledge. This understanding changed my understanding of power </w:t>
      </w:r>
      <w:r w:rsidR="008F59A1">
        <w:t>structures,</w:t>
      </w:r>
      <w:r w:rsidR="0065314D">
        <w:t xml:space="preserve"> and it was pointed out that it is important to outline informal influence networks. When working with stakeholders in my future professional activities, I will set time aside to thoroughly analyse stakeholders and go beyond the superficial categories and assumptions.</w:t>
      </w:r>
    </w:p>
    <w:p w14:paraId="7527AF28" w14:textId="5DBCF05A" w:rsidR="0065314D" w:rsidRDefault="0065314D" w:rsidP="0065314D">
      <w:r>
        <w:t>The work on the communication and consultation strategy provided me with some practical understanding of how serious engagements can be in resources-consuming terms. I was taught that effective consultation ought to be done using more than one channel of communication, with flexible schedules, and facilitated with competence to ensure that different participation styles are accommodated. I also reali</w:t>
      </w:r>
      <w:r w:rsidR="008F59A1">
        <w:t>s</w:t>
      </w:r>
      <w:r>
        <w:t xml:space="preserve">ed that a poorly resourced or rushed consultation is likely </w:t>
      </w:r>
      <w:r>
        <w:lastRenderedPageBreak/>
        <w:t>to result in tokenistic consultation, which compromises trust and the quality of the project. This knowledge will inform me to support an adequate amount of time and resources in any further stakeholder process.</w:t>
      </w:r>
    </w:p>
    <w:p w14:paraId="0242BDF4" w14:textId="1C63A7F1" w:rsidR="009556C1" w:rsidRDefault="0065314D" w:rsidP="0065314D">
      <w:r>
        <w:t>Personally, the part on the ethical considerations was very revealing. I learned better to be more conscious of how biases, including selection, response, or confirmation bias, may distort the knowledge and give unfair conclusions. I had to acquire the importance of data checking, demography, and independent review as the means of ensuring fairness. The Diversity, Equity, and Inclusion discussion I had also allowed me to learn that it is not sufficient to treat all people equally; various groups present different obstacles, which must be combated actively. I have now understood that it is my moral and professional duty to provide the environments in which everyone, irrespective of his or her backgrounds and abilities, will be able to voice their opinions safely and without fear.</w:t>
      </w:r>
    </w:p>
    <w:p w14:paraId="52B0A1AB" w14:textId="5D36F469" w:rsidR="00753E2A" w:rsidRDefault="00753E2A">
      <w:pPr>
        <w:spacing w:line="278" w:lineRule="auto"/>
        <w:jc w:val="left"/>
      </w:pPr>
      <w:r>
        <w:br w:type="page"/>
      </w:r>
    </w:p>
    <w:p w14:paraId="204B5170" w14:textId="0988BA87" w:rsidR="00753E2A" w:rsidRDefault="00753E2A" w:rsidP="00753E2A">
      <w:pPr>
        <w:pStyle w:val="Heading1"/>
      </w:pPr>
      <w:bookmarkStart w:id="13" w:name="_Toc211920954"/>
      <w:r>
        <w:lastRenderedPageBreak/>
        <w:t>References</w:t>
      </w:r>
      <w:bookmarkEnd w:id="13"/>
    </w:p>
    <w:p w14:paraId="42900440" w14:textId="77777777" w:rsidR="00753E2A" w:rsidRDefault="00753E2A" w:rsidP="00753E2A">
      <w:r w:rsidRPr="00CE0148">
        <w:t xml:space="preserve">Barney, J. B., </w:t>
      </w:r>
      <w:r>
        <w:t>and</w:t>
      </w:r>
      <w:r w:rsidRPr="00CE0148">
        <w:t xml:space="preserve"> Harrison, J. S. (2020). Stakeholder theory at the crossroads. </w:t>
      </w:r>
      <w:r w:rsidRPr="00CE0148">
        <w:rPr>
          <w:i/>
          <w:iCs/>
        </w:rPr>
        <w:t xml:space="preserve">Business </w:t>
      </w:r>
      <w:r>
        <w:rPr>
          <w:i/>
          <w:iCs/>
        </w:rPr>
        <w:t>and</w:t>
      </w:r>
      <w:r w:rsidRPr="00CE0148">
        <w:rPr>
          <w:i/>
          <w:iCs/>
        </w:rPr>
        <w:t xml:space="preserve"> Society</w:t>
      </w:r>
      <w:r w:rsidRPr="00CE0148">
        <w:t>, </w:t>
      </w:r>
      <w:r w:rsidRPr="00CE0148">
        <w:rPr>
          <w:i/>
          <w:iCs/>
        </w:rPr>
        <w:t>59</w:t>
      </w:r>
      <w:r w:rsidRPr="00CE0148">
        <w:t>(2), 203-212.</w:t>
      </w:r>
    </w:p>
    <w:p w14:paraId="29FFE4B7" w14:textId="77777777" w:rsidR="00753E2A" w:rsidRDefault="00753E2A" w:rsidP="00753E2A">
      <w:r w:rsidRPr="00CE0148">
        <w:t xml:space="preserve">de Oliveira, G. F., </w:t>
      </w:r>
      <w:r>
        <w:t>and</w:t>
      </w:r>
      <w:r w:rsidRPr="00CE0148">
        <w:t xml:space="preserve"> Rabechini Jr, R. (2019). Stakeholder management influence on trust in a project: A quantitative study. </w:t>
      </w:r>
      <w:r w:rsidRPr="00CE0148">
        <w:rPr>
          <w:i/>
          <w:iCs/>
        </w:rPr>
        <w:t>International journal of project management</w:t>
      </w:r>
      <w:r w:rsidRPr="00CE0148">
        <w:t>, </w:t>
      </w:r>
      <w:r w:rsidRPr="00CE0148">
        <w:rPr>
          <w:i/>
          <w:iCs/>
        </w:rPr>
        <w:t>37</w:t>
      </w:r>
      <w:r w:rsidRPr="00CE0148">
        <w:t>(1), 131-144.</w:t>
      </w:r>
    </w:p>
    <w:p w14:paraId="58F615AC" w14:textId="77777777" w:rsidR="00753E2A" w:rsidRDefault="00753E2A" w:rsidP="00753E2A">
      <w:r w:rsidRPr="00CE0148">
        <w:t>Freeman, R. E. (2020). The stakeholder approach revisited. In </w:t>
      </w:r>
      <w:r w:rsidRPr="00CE0148">
        <w:rPr>
          <w:i/>
          <w:iCs/>
        </w:rPr>
        <w:t>Wirtschafts-und unternehmensethik</w:t>
      </w:r>
      <w:r w:rsidRPr="00CE0148">
        <w:t> (pp. 657-671). Wiesbaden: Springer Fachmedien Wiesbaden.</w:t>
      </w:r>
    </w:p>
    <w:p w14:paraId="73AA557A" w14:textId="77777777" w:rsidR="00753E2A" w:rsidRDefault="00753E2A" w:rsidP="00753E2A">
      <w:r w:rsidRPr="00CE0148">
        <w:t>Freeman, R. E. (2023). Stakeholder management: framework and philosophy. In </w:t>
      </w:r>
      <w:r w:rsidRPr="00CE0148">
        <w:rPr>
          <w:i/>
          <w:iCs/>
        </w:rPr>
        <w:t>R. Edward Freeman’s selected works on stakeholder theory and business ethics</w:t>
      </w:r>
      <w:r w:rsidRPr="00CE0148">
        <w:t> (pp. 61-88). Cham: Springer International Publishing.</w:t>
      </w:r>
    </w:p>
    <w:p w14:paraId="689E1C09" w14:textId="77777777" w:rsidR="00753E2A" w:rsidRDefault="00753E2A" w:rsidP="00753E2A">
      <w:r w:rsidRPr="00CE0148">
        <w:t xml:space="preserve">Freeman, R. E., Dmytriyev, S. D., </w:t>
      </w:r>
      <w:r>
        <w:t>and</w:t>
      </w:r>
      <w:r w:rsidRPr="00CE0148">
        <w:t xml:space="preserve"> Phillips, R. A. (2021). Stakeholder theory and the resource-based view of the firm. </w:t>
      </w:r>
      <w:r w:rsidRPr="00CE0148">
        <w:rPr>
          <w:i/>
          <w:iCs/>
        </w:rPr>
        <w:t>Journal of management</w:t>
      </w:r>
      <w:r w:rsidRPr="00CE0148">
        <w:t>, </w:t>
      </w:r>
      <w:r w:rsidRPr="00CE0148">
        <w:rPr>
          <w:i/>
          <w:iCs/>
        </w:rPr>
        <w:t>47</w:t>
      </w:r>
      <w:r w:rsidRPr="00CE0148">
        <w:t>(7), 1757-1770.</w:t>
      </w:r>
    </w:p>
    <w:p w14:paraId="14A662B5" w14:textId="77777777" w:rsidR="00753E2A" w:rsidRDefault="00753E2A" w:rsidP="00753E2A">
      <w:r w:rsidRPr="00CE0148">
        <w:t xml:space="preserve">Freeman, R. E., Harrison, J. S., </w:t>
      </w:r>
      <w:r>
        <w:t>and</w:t>
      </w:r>
      <w:r w:rsidRPr="00CE0148">
        <w:t xml:space="preserve"> Zyglidopoulos, S. (2018). </w:t>
      </w:r>
      <w:r w:rsidRPr="00CE0148">
        <w:rPr>
          <w:i/>
          <w:iCs/>
        </w:rPr>
        <w:t>Stakeholder theory: Concepts and strategies</w:t>
      </w:r>
      <w:r w:rsidRPr="00CE0148">
        <w:t>. Cambridge University Press.</w:t>
      </w:r>
    </w:p>
    <w:p w14:paraId="4E2580A3" w14:textId="77777777" w:rsidR="00753E2A" w:rsidRDefault="00753E2A" w:rsidP="00753E2A">
      <w:r w:rsidRPr="00CE0148">
        <w:t xml:space="preserve">Jiang, W., Wang, A. X., Zhou, K. Z., </w:t>
      </w:r>
      <w:r>
        <w:t>and</w:t>
      </w:r>
      <w:r w:rsidRPr="00CE0148">
        <w:t xml:space="preserve"> Zhang, C. (2020). Stakeholder relationship capability and firm innovation: A contingent analysis. </w:t>
      </w:r>
      <w:r w:rsidRPr="00CE0148">
        <w:rPr>
          <w:i/>
          <w:iCs/>
        </w:rPr>
        <w:t>Journal of Business Ethics</w:t>
      </w:r>
      <w:r w:rsidRPr="00CE0148">
        <w:t>, 111-125.</w:t>
      </w:r>
    </w:p>
    <w:p w14:paraId="0FC4C09D" w14:textId="77777777" w:rsidR="00753E2A" w:rsidRDefault="00753E2A" w:rsidP="00753E2A">
      <w:r w:rsidRPr="00CE0148">
        <w:t xml:space="preserve">Jones, T. M., Harrison, J. S., </w:t>
      </w:r>
      <w:r>
        <w:t>and</w:t>
      </w:r>
      <w:r w:rsidRPr="00CE0148">
        <w:t xml:space="preserve"> Felps, W. (2018). How applying instrumental stakeholder theory can provide sustainable competitive advantage. </w:t>
      </w:r>
      <w:r w:rsidRPr="00CE0148">
        <w:rPr>
          <w:i/>
          <w:iCs/>
        </w:rPr>
        <w:t>Academy of Management Review</w:t>
      </w:r>
      <w:r w:rsidRPr="00CE0148">
        <w:t>, </w:t>
      </w:r>
      <w:r w:rsidRPr="00CE0148">
        <w:rPr>
          <w:i/>
          <w:iCs/>
        </w:rPr>
        <w:t>43</w:t>
      </w:r>
      <w:r w:rsidRPr="00CE0148">
        <w:t>(3), 371-391.</w:t>
      </w:r>
    </w:p>
    <w:p w14:paraId="0A1E00E2" w14:textId="77777777" w:rsidR="00753E2A" w:rsidRDefault="00753E2A" w:rsidP="00753E2A">
      <w:r w:rsidRPr="00CE0148">
        <w:t xml:space="preserve">Kujala, J., Sachs, S., Leinonen, H., Heikkinen, A., </w:t>
      </w:r>
      <w:r>
        <w:t>and</w:t>
      </w:r>
      <w:r w:rsidRPr="00CE0148">
        <w:t xml:space="preserve"> Laude, D. (2022). Stakeholder engagement: Past, present, and future. </w:t>
      </w:r>
      <w:r w:rsidRPr="00CE0148">
        <w:rPr>
          <w:i/>
          <w:iCs/>
        </w:rPr>
        <w:t xml:space="preserve">Business </w:t>
      </w:r>
      <w:r>
        <w:rPr>
          <w:i/>
          <w:iCs/>
        </w:rPr>
        <w:t>and</w:t>
      </w:r>
      <w:r w:rsidRPr="00CE0148">
        <w:rPr>
          <w:i/>
          <w:iCs/>
        </w:rPr>
        <w:t xml:space="preserve"> Society</w:t>
      </w:r>
      <w:r w:rsidRPr="00CE0148">
        <w:t>, </w:t>
      </w:r>
      <w:r w:rsidRPr="00CE0148">
        <w:rPr>
          <w:i/>
          <w:iCs/>
        </w:rPr>
        <w:t>61</w:t>
      </w:r>
      <w:r w:rsidRPr="00CE0148">
        <w:t>(5), 1136-1196.</w:t>
      </w:r>
    </w:p>
    <w:p w14:paraId="3C149A45" w14:textId="77777777" w:rsidR="00753E2A" w:rsidRDefault="00753E2A" w:rsidP="00753E2A">
      <w:r w:rsidRPr="00CE0148">
        <w:t xml:space="preserve">Langrafe, T. D. F., Barakat, S. R., Stocker, F., </w:t>
      </w:r>
      <w:r>
        <w:t>and</w:t>
      </w:r>
      <w:r w:rsidRPr="00CE0148">
        <w:t xml:space="preserve"> Boaventura, J. M. G. (2020). A stakeholder theory approach to creating value in higher education institutions. </w:t>
      </w:r>
      <w:r w:rsidRPr="00CE0148">
        <w:rPr>
          <w:i/>
          <w:iCs/>
        </w:rPr>
        <w:t>The Bottom Line</w:t>
      </w:r>
      <w:r w:rsidRPr="00CE0148">
        <w:t>, </w:t>
      </w:r>
      <w:r w:rsidRPr="00CE0148">
        <w:rPr>
          <w:i/>
          <w:iCs/>
        </w:rPr>
        <w:t>33</w:t>
      </w:r>
      <w:r w:rsidRPr="00CE0148">
        <w:t>(4), 297-313.</w:t>
      </w:r>
    </w:p>
    <w:p w14:paraId="7D6F1D6F" w14:textId="77777777" w:rsidR="00753E2A" w:rsidRDefault="00753E2A" w:rsidP="00753E2A">
      <w:r w:rsidRPr="00CE0148">
        <w:t xml:space="preserve">Leonidou, E., Christofi, M., Vrontis, D., </w:t>
      </w:r>
      <w:r>
        <w:t>and</w:t>
      </w:r>
      <w:r w:rsidRPr="00CE0148">
        <w:t xml:space="preserve"> Thrassou, A. (2020). An integrative framework of stakeholder engagement for innovation management and entrepreneurship development. </w:t>
      </w:r>
      <w:r w:rsidRPr="00CE0148">
        <w:rPr>
          <w:i/>
          <w:iCs/>
        </w:rPr>
        <w:t>Journal of Business Research</w:t>
      </w:r>
      <w:r w:rsidRPr="00CE0148">
        <w:t>, </w:t>
      </w:r>
      <w:r w:rsidRPr="00CE0148">
        <w:rPr>
          <w:i/>
          <w:iCs/>
        </w:rPr>
        <w:t>119</w:t>
      </w:r>
      <w:r w:rsidRPr="00CE0148">
        <w:t>, 245-258.</w:t>
      </w:r>
    </w:p>
    <w:p w14:paraId="2AC91965" w14:textId="77777777" w:rsidR="00753E2A" w:rsidRDefault="00753E2A" w:rsidP="00753E2A">
      <w:r w:rsidRPr="00CE0148">
        <w:t xml:space="preserve">Mahajan, R., Lim, W. M., Sareen, M., Kumar, S., </w:t>
      </w:r>
      <w:r>
        <w:t>and</w:t>
      </w:r>
      <w:r w:rsidRPr="00CE0148">
        <w:t xml:space="preserve"> Panwar, R. (2023). Stakeholder theory. </w:t>
      </w:r>
      <w:r w:rsidRPr="00CE0148">
        <w:rPr>
          <w:i/>
          <w:iCs/>
        </w:rPr>
        <w:t>Journal of Business Research</w:t>
      </w:r>
      <w:r w:rsidRPr="00CE0148">
        <w:t>, </w:t>
      </w:r>
      <w:r w:rsidRPr="00CE0148">
        <w:rPr>
          <w:i/>
          <w:iCs/>
        </w:rPr>
        <w:t>166</w:t>
      </w:r>
      <w:r w:rsidRPr="00CE0148">
        <w:t>, 114104.</w:t>
      </w:r>
    </w:p>
    <w:p w14:paraId="7FE00B15" w14:textId="77777777" w:rsidR="00753E2A" w:rsidRDefault="00753E2A" w:rsidP="00753E2A">
      <w:r w:rsidRPr="00CE0148">
        <w:lastRenderedPageBreak/>
        <w:t xml:space="preserve">Pedrini, M., </w:t>
      </w:r>
      <w:r>
        <w:t>and</w:t>
      </w:r>
      <w:r w:rsidRPr="00CE0148">
        <w:t xml:space="preserve"> Ferri, L. M. (2019). Stakeholder management: a systematic literature review. </w:t>
      </w:r>
      <w:r w:rsidRPr="00CE0148">
        <w:rPr>
          <w:i/>
          <w:iCs/>
        </w:rPr>
        <w:t>Corporate Governance: The international journal of business in society</w:t>
      </w:r>
      <w:r w:rsidRPr="00CE0148">
        <w:t>, </w:t>
      </w:r>
      <w:r w:rsidRPr="00CE0148">
        <w:rPr>
          <w:i/>
          <w:iCs/>
        </w:rPr>
        <w:t>19</w:t>
      </w:r>
      <w:r w:rsidRPr="00CE0148">
        <w:t>(1), 44-59.</w:t>
      </w:r>
    </w:p>
    <w:p w14:paraId="51162B33" w14:textId="77777777" w:rsidR="00753E2A" w:rsidRDefault="00753E2A" w:rsidP="00753E2A">
      <w:r w:rsidRPr="00CE0148">
        <w:t xml:space="preserve">Spang, K., </w:t>
      </w:r>
      <w:r>
        <w:t>and</w:t>
      </w:r>
      <w:r w:rsidRPr="00CE0148">
        <w:t xml:space="preserve"> Clausen, W. (2022). Stakeholdermanagement. In </w:t>
      </w:r>
      <w:r w:rsidRPr="00CE0148">
        <w:rPr>
          <w:i/>
          <w:iCs/>
        </w:rPr>
        <w:t>Projektmanagement von Verkehrsinfrastrukturprojekten</w:t>
      </w:r>
      <w:r w:rsidRPr="00CE0148">
        <w:t> (pp. 215-258). Berlin, Heidelberg: Springer Berlin Heidelberg.</w:t>
      </w:r>
    </w:p>
    <w:p w14:paraId="5A84260F" w14:textId="77777777" w:rsidR="00753E2A" w:rsidRDefault="00753E2A" w:rsidP="00753E2A">
      <w:r w:rsidRPr="00CE0148">
        <w:t xml:space="preserve">Vuorinen, L., </w:t>
      </w:r>
      <w:r>
        <w:t>and</w:t>
      </w:r>
      <w:r w:rsidRPr="00CE0148">
        <w:t xml:space="preserve"> Martinsuo, M. (2019). Value-oriented stakeholder influence on infrastructure projects. </w:t>
      </w:r>
      <w:r w:rsidRPr="00CE0148">
        <w:rPr>
          <w:i/>
          <w:iCs/>
        </w:rPr>
        <w:t>International journal of project management</w:t>
      </w:r>
      <w:r w:rsidRPr="00CE0148">
        <w:t>, </w:t>
      </w:r>
      <w:r w:rsidRPr="00CE0148">
        <w:rPr>
          <w:i/>
          <w:iCs/>
        </w:rPr>
        <w:t>37</w:t>
      </w:r>
      <w:r w:rsidRPr="00CE0148">
        <w:t>(5), 750-766.</w:t>
      </w:r>
    </w:p>
    <w:p w14:paraId="1AB4E1D2" w14:textId="77777777" w:rsidR="00753E2A" w:rsidRDefault="00753E2A" w:rsidP="00753E2A">
      <w:r w:rsidRPr="00CE0148">
        <w:t>Weiss, J. W. (2021). </w:t>
      </w:r>
      <w:r w:rsidRPr="00CE0148">
        <w:rPr>
          <w:i/>
          <w:iCs/>
        </w:rPr>
        <w:t>Business ethics: A stakeholder and issues management approach</w:t>
      </w:r>
      <w:r w:rsidRPr="00CE0148">
        <w:t>. Berrett-Koehler Publishers.</w:t>
      </w:r>
    </w:p>
    <w:p w14:paraId="355FD33F" w14:textId="34E53CC9" w:rsidR="00753E2A" w:rsidRPr="00753E2A" w:rsidRDefault="00753E2A" w:rsidP="000E27FE">
      <w:r w:rsidRPr="00CE0148">
        <w:t xml:space="preserve">Xia, N., Zou, P. X., Griffin, M. A., Wang, X., </w:t>
      </w:r>
      <w:r>
        <w:t>and</w:t>
      </w:r>
      <w:r w:rsidRPr="00CE0148">
        <w:t xml:space="preserve"> Zhong, R. (2018). Towards integrating construction risk management and stakeholder management: A systematic literature review and future research agendas. </w:t>
      </w:r>
      <w:r w:rsidRPr="00CE0148">
        <w:rPr>
          <w:i/>
          <w:iCs/>
        </w:rPr>
        <w:t>International journal of project management</w:t>
      </w:r>
      <w:r w:rsidRPr="00CE0148">
        <w:t>, </w:t>
      </w:r>
      <w:r w:rsidRPr="00CE0148">
        <w:rPr>
          <w:i/>
          <w:iCs/>
        </w:rPr>
        <w:t>36</w:t>
      </w:r>
      <w:r w:rsidRPr="00CE0148">
        <w:t>(5), 701-715.</w:t>
      </w:r>
    </w:p>
    <w:sectPr w:rsidR="00753E2A" w:rsidRPr="00753E2A">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F23BF" w14:textId="77777777" w:rsidR="00ED6979" w:rsidRDefault="00ED6979" w:rsidP="003D742C">
      <w:pPr>
        <w:spacing w:after="0" w:line="240" w:lineRule="auto"/>
      </w:pPr>
      <w:r>
        <w:separator/>
      </w:r>
    </w:p>
  </w:endnote>
  <w:endnote w:type="continuationSeparator" w:id="0">
    <w:p w14:paraId="57B5E230" w14:textId="77777777" w:rsidR="00ED6979" w:rsidRDefault="00ED6979" w:rsidP="003D7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592478"/>
      <w:docPartObj>
        <w:docPartGallery w:val="Page Numbers (Bottom of Page)"/>
        <w:docPartUnique/>
      </w:docPartObj>
    </w:sdtPr>
    <w:sdtEndPr>
      <w:rPr>
        <w:noProof/>
      </w:rPr>
    </w:sdtEndPr>
    <w:sdtContent>
      <w:p w14:paraId="59EF5837" w14:textId="56D962E4" w:rsidR="00BF4845" w:rsidRDefault="00BF48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F778AA" w14:textId="77777777" w:rsidR="00BF4845" w:rsidRDefault="00BF4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A8CF9" w14:textId="77777777" w:rsidR="00ED6979" w:rsidRDefault="00ED6979" w:rsidP="003D742C">
      <w:pPr>
        <w:spacing w:after="0" w:line="240" w:lineRule="auto"/>
      </w:pPr>
      <w:r>
        <w:separator/>
      </w:r>
    </w:p>
  </w:footnote>
  <w:footnote w:type="continuationSeparator" w:id="0">
    <w:p w14:paraId="4EEA451C" w14:textId="77777777" w:rsidR="00ED6979" w:rsidRDefault="00ED6979" w:rsidP="003D7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22DEB"/>
    <w:multiLevelType w:val="hybridMultilevel"/>
    <w:tmpl w:val="9BACA6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52A566B"/>
    <w:multiLevelType w:val="multilevel"/>
    <w:tmpl w:val="37CCE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30529F"/>
    <w:multiLevelType w:val="hybridMultilevel"/>
    <w:tmpl w:val="AD8C84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83C5C61"/>
    <w:multiLevelType w:val="hybridMultilevel"/>
    <w:tmpl w:val="68FCE7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DE51BB0"/>
    <w:multiLevelType w:val="hybridMultilevel"/>
    <w:tmpl w:val="AEB6282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03196447">
    <w:abstractNumId w:val="1"/>
  </w:num>
  <w:num w:numId="2" w16cid:durableId="1662856742">
    <w:abstractNumId w:val="0"/>
  </w:num>
  <w:num w:numId="3" w16cid:durableId="462506812">
    <w:abstractNumId w:val="2"/>
  </w:num>
  <w:num w:numId="4" w16cid:durableId="319388776">
    <w:abstractNumId w:val="3"/>
  </w:num>
  <w:num w:numId="5" w16cid:durableId="20960461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360"/>
    <w:rsid w:val="00003667"/>
    <w:rsid w:val="000E27FE"/>
    <w:rsid w:val="00126B14"/>
    <w:rsid w:val="00184803"/>
    <w:rsid w:val="001A0A7B"/>
    <w:rsid w:val="002002D6"/>
    <w:rsid w:val="00237D64"/>
    <w:rsid w:val="00281047"/>
    <w:rsid w:val="002A5A81"/>
    <w:rsid w:val="002E5012"/>
    <w:rsid w:val="002F05D8"/>
    <w:rsid w:val="003D742C"/>
    <w:rsid w:val="00403EAA"/>
    <w:rsid w:val="00427AAE"/>
    <w:rsid w:val="0043742F"/>
    <w:rsid w:val="004751CC"/>
    <w:rsid w:val="004F6C38"/>
    <w:rsid w:val="00544D3F"/>
    <w:rsid w:val="00563360"/>
    <w:rsid w:val="0064234F"/>
    <w:rsid w:val="0065314D"/>
    <w:rsid w:val="006C64B5"/>
    <w:rsid w:val="007311C3"/>
    <w:rsid w:val="00753E2A"/>
    <w:rsid w:val="0080119F"/>
    <w:rsid w:val="00813598"/>
    <w:rsid w:val="00815C05"/>
    <w:rsid w:val="0082364F"/>
    <w:rsid w:val="0084525C"/>
    <w:rsid w:val="0084634D"/>
    <w:rsid w:val="00855931"/>
    <w:rsid w:val="008F1C4A"/>
    <w:rsid w:val="008F59A1"/>
    <w:rsid w:val="00924F98"/>
    <w:rsid w:val="009556C1"/>
    <w:rsid w:val="0099112E"/>
    <w:rsid w:val="009D5AC0"/>
    <w:rsid w:val="00A0008E"/>
    <w:rsid w:val="00A726F6"/>
    <w:rsid w:val="00A80EE4"/>
    <w:rsid w:val="00AA44E4"/>
    <w:rsid w:val="00B0426C"/>
    <w:rsid w:val="00BC0D7C"/>
    <w:rsid w:val="00BC4ADB"/>
    <w:rsid w:val="00BD22E0"/>
    <w:rsid w:val="00BE16B6"/>
    <w:rsid w:val="00BE5979"/>
    <w:rsid w:val="00BF4845"/>
    <w:rsid w:val="00BF4C4A"/>
    <w:rsid w:val="00C1274A"/>
    <w:rsid w:val="00C361DC"/>
    <w:rsid w:val="00C86C7C"/>
    <w:rsid w:val="00CF7B88"/>
    <w:rsid w:val="00D136BB"/>
    <w:rsid w:val="00D71C6E"/>
    <w:rsid w:val="00D83EB3"/>
    <w:rsid w:val="00D93B0B"/>
    <w:rsid w:val="00DB4E5B"/>
    <w:rsid w:val="00DE2CA4"/>
    <w:rsid w:val="00E821FD"/>
    <w:rsid w:val="00ED0FF8"/>
    <w:rsid w:val="00ED6979"/>
    <w:rsid w:val="00EE5A38"/>
    <w:rsid w:val="00F16762"/>
    <w:rsid w:val="00F87973"/>
    <w:rsid w:val="00FA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2AC313"/>
  <w15:chartTrackingRefBased/>
  <w15:docId w15:val="{87AB377F-AF7C-4463-9B9F-6664462C3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4E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F05D8"/>
    <w:pPr>
      <w:keepNext/>
      <w:keepLines/>
      <w:spacing w:after="12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F05D8"/>
    <w:pPr>
      <w:keepNext/>
      <w:keepLines/>
      <w:spacing w:after="120"/>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2F05D8"/>
    <w:pPr>
      <w:keepNext/>
      <w:keepLines/>
      <w:spacing w:after="120"/>
      <w:outlineLvl w:val="2"/>
    </w:pPr>
    <w:rPr>
      <w:rFonts w:eastAsiaTheme="majorEastAsia" w:cstheme="majorBidi"/>
      <w:b/>
      <w:i/>
      <w:color w:val="000000" w:themeColor="text1"/>
    </w:rPr>
  </w:style>
  <w:style w:type="paragraph" w:styleId="Heading4">
    <w:name w:val="heading 4"/>
    <w:basedOn w:val="Normal"/>
    <w:next w:val="Normal"/>
    <w:link w:val="Heading4Char"/>
    <w:uiPriority w:val="9"/>
    <w:semiHidden/>
    <w:unhideWhenUsed/>
    <w:qFormat/>
    <w:rsid w:val="0056336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6336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6336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33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33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33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5D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F05D8"/>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semiHidden/>
    <w:rsid w:val="002F05D8"/>
    <w:rPr>
      <w:rFonts w:ascii="Times New Roman" w:eastAsiaTheme="majorEastAsia" w:hAnsi="Times New Roman" w:cstheme="majorBidi"/>
      <w:b/>
      <w:i/>
      <w:color w:val="000000" w:themeColor="text1"/>
    </w:rPr>
  </w:style>
  <w:style w:type="character" w:customStyle="1" w:styleId="Heading4Char">
    <w:name w:val="Heading 4 Char"/>
    <w:basedOn w:val="DefaultParagraphFont"/>
    <w:link w:val="Heading4"/>
    <w:uiPriority w:val="9"/>
    <w:semiHidden/>
    <w:rsid w:val="005633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3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360"/>
    <w:rPr>
      <w:rFonts w:eastAsiaTheme="majorEastAsia" w:cstheme="majorBidi"/>
      <w:color w:val="272727" w:themeColor="text1" w:themeTint="D8"/>
    </w:rPr>
  </w:style>
  <w:style w:type="paragraph" w:styleId="Title">
    <w:name w:val="Title"/>
    <w:basedOn w:val="Normal"/>
    <w:next w:val="Normal"/>
    <w:link w:val="TitleChar"/>
    <w:uiPriority w:val="10"/>
    <w:qFormat/>
    <w:rsid w:val="00563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3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36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3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360"/>
    <w:pPr>
      <w:spacing w:before="160"/>
      <w:jc w:val="center"/>
    </w:pPr>
    <w:rPr>
      <w:i/>
      <w:iCs/>
      <w:color w:val="404040" w:themeColor="text1" w:themeTint="BF"/>
    </w:rPr>
  </w:style>
  <w:style w:type="character" w:customStyle="1" w:styleId="QuoteChar">
    <w:name w:val="Quote Char"/>
    <w:basedOn w:val="DefaultParagraphFont"/>
    <w:link w:val="Quote"/>
    <w:uiPriority w:val="29"/>
    <w:rsid w:val="00563360"/>
    <w:rPr>
      <w:rFonts w:ascii="Times New Roman" w:hAnsi="Times New Roman"/>
      <w:i/>
      <w:iCs/>
      <w:color w:val="404040" w:themeColor="text1" w:themeTint="BF"/>
    </w:rPr>
  </w:style>
  <w:style w:type="paragraph" w:styleId="ListParagraph">
    <w:name w:val="List Paragraph"/>
    <w:basedOn w:val="Normal"/>
    <w:uiPriority w:val="34"/>
    <w:qFormat/>
    <w:rsid w:val="00563360"/>
    <w:pPr>
      <w:ind w:left="720"/>
      <w:contextualSpacing/>
    </w:pPr>
  </w:style>
  <w:style w:type="character" w:styleId="IntenseEmphasis">
    <w:name w:val="Intense Emphasis"/>
    <w:basedOn w:val="DefaultParagraphFont"/>
    <w:uiPriority w:val="21"/>
    <w:qFormat/>
    <w:rsid w:val="00563360"/>
    <w:rPr>
      <w:i/>
      <w:iCs/>
      <w:color w:val="0F4761" w:themeColor="accent1" w:themeShade="BF"/>
    </w:rPr>
  </w:style>
  <w:style w:type="paragraph" w:styleId="IntenseQuote">
    <w:name w:val="Intense Quote"/>
    <w:basedOn w:val="Normal"/>
    <w:next w:val="Normal"/>
    <w:link w:val="IntenseQuoteChar"/>
    <w:uiPriority w:val="30"/>
    <w:qFormat/>
    <w:rsid w:val="005633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3360"/>
    <w:rPr>
      <w:rFonts w:ascii="Times New Roman" w:hAnsi="Times New Roman"/>
      <w:i/>
      <w:iCs/>
      <w:color w:val="0F4761" w:themeColor="accent1" w:themeShade="BF"/>
    </w:rPr>
  </w:style>
  <w:style w:type="character" w:styleId="IntenseReference">
    <w:name w:val="Intense Reference"/>
    <w:basedOn w:val="DefaultParagraphFont"/>
    <w:uiPriority w:val="32"/>
    <w:qFormat/>
    <w:rsid w:val="00563360"/>
    <w:rPr>
      <w:b/>
      <w:bCs/>
      <w:smallCaps/>
      <w:color w:val="0F4761" w:themeColor="accent1" w:themeShade="BF"/>
      <w:spacing w:val="5"/>
    </w:rPr>
  </w:style>
  <w:style w:type="table" w:styleId="TableGrid">
    <w:name w:val="Table Grid"/>
    <w:basedOn w:val="TableNormal"/>
    <w:uiPriority w:val="39"/>
    <w:rsid w:val="00924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7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42C"/>
    <w:rPr>
      <w:rFonts w:ascii="Times New Roman" w:hAnsi="Times New Roman"/>
    </w:rPr>
  </w:style>
  <w:style w:type="paragraph" w:styleId="Footer">
    <w:name w:val="footer"/>
    <w:basedOn w:val="Normal"/>
    <w:link w:val="FooterChar"/>
    <w:uiPriority w:val="99"/>
    <w:unhideWhenUsed/>
    <w:rsid w:val="003D7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42C"/>
    <w:rPr>
      <w:rFonts w:ascii="Times New Roman" w:hAnsi="Times New Roman"/>
    </w:rPr>
  </w:style>
  <w:style w:type="paragraph" w:styleId="TOCHeading">
    <w:name w:val="TOC Heading"/>
    <w:basedOn w:val="Heading1"/>
    <w:next w:val="Normal"/>
    <w:uiPriority w:val="39"/>
    <w:unhideWhenUsed/>
    <w:qFormat/>
    <w:rsid w:val="00F87973"/>
    <w:pPr>
      <w:spacing w:before="240" w:after="0"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BF4845"/>
    <w:pPr>
      <w:tabs>
        <w:tab w:val="right" w:leader="dot" w:pos="9016"/>
      </w:tabs>
      <w:spacing w:after="100"/>
    </w:pPr>
    <w:rPr>
      <w:b/>
      <w:bCs/>
      <w:noProof/>
    </w:rPr>
  </w:style>
  <w:style w:type="paragraph" w:styleId="TOC2">
    <w:name w:val="toc 2"/>
    <w:basedOn w:val="Normal"/>
    <w:next w:val="Normal"/>
    <w:autoRedefine/>
    <w:uiPriority w:val="39"/>
    <w:unhideWhenUsed/>
    <w:rsid w:val="00F87973"/>
    <w:pPr>
      <w:spacing w:after="100"/>
      <w:ind w:left="240"/>
    </w:pPr>
  </w:style>
  <w:style w:type="character" w:styleId="Hyperlink">
    <w:name w:val="Hyperlink"/>
    <w:basedOn w:val="DefaultParagraphFont"/>
    <w:uiPriority w:val="99"/>
    <w:unhideWhenUsed/>
    <w:rsid w:val="00F87973"/>
    <w:rPr>
      <w:color w:val="467886" w:themeColor="hyperlink"/>
      <w:u w:val="single"/>
    </w:rPr>
  </w:style>
  <w:style w:type="character" w:styleId="UnresolvedMention">
    <w:name w:val="Unresolved Mention"/>
    <w:basedOn w:val="DefaultParagraphFont"/>
    <w:uiPriority w:val="99"/>
    <w:semiHidden/>
    <w:unhideWhenUsed/>
    <w:rsid w:val="00ED0FF8"/>
    <w:rPr>
      <w:color w:val="605E5C"/>
      <w:shd w:val="clear" w:color="auto" w:fill="E1DFDD"/>
    </w:rPr>
  </w:style>
  <w:style w:type="character" w:styleId="FollowedHyperlink">
    <w:name w:val="FollowedHyperlink"/>
    <w:basedOn w:val="DefaultParagraphFont"/>
    <w:uiPriority w:val="99"/>
    <w:semiHidden/>
    <w:unhideWhenUsed/>
    <w:rsid w:val="00ED0FF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D24DA-706C-459C-A137-0C6481296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4025</Words>
  <Characters>22946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Dragos Nedelcu (2323249)</cp:lastModifiedBy>
  <cp:revision>5</cp:revision>
  <dcterms:created xsi:type="dcterms:W3CDTF">2025-10-20T23:06:00Z</dcterms:created>
  <dcterms:modified xsi:type="dcterms:W3CDTF">2025-10-26T14:58:00Z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af3eaca0-6255-4a16-9688-f2b6b3191182</vt:lpwstr>
  </property>
</Properties>
</file>