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8F0B7" w14:textId="60A9FAF8" w:rsidR="00EE3012" w:rsidRDefault="00EE3012" w:rsidP="00E91D7E">
      <w:pPr>
        <w:rPr>
          <w:rFonts w:ascii="Arial" w:hAnsi="Arial" w:cs="Arial"/>
          <w:b/>
          <w:bCs/>
          <w:lang w:eastAsia="en-GB"/>
        </w:rPr>
      </w:pPr>
    </w:p>
    <w:p w14:paraId="6B1135EB" w14:textId="77777777" w:rsidR="00932E16" w:rsidRPr="00B445D8" w:rsidRDefault="00932E16" w:rsidP="00932E16">
      <w:pPr>
        <w:spacing w:line="259" w:lineRule="auto"/>
        <w:rPr>
          <w:rFonts w:ascii="Arial" w:eastAsia="Calibri" w:hAnsi="Arial" w:cs="Arial"/>
        </w:rPr>
      </w:pPr>
      <w:r w:rsidRPr="00B445D8">
        <w:rPr>
          <w:rFonts w:ascii="Arial" w:eastAsia="Calibri" w:hAnsi="Arial" w:cs="Arial"/>
          <w:noProof/>
        </w:rPr>
        <w:drawing>
          <wp:anchor distT="0" distB="0" distL="114300" distR="114300" simplePos="0" relativeHeight="251659264" behindDoc="0" locked="0" layoutInCell="1" allowOverlap="1" wp14:anchorId="74F6A649" wp14:editId="3556441E">
            <wp:simplePos x="0" y="0"/>
            <wp:positionH relativeFrom="margin">
              <wp:align>left</wp:align>
            </wp:positionH>
            <wp:positionV relativeFrom="paragraph">
              <wp:posOffset>0</wp:posOffset>
            </wp:positionV>
            <wp:extent cx="3638550" cy="1819275"/>
            <wp:effectExtent l="0" t="0" r="0" b="9525"/>
            <wp:wrapSquare wrapText="bothSides"/>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anchor>
        </w:drawing>
      </w:r>
    </w:p>
    <w:p w14:paraId="0E4E6313" w14:textId="77777777" w:rsidR="00932E16" w:rsidRPr="00B445D8" w:rsidRDefault="00932E16" w:rsidP="00932E16">
      <w:pPr>
        <w:spacing w:line="259" w:lineRule="auto"/>
        <w:rPr>
          <w:rFonts w:ascii="Calibri" w:eastAsia="Calibri" w:hAnsi="Calibri" w:cs="Times New Roman"/>
          <w:sz w:val="22"/>
          <w:szCs w:val="22"/>
        </w:rPr>
      </w:pPr>
      <w:r w:rsidRPr="00B445D8">
        <w:rPr>
          <w:rFonts w:ascii="Calibri" w:eastAsia="Calibri" w:hAnsi="Calibri" w:cs="Times New Roman"/>
          <w:sz w:val="22"/>
          <w:szCs w:val="22"/>
        </w:rPr>
        <w:br w:type="textWrapping" w:clear="all"/>
      </w:r>
    </w:p>
    <w:p w14:paraId="703B7630" w14:textId="77777777" w:rsidR="00932E16" w:rsidRPr="00B445D8" w:rsidRDefault="00932E16" w:rsidP="00932E16">
      <w:pPr>
        <w:spacing w:line="259" w:lineRule="auto"/>
        <w:rPr>
          <w:rFonts w:ascii="Calibri" w:eastAsia="Calibri" w:hAnsi="Calibri" w:cs="Times New Roman"/>
          <w:sz w:val="22"/>
          <w:szCs w:val="22"/>
        </w:rPr>
      </w:pPr>
    </w:p>
    <w:p w14:paraId="343208AC" w14:textId="77777777" w:rsidR="00932E16" w:rsidRPr="00B445D8" w:rsidRDefault="00932E16" w:rsidP="00932E16">
      <w:pPr>
        <w:spacing w:line="259" w:lineRule="auto"/>
        <w:jc w:val="center"/>
        <w:rPr>
          <w:rFonts w:ascii="Arial" w:eastAsia="Calibri" w:hAnsi="Arial" w:cs="Arial"/>
          <w:sz w:val="56"/>
          <w:szCs w:val="56"/>
        </w:rPr>
      </w:pPr>
      <w:r w:rsidRPr="00AF5129">
        <w:rPr>
          <w:rFonts w:ascii="Arial" w:hAnsi="Arial" w:cs="Arial"/>
          <w:sz w:val="56"/>
          <w:szCs w:val="56"/>
        </w:rPr>
        <w:t>Principles of Human Resource Management</w:t>
      </w:r>
    </w:p>
    <w:p w14:paraId="7E83846C" w14:textId="77777777" w:rsidR="00932E16" w:rsidRPr="00B445D8" w:rsidRDefault="00932E16" w:rsidP="00932E16">
      <w:pPr>
        <w:spacing w:line="259" w:lineRule="auto"/>
        <w:rPr>
          <w:rFonts w:ascii="Arial" w:eastAsia="Calibri" w:hAnsi="Arial" w:cs="Arial"/>
        </w:rPr>
      </w:pPr>
    </w:p>
    <w:p w14:paraId="167C308D" w14:textId="77777777" w:rsidR="00932E16" w:rsidRPr="00B445D8" w:rsidRDefault="00932E16" w:rsidP="00932E16">
      <w:pPr>
        <w:spacing w:line="259" w:lineRule="auto"/>
        <w:rPr>
          <w:rFonts w:ascii="Arial" w:eastAsia="Calibri" w:hAnsi="Arial" w:cs="Arial"/>
        </w:rPr>
      </w:pPr>
    </w:p>
    <w:p w14:paraId="355F5AE1" w14:textId="70A50C69" w:rsidR="00932E16" w:rsidRPr="00B445D8" w:rsidRDefault="00932E16" w:rsidP="00932E16">
      <w:pPr>
        <w:spacing w:line="259" w:lineRule="auto"/>
        <w:jc w:val="center"/>
        <w:rPr>
          <w:rFonts w:ascii="Arial" w:eastAsia="Calibri" w:hAnsi="Arial" w:cs="Arial"/>
          <w:sz w:val="52"/>
          <w:szCs w:val="52"/>
        </w:rPr>
      </w:pPr>
      <w:r w:rsidRPr="00B445D8">
        <w:rPr>
          <w:rFonts w:ascii="Arial" w:eastAsia="Calibri" w:hAnsi="Arial" w:cs="Arial"/>
          <w:sz w:val="52"/>
          <w:szCs w:val="52"/>
        </w:rPr>
        <w:t xml:space="preserve">Assignment </w:t>
      </w:r>
      <w:r w:rsidR="005C29E9">
        <w:rPr>
          <w:rFonts w:ascii="Arial" w:eastAsia="Calibri" w:hAnsi="Arial" w:cs="Arial"/>
          <w:sz w:val="52"/>
          <w:szCs w:val="52"/>
        </w:rPr>
        <w:t>2</w:t>
      </w:r>
    </w:p>
    <w:p w14:paraId="262E326C" w14:textId="77777777" w:rsidR="00932E16" w:rsidRPr="00B445D8" w:rsidRDefault="00932E16" w:rsidP="00932E16">
      <w:pPr>
        <w:spacing w:line="259" w:lineRule="auto"/>
        <w:jc w:val="center"/>
        <w:rPr>
          <w:rFonts w:ascii="Arial" w:eastAsia="Calibri" w:hAnsi="Arial" w:cs="Arial"/>
          <w:sz w:val="52"/>
          <w:szCs w:val="52"/>
        </w:rPr>
      </w:pPr>
      <w:r w:rsidRPr="00B445D8">
        <w:rPr>
          <w:rFonts w:ascii="Arial" w:eastAsia="Calibri" w:hAnsi="Arial" w:cs="Arial"/>
          <w:sz w:val="52"/>
          <w:szCs w:val="52"/>
        </w:rPr>
        <w:t>Submission deadline</w:t>
      </w:r>
    </w:p>
    <w:p w14:paraId="227B271E" w14:textId="5714B480" w:rsidR="00932E16" w:rsidRPr="00B445D8" w:rsidRDefault="004F17A7" w:rsidP="005C29E9">
      <w:pPr>
        <w:spacing w:line="259" w:lineRule="auto"/>
        <w:jc w:val="center"/>
        <w:rPr>
          <w:rFonts w:ascii="Arial" w:eastAsia="Calibri" w:hAnsi="Arial" w:cs="Arial"/>
        </w:rPr>
      </w:pPr>
      <w:r w:rsidRPr="004F17A7">
        <w:rPr>
          <w:rFonts w:ascii="Arial" w:eastAsia="Calibri" w:hAnsi="Arial" w:cs="Arial"/>
          <w:sz w:val="52"/>
          <w:szCs w:val="52"/>
        </w:rPr>
        <w:t>21/08/2026</w:t>
      </w:r>
    </w:p>
    <w:p w14:paraId="69986F0E" w14:textId="77777777" w:rsidR="00932E16" w:rsidRPr="00B445D8" w:rsidRDefault="00932E16" w:rsidP="00932E16">
      <w:pPr>
        <w:spacing w:line="259" w:lineRule="auto"/>
        <w:rPr>
          <w:rFonts w:ascii="Arial" w:eastAsia="Calibri" w:hAnsi="Arial" w:cs="Arial"/>
        </w:rPr>
      </w:pPr>
    </w:p>
    <w:p w14:paraId="17E95F07" w14:textId="77777777" w:rsidR="00932E16" w:rsidRPr="00B445D8" w:rsidRDefault="00932E16" w:rsidP="00932E16">
      <w:pPr>
        <w:spacing w:line="259" w:lineRule="auto"/>
        <w:rPr>
          <w:rFonts w:ascii="Arial" w:eastAsia="Calibri" w:hAnsi="Arial" w:cs="Arial"/>
        </w:rPr>
      </w:pPr>
    </w:p>
    <w:p w14:paraId="6EEF5B71" w14:textId="77777777" w:rsidR="00932E16" w:rsidRPr="00B445D8" w:rsidRDefault="00932E16" w:rsidP="00932E16">
      <w:pPr>
        <w:spacing w:line="259" w:lineRule="auto"/>
        <w:rPr>
          <w:rFonts w:ascii="Arial" w:eastAsia="Calibri" w:hAnsi="Arial" w:cs="Arial"/>
          <w:sz w:val="40"/>
          <w:szCs w:val="40"/>
        </w:rPr>
      </w:pPr>
      <w:r w:rsidRPr="00B445D8">
        <w:rPr>
          <w:rFonts w:ascii="Arial" w:eastAsia="Calibri" w:hAnsi="Arial" w:cs="Arial"/>
          <w:sz w:val="40"/>
          <w:szCs w:val="40"/>
        </w:rPr>
        <w:t>Name:              Badru Keanene</w:t>
      </w:r>
    </w:p>
    <w:p w14:paraId="6F93FE53" w14:textId="77777777" w:rsidR="00932E16" w:rsidRPr="00B445D8" w:rsidRDefault="00932E16" w:rsidP="00932E16">
      <w:pPr>
        <w:spacing w:line="259" w:lineRule="auto"/>
        <w:rPr>
          <w:rFonts w:ascii="Arial" w:eastAsia="Calibri" w:hAnsi="Arial" w:cs="Arial"/>
          <w:sz w:val="40"/>
          <w:szCs w:val="40"/>
        </w:rPr>
      </w:pPr>
      <w:r w:rsidRPr="00B445D8">
        <w:rPr>
          <w:rFonts w:ascii="Arial" w:eastAsia="Calibri" w:hAnsi="Arial" w:cs="Arial"/>
          <w:sz w:val="40"/>
          <w:szCs w:val="40"/>
        </w:rPr>
        <w:t>Student ID:       2416450</w:t>
      </w:r>
    </w:p>
    <w:p w14:paraId="1B90B529" w14:textId="77777777" w:rsidR="00932E16" w:rsidRPr="00B445D8" w:rsidRDefault="00932E16" w:rsidP="00932E16">
      <w:pPr>
        <w:spacing w:line="259" w:lineRule="auto"/>
        <w:rPr>
          <w:rFonts w:ascii="Arial" w:eastAsia="Calibri" w:hAnsi="Arial" w:cs="Arial"/>
          <w:sz w:val="40"/>
          <w:szCs w:val="40"/>
        </w:rPr>
      </w:pPr>
      <w:r w:rsidRPr="00B445D8">
        <w:rPr>
          <w:rFonts w:ascii="Arial" w:eastAsia="Calibri" w:hAnsi="Arial" w:cs="Arial"/>
          <w:sz w:val="40"/>
          <w:szCs w:val="40"/>
        </w:rPr>
        <w:t xml:space="preserve">Module code:   </w:t>
      </w:r>
      <w:r w:rsidRPr="00D4043E">
        <w:rPr>
          <w:rFonts w:ascii="Arial" w:eastAsia="Calibri" w:hAnsi="Arial" w:cs="Arial"/>
          <w:sz w:val="40"/>
          <w:szCs w:val="40"/>
        </w:rPr>
        <w:t>LCBB5012</w:t>
      </w:r>
      <w:r w:rsidRPr="00B445D8">
        <w:rPr>
          <w:rFonts w:ascii="Arial" w:eastAsia="Calibri" w:hAnsi="Arial" w:cs="Arial"/>
          <w:sz w:val="40"/>
          <w:szCs w:val="40"/>
        </w:rPr>
        <w:t>_LON</w:t>
      </w:r>
    </w:p>
    <w:p w14:paraId="198294E1" w14:textId="77777777" w:rsidR="00932E16" w:rsidRPr="00B445D8" w:rsidRDefault="00932E16" w:rsidP="00932E16">
      <w:pPr>
        <w:tabs>
          <w:tab w:val="left" w:pos="6935"/>
        </w:tabs>
        <w:spacing w:line="259" w:lineRule="auto"/>
        <w:rPr>
          <w:rFonts w:ascii="Arial" w:eastAsia="Calibri" w:hAnsi="Arial" w:cs="Arial"/>
          <w:sz w:val="40"/>
          <w:szCs w:val="40"/>
        </w:rPr>
      </w:pPr>
      <w:r w:rsidRPr="00B445D8">
        <w:rPr>
          <w:rFonts w:ascii="Arial" w:eastAsia="Calibri" w:hAnsi="Arial" w:cs="Arial"/>
          <w:sz w:val="40"/>
          <w:szCs w:val="40"/>
        </w:rPr>
        <w:t xml:space="preserve">Lecturer:          </w:t>
      </w:r>
      <w:r w:rsidRPr="00B445D8">
        <w:rPr>
          <w:rFonts w:ascii="Arial" w:eastAsia="Calibri" w:hAnsi="Arial" w:cs="Arial"/>
          <w:color w:val="1D2125"/>
          <w:sz w:val="40"/>
          <w:szCs w:val="40"/>
          <w:shd w:val="clear" w:color="auto" w:fill="FFFFFF"/>
        </w:rPr>
        <w:t xml:space="preserve">Dr </w:t>
      </w:r>
      <w:r w:rsidRPr="00EE7DCB">
        <w:rPr>
          <w:rFonts w:ascii="Arial" w:eastAsia="Calibri" w:hAnsi="Arial" w:cs="Arial"/>
          <w:color w:val="1D2125"/>
          <w:sz w:val="40"/>
          <w:szCs w:val="40"/>
          <w:shd w:val="clear" w:color="auto" w:fill="FFFFFF"/>
        </w:rPr>
        <w:t>Nerys Dosseh</w:t>
      </w:r>
      <w:r>
        <w:rPr>
          <w:rFonts w:ascii="Arial" w:eastAsia="Calibri" w:hAnsi="Arial" w:cs="Arial"/>
          <w:color w:val="1D2125"/>
          <w:sz w:val="40"/>
          <w:szCs w:val="40"/>
          <w:shd w:val="clear" w:color="auto" w:fill="FFFFFF"/>
        </w:rPr>
        <w:t xml:space="preserve"> </w:t>
      </w:r>
    </w:p>
    <w:p w14:paraId="41962AF1" w14:textId="77777777" w:rsidR="00932E16" w:rsidRPr="00B445D8" w:rsidRDefault="00932E16" w:rsidP="00932E16">
      <w:pPr>
        <w:tabs>
          <w:tab w:val="left" w:pos="6935"/>
        </w:tabs>
        <w:spacing w:line="259" w:lineRule="auto"/>
        <w:rPr>
          <w:rFonts w:ascii="Arial" w:eastAsia="Calibri" w:hAnsi="Arial" w:cs="Arial"/>
          <w:sz w:val="40"/>
          <w:szCs w:val="40"/>
        </w:rPr>
      </w:pPr>
    </w:p>
    <w:p w14:paraId="38FA4A06" w14:textId="77777777" w:rsidR="00932E16" w:rsidRDefault="00932E16" w:rsidP="00932E16">
      <w:pPr>
        <w:rPr>
          <w:rFonts w:ascii="Arial" w:hAnsi="Arial" w:cs="Arial"/>
          <w:b/>
          <w:bCs/>
          <w:lang w:eastAsia="en-GB"/>
        </w:rPr>
      </w:pPr>
    </w:p>
    <w:p w14:paraId="19232C5A" w14:textId="77777777" w:rsidR="00723AA5" w:rsidRDefault="00932E16">
      <w:pPr>
        <w:rPr>
          <w:rFonts w:ascii="Arial" w:hAnsi="Arial" w:cs="Arial"/>
          <w:b/>
          <w:bCs/>
          <w:lang w:eastAsia="en-GB"/>
        </w:rPr>
      </w:pPr>
      <w:r>
        <w:rPr>
          <w:rFonts w:ascii="Arial" w:hAnsi="Arial" w:cs="Arial"/>
          <w:b/>
          <w:bCs/>
          <w:lang w:eastAsia="en-GB"/>
        </w:rPr>
        <w:lastRenderedPageBreak/>
        <w:t xml:space="preserve"> </w:t>
      </w:r>
    </w:p>
    <w:sdt>
      <w:sdtPr>
        <w:rPr>
          <w:rFonts w:asciiTheme="minorHAnsi" w:eastAsiaTheme="minorHAnsi" w:hAnsiTheme="minorHAnsi" w:cstheme="minorBidi"/>
          <w:color w:val="auto"/>
          <w:kern w:val="2"/>
          <w:sz w:val="24"/>
          <w:szCs w:val="24"/>
          <w:lang w:val="en-GB"/>
          <w14:ligatures w14:val="standardContextual"/>
        </w:rPr>
        <w:id w:val="656739177"/>
        <w:docPartObj>
          <w:docPartGallery w:val="Table of Contents"/>
          <w:docPartUnique/>
        </w:docPartObj>
      </w:sdtPr>
      <w:sdtEndPr>
        <w:rPr>
          <w:b/>
          <w:bCs/>
          <w:noProof/>
        </w:rPr>
      </w:sdtEndPr>
      <w:sdtContent>
        <w:p w14:paraId="75693C21" w14:textId="565B9C95" w:rsidR="00723AA5" w:rsidRDefault="00723AA5">
          <w:pPr>
            <w:pStyle w:val="TOCHeading"/>
          </w:pPr>
          <w:r>
            <w:t>Table of Contents</w:t>
          </w:r>
        </w:p>
        <w:p w14:paraId="7E4A7ECB" w14:textId="784CE2D9" w:rsidR="00CC3F56" w:rsidRDefault="00723A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114138" w:history="1">
            <w:r w:rsidR="00CC3F56" w:rsidRPr="00424A31">
              <w:rPr>
                <w:rStyle w:val="Hyperlink"/>
                <w:rFonts w:ascii="Arial" w:hAnsi="Arial" w:cs="Arial"/>
                <w:b/>
                <w:bCs/>
                <w:noProof/>
                <w:lang w:eastAsia="en-GB"/>
              </w:rPr>
              <w:t>1. Introduction</w:t>
            </w:r>
            <w:r w:rsidR="00CC3F56">
              <w:rPr>
                <w:noProof/>
                <w:webHidden/>
              </w:rPr>
              <w:tab/>
            </w:r>
            <w:r w:rsidR="00CC3F56">
              <w:rPr>
                <w:noProof/>
                <w:webHidden/>
              </w:rPr>
              <w:fldChar w:fldCharType="begin"/>
            </w:r>
            <w:r w:rsidR="00CC3F56">
              <w:rPr>
                <w:noProof/>
                <w:webHidden/>
              </w:rPr>
              <w:instrText xml:space="preserve"> PAGEREF _Toc235114138 \h </w:instrText>
            </w:r>
            <w:r w:rsidR="00CC3F56">
              <w:rPr>
                <w:noProof/>
                <w:webHidden/>
              </w:rPr>
            </w:r>
            <w:r w:rsidR="00CC3F56">
              <w:rPr>
                <w:noProof/>
                <w:webHidden/>
              </w:rPr>
              <w:fldChar w:fldCharType="separate"/>
            </w:r>
            <w:r w:rsidR="00CC3F56">
              <w:rPr>
                <w:noProof/>
                <w:webHidden/>
              </w:rPr>
              <w:t>3</w:t>
            </w:r>
            <w:r w:rsidR="00CC3F56">
              <w:rPr>
                <w:noProof/>
                <w:webHidden/>
              </w:rPr>
              <w:fldChar w:fldCharType="end"/>
            </w:r>
          </w:hyperlink>
        </w:p>
        <w:p w14:paraId="0AEF3D57" w14:textId="54F976CF" w:rsidR="00CC3F56" w:rsidRDefault="00000000">
          <w:pPr>
            <w:pStyle w:val="TOC1"/>
            <w:tabs>
              <w:tab w:val="right" w:leader="dot" w:pos="9016"/>
            </w:tabs>
            <w:rPr>
              <w:rFonts w:eastAsiaTheme="minorEastAsia"/>
              <w:noProof/>
              <w:lang w:eastAsia="en-GB"/>
            </w:rPr>
          </w:pPr>
          <w:hyperlink w:anchor="_Toc235114139" w:history="1">
            <w:r w:rsidR="00CC3F56" w:rsidRPr="00424A31">
              <w:rPr>
                <w:rStyle w:val="Hyperlink"/>
                <w:rFonts w:ascii="Arial" w:hAnsi="Arial" w:cs="Arial"/>
                <w:b/>
                <w:bCs/>
                <w:noProof/>
                <w:lang w:eastAsia="en-GB"/>
              </w:rPr>
              <w:t>2. Internal and External Environment for Business Environment Model</w:t>
            </w:r>
            <w:r w:rsidR="00CC3F56">
              <w:rPr>
                <w:noProof/>
                <w:webHidden/>
              </w:rPr>
              <w:tab/>
            </w:r>
            <w:r w:rsidR="00CC3F56">
              <w:rPr>
                <w:noProof/>
                <w:webHidden/>
              </w:rPr>
              <w:fldChar w:fldCharType="begin"/>
            </w:r>
            <w:r w:rsidR="00CC3F56">
              <w:rPr>
                <w:noProof/>
                <w:webHidden/>
              </w:rPr>
              <w:instrText xml:space="preserve"> PAGEREF _Toc235114139 \h </w:instrText>
            </w:r>
            <w:r w:rsidR="00CC3F56">
              <w:rPr>
                <w:noProof/>
                <w:webHidden/>
              </w:rPr>
            </w:r>
            <w:r w:rsidR="00CC3F56">
              <w:rPr>
                <w:noProof/>
                <w:webHidden/>
              </w:rPr>
              <w:fldChar w:fldCharType="separate"/>
            </w:r>
            <w:r w:rsidR="00CC3F56">
              <w:rPr>
                <w:noProof/>
                <w:webHidden/>
              </w:rPr>
              <w:t>4</w:t>
            </w:r>
            <w:r w:rsidR="00CC3F56">
              <w:rPr>
                <w:noProof/>
                <w:webHidden/>
              </w:rPr>
              <w:fldChar w:fldCharType="end"/>
            </w:r>
          </w:hyperlink>
        </w:p>
        <w:p w14:paraId="1710F55F" w14:textId="3782E9B2" w:rsidR="00CC3F56" w:rsidRDefault="00000000">
          <w:pPr>
            <w:pStyle w:val="TOC1"/>
            <w:tabs>
              <w:tab w:val="right" w:leader="dot" w:pos="9016"/>
            </w:tabs>
            <w:rPr>
              <w:rFonts w:eastAsiaTheme="minorEastAsia"/>
              <w:noProof/>
              <w:lang w:eastAsia="en-GB"/>
            </w:rPr>
          </w:pPr>
          <w:hyperlink w:anchor="_Toc235114140" w:history="1">
            <w:r w:rsidR="00CC3F56" w:rsidRPr="00424A31">
              <w:rPr>
                <w:rStyle w:val="Hyperlink"/>
                <w:rFonts w:ascii="Arial" w:hAnsi="Arial" w:cs="Arial"/>
                <w:b/>
                <w:bCs/>
                <w:noProof/>
                <w:lang w:eastAsia="en-GB"/>
              </w:rPr>
              <w:t>3. Organisation Application: GSK</w:t>
            </w:r>
            <w:r w:rsidR="00CC3F56">
              <w:rPr>
                <w:noProof/>
                <w:webHidden/>
              </w:rPr>
              <w:tab/>
            </w:r>
            <w:r w:rsidR="00CC3F56">
              <w:rPr>
                <w:noProof/>
                <w:webHidden/>
              </w:rPr>
              <w:fldChar w:fldCharType="begin"/>
            </w:r>
            <w:r w:rsidR="00CC3F56">
              <w:rPr>
                <w:noProof/>
                <w:webHidden/>
              </w:rPr>
              <w:instrText xml:space="preserve"> PAGEREF _Toc235114140 \h </w:instrText>
            </w:r>
            <w:r w:rsidR="00CC3F56">
              <w:rPr>
                <w:noProof/>
                <w:webHidden/>
              </w:rPr>
            </w:r>
            <w:r w:rsidR="00CC3F56">
              <w:rPr>
                <w:noProof/>
                <w:webHidden/>
              </w:rPr>
              <w:fldChar w:fldCharType="separate"/>
            </w:r>
            <w:r w:rsidR="00CC3F56">
              <w:rPr>
                <w:noProof/>
                <w:webHidden/>
              </w:rPr>
              <w:t>5</w:t>
            </w:r>
            <w:r w:rsidR="00CC3F56">
              <w:rPr>
                <w:noProof/>
                <w:webHidden/>
              </w:rPr>
              <w:fldChar w:fldCharType="end"/>
            </w:r>
          </w:hyperlink>
        </w:p>
        <w:p w14:paraId="00A1EAEC" w14:textId="573EB800" w:rsidR="00CC3F56" w:rsidRDefault="00000000">
          <w:pPr>
            <w:pStyle w:val="TOC1"/>
            <w:tabs>
              <w:tab w:val="right" w:leader="dot" w:pos="9016"/>
            </w:tabs>
            <w:rPr>
              <w:rFonts w:eastAsiaTheme="minorEastAsia"/>
              <w:noProof/>
              <w:lang w:eastAsia="en-GB"/>
            </w:rPr>
          </w:pPr>
          <w:hyperlink w:anchor="_Toc235114141" w:history="1">
            <w:r w:rsidR="00CC3F56" w:rsidRPr="00424A31">
              <w:rPr>
                <w:rStyle w:val="Hyperlink"/>
                <w:rFonts w:ascii="Arial" w:hAnsi="Arial" w:cs="Arial"/>
                <w:b/>
                <w:bCs/>
                <w:noProof/>
                <w:lang w:eastAsia="en-GB"/>
              </w:rPr>
              <w:t>4. Application of the Business Environment Model: GSK</w:t>
            </w:r>
            <w:r w:rsidR="00CC3F56">
              <w:rPr>
                <w:noProof/>
                <w:webHidden/>
              </w:rPr>
              <w:tab/>
            </w:r>
            <w:r w:rsidR="00CC3F56">
              <w:rPr>
                <w:noProof/>
                <w:webHidden/>
              </w:rPr>
              <w:fldChar w:fldCharType="begin"/>
            </w:r>
            <w:r w:rsidR="00CC3F56">
              <w:rPr>
                <w:noProof/>
                <w:webHidden/>
              </w:rPr>
              <w:instrText xml:space="preserve"> PAGEREF _Toc235114141 \h </w:instrText>
            </w:r>
            <w:r w:rsidR="00CC3F56">
              <w:rPr>
                <w:noProof/>
                <w:webHidden/>
              </w:rPr>
            </w:r>
            <w:r w:rsidR="00CC3F56">
              <w:rPr>
                <w:noProof/>
                <w:webHidden/>
              </w:rPr>
              <w:fldChar w:fldCharType="separate"/>
            </w:r>
            <w:r w:rsidR="00CC3F56">
              <w:rPr>
                <w:noProof/>
                <w:webHidden/>
              </w:rPr>
              <w:t>7</w:t>
            </w:r>
            <w:r w:rsidR="00CC3F56">
              <w:rPr>
                <w:noProof/>
                <w:webHidden/>
              </w:rPr>
              <w:fldChar w:fldCharType="end"/>
            </w:r>
          </w:hyperlink>
        </w:p>
        <w:p w14:paraId="5EBE160E" w14:textId="168D71DB" w:rsidR="00CC3F56" w:rsidRDefault="00000000">
          <w:pPr>
            <w:pStyle w:val="TOC1"/>
            <w:tabs>
              <w:tab w:val="right" w:leader="dot" w:pos="9016"/>
            </w:tabs>
            <w:rPr>
              <w:rFonts w:eastAsiaTheme="minorEastAsia"/>
              <w:noProof/>
              <w:lang w:eastAsia="en-GB"/>
            </w:rPr>
          </w:pPr>
          <w:hyperlink w:anchor="_Toc235114142" w:history="1">
            <w:r w:rsidR="00CC3F56" w:rsidRPr="00424A31">
              <w:rPr>
                <w:rStyle w:val="Hyperlink"/>
                <w:rFonts w:ascii="Arial" w:eastAsia="Times New Roman" w:hAnsi="Arial" w:cs="Arial"/>
                <w:b/>
                <w:bCs/>
                <w:noProof/>
                <w:lang w:eastAsia="en-GB"/>
              </w:rPr>
              <w:t>5. Summary</w:t>
            </w:r>
            <w:r w:rsidR="00CC3F56">
              <w:rPr>
                <w:noProof/>
                <w:webHidden/>
              </w:rPr>
              <w:tab/>
            </w:r>
            <w:r w:rsidR="00CC3F56">
              <w:rPr>
                <w:noProof/>
                <w:webHidden/>
              </w:rPr>
              <w:fldChar w:fldCharType="begin"/>
            </w:r>
            <w:r w:rsidR="00CC3F56">
              <w:rPr>
                <w:noProof/>
                <w:webHidden/>
              </w:rPr>
              <w:instrText xml:space="preserve"> PAGEREF _Toc235114142 \h </w:instrText>
            </w:r>
            <w:r w:rsidR="00CC3F56">
              <w:rPr>
                <w:noProof/>
                <w:webHidden/>
              </w:rPr>
            </w:r>
            <w:r w:rsidR="00CC3F56">
              <w:rPr>
                <w:noProof/>
                <w:webHidden/>
              </w:rPr>
              <w:fldChar w:fldCharType="separate"/>
            </w:r>
            <w:r w:rsidR="00CC3F56">
              <w:rPr>
                <w:noProof/>
                <w:webHidden/>
              </w:rPr>
              <w:t>10</w:t>
            </w:r>
            <w:r w:rsidR="00CC3F56">
              <w:rPr>
                <w:noProof/>
                <w:webHidden/>
              </w:rPr>
              <w:fldChar w:fldCharType="end"/>
            </w:r>
          </w:hyperlink>
        </w:p>
        <w:p w14:paraId="3D610B60" w14:textId="44D72EC0" w:rsidR="00CC3F56" w:rsidRDefault="00000000">
          <w:pPr>
            <w:pStyle w:val="TOC1"/>
            <w:tabs>
              <w:tab w:val="right" w:leader="dot" w:pos="9016"/>
            </w:tabs>
            <w:rPr>
              <w:rFonts w:eastAsiaTheme="minorEastAsia"/>
              <w:noProof/>
              <w:lang w:eastAsia="en-GB"/>
            </w:rPr>
          </w:pPr>
          <w:hyperlink w:anchor="_Toc235114143" w:history="1">
            <w:r w:rsidR="00CC3F56" w:rsidRPr="00424A31">
              <w:rPr>
                <w:rStyle w:val="Hyperlink"/>
                <w:rFonts w:ascii="Arial" w:hAnsi="Arial" w:cs="Arial"/>
                <w:b/>
                <w:bCs/>
                <w:noProof/>
                <w:lang w:eastAsia="en-GB"/>
              </w:rPr>
              <w:t>References</w:t>
            </w:r>
            <w:r w:rsidR="00CC3F56">
              <w:rPr>
                <w:noProof/>
                <w:webHidden/>
              </w:rPr>
              <w:tab/>
            </w:r>
            <w:r w:rsidR="00CC3F56">
              <w:rPr>
                <w:noProof/>
                <w:webHidden/>
              </w:rPr>
              <w:fldChar w:fldCharType="begin"/>
            </w:r>
            <w:r w:rsidR="00CC3F56">
              <w:rPr>
                <w:noProof/>
                <w:webHidden/>
              </w:rPr>
              <w:instrText xml:space="preserve"> PAGEREF _Toc235114143 \h </w:instrText>
            </w:r>
            <w:r w:rsidR="00CC3F56">
              <w:rPr>
                <w:noProof/>
                <w:webHidden/>
              </w:rPr>
            </w:r>
            <w:r w:rsidR="00CC3F56">
              <w:rPr>
                <w:noProof/>
                <w:webHidden/>
              </w:rPr>
              <w:fldChar w:fldCharType="separate"/>
            </w:r>
            <w:r w:rsidR="00CC3F56">
              <w:rPr>
                <w:noProof/>
                <w:webHidden/>
              </w:rPr>
              <w:t>11</w:t>
            </w:r>
            <w:r w:rsidR="00CC3F56">
              <w:rPr>
                <w:noProof/>
                <w:webHidden/>
              </w:rPr>
              <w:fldChar w:fldCharType="end"/>
            </w:r>
          </w:hyperlink>
        </w:p>
        <w:p w14:paraId="6134AA1C" w14:textId="4EFE4395" w:rsidR="00723AA5" w:rsidRDefault="00723AA5">
          <w:r>
            <w:rPr>
              <w:b/>
              <w:bCs/>
              <w:noProof/>
            </w:rPr>
            <w:fldChar w:fldCharType="end"/>
          </w:r>
        </w:p>
      </w:sdtContent>
    </w:sdt>
    <w:p w14:paraId="740DDA5A" w14:textId="559A3D01" w:rsidR="00EE3012" w:rsidRDefault="00EE3012">
      <w:pPr>
        <w:rPr>
          <w:rFonts w:ascii="Arial" w:hAnsi="Arial" w:cs="Arial"/>
          <w:b/>
          <w:bCs/>
          <w:lang w:eastAsia="en-GB"/>
        </w:rPr>
      </w:pPr>
      <w:r>
        <w:rPr>
          <w:rFonts w:ascii="Arial" w:hAnsi="Arial" w:cs="Arial"/>
          <w:b/>
          <w:bCs/>
          <w:lang w:eastAsia="en-GB"/>
        </w:rPr>
        <w:br w:type="page"/>
      </w:r>
    </w:p>
    <w:p w14:paraId="036B2C7C" w14:textId="4CFB04D9" w:rsidR="00EE3012" w:rsidRDefault="00EE3012">
      <w:pPr>
        <w:rPr>
          <w:rFonts w:ascii="Arial" w:hAnsi="Arial" w:cs="Arial"/>
          <w:b/>
          <w:bCs/>
          <w:lang w:eastAsia="en-GB"/>
        </w:rPr>
      </w:pPr>
    </w:p>
    <w:p w14:paraId="1F7195D8" w14:textId="06DA1BB9" w:rsidR="00E91D7E" w:rsidRPr="0006155E" w:rsidRDefault="0008564F" w:rsidP="0006155E">
      <w:pPr>
        <w:pStyle w:val="Heading1"/>
        <w:rPr>
          <w:rFonts w:ascii="Arial" w:hAnsi="Arial" w:cs="Arial"/>
          <w:b/>
          <w:bCs/>
          <w:color w:val="000000" w:themeColor="text1"/>
          <w:sz w:val="24"/>
          <w:szCs w:val="24"/>
          <w:lang w:eastAsia="en-GB"/>
        </w:rPr>
      </w:pPr>
      <w:bookmarkStart w:id="0" w:name="_Toc235114138"/>
      <w:r w:rsidRPr="0006155E">
        <w:rPr>
          <w:rFonts w:ascii="Arial" w:hAnsi="Arial" w:cs="Arial"/>
          <w:b/>
          <w:bCs/>
          <w:color w:val="000000" w:themeColor="text1"/>
          <w:sz w:val="24"/>
          <w:szCs w:val="24"/>
          <w:lang w:eastAsia="en-GB"/>
        </w:rPr>
        <w:t>1</w:t>
      </w:r>
      <w:r w:rsidR="005C29E9" w:rsidRPr="0006155E">
        <w:rPr>
          <w:rFonts w:ascii="Arial" w:hAnsi="Arial" w:cs="Arial"/>
          <w:b/>
          <w:bCs/>
          <w:color w:val="000000" w:themeColor="text1"/>
          <w:sz w:val="24"/>
          <w:szCs w:val="24"/>
          <w:lang w:eastAsia="en-GB"/>
        </w:rPr>
        <w:t>.</w:t>
      </w:r>
      <w:r w:rsidRPr="0006155E">
        <w:rPr>
          <w:rFonts w:ascii="Arial" w:hAnsi="Arial" w:cs="Arial"/>
          <w:b/>
          <w:bCs/>
          <w:color w:val="000000" w:themeColor="text1"/>
          <w:sz w:val="24"/>
          <w:szCs w:val="24"/>
          <w:lang w:eastAsia="en-GB"/>
        </w:rPr>
        <w:t xml:space="preserve"> </w:t>
      </w:r>
      <w:r w:rsidR="00E91D7E" w:rsidRPr="0006155E">
        <w:rPr>
          <w:rFonts w:ascii="Arial" w:hAnsi="Arial" w:cs="Arial"/>
          <w:b/>
          <w:bCs/>
          <w:color w:val="000000" w:themeColor="text1"/>
          <w:sz w:val="24"/>
          <w:szCs w:val="24"/>
          <w:lang w:eastAsia="en-GB"/>
        </w:rPr>
        <w:t>Introduction</w:t>
      </w:r>
      <w:bookmarkEnd w:id="0"/>
    </w:p>
    <w:p w14:paraId="638E50B0" w14:textId="6E1E1504" w:rsidR="00E91D7E" w:rsidRPr="00DD6C23" w:rsidRDefault="00E91D7E" w:rsidP="00133BDD">
      <w:pPr>
        <w:spacing w:before="100" w:beforeAutospacing="1" w:after="100" w:afterAutospacing="1" w:line="360" w:lineRule="auto"/>
        <w:ind w:left="284"/>
        <w:jc w:val="both"/>
        <w:rPr>
          <w:rFonts w:ascii="Arial" w:eastAsia="Times New Roman" w:hAnsi="Arial" w:cs="Arial"/>
          <w:color w:val="00B0F0"/>
          <w:kern w:val="0"/>
          <w:lang w:eastAsia="en-GB"/>
          <w14:ligatures w14:val="none"/>
        </w:rPr>
      </w:pPr>
      <w:r w:rsidRPr="00DD6C23">
        <w:rPr>
          <w:rFonts w:ascii="Arial" w:eastAsia="Times New Roman" w:hAnsi="Arial" w:cs="Arial"/>
          <w:color w:val="00B0F0"/>
          <w:kern w:val="0"/>
          <w:lang w:eastAsia="en-GB"/>
          <w14:ligatures w14:val="none"/>
        </w:rPr>
        <w:t xml:space="preserve">Human Resource Management (HRM) has </w:t>
      </w:r>
      <w:r w:rsidR="002633A7" w:rsidRPr="00DD6C23">
        <w:rPr>
          <w:rFonts w:ascii="Arial" w:eastAsia="Times New Roman" w:hAnsi="Arial" w:cs="Arial"/>
          <w:color w:val="00B0F0"/>
          <w:kern w:val="0"/>
          <w:lang w:eastAsia="en-GB"/>
          <w14:ligatures w14:val="none"/>
        </w:rPr>
        <w:t>changed</w:t>
      </w:r>
      <w:r w:rsidRPr="00DD6C23">
        <w:rPr>
          <w:rFonts w:ascii="Arial" w:eastAsia="Times New Roman" w:hAnsi="Arial" w:cs="Arial"/>
          <w:color w:val="00B0F0"/>
          <w:kern w:val="0"/>
          <w:lang w:eastAsia="en-GB"/>
          <w14:ligatures w14:val="none"/>
        </w:rPr>
        <w:t xml:space="preserve"> from an administrative function to a strategic </w:t>
      </w:r>
      <w:r w:rsidR="00E7034E">
        <w:rPr>
          <w:rFonts w:ascii="Arial" w:eastAsia="Times New Roman" w:hAnsi="Arial" w:cs="Arial"/>
          <w:color w:val="00B0F0"/>
          <w:kern w:val="0"/>
          <w:lang w:eastAsia="en-GB"/>
          <w14:ligatures w14:val="none"/>
        </w:rPr>
        <w:t>role</w:t>
      </w:r>
      <w:r w:rsidRPr="00DD6C23">
        <w:rPr>
          <w:rFonts w:ascii="Arial" w:eastAsia="Times New Roman" w:hAnsi="Arial" w:cs="Arial"/>
          <w:color w:val="00B0F0"/>
          <w:kern w:val="0"/>
          <w:lang w:eastAsia="en-GB"/>
          <w14:ligatures w14:val="none"/>
        </w:rPr>
        <w:t xml:space="preserve"> that contributes directly to organisational performance and long-term sustainability. In an increasingly dynamic business environment characterised by technological advancement, globalisation, and changing workforce expectations, organisations rely on effective HRM practices to develop and maintain a competitive advantage (</w:t>
      </w:r>
      <w:r w:rsidRPr="00DD6C23">
        <w:rPr>
          <w:rFonts w:ascii="Arial" w:eastAsia="Times New Roman" w:hAnsi="Arial" w:cs="Arial"/>
          <w:color w:val="FF0000"/>
          <w:kern w:val="0"/>
          <w:lang w:eastAsia="en-GB"/>
          <w14:ligatures w14:val="none"/>
        </w:rPr>
        <w:t>Storey and Wright, 20</w:t>
      </w:r>
      <w:r w:rsidR="00A421BF" w:rsidRPr="00A421BF">
        <w:rPr>
          <w:rFonts w:ascii="Arial" w:eastAsia="Times New Roman" w:hAnsi="Arial" w:cs="Arial"/>
          <w:color w:val="FF0000"/>
          <w:kern w:val="0"/>
          <w:lang w:eastAsia="en-GB"/>
          <w14:ligatures w14:val="none"/>
        </w:rPr>
        <w:t>19</w:t>
      </w:r>
      <w:r w:rsidRPr="00DD6C23">
        <w:rPr>
          <w:rFonts w:ascii="Arial" w:eastAsia="Times New Roman" w:hAnsi="Arial" w:cs="Arial"/>
          <w:color w:val="00B0F0"/>
          <w:kern w:val="0"/>
          <w:lang w:eastAsia="en-GB"/>
          <w14:ligatures w14:val="none"/>
        </w:rPr>
        <w:t xml:space="preserve">). Strategic HRM aligns people management practices with organisational objectives, ensuring that human capital contributes to both operational efficiency and sustainable organisational success </w:t>
      </w:r>
      <w:r w:rsidRPr="00DD6C23">
        <w:rPr>
          <w:rFonts w:ascii="Arial" w:eastAsia="Times New Roman" w:hAnsi="Arial" w:cs="Arial"/>
          <w:color w:val="FF0000"/>
          <w:kern w:val="0"/>
          <w:lang w:eastAsia="en-GB"/>
          <w14:ligatures w14:val="none"/>
        </w:rPr>
        <w:t>(Malik, 20</w:t>
      </w:r>
      <w:r w:rsidR="00830A44" w:rsidRPr="00A421BF">
        <w:rPr>
          <w:rFonts w:ascii="Arial" w:eastAsia="Times New Roman" w:hAnsi="Arial" w:cs="Arial"/>
          <w:color w:val="FF0000"/>
          <w:kern w:val="0"/>
          <w:lang w:eastAsia="en-GB"/>
          <w14:ligatures w14:val="none"/>
        </w:rPr>
        <w:t>18</w:t>
      </w:r>
      <w:r w:rsidRPr="00DD6C23">
        <w:rPr>
          <w:rFonts w:ascii="Arial" w:eastAsia="Times New Roman" w:hAnsi="Arial" w:cs="Arial"/>
          <w:color w:val="00B0F0"/>
          <w:kern w:val="0"/>
          <w:lang w:eastAsia="en-GB"/>
          <w14:ligatures w14:val="none"/>
        </w:rPr>
        <w:t>).</w:t>
      </w:r>
    </w:p>
    <w:p w14:paraId="65BA6C3E" w14:textId="77777777" w:rsidR="00E91D7E" w:rsidRPr="00DD6C23" w:rsidRDefault="00E91D7E" w:rsidP="00133BDD">
      <w:pPr>
        <w:spacing w:before="100" w:beforeAutospacing="1" w:after="100" w:afterAutospacing="1" w:line="360" w:lineRule="auto"/>
        <w:ind w:left="284"/>
        <w:jc w:val="both"/>
        <w:rPr>
          <w:rFonts w:ascii="Arial" w:eastAsia="Times New Roman" w:hAnsi="Arial" w:cs="Arial"/>
          <w:color w:val="FF0000"/>
          <w:kern w:val="0"/>
          <w:lang w:eastAsia="en-GB"/>
          <w14:ligatures w14:val="none"/>
        </w:rPr>
      </w:pPr>
      <w:r w:rsidRPr="00DD6C23">
        <w:rPr>
          <w:rFonts w:ascii="Arial" w:eastAsia="Times New Roman" w:hAnsi="Arial" w:cs="Arial"/>
          <w:kern w:val="0"/>
          <w:lang w:eastAsia="en-GB"/>
          <w14:ligatures w14:val="none"/>
        </w:rPr>
        <w:t>Key HR functions include recruitment and selection, training and development, performance management, and employee relations. Recruitment and selection enable organisations to attract and retain individuals with the knowledge, skills, and competencies required to achieve strategic goals. Training and development enhance employee capabilities, foster continuous learning, and support organisational adaptability in response to environmental change. Performance management facilitates the alignment of individual and organisational objectives through continuous feedback, development, and performance evaluation, while employee relations promote employee engagement, effective communication, legal compliance, and the management of workplace conflict (</w:t>
      </w:r>
      <w:r w:rsidRPr="00DD6C23">
        <w:rPr>
          <w:rFonts w:ascii="Arial" w:eastAsia="Times New Roman" w:hAnsi="Arial" w:cs="Arial"/>
          <w:color w:val="FF0000"/>
          <w:kern w:val="0"/>
          <w:lang w:eastAsia="en-GB"/>
          <w14:ligatures w14:val="none"/>
        </w:rPr>
        <w:t>Wilkinson, 2022</w:t>
      </w:r>
      <w:r w:rsidRPr="00DD6C23">
        <w:rPr>
          <w:rFonts w:ascii="Arial" w:eastAsia="Times New Roman" w:hAnsi="Arial" w:cs="Arial"/>
          <w:kern w:val="0"/>
          <w:lang w:eastAsia="en-GB"/>
          <w14:ligatures w14:val="none"/>
        </w:rPr>
        <w:t>). Collectively, these functions contribute to improved employee performance, organisational resilience, innovation, and competitive advantage (</w:t>
      </w:r>
      <w:r w:rsidRPr="00DD6C23">
        <w:rPr>
          <w:rFonts w:ascii="Arial" w:eastAsia="Times New Roman" w:hAnsi="Arial" w:cs="Arial"/>
          <w:color w:val="FF0000"/>
          <w:kern w:val="0"/>
          <w:lang w:eastAsia="en-GB"/>
          <w14:ligatures w14:val="none"/>
        </w:rPr>
        <w:t xml:space="preserve">Van </w:t>
      </w:r>
      <w:proofErr w:type="spellStart"/>
      <w:r w:rsidRPr="00DD6C23">
        <w:rPr>
          <w:rFonts w:ascii="Arial" w:eastAsia="Times New Roman" w:hAnsi="Arial" w:cs="Arial"/>
          <w:color w:val="FF0000"/>
          <w:kern w:val="0"/>
          <w:lang w:eastAsia="en-GB"/>
          <w14:ligatures w14:val="none"/>
        </w:rPr>
        <w:t>Beurden</w:t>
      </w:r>
      <w:proofErr w:type="spellEnd"/>
      <w:r w:rsidRPr="00DD6C23">
        <w:rPr>
          <w:rFonts w:ascii="Arial" w:eastAsia="Times New Roman" w:hAnsi="Arial" w:cs="Arial"/>
          <w:color w:val="FF0000"/>
          <w:kern w:val="0"/>
          <w:lang w:eastAsia="en-GB"/>
          <w14:ligatures w14:val="none"/>
        </w:rPr>
        <w:t xml:space="preserve">, Van </w:t>
      </w:r>
      <w:proofErr w:type="spellStart"/>
      <w:r w:rsidRPr="00DD6C23">
        <w:rPr>
          <w:rFonts w:ascii="Arial" w:eastAsia="Times New Roman" w:hAnsi="Arial" w:cs="Arial"/>
          <w:color w:val="FF0000"/>
          <w:kern w:val="0"/>
          <w:lang w:eastAsia="en-GB"/>
          <w14:ligatures w14:val="none"/>
        </w:rPr>
        <w:t>Veldhoven</w:t>
      </w:r>
      <w:proofErr w:type="spellEnd"/>
      <w:r w:rsidRPr="00DD6C23">
        <w:rPr>
          <w:rFonts w:ascii="Arial" w:eastAsia="Times New Roman" w:hAnsi="Arial" w:cs="Arial"/>
          <w:color w:val="FF0000"/>
          <w:kern w:val="0"/>
          <w:lang w:eastAsia="en-GB"/>
          <w14:ligatures w14:val="none"/>
        </w:rPr>
        <w:t xml:space="preserve"> and Van De </w:t>
      </w:r>
      <w:proofErr w:type="spellStart"/>
      <w:r w:rsidRPr="00DD6C23">
        <w:rPr>
          <w:rFonts w:ascii="Arial" w:eastAsia="Times New Roman" w:hAnsi="Arial" w:cs="Arial"/>
          <w:color w:val="FF0000"/>
          <w:kern w:val="0"/>
          <w:lang w:eastAsia="en-GB"/>
          <w14:ligatures w14:val="none"/>
        </w:rPr>
        <w:t>Voorde</w:t>
      </w:r>
      <w:proofErr w:type="spellEnd"/>
      <w:r w:rsidRPr="00DD6C23">
        <w:rPr>
          <w:rFonts w:ascii="Arial" w:eastAsia="Times New Roman" w:hAnsi="Arial" w:cs="Arial"/>
          <w:color w:val="FF0000"/>
          <w:kern w:val="0"/>
          <w:lang w:eastAsia="en-GB"/>
          <w14:ligatures w14:val="none"/>
        </w:rPr>
        <w:t>, 2022).</w:t>
      </w:r>
    </w:p>
    <w:p w14:paraId="1E5F1295" w14:textId="5ABB5276" w:rsidR="004D621E" w:rsidRPr="00CF4EFB" w:rsidRDefault="00E91D7E"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DD6C23">
        <w:rPr>
          <w:rFonts w:ascii="Arial" w:eastAsia="Times New Roman" w:hAnsi="Arial" w:cs="Arial"/>
          <w:kern w:val="0"/>
          <w:lang w:eastAsia="en-GB"/>
          <w14:ligatures w14:val="none"/>
        </w:rPr>
        <w:t>This report critically examines the influence of the internal and external organisational environment on HRM practices before applying these concepts to a selected organisation. It subsequently evaluates the application of an appropriate HR model to assess organisational practice and concludes by summarising the key findings and recommendations regarding the strategic contribution of HRM to organisational effectiveness.</w:t>
      </w:r>
    </w:p>
    <w:p w14:paraId="6B3F4911" w14:textId="78663A2E" w:rsidR="004D621E" w:rsidRPr="0006155E" w:rsidRDefault="0008564F" w:rsidP="0006155E">
      <w:pPr>
        <w:pStyle w:val="Heading1"/>
        <w:rPr>
          <w:rFonts w:ascii="Arial" w:hAnsi="Arial" w:cs="Arial"/>
          <w:b/>
          <w:bCs/>
          <w:sz w:val="24"/>
          <w:szCs w:val="24"/>
          <w:lang w:eastAsia="en-GB"/>
        </w:rPr>
      </w:pPr>
      <w:bookmarkStart w:id="1" w:name="_Toc235114139"/>
      <w:r w:rsidRPr="0006155E">
        <w:rPr>
          <w:rFonts w:ascii="Arial" w:hAnsi="Arial" w:cs="Arial"/>
          <w:b/>
          <w:bCs/>
          <w:sz w:val="24"/>
          <w:szCs w:val="24"/>
          <w:lang w:eastAsia="en-GB"/>
        </w:rPr>
        <w:lastRenderedPageBreak/>
        <w:t>2</w:t>
      </w:r>
      <w:r w:rsidR="005C29E9" w:rsidRPr="0006155E">
        <w:rPr>
          <w:rFonts w:ascii="Arial" w:hAnsi="Arial" w:cs="Arial"/>
          <w:b/>
          <w:bCs/>
          <w:sz w:val="24"/>
          <w:szCs w:val="24"/>
          <w:lang w:eastAsia="en-GB"/>
        </w:rPr>
        <w:t>.</w:t>
      </w:r>
      <w:r w:rsidRPr="0006155E">
        <w:rPr>
          <w:rFonts w:ascii="Arial" w:hAnsi="Arial" w:cs="Arial"/>
          <w:b/>
          <w:bCs/>
          <w:sz w:val="24"/>
          <w:szCs w:val="24"/>
          <w:lang w:eastAsia="en-GB"/>
        </w:rPr>
        <w:t xml:space="preserve"> </w:t>
      </w:r>
      <w:r w:rsidR="004D621E" w:rsidRPr="0006155E">
        <w:rPr>
          <w:rFonts w:ascii="Arial" w:hAnsi="Arial" w:cs="Arial"/>
          <w:b/>
          <w:bCs/>
          <w:sz w:val="24"/>
          <w:szCs w:val="24"/>
          <w:lang w:eastAsia="en-GB"/>
        </w:rPr>
        <w:t>Internal and External Environment for Business Environment Model</w:t>
      </w:r>
      <w:bookmarkEnd w:id="1"/>
    </w:p>
    <w:p w14:paraId="75E2F5F4" w14:textId="08951F99" w:rsidR="004D621E" w:rsidRPr="00605F3C" w:rsidRDefault="004D621E" w:rsidP="00605F3C">
      <w:pPr>
        <w:spacing w:line="360" w:lineRule="auto"/>
        <w:ind w:left="284"/>
        <w:jc w:val="both"/>
        <w:rPr>
          <w:rFonts w:ascii="Arial" w:hAnsi="Arial" w:cs="Arial"/>
          <w:color w:val="000000" w:themeColor="text1"/>
        </w:rPr>
      </w:pPr>
      <w:r w:rsidRPr="008E4D55">
        <w:rPr>
          <w:rFonts w:ascii="Arial" w:eastAsia="Times New Roman" w:hAnsi="Arial" w:cs="Arial"/>
          <w:color w:val="00B050"/>
          <w:kern w:val="0"/>
          <w:lang w:eastAsia="en-GB"/>
          <w14:ligatures w14:val="none"/>
        </w:rPr>
        <w:t>Understanding the internal and external business environment is essential for organisations seeking to develop effective Human Resource Management (HRM</w:t>
      </w:r>
      <w:r w:rsidRPr="008E4D55">
        <w:rPr>
          <w:rFonts w:ascii="Arial" w:eastAsia="Times New Roman" w:hAnsi="Arial" w:cs="Arial"/>
          <w:kern w:val="0"/>
          <w:lang w:eastAsia="en-GB"/>
          <w14:ligatures w14:val="none"/>
        </w:rPr>
        <w:t xml:space="preserve">) strategies. Business environment models enable managers to evaluate the factors that influence organisational performance and support strategic decision-making. Among the available frameworks, </w:t>
      </w:r>
      <w:r w:rsidR="002F7F1B">
        <w:rPr>
          <w:rFonts w:ascii="Arial" w:eastAsia="Times New Roman" w:hAnsi="Arial" w:cs="Arial"/>
          <w:kern w:val="0"/>
          <w:lang w:eastAsia="en-GB"/>
          <w14:ligatures w14:val="none"/>
        </w:rPr>
        <w:t xml:space="preserve">is </w:t>
      </w:r>
      <w:r w:rsidRPr="008E4D55">
        <w:rPr>
          <w:rFonts w:ascii="Arial" w:eastAsia="Times New Roman" w:hAnsi="Arial" w:cs="Arial"/>
          <w:kern w:val="0"/>
          <w:lang w:eastAsia="en-GB"/>
          <w14:ligatures w14:val="none"/>
        </w:rPr>
        <w:t xml:space="preserve">the </w:t>
      </w:r>
      <w:r w:rsidRPr="008E4D55">
        <w:rPr>
          <w:rFonts w:ascii="Arial" w:eastAsia="Times New Roman" w:hAnsi="Arial" w:cs="Arial"/>
          <w:b/>
          <w:bCs/>
          <w:kern w:val="0"/>
          <w:lang w:eastAsia="en-GB"/>
          <w14:ligatures w14:val="none"/>
        </w:rPr>
        <w:t>SWOT analysis</w:t>
      </w:r>
      <w:r w:rsidR="002F7F1B">
        <w:rPr>
          <w:rFonts w:ascii="Arial" w:eastAsia="Times New Roman" w:hAnsi="Arial" w:cs="Arial"/>
          <w:b/>
          <w:bCs/>
          <w:kern w:val="0"/>
          <w:lang w:eastAsia="en-GB"/>
          <w14:ligatures w14:val="none"/>
        </w:rPr>
        <w:t>.</w:t>
      </w:r>
      <w:r w:rsidRPr="008E4D55">
        <w:rPr>
          <w:rFonts w:ascii="Arial" w:eastAsia="Times New Roman" w:hAnsi="Arial" w:cs="Arial"/>
          <w:kern w:val="0"/>
          <w:lang w:eastAsia="en-GB"/>
          <w14:ligatures w14:val="none"/>
        </w:rPr>
        <w:t xml:space="preserve"> </w:t>
      </w:r>
      <w:r w:rsidR="001C0FD7">
        <w:rPr>
          <w:rFonts w:ascii="Arial" w:eastAsia="Times New Roman" w:hAnsi="Arial" w:cs="Arial"/>
          <w:kern w:val="0"/>
          <w:lang w:eastAsia="en-GB"/>
          <w14:ligatures w14:val="none"/>
        </w:rPr>
        <w:t xml:space="preserve"> </w:t>
      </w:r>
      <w:r w:rsidR="001C0FD7" w:rsidRPr="009A3346">
        <w:rPr>
          <w:rFonts w:ascii="Arial" w:hAnsi="Arial" w:cs="Arial"/>
          <w:color w:val="000000" w:themeColor="text1"/>
        </w:rPr>
        <w:t>A SWOT analysis is a strategic planning method that enables companies or organisations recognise the internal factors, that is the strengths and weakness, and the external factors, which are the opportunities and threats impacting them. By analysing these four factors, they gain valuable insights into the company’s current position and future potential (</w:t>
      </w:r>
      <w:r w:rsidR="001C0FD7" w:rsidRPr="00605F3C">
        <w:rPr>
          <w:rFonts w:ascii="Arial" w:hAnsi="Arial" w:cs="Arial"/>
          <w:color w:val="FF0000"/>
        </w:rPr>
        <w:t>Peterdy, 2024</w:t>
      </w:r>
      <w:r w:rsidR="001C0FD7" w:rsidRPr="009A3346">
        <w:rPr>
          <w:rFonts w:ascii="Arial" w:hAnsi="Arial" w:cs="Arial"/>
          <w:color w:val="000000" w:themeColor="text1"/>
        </w:rPr>
        <w:t>).</w:t>
      </w:r>
      <w:r w:rsidR="00605F3C">
        <w:rPr>
          <w:rFonts w:ascii="Arial" w:hAnsi="Arial" w:cs="Arial"/>
          <w:color w:val="000000" w:themeColor="text1"/>
        </w:rPr>
        <w:t xml:space="preserve"> </w:t>
      </w:r>
      <w:r w:rsidRPr="008E4D55">
        <w:rPr>
          <w:rFonts w:ascii="Arial" w:eastAsia="Times New Roman" w:hAnsi="Arial" w:cs="Arial"/>
          <w:kern w:val="0"/>
          <w:lang w:eastAsia="en-GB"/>
          <w14:ligatures w14:val="none"/>
        </w:rPr>
        <w:t>This makes it especially valuable for aligning HR strategies with broader organisational objectives.</w:t>
      </w:r>
    </w:p>
    <w:p w14:paraId="1F027752" w14:textId="77777777" w:rsidR="004D621E" w:rsidRPr="008E4D55" w:rsidRDefault="004D621E"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E4D55">
        <w:rPr>
          <w:rFonts w:ascii="Arial" w:eastAsia="Times New Roman" w:hAnsi="Arial" w:cs="Arial"/>
          <w:kern w:val="0"/>
          <w:lang w:eastAsia="en-GB"/>
          <w14:ligatures w14:val="none"/>
        </w:rPr>
        <w:t>Internally, an organisation's strengths may include a skilled workforce, effective leadership, strong organisational culture, financial resources, and advanced technology. Conversely, weaknesses may involve skills shortages, high employee turnover, inadequate training programmes, or ineffective performance management systems. These internal factors directly influence HR functions, particularly recruitment, employee development, succession planning, and workforce retention. For example, organisations experiencing skills shortages may implement targeted recruitment campaigns or invest in learning and development initiatives to enhance workforce capability (</w:t>
      </w:r>
      <w:r w:rsidRPr="008E4D55">
        <w:rPr>
          <w:rFonts w:ascii="Arial" w:eastAsia="Times New Roman" w:hAnsi="Arial" w:cs="Arial"/>
          <w:color w:val="FF0000"/>
          <w:kern w:val="0"/>
          <w:lang w:eastAsia="en-GB"/>
          <w14:ligatures w14:val="none"/>
        </w:rPr>
        <w:t xml:space="preserve">Snell </w:t>
      </w:r>
      <w:r w:rsidRPr="008E4D55">
        <w:rPr>
          <w:rFonts w:ascii="Arial" w:eastAsia="Times New Roman" w:hAnsi="Arial" w:cs="Arial"/>
          <w:i/>
          <w:iCs/>
          <w:color w:val="FF0000"/>
          <w:kern w:val="0"/>
          <w:lang w:eastAsia="en-GB"/>
          <w14:ligatures w14:val="none"/>
        </w:rPr>
        <w:t>et al.</w:t>
      </w:r>
      <w:r w:rsidRPr="008E4D55">
        <w:rPr>
          <w:rFonts w:ascii="Arial" w:eastAsia="Times New Roman" w:hAnsi="Arial" w:cs="Arial"/>
          <w:color w:val="FF0000"/>
          <w:kern w:val="0"/>
          <w:lang w:eastAsia="en-GB"/>
          <w14:ligatures w14:val="none"/>
        </w:rPr>
        <w:t>, 2023</w:t>
      </w:r>
      <w:r w:rsidRPr="008E4D55">
        <w:rPr>
          <w:rFonts w:ascii="Arial" w:eastAsia="Times New Roman" w:hAnsi="Arial" w:cs="Arial"/>
          <w:kern w:val="0"/>
          <w:lang w:eastAsia="en-GB"/>
          <w14:ligatures w14:val="none"/>
        </w:rPr>
        <w:t>).</w:t>
      </w:r>
    </w:p>
    <w:p w14:paraId="3CA84AFF" w14:textId="77777777" w:rsidR="004D621E" w:rsidRPr="008E4D55" w:rsidRDefault="004D621E"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E4D55">
        <w:rPr>
          <w:rFonts w:ascii="Arial" w:eastAsia="Times New Roman" w:hAnsi="Arial" w:cs="Arial"/>
          <w:kern w:val="0"/>
          <w:lang w:eastAsia="en-GB"/>
          <w14:ligatures w14:val="none"/>
        </w:rPr>
        <w:t>Externally, organisations operate within dynamic environments characterised by economic conditions, labour market trends, technological innovation, changing legislation, demographic shifts, and competitive pressures. These opportunities and threats significantly affect HR planning and policy development. For instance, technological advancements require HR departments to develop digital competencies through continuous training, while labour market shortages may encourage organisations to strengthen employer branding and employee value propositions to attract and retain talented employees (</w:t>
      </w:r>
      <w:r w:rsidRPr="008E4D55">
        <w:rPr>
          <w:rFonts w:ascii="Arial" w:eastAsia="Times New Roman" w:hAnsi="Arial" w:cs="Arial"/>
          <w:color w:val="FF0000"/>
          <w:kern w:val="0"/>
          <w:lang w:eastAsia="en-GB"/>
          <w14:ligatures w14:val="none"/>
        </w:rPr>
        <w:t xml:space="preserve">Cooke, </w:t>
      </w:r>
      <w:proofErr w:type="spellStart"/>
      <w:r w:rsidRPr="008E4D55">
        <w:rPr>
          <w:rFonts w:ascii="Arial" w:eastAsia="Times New Roman" w:hAnsi="Arial" w:cs="Arial"/>
          <w:color w:val="FF0000"/>
          <w:kern w:val="0"/>
          <w:lang w:eastAsia="en-GB"/>
          <w14:ligatures w14:val="none"/>
        </w:rPr>
        <w:t>Dickmann</w:t>
      </w:r>
      <w:proofErr w:type="spellEnd"/>
      <w:r w:rsidRPr="008E4D55">
        <w:rPr>
          <w:rFonts w:ascii="Arial" w:eastAsia="Times New Roman" w:hAnsi="Arial" w:cs="Arial"/>
          <w:color w:val="FF0000"/>
          <w:kern w:val="0"/>
          <w:lang w:eastAsia="en-GB"/>
          <w14:ligatures w14:val="none"/>
        </w:rPr>
        <w:t xml:space="preserve"> and Parry, 2023</w:t>
      </w:r>
      <w:r w:rsidRPr="008E4D55">
        <w:rPr>
          <w:rFonts w:ascii="Arial" w:eastAsia="Times New Roman" w:hAnsi="Arial" w:cs="Arial"/>
          <w:kern w:val="0"/>
          <w:lang w:eastAsia="en-GB"/>
          <w14:ligatures w14:val="none"/>
        </w:rPr>
        <w:t>). Similarly, changes in employment legislation require HR professionals to ensure compliance while maintaining fair and inclusive workplace practices.</w:t>
      </w:r>
    </w:p>
    <w:p w14:paraId="1F51FA0C" w14:textId="30BA3101" w:rsidR="004D621E" w:rsidRPr="008E4D55" w:rsidRDefault="004D621E"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E4D55">
        <w:rPr>
          <w:rFonts w:ascii="Arial" w:eastAsia="Times New Roman" w:hAnsi="Arial" w:cs="Arial"/>
          <w:kern w:val="0"/>
          <w:lang w:eastAsia="en-GB"/>
          <w14:ligatures w14:val="none"/>
        </w:rPr>
        <w:lastRenderedPageBreak/>
        <w:t>The principal strength of SWOT analysis lies in its simplicity and strategic flexibility. By simultaneously evaluating internal capabilities and external environmental conditions, the framework enables organisations to identify areas where HR practices can be leveraged to create competitive advantage. SWOT also facilitates strategic workforce planning by encouraging managers to match organisational strengths with external opportunities while addressing weaknesses that may expose the organisation to external threats. Consequently, HR professionals can develop more proactive recruitment, performance management, employee engagement, and talent development strategies that support long-term organisational objectives (</w:t>
      </w:r>
      <w:r w:rsidRPr="008E4D55">
        <w:rPr>
          <w:rFonts w:ascii="Arial" w:eastAsia="Times New Roman" w:hAnsi="Arial" w:cs="Arial"/>
          <w:color w:val="FF0000"/>
          <w:kern w:val="0"/>
          <w:lang w:eastAsia="en-GB"/>
          <w14:ligatures w14:val="none"/>
        </w:rPr>
        <w:t>Storey and Wright, 20</w:t>
      </w:r>
      <w:r w:rsidR="00F96DE9">
        <w:rPr>
          <w:rFonts w:ascii="Arial" w:eastAsia="Times New Roman" w:hAnsi="Arial" w:cs="Arial"/>
          <w:color w:val="FF0000"/>
          <w:kern w:val="0"/>
          <w:lang w:eastAsia="en-GB"/>
          <w14:ligatures w14:val="none"/>
        </w:rPr>
        <w:t>19</w:t>
      </w:r>
      <w:r w:rsidRPr="008E4D55">
        <w:rPr>
          <w:rFonts w:ascii="Arial" w:eastAsia="Times New Roman" w:hAnsi="Arial" w:cs="Arial"/>
          <w:kern w:val="0"/>
          <w:lang w:eastAsia="en-GB"/>
          <w14:ligatures w14:val="none"/>
        </w:rPr>
        <w:t>).</w:t>
      </w:r>
    </w:p>
    <w:p w14:paraId="26F256EF" w14:textId="5A953547" w:rsidR="004D621E" w:rsidRPr="008E4D55" w:rsidRDefault="004D621E"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E4D55">
        <w:rPr>
          <w:rFonts w:ascii="Arial" w:eastAsia="Times New Roman" w:hAnsi="Arial" w:cs="Arial"/>
          <w:kern w:val="0"/>
          <w:lang w:eastAsia="en-GB"/>
          <w14:ligatures w14:val="none"/>
        </w:rPr>
        <w:t>Despite these advantages, SWOT analysis has several limitations. The framework provides only a snapshot of the organisational environment and may quickly become outdated in rapidly changing markets. Furthermore, SWOT does not prioritise factors according to their strategic importance, leaving considerable scope for managerial bias and subjective interpretation. The model also identifies environmental factors without explaining the relationships between them or providing guidance on implementing strategic responses. Consequently, SWOT should be complemented by other strategic tools and continuous environmental scanning to improve decision-making and organisational adaptability (</w:t>
      </w:r>
      <w:proofErr w:type="spellStart"/>
      <w:r w:rsidRPr="008E4D55">
        <w:rPr>
          <w:rFonts w:ascii="Arial" w:eastAsia="Times New Roman" w:hAnsi="Arial" w:cs="Arial"/>
          <w:color w:val="FF0000"/>
          <w:kern w:val="0"/>
          <w:lang w:eastAsia="en-GB"/>
          <w14:ligatures w14:val="none"/>
        </w:rPr>
        <w:t>Gürel</w:t>
      </w:r>
      <w:proofErr w:type="spellEnd"/>
      <w:r w:rsidRPr="008E4D55">
        <w:rPr>
          <w:rFonts w:ascii="Arial" w:eastAsia="Times New Roman" w:hAnsi="Arial" w:cs="Arial"/>
          <w:color w:val="FF0000"/>
          <w:kern w:val="0"/>
          <w:lang w:eastAsia="en-GB"/>
          <w14:ligatures w14:val="none"/>
        </w:rPr>
        <w:t xml:space="preserve"> and Tat, 20</w:t>
      </w:r>
      <w:r w:rsidR="002226CC">
        <w:rPr>
          <w:rFonts w:ascii="Arial" w:eastAsia="Times New Roman" w:hAnsi="Arial" w:cs="Arial"/>
          <w:color w:val="FF0000"/>
          <w:kern w:val="0"/>
          <w:lang w:eastAsia="en-GB"/>
          <w14:ligatures w14:val="none"/>
        </w:rPr>
        <w:t>17</w:t>
      </w:r>
      <w:r w:rsidRPr="008E4D55">
        <w:rPr>
          <w:rFonts w:ascii="Arial" w:eastAsia="Times New Roman" w:hAnsi="Arial" w:cs="Arial"/>
          <w:color w:val="FF0000"/>
          <w:kern w:val="0"/>
          <w:lang w:eastAsia="en-GB"/>
          <w14:ligatures w14:val="none"/>
        </w:rPr>
        <w:t>).</w:t>
      </w:r>
    </w:p>
    <w:p w14:paraId="39FDC79F" w14:textId="77777777" w:rsidR="004D621E" w:rsidRPr="008E4D55" w:rsidRDefault="004D621E"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E4D55">
        <w:rPr>
          <w:rFonts w:ascii="Arial" w:eastAsia="Times New Roman" w:hAnsi="Arial" w:cs="Arial"/>
          <w:kern w:val="0"/>
          <w:lang w:eastAsia="en-GB"/>
          <w14:ligatures w14:val="none"/>
        </w:rPr>
        <w:t>Overall, SWOT analysis demonstrates a clear relationship with HR functions because it enables organisations to assess how internal capabilities and external environmental pressures influence recruitment, training and development, performance management, employee relations, and workforce planning. By integrating environmental analysis with strategic HRM, organisations are better positioned to respond to change, improve employee performance, and sustain competitive advantage in increasingly complex business environments.</w:t>
      </w:r>
    </w:p>
    <w:p w14:paraId="4C496041" w14:textId="5EFD392D" w:rsidR="00BF233C" w:rsidRPr="0006155E" w:rsidRDefault="00BF233C" w:rsidP="0006155E">
      <w:pPr>
        <w:pStyle w:val="Heading1"/>
        <w:rPr>
          <w:rFonts w:ascii="Arial" w:hAnsi="Arial" w:cs="Arial"/>
          <w:b/>
          <w:bCs/>
          <w:sz w:val="24"/>
          <w:szCs w:val="24"/>
          <w:lang w:eastAsia="en-GB"/>
        </w:rPr>
      </w:pPr>
      <w:bookmarkStart w:id="2" w:name="_Toc235114140"/>
      <w:r w:rsidRPr="0006155E">
        <w:rPr>
          <w:rFonts w:ascii="Arial" w:hAnsi="Arial" w:cs="Arial"/>
          <w:b/>
          <w:bCs/>
          <w:sz w:val="24"/>
          <w:szCs w:val="24"/>
          <w:lang w:eastAsia="en-GB"/>
        </w:rPr>
        <w:t>3</w:t>
      </w:r>
      <w:r w:rsidR="005C29E9" w:rsidRPr="0006155E">
        <w:rPr>
          <w:rFonts w:ascii="Arial" w:hAnsi="Arial" w:cs="Arial"/>
          <w:b/>
          <w:bCs/>
          <w:sz w:val="24"/>
          <w:szCs w:val="24"/>
          <w:lang w:eastAsia="en-GB"/>
        </w:rPr>
        <w:t>.</w:t>
      </w:r>
      <w:r w:rsidRPr="0006155E">
        <w:rPr>
          <w:rFonts w:ascii="Arial" w:hAnsi="Arial" w:cs="Arial"/>
          <w:b/>
          <w:bCs/>
          <w:sz w:val="24"/>
          <w:szCs w:val="24"/>
          <w:lang w:eastAsia="en-GB"/>
        </w:rPr>
        <w:t xml:space="preserve"> Organisation Application: GSK</w:t>
      </w:r>
      <w:bookmarkEnd w:id="2"/>
    </w:p>
    <w:p w14:paraId="35FE82D8" w14:textId="77777777" w:rsidR="00BF233C" w:rsidRPr="008C76E2" w:rsidRDefault="00BF233C"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C76E2">
        <w:rPr>
          <w:rFonts w:ascii="Arial" w:eastAsia="Times New Roman" w:hAnsi="Arial" w:cs="Arial"/>
          <w:color w:val="00B0F0"/>
          <w:kern w:val="0"/>
          <w:lang w:eastAsia="en-GB"/>
          <w14:ligatures w14:val="none"/>
        </w:rPr>
        <w:t xml:space="preserve">GSK is a leading global biopharmaceutical company headquartered in the United Kingdom, specialising in the research, development, manufacture, and commercialisation of vaccines, specialty medicines, and general medicines. The </w:t>
      </w:r>
      <w:r w:rsidRPr="008C76E2">
        <w:rPr>
          <w:rFonts w:ascii="Arial" w:eastAsia="Times New Roman" w:hAnsi="Arial" w:cs="Arial"/>
          <w:kern w:val="0"/>
          <w:lang w:eastAsia="en-GB"/>
          <w14:ligatures w14:val="none"/>
        </w:rPr>
        <w:lastRenderedPageBreak/>
        <w:t>company operates in more than 75 countries, with its products reaching patients in over 100 markets worldwide. GSK's global presence enables it to respond to diverse healthcare needs while maintaining a strong emphasis on scientific innovation, sustainability, and responsible business practices (</w:t>
      </w:r>
      <w:r w:rsidRPr="000A0A23">
        <w:rPr>
          <w:rFonts w:ascii="Arial" w:eastAsia="Times New Roman" w:hAnsi="Arial" w:cs="Arial"/>
          <w:color w:val="7030A0"/>
          <w:kern w:val="0"/>
          <w:lang w:eastAsia="en-GB"/>
          <w14:ligatures w14:val="none"/>
        </w:rPr>
        <w:t>GSK, 2024</w:t>
      </w:r>
      <w:r w:rsidRPr="008C76E2">
        <w:rPr>
          <w:rFonts w:ascii="Arial" w:eastAsia="Times New Roman" w:hAnsi="Arial" w:cs="Arial"/>
          <w:kern w:val="0"/>
          <w:lang w:eastAsia="en-GB"/>
          <w14:ligatures w14:val="none"/>
        </w:rPr>
        <w:t>).</w:t>
      </w:r>
    </w:p>
    <w:p w14:paraId="7FEE5B27" w14:textId="77777777" w:rsidR="00BF233C" w:rsidRPr="008C76E2" w:rsidRDefault="00BF233C"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C76E2">
        <w:rPr>
          <w:rFonts w:ascii="Arial" w:eastAsia="Times New Roman" w:hAnsi="Arial" w:cs="Arial"/>
          <w:kern w:val="0"/>
          <w:lang w:eastAsia="en-GB"/>
          <w14:ligatures w14:val="none"/>
        </w:rPr>
        <w:t>GSK adopts a strategic approach to Human Resource Management (HRM) to support its global workforce and business objectives. Its recruitment practices focus on attracting highly skilled and diverse talent through competency-based selection, inclusive hiring processes, digital recruitment platforms, and employer branding initiatives. These practices enable the organisation to recruit employees with the scientific, technical, and leadership capabilities required to drive innovation in highly competitive pharmaceutical markets (</w:t>
      </w:r>
      <w:r w:rsidRPr="008C76E2">
        <w:rPr>
          <w:rFonts w:ascii="Arial" w:eastAsia="Times New Roman" w:hAnsi="Arial" w:cs="Arial"/>
          <w:color w:val="FF0000"/>
          <w:kern w:val="0"/>
          <w:lang w:eastAsia="en-GB"/>
          <w14:ligatures w14:val="none"/>
        </w:rPr>
        <w:t xml:space="preserve">Cooke, </w:t>
      </w:r>
      <w:proofErr w:type="spellStart"/>
      <w:r w:rsidRPr="008C76E2">
        <w:rPr>
          <w:rFonts w:ascii="Arial" w:eastAsia="Times New Roman" w:hAnsi="Arial" w:cs="Arial"/>
          <w:color w:val="FF0000"/>
          <w:kern w:val="0"/>
          <w:lang w:eastAsia="en-GB"/>
          <w14:ligatures w14:val="none"/>
        </w:rPr>
        <w:t>Dickmann</w:t>
      </w:r>
      <w:proofErr w:type="spellEnd"/>
      <w:r w:rsidRPr="008C76E2">
        <w:rPr>
          <w:rFonts w:ascii="Arial" w:eastAsia="Times New Roman" w:hAnsi="Arial" w:cs="Arial"/>
          <w:color w:val="FF0000"/>
          <w:kern w:val="0"/>
          <w:lang w:eastAsia="en-GB"/>
          <w14:ligatures w14:val="none"/>
        </w:rPr>
        <w:t xml:space="preserve"> and Parry, 2023).</w:t>
      </w:r>
    </w:p>
    <w:p w14:paraId="762BDA54" w14:textId="77777777" w:rsidR="00BF233C" w:rsidRPr="008C76E2" w:rsidRDefault="00BF233C"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8C76E2">
        <w:rPr>
          <w:rFonts w:ascii="Arial" w:eastAsia="Times New Roman" w:hAnsi="Arial" w:cs="Arial"/>
          <w:kern w:val="0"/>
          <w:lang w:eastAsia="en-GB"/>
          <w14:ligatures w14:val="none"/>
        </w:rPr>
        <w:t>Training and development are central to GSK's people strategy. The company invests in continuous learning through leadership development programmes, digital skills training, data and artificial intelligence capability building, and mandatory compliance learning to ensure employees remain adaptable in an evolving healthcare environment. In 2024, GSK expanded leadership programmes and digital learning initiatives to strengthen managerial capability and organisational performance.</w:t>
      </w:r>
    </w:p>
    <w:p w14:paraId="18CE7B18" w14:textId="279C240B" w:rsidR="004D621E" w:rsidRDefault="00BF233C" w:rsidP="00CC3F56">
      <w:pPr>
        <w:spacing w:before="100" w:beforeAutospacing="1" w:after="100" w:afterAutospacing="1" w:line="360" w:lineRule="auto"/>
        <w:ind w:left="284"/>
        <w:jc w:val="both"/>
        <w:rPr>
          <w:rFonts w:ascii="Arial" w:eastAsia="Times New Roman" w:hAnsi="Arial" w:cs="Arial"/>
          <w:kern w:val="0"/>
          <w:lang w:eastAsia="en-GB"/>
          <w14:ligatures w14:val="none"/>
        </w:rPr>
      </w:pPr>
      <w:r w:rsidRPr="008C76E2">
        <w:rPr>
          <w:rFonts w:ascii="Arial" w:eastAsia="Times New Roman" w:hAnsi="Arial" w:cs="Arial"/>
          <w:kern w:val="0"/>
          <w:lang w:eastAsia="en-GB"/>
          <w14:ligatures w14:val="none"/>
        </w:rPr>
        <w:t>Performance management at GSK emphasises continuous feedback, employee development, and accountability rather than solely relying on annual performance reviews. Employee performance is aligned with organisational objectives through clear expectations, leadership feedback, recognition programmes, and reward systems that reinforce the company's culture of being ambitious for patients, accountable for impact, and acting with integrity. Across its global operations, employee relations are supported through diversity, equity and inclusion initiatives, ethical leadership, employee engagement surveys, fair pay practices, and comprehensive compliance with local employment legislation, enabling GSK to maintain a positive and inclusive workplace culture while operating across different national contexts (</w:t>
      </w:r>
      <w:r w:rsidRPr="008C76E2">
        <w:rPr>
          <w:rFonts w:ascii="Arial" w:eastAsia="Times New Roman" w:hAnsi="Arial" w:cs="Arial"/>
          <w:color w:val="FF0000"/>
          <w:kern w:val="0"/>
          <w:lang w:eastAsia="en-GB"/>
          <w14:ligatures w14:val="none"/>
        </w:rPr>
        <w:t>Storey and Wright</w:t>
      </w:r>
      <w:r w:rsidRPr="008C76E2">
        <w:rPr>
          <w:rFonts w:ascii="Arial" w:eastAsia="Times New Roman" w:hAnsi="Arial" w:cs="Arial"/>
          <w:kern w:val="0"/>
          <w:lang w:eastAsia="en-GB"/>
          <w14:ligatures w14:val="none"/>
        </w:rPr>
        <w:t xml:space="preserve">, </w:t>
      </w:r>
      <w:r w:rsidRPr="008C76E2">
        <w:rPr>
          <w:rFonts w:ascii="Arial" w:eastAsia="Times New Roman" w:hAnsi="Arial" w:cs="Arial"/>
          <w:color w:val="FF0000"/>
          <w:kern w:val="0"/>
          <w:lang w:eastAsia="en-GB"/>
          <w14:ligatures w14:val="none"/>
        </w:rPr>
        <w:t>20</w:t>
      </w:r>
      <w:r w:rsidR="00B4605F" w:rsidRPr="00B4605F">
        <w:rPr>
          <w:rFonts w:ascii="Arial" w:eastAsia="Times New Roman" w:hAnsi="Arial" w:cs="Arial"/>
          <w:color w:val="FF0000"/>
          <w:kern w:val="0"/>
          <w:lang w:eastAsia="en-GB"/>
          <w14:ligatures w14:val="none"/>
        </w:rPr>
        <w:t>19</w:t>
      </w:r>
      <w:r w:rsidRPr="008C76E2">
        <w:rPr>
          <w:rFonts w:ascii="Arial" w:eastAsia="Times New Roman" w:hAnsi="Arial" w:cs="Arial"/>
          <w:kern w:val="0"/>
          <w:lang w:eastAsia="en-GB"/>
          <w14:ligatures w14:val="none"/>
        </w:rPr>
        <w:t xml:space="preserve">; </w:t>
      </w:r>
      <w:r w:rsidR="00F32734" w:rsidRPr="000F628B">
        <w:rPr>
          <w:rFonts w:ascii="Arial" w:hAnsi="Arial" w:cs="Arial"/>
          <w:color w:val="7030A0"/>
        </w:rPr>
        <w:t>Gsk.com. 202</w:t>
      </w:r>
      <w:r w:rsidR="008F76F4" w:rsidRPr="000F628B">
        <w:rPr>
          <w:rFonts w:ascii="Arial" w:hAnsi="Arial" w:cs="Arial"/>
          <w:color w:val="7030A0"/>
        </w:rPr>
        <w:t>4</w:t>
      </w:r>
      <w:r w:rsidRPr="000F628B">
        <w:rPr>
          <w:rFonts w:ascii="Arial" w:eastAsia="Times New Roman" w:hAnsi="Arial" w:cs="Arial"/>
          <w:color w:val="7030A0"/>
          <w:kern w:val="0"/>
          <w:lang w:eastAsia="en-GB"/>
          <w14:ligatures w14:val="none"/>
        </w:rPr>
        <w:t>).</w:t>
      </w:r>
    </w:p>
    <w:p w14:paraId="5C54A729" w14:textId="78B7CBD8" w:rsidR="002831BA" w:rsidRPr="0006155E" w:rsidRDefault="002831BA" w:rsidP="0006155E">
      <w:pPr>
        <w:pStyle w:val="Heading1"/>
        <w:rPr>
          <w:rFonts w:ascii="Arial" w:hAnsi="Arial" w:cs="Arial"/>
          <w:b/>
          <w:bCs/>
          <w:sz w:val="24"/>
          <w:szCs w:val="24"/>
          <w:lang w:eastAsia="en-GB"/>
        </w:rPr>
      </w:pPr>
      <w:bookmarkStart w:id="3" w:name="_Toc235114141"/>
      <w:r w:rsidRPr="0006155E">
        <w:rPr>
          <w:rFonts w:ascii="Arial" w:hAnsi="Arial" w:cs="Arial"/>
          <w:b/>
          <w:bCs/>
          <w:sz w:val="24"/>
          <w:szCs w:val="24"/>
          <w:lang w:eastAsia="en-GB"/>
        </w:rPr>
        <w:lastRenderedPageBreak/>
        <w:t>4</w:t>
      </w:r>
      <w:r w:rsidR="005C29E9" w:rsidRPr="0006155E">
        <w:rPr>
          <w:rFonts w:ascii="Arial" w:hAnsi="Arial" w:cs="Arial"/>
          <w:b/>
          <w:bCs/>
          <w:sz w:val="24"/>
          <w:szCs w:val="24"/>
          <w:lang w:eastAsia="en-GB"/>
        </w:rPr>
        <w:t>.</w:t>
      </w:r>
      <w:r w:rsidRPr="0006155E">
        <w:rPr>
          <w:rFonts w:ascii="Arial" w:hAnsi="Arial" w:cs="Arial"/>
          <w:b/>
          <w:bCs/>
          <w:sz w:val="24"/>
          <w:szCs w:val="24"/>
          <w:lang w:eastAsia="en-GB"/>
        </w:rPr>
        <w:t xml:space="preserve"> Application of the Business Environment Model: GSK</w:t>
      </w:r>
      <w:bookmarkEnd w:id="3"/>
    </w:p>
    <w:p w14:paraId="369DBBA4" w14:textId="77777777"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The SWOT framework provides a valuable lens through which to evaluate how GSK's internal strengths and weaknesses, together with external opportunities and threats, influence its Human Resource Management (HRM) practices. As one of the world's leading biopharmaceutical companies, operating with approximately 68,600 employees across 75 countries, GSK faces a complex business environment that requires HR policies to balance global consistency with local responsiveness (</w:t>
      </w:r>
      <w:r w:rsidRPr="00492583">
        <w:rPr>
          <w:rFonts w:ascii="Arial" w:eastAsia="Times New Roman" w:hAnsi="Arial" w:cs="Arial"/>
          <w:color w:val="7030A0"/>
          <w:kern w:val="0"/>
          <w:lang w:eastAsia="en-GB"/>
          <w14:ligatures w14:val="none"/>
        </w:rPr>
        <w:t>GSK, 2024</w:t>
      </w:r>
      <w:r w:rsidRPr="000E42F7">
        <w:rPr>
          <w:rFonts w:ascii="Arial" w:eastAsia="Times New Roman" w:hAnsi="Arial" w:cs="Arial"/>
          <w:kern w:val="0"/>
          <w:lang w:eastAsia="en-GB"/>
          <w14:ligatures w14:val="none"/>
        </w:rPr>
        <w:t>). Consequently, HR managers play a strategic role in ensuring that workforce capabilities align with organisational objectives while adapting to changing environmental conditions.</w:t>
      </w:r>
    </w:p>
    <w:p w14:paraId="5C34640F" w14:textId="77777777"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From an internal perspective, GSK's major strengths include its strong research and development capability, globally recognised employer brand, diverse workforce, and organisational culture centred on being "ambitious for patients, accountable for impact, and doing the right thing". These strengths enhance recruitment by attracting highly skilled scientists, healthcare professionals, and technology specialists in competitive labour markets. GSK embeds its organisational culture throughout recruitment, onboarding, learning and development, and performance management, ensuring employees understand the behaviours expected to support innovation and patient outcomes (</w:t>
      </w:r>
      <w:r w:rsidRPr="00492583">
        <w:rPr>
          <w:rFonts w:ascii="Arial" w:eastAsia="Times New Roman" w:hAnsi="Arial" w:cs="Arial"/>
          <w:color w:val="7030A0"/>
          <w:kern w:val="0"/>
          <w:lang w:eastAsia="en-GB"/>
          <w14:ligatures w14:val="none"/>
        </w:rPr>
        <w:t>GSK, 2024</w:t>
      </w:r>
      <w:r w:rsidRPr="000E42F7">
        <w:rPr>
          <w:rFonts w:ascii="Arial" w:eastAsia="Times New Roman" w:hAnsi="Arial" w:cs="Arial"/>
          <w:kern w:val="0"/>
          <w:lang w:eastAsia="en-GB"/>
          <w14:ligatures w14:val="none"/>
        </w:rPr>
        <w:t>).</w:t>
      </w:r>
    </w:p>
    <w:p w14:paraId="60EF795A" w14:textId="6066D1F1"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However, SWOT also highlights internal weaknesses that influence HR effectiveness. Like many multinational pharmaceutical organisations, GSK must continually address skills shortages in digital technologies, artificial intelligence, biotechnology, and advanced manufacturing. HR managers are therefore required to invest significantly in workforce planning, continuous learning, leadership development, and succession planning to maintain organisational capability. Furthermore, managing a geographically dispersed workforce creates challenges relating to communication, employee engagement, and maintaining a consistent organisational culture across different regions (</w:t>
      </w:r>
      <w:r w:rsidRPr="00492583">
        <w:rPr>
          <w:rFonts w:ascii="Arial" w:eastAsia="Times New Roman" w:hAnsi="Arial" w:cs="Arial"/>
          <w:color w:val="FF0000"/>
          <w:kern w:val="0"/>
          <w:lang w:eastAsia="en-GB"/>
          <w14:ligatures w14:val="none"/>
        </w:rPr>
        <w:t>Storey and Wright, 20</w:t>
      </w:r>
      <w:r w:rsidR="00BC57DD">
        <w:rPr>
          <w:rFonts w:ascii="Arial" w:eastAsia="Times New Roman" w:hAnsi="Arial" w:cs="Arial"/>
          <w:color w:val="FF0000"/>
          <w:kern w:val="0"/>
          <w:lang w:eastAsia="en-GB"/>
          <w14:ligatures w14:val="none"/>
        </w:rPr>
        <w:t>19</w:t>
      </w:r>
      <w:r w:rsidRPr="000E42F7">
        <w:rPr>
          <w:rFonts w:ascii="Arial" w:eastAsia="Times New Roman" w:hAnsi="Arial" w:cs="Arial"/>
          <w:kern w:val="0"/>
          <w:lang w:eastAsia="en-GB"/>
          <w14:ligatures w14:val="none"/>
        </w:rPr>
        <w:t>).</w:t>
      </w:r>
    </w:p>
    <w:p w14:paraId="5E0F4CBB" w14:textId="77777777"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 xml:space="preserve">The external environment presents significant opportunities for HR. Advances in biotechnology, artificial intelligence, and digital health have created demand for new technical competencies while enabling innovative approaches to recruitment, </w:t>
      </w:r>
      <w:r w:rsidRPr="000E42F7">
        <w:rPr>
          <w:rFonts w:ascii="Arial" w:eastAsia="Times New Roman" w:hAnsi="Arial" w:cs="Arial"/>
          <w:kern w:val="0"/>
          <w:lang w:eastAsia="en-GB"/>
          <w14:ligatures w14:val="none"/>
        </w:rPr>
        <w:lastRenderedPageBreak/>
        <w:t>learning, and performance management. GSK has responded by expanding digital learning programmes, leadership development initiatives, and capability-building activities that prepare employees for technological change. HR professionals must therefore anticipate future skills requirements and ensure that employees possess the competencies needed to support scientific innovation and organisational competitiveness (</w:t>
      </w:r>
      <w:r w:rsidRPr="00BC57DD">
        <w:rPr>
          <w:rFonts w:ascii="Arial" w:eastAsia="Times New Roman" w:hAnsi="Arial" w:cs="Arial"/>
          <w:color w:val="FF0000"/>
          <w:kern w:val="0"/>
          <w:lang w:eastAsia="en-GB"/>
          <w14:ligatures w14:val="none"/>
        </w:rPr>
        <w:t xml:space="preserve">Cooke, </w:t>
      </w:r>
      <w:proofErr w:type="spellStart"/>
      <w:r w:rsidRPr="00BC57DD">
        <w:rPr>
          <w:rFonts w:ascii="Arial" w:eastAsia="Times New Roman" w:hAnsi="Arial" w:cs="Arial"/>
          <w:color w:val="FF0000"/>
          <w:kern w:val="0"/>
          <w:lang w:eastAsia="en-GB"/>
          <w14:ligatures w14:val="none"/>
        </w:rPr>
        <w:t>Dickmann</w:t>
      </w:r>
      <w:proofErr w:type="spellEnd"/>
      <w:r w:rsidRPr="00BC57DD">
        <w:rPr>
          <w:rFonts w:ascii="Arial" w:eastAsia="Times New Roman" w:hAnsi="Arial" w:cs="Arial"/>
          <w:color w:val="FF0000"/>
          <w:kern w:val="0"/>
          <w:lang w:eastAsia="en-GB"/>
          <w14:ligatures w14:val="none"/>
        </w:rPr>
        <w:t xml:space="preserve"> and Parry, 2023</w:t>
      </w:r>
      <w:r w:rsidRPr="000E42F7">
        <w:rPr>
          <w:rFonts w:ascii="Arial" w:eastAsia="Times New Roman" w:hAnsi="Arial" w:cs="Arial"/>
          <w:kern w:val="0"/>
          <w:lang w:eastAsia="en-GB"/>
          <w14:ligatures w14:val="none"/>
        </w:rPr>
        <w:t>).</w:t>
      </w:r>
    </w:p>
    <w:p w14:paraId="0BFF9660" w14:textId="77777777"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Conversely, external threats create considerable pressure on HR decision-making. Increasing global competition for specialist talent, changing employment legislation, inflationary pressures, geopolitical uncertainty, and rapidly evolving healthcare regulations all influence workforce planning and employee management. For example, pharmaceutical organisations compete globally for experienced scientists, regulatory specialists, and data professionals, requiring HR departments to strengthen employer branding, offer competitive reward packages, and provide flexible working arrangements. Simultaneously, changing legal requirements concerning employee rights, equality, data protection, and workplace safety require HR managers to maintain compliance while supporting organisational performance (</w:t>
      </w:r>
      <w:r w:rsidRPr="00D24ACD">
        <w:rPr>
          <w:rFonts w:ascii="Arial" w:eastAsia="Times New Roman" w:hAnsi="Arial" w:cs="Arial"/>
          <w:color w:val="FF0000"/>
          <w:kern w:val="0"/>
          <w:lang w:eastAsia="en-GB"/>
          <w14:ligatures w14:val="none"/>
        </w:rPr>
        <w:t xml:space="preserve">Snell </w:t>
      </w:r>
      <w:r w:rsidRPr="00D24ACD">
        <w:rPr>
          <w:rFonts w:ascii="Arial" w:eastAsia="Times New Roman" w:hAnsi="Arial" w:cs="Arial"/>
          <w:i/>
          <w:iCs/>
          <w:color w:val="FF0000"/>
          <w:kern w:val="0"/>
          <w:lang w:eastAsia="en-GB"/>
          <w14:ligatures w14:val="none"/>
        </w:rPr>
        <w:t>et al.</w:t>
      </w:r>
      <w:r w:rsidRPr="00D24ACD">
        <w:rPr>
          <w:rFonts w:ascii="Arial" w:eastAsia="Times New Roman" w:hAnsi="Arial" w:cs="Arial"/>
          <w:color w:val="FF0000"/>
          <w:kern w:val="0"/>
          <w:lang w:eastAsia="en-GB"/>
          <w14:ligatures w14:val="none"/>
        </w:rPr>
        <w:t>, 2023</w:t>
      </w:r>
      <w:r w:rsidRPr="000E42F7">
        <w:rPr>
          <w:rFonts w:ascii="Arial" w:eastAsia="Times New Roman" w:hAnsi="Arial" w:cs="Arial"/>
          <w:kern w:val="0"/>
          <w:lang w:eastAsia="en-GB"/>
          <w14:ligatures w14:val="none"/>
        </w:rPr>
        <w:t>).</w:t>
      </w:r>
    </w:p>
    <w:p w14:paraId="67389EB0" w14:textId="763A20ED" w:rsidR="002831BA" w:rsidRPr="00D24ACD" w:rsidRDefault="002831BA" w:rsidP="00133BDD">
      <w:pPr>
        <w:spacing w:before="100" w:beforeAutospacing="1" w:after="100" w:afterAutospacing="1" w:line="360" w:lineRule="auto"/>
        <w:ind w:left="284"/>
        <w:jc w:val="both"/>
        <w:rPr>
          <w:rFonts w:ascii="Arial" w:eastAsia="Times New Roman" w:hAnsi="Arial" w:cs="Arial"/>
          <w:color w:val="FF0000"/>
          <w:kern w:val="0"/>
          <w:lang w:eastAsia="en-GB"/>
          <w14:ligatures w14:val="none"/>
        </w:rPr>
      </w:pPr>
      <w:r w:rsidRPr="000E42F7">
        <w:rPr>
          <w:rFonts w:ascii="Arial" w:eastAsia="Times New Roman" w:hAnsi="Arial" w:cs="Arial"/>
          <w:kern w:val="0"/>
          <w:lang w:eastAsia="en-GB"/>
          <w14:ligatures w14:val="none"/>
        </w:rPr>
        <w:t>The effectiveness of HR managers is significantly influenced by these interacting internal and external factors. Internally, HR leaders must align recruitment, talent management, performance management, and employee development with GSK's strategic priorities while fostering an organisational culture that encourages innovation, collaboration, and ethical behaviour. Externally, they must monitor labour market trends, technological developments, regulatory changes, and demographic shifts to ensure HR policies remain responsive and competitive. This strategic role extends beyond administrative responsibilities, positioning HR as a key contributor to organisational resilience and long-term competitive advantage (</w:t>
      </w:r>
      <w:r w:rsidRPr="00D24ACD">
        <w:rPr>
          <w:rFonts w:ascii="Arial" w:eastAsia="Times New Roman" w:hAnsi="Arial" w:cs="Arial"/>
          <w:color w:val="FF0000"/>
          <w:kern w:val="0"/>
          <w:lang w:eastAsia="en-GB"/>
          <w14:ligatures w14:val="none"/>
        </w:rPr>
        <w:t>Storey and Wright, 20</w:t>
      </w:r>
      <w:r w:rsidR="00D24ACD" w:rsidRPr="00D24ACD">
        <w:rPr>
          <w:rFonts w:ascii="Arial" w:eastAsia="Times New Roman" w:hAnsi="Arial" w:cs="Arial"/>
          <w:color w:val="FF0000"/>
          <w:kern w:val="0"/>
          <w:lang w:eastAsia="en-GB"/>
          <w14:ligatures w14:val="none"/>
        </w:rPr>
        <w:t>19</w:t>
      </w:r>
      <w:r w:rsidRPr="00D24ACD">
        <w:rPr>
          <w:rFonts w:ascii="Arial" w:eastAsia="Times New Roman" w:hAnsi="Arial" w:cs="Arial"/>
          <w:color w:val="FF0000"/>
          <w:kern w:val="0"/>
          <w:lang w:eastAsia="en-GB"/>
          <w14:ligatures w14:val="none"/>
        </w:rPr>
        <w:t>).</w:t>
      </w:r>
    </w:p>
    <w:p w14:paraId="022CC086" w14:textId="77777777"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The impact of environmental forces differs substantially across countries because of variations in national culture, legal systems, and economic conditions. Cultural differences influence employee expectations, leadership styles, communication patterns, and motivational practices. For instance, employees in collectivist cultures may place greater emphasis on teamwork, job security, and collaborative decision-</w:t>
      </w:r>
      <w:r w:rsidRPr="000E42F7">
        <w:rPr>
          <w:rFonts w:ascii="Arial" w:eastAsia="Times New Roman" w:hAnsi="Arial" w:cs="Arial"/>
          <w:kern w:val="0"/>
          <w:lang w:eastAsia="en-GB"/>
          <w14:ligatures w14:val="none"/>
        </w:rPr>
        <w:lastRenderedPageBreak/>
        <w:t>making, whereas employees in more individualistic cultures often value autonomy, career progression, and individual performance rewards. Consequently, GSK cannot rely on a standardised global HR approach but must adapt leadership development, performance management, and employee engagement practices to local cultural contexts (</w:t>
      </w:r>
      <w:r w:rsidRPr="00D24ACD">
        <w:rPr>
          <w:rFonts w:ascii="Arial" w:eastAsia="Times New Roman" w:hAnsi="Arial" w:cs="Arial"/>
          <w:color w:val="FF0000"/>
          <w:kern w:val="0"/>
          <w:lang w:eastAsia="en-GB"/>
          <w14:ligatures w14:val="none"/>
        </w:rPr>
        <w:t xml:space="preserve">Cooke, </w:t>
      </w:r>
      <w:proofErr w:type="spellStart"/>
      <w:r w:rsidRPr="00D24ACD">
        <w:rPr>
          <w:rFonts w:ascii="Arial" w:eastAsia="Times New Roman" w:hAnsi="Arial" w:cs="Arial"/>
          <w:color w:val="FF0000"/>
          <w:kern w:val="0"/>
          <w:lang w:eastAsia="en-GB"/>
          <w14:ligatures w14:val="none"/>
        </w:rPr>
        <w:t>Dickmann</w:t>
      </w:r>
      <w:proofErr w:type="spellEnd"/>
      <w:r w:rsidRPr="00D24ACD">
        <w:rPr>
          <w:rFonts w:ascii="Arial" w:eastAsia="Times New Roman" w:hAnsi="Arial" w:cs="Arial"/>
          <w:color w:val="FF0000"/>
          <w:kern w:val="0"/>
          <w:lang w:eastAsia="en-GB"/>
          <w14:ligatures w14:val="none"/>
        </w:rPr>
        <w:t xml:space="preserve"> and Parry, 2023</w:t>
      </w:r>
      <w:r w:rsidRPr="000E42F7">
        <w:rPr>
          <w:rFonts w:ascii="Arial" w:eastAsia="Times New Roman" w:hAnsi="Arial" w:cs="Arial"/>
          <w:kern w:val="0"/>
          <w:lang w:eastAsia="en-GB"/>
          <w14:ligatures w14:val="none"/>
        </w:rPr>
        <w:t>).</w:t>
      </w:r>
    </w:p>
    <w:p w14:paraId="09E28E74" w14:textId="77777777"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Legal regulations also vary considerably between countries, affecting HR practices. European operations are subject to stringent employment protection legislation, equality requirements, and employee consultation obligations, while employment regulations in other regions may provide greater organisational flexibility. HR managers must therefore adapt recruitment procedures, performance management systems, compensation policies, and employee relations strategies to comply with national legislation while maintaining GSK's global ethical standards. Failure to achieve compliance could result in legal penalties, reputational damage, and reduced employee trust (</w:t>
      </w:r>
      <w:r w:rsidRPr="00F16254">
        <w:rPr>
          <w:rFonts w:ascii="Arial" w:eastAsia="Times New Roman" w:hAnsi="Arial" w:cs="Arial"/>
          <w:color w:val="FF0000"/>
          <w:kern w:val="0"/>
          <w:lang w:eastAsia="en-GB"/>
          <w14:ligatures w14:val="none"/>
        </w:rPr>
        <w:t>Wilkinson, 2022</w:t>
      </w:r>
      <w:r w:rsidRPr="000E42F7">
        <w:rPr>
          <w:rFonts w:ascii="Arial" w:eastAsia="Times New Roman" w:hAnsi="Arial" w:cs="Arial"/>
          <w:kern w:val="0"/>
          <w:lang w:eastAsia="en-GB"/>
          <w14:ligatures w14:val="none"/>
        </w:rPr>
        <w:t>).</w:t>
      </w:r>
    </w:p>
    <w:p w14:paraId="537FAD57" w14:textId="2CB603E2" w:rsidR="002831BA" w:rsidRPr="000E42F7" w:rsidRDefault="002831BA" w:rsidP="00133BDD">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Economic conditions further shape HR effectiveness. In developed economies, labour shortages and ageing populations increase competition for highly skilled employees, encouraging GSK to invest in attractive reward systems, flexible working, and leadership development. In contrast, emerging markets often provide larger labour pools but may present challenges relating to infrastructure, educational attainment, and workforce capability. HR managers must therefore tailor recruitment strategies, training investment, and retention initiatives to local economic conditions while ensuring the organisation has access to the talent required to achieve its strategic objectives (</w:t>
      </w:r>
      <w:r w:rsidRPr="00347618">
        <w:rPr>
          <w:rFonts w:ascii="Arial" w:eastAsia="Times New Roman" w:hAnsi="Arial" w:cs="Arial"/>
          <w:color w:val="FF0000"/>
          <w:kern w:val="0"/>
          <w:lang w:eastAsia="en-GB"/>
          <w14:ligatures w14:val="none"/>
        </w:rPr>
        <w:t>Malik, 20</w:t>
      </w:r>
      <w:r w:rsidR="00347618">
        <w:rPr>
          <w:rFonts w:ascii="Arial" w:eastAsia="Times New Roman" w:hAnsi="Arial" w:cs="Arial"/>
          <w:color w:val="FF0000"/>
          <w:kern w:val="0"/>
          <w:lang w:eastAsia="en-GB"/>
          <w14:ligatures w14:val="none"/>
        </w:rPr>
        <w:t>18</w:t>
      </w:r>
      <w:r w:rsidRPr="000E42F7">
        <w:rPr>
          <w:rFonts w:ascii="Arial" w:eastAsia="Times New Roman" w:hAnsi="Arial" w:cs="Arial"/>
          <w:kern w:val="0"/>
          <w:lang w:eastAsia="en-GB"/>
          <w14:ligatures w14:val="none"/>
        </w:rPr>
        <w:t>).</w:t>
      </w:r>
    </w:p>
    <w:p w14:paraId="2BB94890" w14:textId="21A19C2D" w:rsidR="00737877" w:rsidRPr="00CC3F56" w:rsidRDefault="002831BA" w:rsidP="00CC3F56">
      <w:pPr>
        <w:spacing w:before="100" w:beforeAutospacing="1" w:after="100" w:afterAutospacing="1" w:line="360" w:lineRule="auto"/>
        <w:ind w:left="284"/>
        <w:jc w:val="both"/>
        <w:rPr>
          <w:rFonts w:ascii="Arial" w:eastAsia="Times New Roman" w:hAnsi="Arial" w:cs="Arial"/>
          <w:kern w:val="0"/>
          <w:lang w:eastAsia="en-GB"/>
          <w14:ligatures w14:val="none"/>
        </w:rPr>
      </w:pPr>
      <w:r w:rsidRPr="000E42F7">
        <w:rPr>
          <w:rFonts w:ascii="Arial" w:eastAsia="Times New Roman" w:hAnsi="Arial" w:cs="Arial"/>
          <w:kern w:val="0"/>
          <w:lang w:eastAsia="en-GB"/>
          <w14:ligatures w14:val="none"/>
        </w:rPr>
        <w:t>Overall, the SWOT framework demonstrates that GSK's HR practices are shaped by the interaction of internal organisational capabilities and external environmental pressures. Although the company maintains globally consistent values and strategic objectives, HR managers must continually adapt recruitment, learning and development, performance management, and employee relations to accommodate national differences in culture, legislation, and economic conditions. This balance between global integration and local responsiveness enables GSK to develop a capable workforce, sustain innovation, and maintain its competitive position within the global biopharmaceutical industry.</w:t>
      </w:r>
    </w:p>
    <w:p w14:paraId="336D91B3" w14:textId="581C5BF2" w:rsidR="00082CED" w:rsidRPr="002E5078" w:rsidRDefault="00DA2D2E" w:rsidP="00687E29">
      <w:pPr>
        <w:pStyle w:val="Heading1"/>
        <w:rPr>
          <w:rFonts w:ascii="Arial" w:eastAsia="Times New Roman" w:hAnsi="Arial" w:cs="Arial"/>
          <w:b/>
          <w:bCs/>
          <w:sz w:val="24"/>
          <w:szCs w:val="24"/>
          <w:lang w:eastAsia="en-GB"/>
        </w:rPr>
      </w:pPr>
      <w:bookmarkStart w:id="4" w:name="_Toc235114142"/>
      <w:r w:rsidRPr="002E5078">
        <w:rPr>
          <w:rFonts w:ascii="Arial" w:eastAsia="Times New Roman" w:hAnsi="Arial" w:cs="Arial"/>
          <w:b/>
          <w:bCs/>
          <w:sz w:val="24"/>
          <w:szCs w:val="24"/>
          <w:lang w:eastAsia="en-GB"/>
        </w:rPr>
        <w:lastRenderedPageBreak/>
        <w:t xml:space="preserve">5. </w:t>
      </w:r>
      <w:r w:rsidR="0074766B" w:rsidRPr="002E5078">
        <w:rPr>
          <w:rFonts w:ascii="Arial" w:eastAsia="Times New Roman" w:hAnsi="Arial" w:cs="Arial"/>
          <w:b/>
          <w:bCs/>
          <w:sz w:val="24"/>
          <w:szCs w:val="24"/>
          <w:lang w:eastAsia="en-GB"/>
        </w:rPr>
        <w:t>Summary</w:t>
      </w:r>
      <w:bookmarkEnd w:id="4"/>
    </w:p>
    <w:p w14:paraId="35E23E77" w14:textId="69DFFFAE" w:rsidR="0074766B" w:rsidRPr="00B64AAA" w:rsidRDefault="0074766B" w:rsidP="002E5078">
      <w:pPr>
        <w:pStyle w:val="NormalWeb"/>
        <w:spacing w:line="360" w:lineRule="auto"/>
        <w:ind w:left="284"/>
        <w:jc w:val="both"/>
        <w:rPr>
          <w:rFonts w:ascii="Arial" w:hAnsi="Arial" w:cs="Arial"/>
          <w:i/>
          <w:iCs/>
        </w:rPr>
      </w:pPr>
      <w:r w:rsidRPr="00B64AAA">
        <w:rPr>
          <w:rFonts w:ascii="Arial" w:hAnsi="Arial" w:cs="Arial"/>
        </w:rPr>
        <w:t>The report emphasises that effective Human Resource Management (HRM) is increasingly shaped by both internal organisational dynamics and external environmental pressures. As HRM evolves into a strategic function, understanding these environmental factors becomes essential for aligning people practices with organisational goals. The document highlights that core HR activities</w:t>
      </w:r>
      <w:r w:rsidR="00B64AAA">
        <w:rPr>
          <w:rFonts w:ascii="Arial" w:hAnsi="Arial" w:cs="Arial"/>
        </w:rPr>
        <w:t xml:space="preserve"> </w:t>
      </w:r>
      <w:r w:rsidRPr="00B64AAA">
        <w:rPr>
          <w:rFonts w:ascii="Arial" w:hAnsi="Arial" w:cs="Arial"/>
        </w:rPr>
        <w:t>recruitment, training, performance management, and employee relations</w:t>
      </w:r>
      <w:r w:rsidR="00B64AAA">
        <w:rPr>
          <w:rFonts w:ascii="Arial" w:hAnsi="Arial" w:cs="Arial"/>
        </w:rPr>
        <w:t xml:space="preserve"> </w:t>
      </w:r>
      <w:r w:rsidRPr="00B64AAA">
        <w:rPr>
          <w:rFonts w:ascii="Arial" w:hAnsi="Arial" w:cs="Arial"/>
        </w:rPr>
        <w:t xml:space="preserve">must be responsive to technological change, globalisation, shifting workforce expectations, and regulatory developments. As stated in the report, </w:t>
      </w:r>
      <w:r w:rsidRPr="00B64AAA">
        <w:rPr>
          <w:rStyle w:val="Emphasis"/>
          <w:rFonts w:ascii="Arial" w:eastAsiaTheme="majorEastAsia" w:hAnsi="Arial" w:cs="Arial"/>
          <w:i w:val="0"/>
          <w:iCs w:val="0"/>
        </w:rPr>
        <w:t>“organisations operate within dynamic environments characterised by economic conditions, labour market trends, technological innovation, changing legislation, demographic shifts, and competitive pressures.</w:t>
      </w:r>
    </w:p>
    <w:p w14:paraId="438335F8" w14:textId="722218A9" w:rsidR="0074766B" w:rsidRPr="00B64AAA" w:rsidRDefault="0074766B" w:rsidP="002E5078">
      <w:pPr>
        <w:pStyle w:val="NormalWeb"/>
        <w:spacing w:line="360" w:lineRule="auto"/>
        <w:ind w:left="284"/>
        <w:jc w:val="both"/>
        <w:rPr>
          <w:rFonts w:ascii="Arial" w:hAnsi="Arial" w:cs="Arial"/>
          <w:i/>
          <w:iCs/>
        </w:rPr>
      </w:pPr>
      <w:r w:rsidRPr="00B64AAA">
        <w:rPr>
          <w:rFonts w:ascii="Arial" w:hAnsi="Arial" w:cs="Arial"/>
        </w:rPr>
        <w:t xml:space="preserve">Using SWOT analysis, the report demonstrates how internal strengths such as culture, leadership, and workforce capability interact with external opportunities and threats to shape HR strategy. The GSK case study illustrates this interplay: the company leverages its global brand and strong R&amp;D capability while addressing challenges such as digital skills shortages, global competition for talent, and varying national regulations. The report notes that </w:t>
      </w:r>
      <w:r w:rsidRPr="00B64AAA">
        <w:rPr>
          <w:rStyle w:val="Emphasis"/>
          <w:rFonts w:ascii="Arial" w:eastAsiaTheme="majorEastAsia" w:hAnsi="Arial" w:cs="Arial"/>
          <w:i w:val="0"/>
          <w:iCs w:val="0"/>
        </w:rPr>
        <w:t>HR managers must continually adapt recruitment, learning and development, performance management, and employee relations to accommodate national differences in culture, legislation, and economic conditions.</w:t>
      </w:r>
    </w:p>
    <w:p w14:paraId="1BBA43A9" w14:textId="77777777" w:rsidR="0074766B" w:rsidRPr="00B64AAA" w:rsidRDefault="0074766B" w:rsidP="002E5078">
      <w:pPr>
        <w:pStyle w:val="NormalWeb"/>
        <w:spacing w:line="360" w:lineRule="auto"/>
        <w:ind w:left="284"/>
        <w:jc w:val="both"/>
        <w:rPr>
          <w:rFonts w:ascii="Arial" w:hAnsi="Arial" w:cs="Arial"/>
        </w:rPr>
      </w:pPr>
      <w:r w:rsidRPr="00B64AAA">
        <w:rPr>
          <w:rFonts w:ascii="Arial" w:hAnsi="Arial" w:cs="Arial"/>
        </w:rPr>
        <w:t>Looking ahead, HR managers in global organisations must adopt a future-focused mindset. They will need to anticipate emerging skill requirements, navigate geopolitical and regulatory uncertainty, and balance global consistency with local responsiveness. Continuous environmental scanning, strategic workforce planning, and investment in digital capability will be critical. Ultimately, the report underscores that HR’s ability to interpret and respond to environmental change will determine organisational resilience, innovation, and long-term competitiveness.</w:t>
      </w:r>
    </w:p>
    <w:p w14:paraId="42AC49DC" w14:textId="05FDD474" w:rsidR="002831BA" w:rsidRPr="00A86A83" w:rsidRDefault="002831BA" w:rsidP="002E5078">
      <w:pPr>
        <w:spacing w:before="100" w:beforeAutospacing="1" w:after="100" w:afterAutospacing="1" w:line="360" w:lineRule="auto"/>
        <w:ind w:left="284"/>
        <w:rPr>
          <w:rFonts w:ascii="Arial" w:eastAsia="Times New Roman" w:hAnsi="Arial" w:cs="Arial"/>
          <w:kern w:val="0"/>
          <w:lang w:eastAsia="en-GB"/>
          <w14:ligatures w14:val="none"/>
        </w:rPr>
      </w:pPr>
    </w:p>
    <w:p w14:paraId="30524B86" w14:textId="77777777" w:rsidR="00082B71" w:rsidRDefault="00082B71"/>
    <w:sectPr w:rsidR="00082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85E54"/>
    <w:multiLevelType w:val="multilevel"/>
    <w:tmpl w:val="EDD8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C51A8C"/>
    <w:multiLevelType w:val="multilevel"/>
    <w:tmpl w:val="31FCE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91549"/>
    <w:multiLevelType w:val="multilevel"/>
    <w:tmpl w:val="7310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B932FE"/>
    <w:multiLevelType w:val="multilevel"/>
    <w:tmpl w:val="F9B43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2561078">
    <w:abstractNumId w:val="2"/>
  </w:num>
  <w:num w:numId="2" w16cid:durableId="981689213">
    <w:abstractNumId w:val="0"/>
  </w:num>
  <w:num w:numId="3" w16cid:durableId="574123998">
    <w:abstractNumId w:val="1"/>
  </w:num>
  <w:num w:numId="4" w16cid:durableId="3766679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34D"/>
    <w:rsid w:val="0002202A"/>
    <w:rsid w:val="0006155E"/>
    <w:rsid w:val="00082B71"/>
    <w:rsid w:val="00082CED"/>
    <w:rsid w:val="0008564F"/>
    <w:rsid w:val="000A0A23"/>
    <w:rsid w:val="000A5248"/>
    <w:rsid w:val="000B3758"/>
    <w:rsid w:val="000D198D"/>
    <w:rsid w:val="000F089E"/>
    <w:rsid w:val="000F628B"/>
    <w:rsid w:val="00102945"/>
    <w:rsid w:val="00133BDD"/>
    <w:rsid w:val="0018656A"/>
    <w:rsid w:val="001A601E"/>
    <w:rsid w:val="001A6179"/>
    <w:rsid w:val="001B199F"/>
    <w:rsid w:val="001B7431"/>
    <w:rsid w:val="001C0FD7"/>
    <w:rsid w:val="001C158E"/>
    <w:rsid w:val="001C3010"/>
    <w:rsid w:val="001C33E8"/>
    <w:rsid w:val="001C7579"/>
    <w:rsid w:val="001E56F5"/>
    <w:rsid w:val="002226CC"/>
    <w:rsid w:val="002633A7"/>
    <w:rsid w:val="002831BA"/>
    <w:rsid w:val="002E5078"/>
    <w:rsid w:val="002F7F1B"/>
    <w:rsid w:val="00347618"/>
    <w:rsid w:val="00366233"/>
    <w:rsid w:val="00376685"/>
    <w:rsid w:val="003C3A7F"/>
    <w:rsid w:val="003E41EE"/>
    <w:rsid w:val="0048234A"/>
    <w:rsid w:val="00492583"/>
    <w:rsid w:val="004B6BA0"/>
    <w:rsid w:val="004D621E"/>
    <w:rsid w:val="004F17A7"/>
    <w:rsid w:val="005062B8"/>
    <w:rsid w:val="005577FB"/>
    <w:rsid w:val="00592F9E"/>
    <w:rsid w:val="005C29E9"/>
    <w:rsid w:val="005C397D"/>
    <w:rsid w:val="005D6874"/>
    <w:rsid w:val="005E6196"/>
    <w:rsid w:val="005F134D"/>
    <w:rsid w:val="006014D2"/>
    <w:rsid w:val="006024F5"/>
    <w:rsid w:val="00605F3C"/>
    <w:rsid w:val="00687E29"/>
    <w:rsid w:val="006A0F49"/>
    <w:rsid w:val="006D0ADB"/>
    <w:rsid w:val="00723AA5"/>
    <w:rsid w:val="00737877"/>
    <w:rsid w:val="00737CC9"/>
    <w:rsid w:val="0074766B"/>
    <w:rsid w:val="0079302F"/>
    <w:rsid w:val="00797E7B"/>
    <w:rsid w:val="007B250E"/>
    <w:rsid w:val="00823B31"/>
    <w:rsid w:val="00825D63"/>
    <w:rsid w:val="00830A44"/>
    <w:rsid w:val="00842F6E"/>
    <w:rsid w:val="008A40E7"/>
    <w:rsid w:val="008A450B"/>
    <w:rsid w:val="008F76F4"/>
    <w:rsid w:val="00932E16"/>
    <w:rsid w:val="0093643E"/>
    <w:rsid w:val="00945DFB"/>
    <w:rsid w:val="00964ADB"/>
    <w:rsid w:val="009976AA"/>
    <w:rsid w:val="009D08C3"/>
    <w:rsid w:val="00A421BF"/>
    <w:rsid w:val="00A86A83"/>
    <w:rsid w:val="00AC58F5"/>
    <w:rsid w:val="00AC5FF0"/>
    <w:rsid w:val="00AC7240"/>
    <w:rsid w:val="00B10DB3"/>
    <w:rsid w:val="00B1735F"/>
    <w:rsid w:val="00B31C9F"/>
    <w:rsid w:val="00B4605F"/>
    <w:rsid w:val="00B462AC"/>
    <w:rsid w:val="00B56687"/>
    <w:rsid w:val="00B64AAA"/>
    <w:rsid w:val="00BB18BD"/>
    <w:rsid w:val="00BC57DD"/>
    <w:rsid w:val="00BF233C"/>
    <w:rsid w:val="00C052C6"/>
    <w:rsid w:val="00C23E6D"/>
    <w:rsid w:val="00C42E92"/>
    <w:rsid w:val="00CC3F56"/>
    <w:rsid w:val="00CD1425"/>
    <w:rsid w:val="00CF4EFB"/>
    <w:rsid w:val="00D126C2"/>
    <w:rsid w:val="00D24ACD"/>
    <w:rsid w:val="00D7576A"/>
    <w:rsid w:val="00DA0A57"/>
    <w:rsid w:val="00DA2D2E"/>
    <w:rsid w:val="00DC63AE"/>
    <w:rsid w:val="00E022B0"/>
    <w:rsid w:val="00E54437"/>
    <w:rsid w:val="00E7034E"/>
    <w:rsid w:val="00E91D7E"/>
    <w:rsid w:val="00EC15E4"/>
    <w:rsid w:val="00EE3012"/>
    <w:rsid w:val="00F0623B"/>
    <w:rsid w:val="00F16254"/>
    <w:rsid w:val="00F32734"/>
    <w:rsid w:val="00F528EE"/>
    <w:rsid w:val="00F567B9"/>
    <w:rsid w:val="00F67B8A"/>
    <w:rsid w:val="00F805F1"/>
    <w:rsid w:val="00F96DE9"/>
    <w:rsid w:val="00FD4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4DE8"/>
  <w15:chartTrackingRefBased/>
  <w15:docId w15:val="{63A8948A-0052-4651-BA8B-77EBE68EC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D7E"/>
  </w:style>
  <w:style w:type="paragraph" w:styleId="Heading1">
    <w:name w:val="heading 1"/>
    <w:basedOn w:val="Normal"/>
    <w:next w:val="Normal"/>
    <w:link w:val="Heading1Char"/>
    <w:uiPriority w:val="9"/>
    <w:qFormat/>
    <w:rsid w:val="005F13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3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3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3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3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3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3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3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3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3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34D"/>
    <w:rPr>
      <w:rFonts w:eastAsiaTheme="majorEastAsia" w:cstheme="majorBidi"/>
      <w:color w:val="272727" w:themeColor="text1" w:themeTint="D8"/>
    </w:rPr>
  </w:style>
  <w:style w:type="paragraph" w:styleId="Title">
    <w:name w:val="Title"/>
    <w:basedOn w:val="Normal"/>
    <w:next w:val="Normal"/>
    <w:link w:val="TitleChar"/>
    <w:uiPriority w:val="10"/>
    <w:qFormat/>
    <w:rsid w:val="005F1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34D"/>
    <w:pPr>
      <w:spacing w:before="160"/>
      <w:jc w:val="center"/>
    </w:pPr>
    <w:rPr>
      <w:i/>
      <w:iCs/>
      <w:color w:val="404040" w:themeColor="text1" w:themeTint="BF"/>
    </w:rPr>
  </w:style>
  <w:style w:type="character" w:customStyle="1" w:styleId="QuoteChar">
    <w:name w:val="Quote Char"/>
    <w:basedOn w:val="DefaultParagraphFont"/>
    <w:link w:val="Quote"/>
    <w:uiPriority w:val="29"/>
    <w:rsid w:val="005F134D"/>
    <w:rPr>
      <w:i/>
      <w:iCs/>
      <w:color w:val="404040" w:themeColor="text1" w:themeTint="BF"/>
    </w:rPr>
  </w:style>
  <w:style w:type="paragraph" w:styleId="ListParagraph">
    <w:name w:val="List Paragraph"/>
    <w:basedOn w:val="Normal"/>
    <w:uiPriority w:val="34"/>
    <w:qFormat/>
    <w:rsid w:val="005F134D"/>
    <w:pPr>
      <w:ind w:left="720"/>
      <w:contextualSpacing/>
    </w:pPr>
  </w:style>
  <w:style w:type="character" w:styleId="IntenseEmphasis">
    <w:name w:val="Intense Emphasis"/>
    <w:basedOn w:val="DefaultParagraphFont"/>
    <w:uiPriority w:val="21"/>
    <w:qFormat/>
    <w:rsid w:val="005F134D"/>
    <w:rPr>
      <w:i/>
      <w:iCs/>
      <w:color w:val="0F4761" w:themeColor="accent1" w:themeShade="BF"/>
    </w:rPr>
  </w:style>
  <w:style w:type="paragraph" w:styleId="IntenseQuote">
    <w:name w:val="Intense Quote"/>
    <w:basedOn w:val="Normal"/>
    <w:next w:val="Normal"/>
    <w:link w:val="IntenseQuoteChar"/>
    <w:uiPriority w:val="30"/>
    <w:qFormat/>
    <w:rsid w:val="005F13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34D"/>
    <w:rPr>
      <w:i/>
      <w:iCs/>
      <w:color w:val="0F4761" w:themeColor="accent1" w:themeShade="BF"/>
    </w:rPr>
  </w:style>
  <w:style w:type="character" w:styleId="IntenseReference">
    <w:name w:val="Intense Reference"/>
    <w:basedOn w:val="DefaultParagraphFont"/>
    <w:uiPriority w:val="32"/>
    <w:qFormat/>
    <w:rsid w:val="005F134D"/>
    <w:rPr>
      <w:b/>
      <w:bCs/>
      <w:smallCaps/>
      <w:color w:val="0F4761" w:themeColor="accent1" w:themeShade="BF"/>
      <w:spacing w:val="5"/>
    </w:rPr>
  </w:style>
  <w:style w:type="character" w:styleId="Hyperlink">
    <w:name w:val="Hyperlink"/>
    <w:basedOn w:val="DefaultParagraphFont"/>
    <w:uiPriority w:val="99"/>
    <w:unhideWhenUsed/>
    <w:rsid w:val="008A450B"/>
    <w:rPr>
      <w:color w:val="467886" w:themeColor="hyperlink"/>
      <w:u w:val="single"/>
    </w:rPr>
  </w:style>
  <w:style w:type="character" w:styleId="UnresolvedMention">
    <w:name w:val="Unresolved Mention"/>
    <w:basedOn w:val="DefaultParagraphFont"/>
    <w:uiPriority w:val="99"/>
    <w:semiHidden/>
    <w:unhideWhenUsed/>
    <w:rsid w:val="008A450B"/>
    <w:rPr>
      <w:color w:val="605E5C"/>
      <w:shd w:val="clear" w:color="auto" w:fill="E1DFDD"/>
    </w:rPr>
  </w:style>
  <w:style w:type="character" w:styleId="FollowedHyperlink">
    <w:name w:val="FollowedHyperlink"/>
    <w:basedOn w:val="DefaultParagraphFont"/>
    <w:uiPriority w:val="99"/>
    <w:semiHidden/>
    <w:unhideWhenUsed/>
    <w:rsid w:val="00F32734"/>
    <w:rPr>
      <w:color w:val="96607D" w:themeColor="followedHyperlink"/>
      <w:u w:val="single"/>
    </w:rPr>
  </w:style>
  <w:style w:type="paragraph" w:styleId="NormalWeb">
    <w:name w:val="Normal (Web)"/>
    <w:basedOn w:val="Normal"/>
    <w:uiPriority w:val="99"/>
    <w:semiHidden/>
    <w:unhideWhenUsed/>
    <w:rsid w:val="007476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4766B"/>
    <w:rPr>
      <w:b/>
      <w:bCs/>
    </w:rPr>
  </w:style>
  <w:style w:type="character" w:styleId="Emphasis">
    <w:name w:val="Emphasis"/>
    <w:basedOn w:val="DefaultParagraphFont"/>
    <w:uiPriority w:val="20"/>
    <w:qFormat/>
    <w:rsid w:val="0074766B"/>
    <w:rPr>
      <w:i/>
      <w:iCs/>
    </w:rPr>
  </w:style>
  <w:style w:type="paragraph" w:styleId="TOCHeading">
    <w:name w:val="TOC Heading"/>
    <w:basedOn w:val="Heading1"/>
    <w:next w:val="Normal"/>
    <w:uiPriority w:val="39"/>
    <w:unhideWhenUsed/>
    <w:qFormat/>
    <w:rsid w:val="00723A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23A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505916">
      <w:bodyDiv w:val="1"/>
      <w:marLeft w:val="0"/>
      <w:marRight w:val="0"/>
      <w:marTop w:val="0"/>
      <w:marBottom w:val="0"/>
      <w:divBdr>
        <w:top w:val="none" w:sz="0" w:space="0" w:color="auto"/>
        <w:left w:val="none" w:sz="0" w:space="0" w:color="auto"/>
        <w:bottom w:val="none" w:sz="0" w:space="0" w:color="auto"/>
        <w:right w:val="none" w:sz="0" w:space="0" w:color="auto"/>
      </w:divBdr>
      <w:divsChild>
        <w:div w:id="574048526">
          <w:marLeft w:val="0"/>
          <w:marRight w:val="0"/>
          <w:marTop w:val="0"/>
          <w:marBottom w:val="0"/>
          <w:divBdr>
            <w:top w:val="none" w:sz="0" w:space="0" w:color="auto"/>
            <w:left w:val="none" w:sz="0" w:space="0" w:color="auto"/>
            <w:bottom w:val="none" w:sz="0" w:space="0" w:color="auto"/>
            <w:right w:val="none" w:sz="0" w:space="0" w:color="auto"/>
          </w:divBdr>
          <w:divsChild>
            <w:div w:id="1994139688">
              <w:marLeft w:val="0"/>
              <w:marRight w:val="0"/>
              <w:marTop w:val="0"/>
              <w:marBottom w:val="0"/>
              <w:divBdr>
                <w:top w:val="none" w:sz="0" w:space="0" w:color="auto"/>
                <w:left w:val="none" w:sz="0" w:space="0" w:color="auto"/>
                <w:bottom w:val="none" w:sz="0" w:space="0" w:color="auto"/>
                <w:right w:val="none" w:sz="0" w:space="0" w:color="auto"/>
              </w:divBdr>
              <w:divsChild>
                <w:div w:id="204598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D39196-BF53-4660-86BB-23FF37D7C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2825</Words>
  <Characters>16105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3</cp:revision>
  <dcterms:created xsi:type="dcterms:W3CDTF">2026-08-03T11:14:00Z</dcterms:created>
  <dcterms:modified xsi:type="dcterms:W3CDTF">2026-08-03T11:15:00Z</dcterms:modified>
</cp:coreProperties>
</file>