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A6047" w14:textId="77777777" w:rsidR="00484CE8" w:rsidRPr="000853B2" w:rsidRDefault="00484CE8" w:rsidP="00D87F62">
      <w:pPr>
        <w:rPr>
          <w:rFonts w:cs="Arial"/>
          <w:b/>
          <w:bCs/>
          <w:sz w:val="24"/>
          <w:szCs w:val="24"/>
        </w:rPr>
      </w:pPr>
    </w:p>
    <w:p w14:paraId="132FEE63" w14:textId="1A17692B" w:rsidR="005D2B11" w:rsidRPr="000853B2" w:rsidRDefault="005D2B11" w:rsidP="00D87F62">
      <w:pPr>
        <w:rPr>
          <w:rFonts w:cs="Arial"/>
          <w:b/>
          <w:bCs/>
          <w:sz w:val="24"/>
          <w:szCs w:val="24"/>
        </w:rPr>
      </w:pPr>
      <w:r w:rsidRPr="000853B2">
        <w:rPr>
          <w:rFonts w:cs="Arial"/>
          <w:b/>
          <w:bCs/>
          <w:sz w:val="24"/>
          <w:szCs w:val="24"/>
        </w:rPr>
        <w:t xml:space="preserve">University </w:t>
      </w:r>
      <w:r w:rsidR="00BA7A2A" w:rsidRPr="000853B2">
        <w:rPr>
          <w:rFonts w:cs="Arial"/>
          <w:b/>
          <w:bCs/>
          <w:sz w:val="24"/>
          <w:szCs w:val="24"/>
        </w:rPr>
        <w:t>of Wales Trinity Saint David</w:t>
      </w:r>
      <w:r w:rsidRPr="000853B2">
        <w:rPr>
          <w:rFonts w:cs="Arial"/>
          <w:b/>
          <w:bCs/>
          <w:sz w:val="24"/>
          <w:szCs w:val="24"/>
        </w:rPr>
        <w:t xml:space="preserve"> +</w:t>
      </w:r>
      <w:r w:rsidR="00BA7A2A" w:rsidRPr="000853B2">
        <w:rPr>
          <w:rFonts w:cs="Arial"/>
          <w:b/>
          <w:bCs/>
          <w:sz w:val="24"/>
          <w:szCs w:val="24"/>
        </w:rPr>
        <w:t xml:space="preserve"> Quay Place</w:t>
      </w:r>
      <w:r w:rsidRPr="000853B2">
        <w:rPr>
          <w:rFonts w:cs="Arial"/>
          <w:b/>
          <w:bCs/>
          <w:sz w:val="24"/>
          <w:szCs w:val="24"/>
        </w:rPr>
        <w:t xml:space="preserve"> Campus</w:t>
      </w:r>
    </w:p>
    <w:p w14:paraId="0873CF39" w14:textId="77777777" w:rsidR="00D4419A" w:rsidRPr="000853B2" w:rsidRDefault="00D4419A" w:rsidP="00BA7A2A">
      <w:pPr>
        <w:rPr>
          <w:rFonts w:cs="Arial"/>
          <w:b/>
          <w:bCs/>
          <w:sz w:val="24"/>
          <w:szCs w:val="24"/>
        </w:rPr>
      </w:pPr>
    </w:p>
    <w:p w14:paraId="6566EE56" w14:textId="77777777" w:rsidR="006062CD" w:rsidRPr="000853B2" w:rsidRDefault="005D2B11" w:rsidP="006062CD">
      <w:pPr>
        <w:rPr>
          <w:rFonts w:cs="Arial"/>
          <w:b/>
          <w:bCs/>
          <w:sz w:val="24"/>
          <w:szCs w:val="24"/>
        </w:rPr>
      </w:pPr>
      <w:r w:rsidRPr="000853B2">
        <w:rPr>
          <w:rFonts w:cs="Arial"/>
          <w:b/>
          <w:bCs/>
          <w:sz w:val="24"/>
          <w:szCs w:val="24"/>
        </w:rPr>
        <w:t xml:space="preserve">Course </w:t>
      </w:r>
      <w:r w:rsidR="00BA7A2A" w:rsidRPr="000853B2">
        <w:rPr>
          <w:rFonts w:cs="Arial"/>
          <w:b/>
          <w:bCs/>
          <w:sz w:val="24"/>
          <w:szCs w:val="24"/>
        </w:rPr>
        <w:t xml:space="preserve">Name: Organisational Culture </w:t>
      </w:r>
      <w:r w:rsidR="006062CD" w:rsidRPr="000853B2">
        <w:rPr>
          <w:rFonts w:cs="Arial"/>
          <w:b/>
          <w:bCs/>
          <w:sz w:val="24"/>
          <w:szCs w:val="24"/>
        </w:rPr>
        <w:t>(LCLM5005_BIRM)</w:t>
      </w:r>
    </w:p>
    <w:p w14:paraId="2EBF92BA" w14:textId="77777777" w:rsidR="00D4419A" w:rsidRPr="000853B2" w:rsidRDefault="00D4419A">
      <w:pPr>
        <w:rPr>
          <w:rFonts w:cs="Arial"/>
          <w:b/>
          <w:bCs/>
          <w:sz w:val="24"/>
          <w:szCs w:val="24"/>
        </w:rPr>
      </w:pPr>
    </w:p>
    <w:p w14:paraId="7DFC4132" w14:textId="0E2627E9" w:rsidR="004424B8" w:rsidRPr="000853B2" w:rsidRDefault="00335227">
      <w:pPr>
        <w:rPr>
          <w:rFonts w:cs="Arial"/>
          <w:b/>
          <w:bCs/>
          <w:sz w:val="24"/>
          <w:szCs w:val="24"/>
        </w:rPr>
      </w:pPr>
      <w:r w:rsidRPr="000853B2">
        <w:rPr>
          <w:rFonts w:cs="Arial"/>
          <w:b/>
          <w:bCs/>
          <w:sz w:val="24"/>
          <w:szCs w:val="24"/>
        </w:rPr>
        <w:t xml:space="preserve">Assessment C1: </w:t>
      </w:r>
      <w:r w:rsidR="004424B8" w:rsidRPr="000853B2">
        <w:rPr>
          <w:rFonts w:cs="Arial"/>
          <w:b/>
          <w:bCs/>
          <w:sz w:val="24"/>
          <w:szCs w:val="24"/>
        </w:rPr>
        <w:t>Individual report</w:t>
      </w:r>
      <w:r w:rsidR="00AB345F" w:rsidRPr="000853B2">
        <w:rPr>
          <w:rFonts w:cs="Arial"/>
          <w:b/>
          <w:bCs/>
          <w:sz w:val="24"/>
          <w:szCs w:val="24"/>
        </w:rPr>
        <w:t xml:space="preserve"> </w:t>
      </w:r>
      <w:r w:rsidR="005D2B11" w:rsidRPr="000853B2">
        <w:rPr>
          <w:rFonts w:cs="Arial"/>
          <w:b/>
          <w:bCs/>
          <w:sz w:val="24"/>
          <w:szCs w:val="24"/>
        </w:rPr>
        <w:t xml:space="preserve">on </w:t>
      </w:r>
      <w:r w:rsidR="00BA7A2A" w:rsidRPr="000853B2">
        <w:rPr>
          <w:rFonts w:cs="Arial"/>
          <w:b/>
          <w:bCs/>
          <w:sz w:val="24"/>
          <w:szCs w:val="24"/>
        </w:rPr>
        <w:t xml:space="preserve">Toyota Motor </w:t>
      </w:r>
      <w:r w:rsidR="00D4419A" w:rsidRPr="000853B2">
        <w:rPr>
          <w:rFonts w:cs="Arial"/>
          <w:b/>
          <w:bCs/>
          <w:sz w:val="24"/>
          <w:szCs w:val="24"/>
        </w:rPr>
        <w:t>Corporation</w:t>
      </w:r>
    </w:p>
    <w:p w14:paraId="22C57177" w14:textId="77777777" w:rsidR="004424B8" w:rsidRPr="000853B2" w:rsidRDefault="004424B8"/>
    <w:p w14:paraId="14CDED9D" w14:textId="77777777" w:rsidR="00D4419A" w:rsidRPr="000853B2" w:rsidRDefault="00D4419A"/>
    <w:p w14:paraId="34CB951C" w14:textId="066CBE51" w:rsidR="005D44EA" w:rsidRPr="000853B2" w:rsidRDefault="00AB345F">
      <w:pPr>
        <w:rPr>
          <w:rFonts w:cs="Arial"/>
          <w:sz w:val="24"/>
          <w:szCs w:val="24"/>
        </w:rPr>
      </w:pPr>
      <w:r w:rsidRPr="000853B2">
        <w:rPr>
          <w:rFonts w:cs="Arial"/>
          <w:sz w:val="24"/>
          <w:szCs w:val="24"/>
        </w:rPr>
        <w:t xml:space="preserve">Student Name: </w:t>
      </w:r>
      <w:r w:rsidR="00D4419A" w:rsidRPr="000853B2">
        <w:rPr>
          <w:rFonts w:cs="Arial"/>
          <w:sz w:val="24"/>
          <w:szCs w:val="24"/>
        </w:rPr>
        <w:t>Razvan Pojar</w:t>
      </w:r>
    </w:p>
    <w:p w14:paraId="0124223A" w14:textId="0438C05A" w:rsidR="005D44EA" w:rsidRPr="000853B2" w:rsidRDefault="00AB345F">
      <w:pPr>
        <w:rPr>
          <w:rFonts w:cs="Arial"/>
          <w:sz w:val="24"/>
          <w:szCs w:val="24"/>
        </w:rPr>
      </w:pPr>
      <w:r w:rsidRPr="000853B2">
        <w:rPr>
          <w:rFonts w:cs="Arial"/>
          <w:sz w:val="24"/>
          <w:szCs w:val="24"/>
        </w:rPr>
        <w:t xml:space="preserve">Student ID: </w:t>
      </w:r>
      <w:r w:rsidR="00D4419A" w:rsidRPr="000853B2">
        <w:rPr>
          <w:rFonts w:cs="Arial"/>
          <w:sz w:val="24"/>
          <w:szCs w:val="24"/>
        </w:rPr>
        <w:t>2423339</w:t>
      </w:r>
    </w:p>
    <w:p w14:paraId="6241B062" w14:textId="047AF0EF" w:rsidR="005D44EA" w:rsidRPr="000853B2" w:rsidRDefault="00AB345F">
      <w:pPr>
        <w:rPr>
          <w:rFonts w:cs="Arial"/>
          <w:sz w:val="24"/>
          <w:szCs w:val="24"/>
        </w:rPr>
      </w:pPr>
      <w:r w:rsidRPr="000853B2">
        <w:rPr>
          <w:rFonts w:cs="Arial"/>
          <w:sz w:val="24"/>
          <w:szCs w:val="24"/>
        </w:rPr>
        <w:t>Module: LCLM 5005</w:t>
      </w:r>
      <w:r w:rsidR="00D4419A" w:rsidRPr="000853B2">
        <w:rPr>
          <w:rFonts w:cs="Arial"/>
          <w:sz w:val="24"/>
          <w:szCs w:val="24"/>
        </w:rPr>
        <w:t>_BIRM –</w:t>
      </w:r>
      <w:r w:rsidRPr="000853B2">
        <w:rPr>
          <w:rFonts w:cs="Arial"/>
          <w:sz w:val="24"/>
          <w:szCs w:val="24"/>
        </w:rPr>
        <w:t xml:space="preserve"> Organisational Culture</w:t>
      </w:r>
    </w:p>
    <w:p w14:paraId="5AC90439" w14:textId="464577A5" w:rsidR="00D0174D" w:rsidRPr="000853B2" w:rsidRDefault="00D0174D">
      <w:pPr>
        <w:rPr>
          <w:rFonts w:cs="Arial"/>
          <w:sz w:val="24"/>
          <w:szCs w:val="24"/>
        </w:rPr>
      </w:pPr>
      <w:r w:rsidRPr="000853B2">
        <w:rPr>
          <w:rFonts w:cs="Arial"/>
          <w:sz w:val="24"/>
          <w:szCs w:val="24"/>
        </w:rPr>
        <w:t xml:space="preserve">Lecturer Name: Taonga Kaonga </w:t>
      </w:r>
      <w:proofErr w:type="spellStart"/>
      <w:r w:rsidRPr="000853B2">
        <w:rPr>
          <w:rFonts w:cs="Arial"/>
          <w:sz w:val="24"/>
          <w:szCs w:val="24"/>
        </w:rPr>
        <w:t>Sobere-Snithens</w:t>
      </w:r>
      <w:proofErr w:type="spellEnd"/>
    </w:p>
    <w:p w14:paraId="0D188AFA" w14:textId="2F6C01AA" w:rsidR="005D44EA" w:rsidRPr="000853B2" w:rsidRDefault="00AB345F">
      <w:pPr>
        <w:rPr>
          <w:rFonts w:cs="Arial"/>
          <w:sz w:val="24"/>
          <w:szCs w:val="24"/>
        </w:rPr>
      </w:pPr>
      <w:r w:rsidRPr="000853B2">
        <w:rPr>
          <w:rFonts w:cs="Arial"/>
          <w:sz w:val="24"/>
          <w:szCs w:val="24"/>
        </w:rPr>
        <w:t>Word Count:</w:t>
      </w:r>
      <w:r w:rsidR="006062CD" w:rsidRPr="000853B2">
        <w:rPr>
          <w:rFonts w:cs="Arial"/>
          <w:sz w:val="24"/>
          <w:szCs w:val="24"/>
        </w:rPr>
        <w:t xml:space="preserve"> </w:t>
      </w:r>
      <w:r w:rsidR="00B733DB">
        <w:rPr>
          <w:rFonts w:cs="Arial"/>
          <w:sz w:val="24"/>
          <w:szCs w:val="24"/>
        </w:rPr>
        <w:t xml:space="preserve">2956 </w:t>
      </w:r>
      <w:r w:rsidR="006062CD" w:rsidRPr="000853B2">
        <w:rPr>
          <w:rFonts w:cs="Arial"/>
          <w:sz w:val="24"/>
          <w:szCs w:val="24"/>
        </w:rPr>
        <w:t>words</w:t>
      </w:r>
    </w:p>
    <w:p w14:paraId="019862EE" w14:textId="68479CCF" w:rsidR="005D44EA" w:rsidRPr="000853B2" w:rsidRDefault="00AB345F">
      <w:pPr>
        <w:rPr>
          <w:rFonts w:cs="Arial"/>
          <w:sz w:val="24"/>
          <w:szCs w:val="24"/>
        </w:rPr>
      </w:pPr>
      <w:r w:rsidRPr="000853B2">
        <w:rPr>
          <w:rFonts w:cs="Arial"/>
          <w:sz w:val="24"/>
          <w:szCs w:val="24"/>
        </w:rPr>
        <w:t>Submission Date:</w:t>
      </w:r>
      <w:r w:rsidR="00561B84">
        <w:rPr>
          <w:rFonts w:cs="Arial"/>
          <w:sz w:val="24"/>
          <w:szCs w:val="24"/>
        </w:rPr>
        <w:t xml:space="preserve"> 22.10.2026</w:t>
      </w:r>
    </w:p>
    <w:p w14:paraId="6CE8C176" w14:textId="77777777" w:rsidR="004424B8" w:rsidRPr="000853B2" w:rsidRDefault="004424B8"/>
    <w:p w14:paraId="58AE3FD7" w14:textId="77777777" w:rsidR="004424B8" w:rsidRPr="000853B2" w:rsidRDefault="004424B8"/>
    <w:p w14:paraId="7399405D" w14:textId="77777777" w:rsidR="004424B8" w:rsidRPr="000853B2" w:rsidRDefault="004424B8"/>
    <w:p w14:paraId="1B452BDE" w14:textId="77777777" w:rsidR="004424B8" w:rsidRPr="000853B2" w:rsidRDefault="004424B8"/>
    <w:p w14:paraId="218610D5" w14:textId="77777777" w:rsidR="004424B8" w:rsidRPr="000853B2" w:rsidRDefault="004424B8"/>
    <w:p w14:paraId="3C0AB100" w14:textId="77777777" w:rsidR="004424B8" w:rsidRPr="000853B2" w:rsidRDefault="004424B8"/>
    <w:p w14:paraId="6C84F5C7" w14:textId="77777777" w:rsidR="004424B8" w:rsidRPr="000853B2" w:rsidRDefault="004424B8"/>
    <w:p w14:paraId="7C9B525E" w14:textId="77777777" w:rsidR="004424B8" w:rsidRPr="000853B2" w:rsidRDefault="004424B8"/>
    <w:p w14:paraId="292E48F5" w14:textId="77777777" w:rsidR="004424B8" w:rsidRPr="000853B2" w:rsidRDefault="004424B8"/>
    <w:p w14:paraId="0E8619BB" w14:textId="77777777" w:rsidR="004424B8" w:rsidRPr="000853B2" w:rsidRDefault="004424B8"/>
    <w:p w14:paraId="01F00A4F" w14:textId="77777777" w:rsidR="00027FDE" w:rsidRPr="000853B2" w:rsidRDefault="00027FDE" w:rsidP="00FE5325"/>
    <w:p w14:paraId="3DCE9F24" w14:textId="77777777" w:rsidR="00484CE8" w:rsidRPr="000853B2" w:rsidRDefault="00484CE8" w:rsidP="005A1C98">
      <w:pPr>
        <w:rPr>
          <w:rFonts w:cs="Arial"/>
          <w:b/>
          <w:bCs/>
          <w:sz w:val="24"/>
          <w:szCs w:val="24"/>
        </w:rPr>
      </w:pPr>
    </w:p>
    <w:p w14:paraId="5743E154" w14:textId="77777777" w:rsidR="00484CE8" w:rsidRPr="000853B2" w:rsidRDefault="00484CE8" w:rsidP="005A1C98">
      <w:pPr>
        <w:rPr>
          <w:rFonts w:cs="Arial"/>
          <w:b/>
          <w:bCs/>
          <w:sz w:val="24"/>
          <w:szCs w:val="24"/>
        </w:rPr>
      </w:pPr>
    </w:p>
    <w:p w14:paraId="3E23C268" w14:textId="77777777" w:rsidR="00484CE8" w:rsidRPr="000853B2" w:rsidRDefault="00484CE8" w:rsidP="005A1C98">
      <w:pPr>
        <w:rPr>
          <w:rFonts w:cs="Arial"/>
          <w:b/>
          <w:bCs/>
          <w:sz w:val="24"/>
          <w:szCs w:val="24"/>
        </w:rPr>
      </w:pPr>
    </w:p>
    <w:p w14:paraId="1B432A4F" w14:textId="77777777" w:rsidR="00484CE8" w:rsidRPr="000853B2" w:rsidRDefault="00484CE8" w:rsidP="005A1C98">
      <w:pPr>
        <w:rPr>
          <w:rFonts w:cs="Arial"/>
          <w:b/>
          <w:bCs/>
          <w:sz w:val="24"/>
          <w:szCs w:val="24"/>
        </w:rPr>
      </w:pPr>
    </w:p>
    <w:p w14:paraId="022FB070" w14:textId="7CE5E9B1" w:rsidR="004424B8" w:rsidRPr="000853B2" w:rsidRDefault="00AB345F" w:rsidP="005A1C98">
      <w:pPr>
        <w:rPr>
          <w:rFonts w:cs="Arial"/>
          <w:b/>
          <w:bCs/>
        </w:rPr>
      </w:pPr>
      <w:r w:rsidRPr="000853B2">
        <w:rPr>
          <w:rFonts w:cs="Arial"/>
          <w:b/>
          <w:bCs/>
        </w:rPr>
        <w:t>Table of Contents</w:t>
      </w:r>
    </w:p>
    <w:p w14:paraId="7212E3D5" w14:textId="074FD2E3" w:rsidR="005A1C98" w:rsidRPr="000853B2" w:rsidRDefault="005A1C98" w:rsidP="005A1C98">
      <w:pPr>
        <w:rPr>
          <w:rFonts w:cs="Arial"/>
          <w:b/>
          <w:bCs/>
        </w:rPr>
      </w:pPr>
      <w:r w:rsidRPr="000853B2">
        <w:rPr>
          <w:rFonts w:cs="Arial"/>
          <w:b/>
          <w:bCs/>
        </w:rPr>
        <w:t>Introduction</w:t>
      </w:r>
      <w:r w:rsidR="00DA188E" w:rsidRPr="000853B2">
        <w:rPr>
          <w:rFonts w:cs="Arial"/>
          <w:b/>
          <w:bCs/>
        </w:rPr>
        <w:t xml:space="preserve"> ………………………………………………………………………</w:t>
      </w:r>
      <w:proofErr w:type="gramStart"/>
      <w:r w:rsidR="00DA188E" w:rsidRPr="000853B2">
        <w:rPr>
          <w:rFonts w:cs="Arial"/>
          <w:b/>
          <w:bCs/>
        </w:rPr>
        <w:t>…..</w:t>
      </w:r>
      <w:proofErr w:type="gramEnd"/>
      <w:r w:rsidR="00DA188E" w:rsidRPr="000853B2">
        <w:rPr>
          <w:rFonts w:cs="Arial"/>
          <w:b/>
          <w:bCs/>
        </w:rPr>
        <w:t>3</w:t>
      </w:r>
    </w:p>
    <w:p w14:paraId="04141114" w14:textId="60FB80E3" w:rsidR="005A1C98" w:rsidRPr="000853B2" w:rsidRDefault="005A1C98" w:rsidP="005A1C98">
      <w:pPr>
        <w:rPr>
          <w:rFonts w:cs="Arial"/>
          <w:b/>
          <w:bCs/>
        </w:rPr>
      </w:pPr>
      <w:r w:rsidRPr="000853B2">
        <w:rPr>
          <w:rFonts w:cs="Arial"/>
          <w:b/>
          <w:bCs/>
        </w:rPr>
        <w:t>Organisational Culture of Toyota</w:t>
      </w:r>
      <w:r w:rsidR="00DA188E" w:rsidRPr="000853B2">
        <w:rPr>
          <w:rFonts w:cs="Arial"/>
          <w:b/>
          <w:bCs/>
        </w:rPr>
        <w:t xml:space="preserve"> Motors Corporation …………</w:t>
      </w:r>
      <w:r w:rsidR="0074777B" w:rsidRPr="000853B2">
        <w:rPr>
          <w:rFonts w:cs="Arial"/>
          <w:b/>
          <w:bCs/>
        </w:rPr>
        <w:t>………….</w:t>
      </w:r>
      <w:r w:rsidR="00DA188E" w:rsidRPr="000853B2">
        <w:rPr>
          <w:rFonts w:cs="Arial"/>
          <w:b/>
          <w:bCs/>
        </w:rPr>
        <w:t>…</w:t>
      </w:r>
      <w:r w:rsidR="00997F2A" w:rsidRPr="000853B2">
        <w:rPr>
          <w:rFonts w:cs="Arial"/>
          <w:b/>
          <w:bCs/>
        </w:rPr>
        <w:t>3</w:t>
      </w:r>
    </w:p>
    <w:p w14:paraId="0C696D6D" w14:textId="7447E4F5" w:rsidR="005A1C98" w:rsidRPr="000853B2" w:rsidRDefault="005A1C98" w:rsidP="005A1C98">
      <w:pPr>
        <w:rPr>
          <w:rFonts w:cs="Arial"/>
          <w:b/>
          <w:bCs/>
        </w:rPr>
      </w:pPr>
      <w:r w:rsidRPr="000853B2">
        <w:rPr>
          <w:rFonts w:cs="Arial"/>
          <w:b/>
          <w:bCs/>
        </w:rPr>
        <w:t>Influence of Culture on Structure and Decision-Making</w:t>
      </w:r>
      <w:r w:rsidR="00DA188E" w:rsidRPr="000853B2">
        <w:rPr>
          <w:rFonts w:cs="Arial"/>
          <w:b/>
          <w:bCs/>
        </w:rPr>
        <w:t xml:space="preserve"> ………</w:t>
      </w:r>
      <w:r w:rsidR="0074777B" w:rsidRPr="000853B2">
        <w:rPr>
          <w:rFonts w:cs="Arial"/>
          <w:b/>
          <w:bCs/>
        </w:rPr>
        <w:t>………</w:t>
      </w:r>
      <w:proofErr w:type="gramStart"/>
      <w:r w:rsidR="0074777B" w:rsidRPr="000853B2">
        <w:rPr>
          <w:rFonts w:cs="Arial"/>
          <w:b/>
          <w:bCs/>
        </w:rPr>
        <w:t>…..</w:t>
      </w:r>
      <w:proofErr w:type="gramEnd"/>
      <w:r w:rsidR="00DA188E" w:rsidRPr="000853B2">
        <w:rPr>
          <w:rFonts w:cs="Arial"/>
          <w:b/>
          <w:bCs/>
        </w:rPr>
        <w:t>…</w:t>
      </w:r>
      <w:r w:rsidR="00997F2A" w:rsidRPr="000853B2">
        <w:rPr>
          <w:rFonts w:cs="Arial"/>
          <w:b/>
          <w:bCs/>
        </w:rPr>
        <w:t>4</w:t>
      </w:r>
    </w:p>
    <w:p w14:paraId="5A2D4EEC" w14:textId="06B366CD" w:rsidR="005A1C98" w:rsidRPr="000853B2" w:rsidRDefault="005A1C98" w:rsidP="005A1C98">
      <w:pPr>
        <w:rPr>
          <w:rFonts w:cs="Arial"/>
          <w:b/>
          <w:bCs/>
        </w:rPr>
      </w:pPr>
      <w:r w:rsidRPr="000853B2">
        <w:rPr>
          <w:rFonts w:cs="Arial"/>
          <w:b/>
          <w:bCs/>
        </w:rPr>
        <w:t>Identifying Cultural Types: Models and Frameworks</w:t>
      </w:r>
      <w:r w:rsidR="00DA188E" w:rsidRPr="000853B2">
        <w:rPr>
          <w:rFonts w:cs="Arial"/>
          <w:b/>
          <w:bCs/>
        </w:rPr>
        <w:t xml:space="preserve"> ………</w:t>
      </w:r>
      <w:r w:rsidR="0074777B" w:rsidRPr="000853B2">
        <w:rPr>
          <w:rFonts w:cs="Arial"/>
          <w:b/>
          <w:bCs/>
        </w:rPr>
        <w:t>………….</w:t>
      </w:r>
      <w:r w:rsidR="00DA188E" w:rsidRPr="000853B2">
        <w:rPr>
          <w:rFonts w:cs="Arial"/>
          <w:b/>
          <w:bCs/>
        </w:rPr>
        <w:t>…</w:t>
      </w:r>
      <w:proofErr w:type="gramStart"/>
      <w:r w:rsidR="00DA188E" w:rsidRPr="000853B2">
        <w:rPr>
          <w:rFonts w:cs="Arial"/>
          <w:b/>
          <w:bCs/>
        </w:rPr>
        <w:t>…..</w:t>
      </w:r>
      <w:proofErr w:type="gramEnd"/>
      <w:r w:rsidR="00484CE8" w:rsidRPr="000853B2">
        <w:rPr>
          <w:rFonts w:cs="Arial"/>
          <w:b/>
          <w:bCs/>
        </w:rPr>
        <w:t>5</w:t>
      </w:r>
    </w:p>
    <w:p w14:paraId="1C8B17EE" w14:textId="1C158BFA" w:rsidR="005A1C98" w:rsidRPr="000853B2" w:rsidRDefault="005A1C98" w:rsidP="005A1C98">
      <w:pPr>
        <w:rPr>
          <w:rFonts w:cs="Arial"/>
          <w:b/>
          <w:bCs/>
        </w:rPr>
      </w:pPr>
      <w:r w:rsidRPr="000853B2">
        <w:rPr>
          <w:rFonts w:cs="Arial"/>
          <w:b/>
          <w:bCs/>
        </w:rPr>
        <w:t>Culture and the External Environment</w:t>
      </w:r>
      <w:r w:rsidR="00DA188E" w:rsidRPr="000853B2">
        <w:rPr>
          <w:rFonts w:cs="Arial"/>
          <w:b/>
          <w:bCs/>
        </w:rPr>
        <w:t xml:space="preserve"> ………………………</w:t>
      </w:r>
      <w:r w:rsidR="0074777B" w:rsidRPr="000853B2">
        <w:rPr>
          <w:rFonts w:cs="Arial"/>
          <w:b/>
          <w:bCs/>
        </w:rPr>
        <w:t>……...</w:t>
      </w:r>
      <w:r w:rsidR="00DA188E" w:rsidRPr="000853B2">
        <w:rPr>
          <w:rFonts w:cs="Arial"/>
          <w:b/>
          <w:bCs/>
        </w:rPr>
        <w:t>………</w:t>
      </w:r>
      <w:proofErr w:type="gramStart"/>
      <w:r w:rsidR="00DA188E" w:rsidRPr="000853B2">
        <w:rPr>
          <w:rFonts w:cs="Arial"/>
          <w:b/>
          <w:bCs/>
        </w:rPr>
        <w:t>…..</w:t>
      </w:r>
      <w:proofErr w:type="gramEnd"/>
      <w:r w:rsidR="009A30C1">
        <w:rPr>
          <w:rFonts w:cs="Arial"/>
          <w:b/>
          <w:bCs/>
        </w:rPr>
        <w:t>7</w:t>
      </w:r>
    </w:p>
    <w:p w14:paraId="26DD5A63" w14:textId="49A73CFE" w:rsidR="005A1C98" w:rsidRPr="000853B2" w:rsidRDefault="005A1C98" w:rsidP="005A1C98">
      <w:pPr>
        <w:rPr>
          <w:rFonts w:cs="Arial"/>
          <w:b/>
          <w:bCs/>
        </w:rPr>
      </w:pPr>
      <w:r w:rsidRPr="000853B2">
        <w:rPr>
          <w:rFonts w:cs="Arial"/>
          <w:b/>
          <w:bCs/>
        </w:rPr>
        <w:t>Organisational Culture as a Barrier</w:t>
      </w:r>
      <w:r w:rsidR="00DA188E" w:rsidRPr="000853B2">
        <w:rPr>
          <w:rFonts w:cs="Arial"/>
          <w:b/>
          <w:bCs/>
        </w:rPr>
        <w:t xml:space="preserve"> …………………………</w:t>
      </w:r>
      <w:r w:rsidR="0074777B" w:rsidRPr="000853B2">
        <w:rPr>
          <w:rFonts w:cs="Arial"/>
          <w:b/>
          <w:bCs/>
        </w:rPr>
        <w:t>……</w:t>
      </w:r>
      <w:r w:rsidR="00DA188E" w:rsidRPr="000853B2">
        <w:rPr>
          <w:rFonts w:cs="Arial"/>
          <w:b/>
          <w:bCs/>
        </w:rPr>
        <w:t>……………</w:t>
      </w:r>
      <w:r w:rsidR="005D67D4" w:rsidRPr="000853B2">
        <w:rPr>
          <w:rFonts w:cs="Arial"/>
          <w:b/>
          <w:bCs/>
        </w:rPr>
        <w:t>...7</w:t>
      </w:r>
    </w:p>
    <w:p w14:paraId="7B47B848" w14:textId="1A2890BF" w:rsidR="005A1C98" w:rsidRPr="000853B2" w:rsidRDefault="005A1C98" w:rsidP="005A1C98">
      <w:pPr>
        <w:rPr>
          <w:rFonts w:cs="Arial"/>
          <w:b/>
          <w:bCs/>
        </w:rPr>
      </w:pPr>
      <w:r w:rsidRPr="000853B2">
        <w:rPr>
          <w:rFonts w:cs="Arial"/>
          <w:b/>
          <w:bCs/>
        </w:rPr>
        <w:t>Impact of Culture on Organisational Performance</w:t>
      </w:r>
      <w:r w:rsidR="00DA188E" w:rsidRPr="000853B2">
        <w:rPr>
          <w:rFonts w:cs="Arial"/>
          <w:b/>
          <w:bCs/>
        </w:rPr>
        <w:t xml:space="preserve"> ……</w:t>
      </w:r>
      <w:r w:rsidR="0074777B" w:rsidRPr="000853B2">
        <w:rPr>
          <w:rFonts w:cs="Arial"/>
          <w:b/>
          <w:bCs/>
        </w:rPr>
        <w:t>…………</w:t>
      </w:r>
      <w:r w:rsidR="00DA188E" w:rsidRPr="000853B2">
        <w:rPr>
          <w:rFonts w:cs="Arial"/>
          <w:b/>
          <w:bCs/>
        </w:rPr>
        <w:t>……</w:t>
      </w:r>
      <w:proofErr w:type="gramStart"/>
      <w:r w:rsidR="00DA188E" w:rsidRPr="000853B2">
        <w:rPr>
          <w:rFonts w:cs="Arial"/>
          <w:b/>
          <w:bCs/>
        </w:rPr>
        <w:t>…</w:t>
      </w:r>
      <w:r w:rsidR="000D2692" w:rsidRPr="000853B2">
        <w:rPr>
          <w:rFonts w:cs="Arial"/>
          <w:b/>
          <w:bCs/>
        </w:rPr>
        <w:t>.</w:t>
      </w:r>
      <w:r w:rsidR="00DA188E" w:rsidRPr="000853B2">
        <w:rPr>
          <w:rFonts w:cs="Arial"/>
          <w:b/>
          <w:bCs/>
        </w:rPr>
        <w:t>…</w:t>
      </w:r>
      <w:r w:rsidR="00484CE8" w:rsidRPr="000853B2">
        <w:rPr>
          <w:rFonts w:cs="Arial"/>
          <w:b/>
          <w:bCs/>
        </w:rPr>
        <w:t>..</w:t>
      </w:r>
      <w:proofErr w:type="gramEnd"/>
      <w:r w:rsidR="005D67D4" w:rsidRPr="000853B2">
        <w:rPr>
          <w:rFonts w:cs="Arial"/>
          <w:b/>
          <w:bCs/>
        </w:rPr>
        <w:t>8</w:t>
      </w:r>
    </w:p>
    <w:p w14:paraId="07F8C4CA" w14:textId="3F90677C" w:rsidR="005D67D4" w:rsidRPr="000853B2" w:rsidRDefault="005D67D4" w:rsidP="005A1C98">
      <w:pPr>
        <w:rPr>
          <w:rFonts w:cs="Arial"/>
          <w:b/>
          <w:bCs/>
        </w:rPr>
      </w:pPr>
      <w:r w:rsidRPr="000853B2">
        <w:rPr>
          <w:rFonts w:cs="Arial"/>
          <w:b/>
          <w:bCs/>
        </w:rPr>
        <w:t>Recommendations for Cultural Management ………………………………….9</w:t>
      </w:r>
    </w:p>
    <w:p w14:paraId="535DB6E2" w14:textId="21DEDD8F" w:rsidR="005A1C98" w:rsidRPr="000853B2" w:rsidRDefault="005A1C98" w:rsidP="005A1C98">
      <w:pPr>
        <w:rPr>
          <w:rFonts w:cs="Arial"/>
          <w:b/>
          <w:bCs/>
        </w:rPr>
      </w:pPr>
      <w:r w:rsidRPr="000853B2">
        <w:rPr>
          <w:rFonts w:cs="Arial"/>
          <w:b/>
          <w:bCs/>
        </w:rPr>
        <w:t>Conclusion</w:t>
      </w:r>
      <w:r w:rsidR="00DA188E" w:rsidRPr="000853B2">
        <w:rPr>
          <w:rFonts w:cs="Arial"/>
          <w:b/>
          <w:bCs/>
        </w:rPr>
        <w:t xml:space="preserve"> ……………………………………………</w:t>
      </w:r>
      <w:r w:rsidR="00501867" w:rsidRPr="000853B2">
        <w:rPr>
          <w:rFonts w:cs="Arial"/>
          <w:b/>
          <w:bCs/>
        </w:rPr>
        <w:t>…</w:t>
      </w:r>
      <w:r w:rsidR="00DA188E" w:rsidRPr="000853B2">
        <w:rPr>
          <w:rFonts w:cs="Arial"/>
          <w:b/>
          <w:bCs/>
        </w:rPr>
        <w:t>………………</w:t>
      </w:r>
      <w:r w:rsidR="000D2692" w:rsidRPr="000853B2">
        <w:rPr>
          <w:rFonts w:cs="Arial"/>
          <w:b/>
          <w:bCs/>
        </w:rPr>
        <w:t>.</w:t>
      </w:r>
      <w:r w:rsidR="00DA188E" w:rsidRPr="000853B2">
        <w:rPr>
          <w:rFonts w:cs="Arial"/>
          <w:b/>
          <w:bCs/>
        </w:rPr>
        <w:t>………</w:t>
      </w:r>
      <w:r w:rsidR="005D67D4" w:rsidRPr="000853B2">
        <w:rPr>
          <w:rFonts w:cs="Arial"/>
          <w:b/>
          <w:bCs/>
        </w:rPr>
        <w:t>.</w:t>
      </w:r>
      <w:r w:rsidR="00DA188E" w:rsidRPr="000853B2">
        <w:rPr>
          <w:rFonts w:cs="Arial"/>
          <w:b/>
          <w:bCs/>
        </w:rPr>
        <w:t>…</w:t>
      </w:r>
      <w:r w:rsidR="000D2692" w:rsidRPr="000853B2">
        <w:rPr>
          <w:rFonts w:cs="Arial"/>
          <w:b/>
          <w:bCs/>
        </w:rPr>
        <w:t>1</w:t>
      </w:r>
      <w:r w:rsidR="00484CE8" w:rsidRPr="000853B2">
        <w:rPr>
          <w:rFonts w:cs="Arial"/>
          <w:b/>
          <w:bCs/>
        </w:rPr>
        <w:t>0</w:t>
      </w:r>
    </w:p>
    <w:p w14:paraId="746FD5BC" w14:textId="7DE684CC" w:rsidR="005A1C98" w:rsidRPr="000853B2" w:rsidRDefault="005A1C98" w:rsidP="005A1C98">
      <w:pPr>
        <w:rPr>
          <w:rFonts w:cs="Arial"/>
          <w:b/>
          <w:bCs/>
        </w:rPr>
      </w:pPr>
      <w:r w:rsidRPr="000853B2">
        <w:rPr>
          <w:rFonts w:cs="Arial"/>
          <w:b/>
          <w:bCs/>
        </w:rPr>
        <w:t>References</w:t>
      </w:r>
      <w:r w:rsidR="00DA188E" w:rsidRPr="000853B2">
        <w:rPr>
          <w:rFonts w:cs="Arial"/>
          <w:b/>
          <w:bCs/>
        </w:rPr>
        <w:t xml:space="preserve"> ………………………</w:t>
      </w:r>
      <w:proofErr w:type="gramStart"/>
      <w:r w:rsidR="00DA188E" w:rsidRPr="000853B2">
        <w:rPr>
          <w:rFonts w:cs="Arial"/>
          <w:b/>
          <w:bCs/>
        </w:rPr>
        <w:t>…..</w:t>
      </w:r>
      <w:proofErr w:type="gramEnd"/>
      <w:r w:rsidR="00DA188E" w:rsidRPr="000853B2">
        <w:rPr>
          <w:rFonts w:cs="Arial"/>
          <w:b/>
          <w:bCs/>
        </w:rPr>
        <w:t>……………………</w:t>
      </w:r>
      <w:r w:rsidR="00501867" w:rsidRPr="000853B2">
        <w:rPr>
          <w:rFonts w:cs="Arial"/>
          <w:b/>
          <w:bCs/>
        </w:rPr>
        <w:t>...</w:t>
      </w:r>
      <w:r w:rsidR="00DA188E" w:rsidRPr="000853B2">
        <w:rPr>
          <w:rFonts w:cs="Arial"/>
          <w:b/>
          <w:bCs/>
        </w:rPr>
        <w:t>……………………</w:t>
      </w:r>
      <w:r w:rsidR="005D67D4" w:rsidRPr="000853B2">
        <w:rPr>
          <w:rFonts w:cs="Arial"/>
          <w:b/>
          <w:bCs/>
        </w:rPr>
        <w:t>.</w:t>
      </w:r>
      <w:r w:rsidR="00DA188E" w:rsidRPr="000853B2">
        <w:rPr>
          <w:rFonts w:cs="Arial"/>
          <w:b/>
          <w:bCs/>
        </w:rPr>
        <w:t>…1</w:t>
      </w:r>
      <w:r w:rsidR="00484CE8" w:rsidRPr="000853B2">
        <w:rPr>
          <w:rFonts w:cs="Arial"/>
          <w:b/>
          <w:bCs/>
        </w:rPr>
        <w:t>1</w:t>
      </w:r>
    </w:p>
    <w:p w14:paraId="243536EC" w14:textId="77777777" w:rsidR="005A1C98" w:rsidRPr="000853B2" w:rsidRDefault="005A1C98" w:rsidP="005A1C98">
      <w:pPr>
        <w:rPr>
          <w:rFonts w:asciiTheme="majorHAnsi" w:hAnsiTheme="majorHAnsi" w:cstheme="majorHAnsi"/>
          <w:b/>
          <w:bCs/>
          <w:sz w:val="32"/>
          <w:szCs w:val="32"/>
        </w:rPr>
      </w:pPr>
    </w:p>
    <w:p w14:paraId="11223DFB" w14:textId="77777777" w:rsidR="004424B8" w:rsidRPr="000853B2" w:rsidRDefault="004424B8" w:rsidP="004424B8">
      <w:pPr>
        <w:pStyle w:val="ListNumber"/>
        <w:numPr>
          <w:ilvl w:val="0"/>
          <w:numId w:val="0"/>
        </w:numPr>
        <w:ind w:left="360" w:hanging="360"/>
      </w:pPr>
    </w:p>
    <w:p w14:paraId="30F068D0" w14:textId="77777777" w:rsidR="004424B8" w:rsidRPr="000853B2" w:rsidRDefault="004424B8" w:rsidP="004424B8">
      <w:pPr>
        <w:pStyle w:val="ListNumber"/>
        <w:numPr>
          <w:ilvl w:val="0"/>
          <w:numId w:val="0"/>
        </w:numPr>
        <w:ind w:left="360" w:hanging="360"/>
      </w:pPr>
    </w:p>
    <w:p w14:paraId="7FFAECC8" w14:textId="77777777" w:rsidR="004424B8" w:rsidRPr="000853B2" w:rsidRDefault="004424B8" w:rsidP="004424B8">
      <w:pPr>
        <w:pStyle w:val="ListNumber"/>
        <w:numPr>
          <w:ilvl w:val="0"/>
          <w:numId w:val="0"/>
        </w:numPr>
        <w:ind w:left="360" w:hanging="360"/>
      </w:pPr>
    </w:p>
    <w:p w14:paraId="2B68E734" w14:textId="77777777" w:rsidR="004424B8" w:rsidRPr="000853B2" w:rsidRDefault="004424B8" w:rsidP="004424B8">
      <w:pPr>
        <w:pStyle w:val="ListNumber"/>
        <w:numPr>
          <w:ilvl w:val="0"/>
          <w:numId w:val="0"/>
        </w:numPr>
        <w:ind w:left="360" w:hanging="360"/>
      </w:pPr>
    </w:p>
    <w:p w14:paraId="61C0B7ED" w14:textId="77777777" w:rsidR="004424B8" w:rsidRPr="000853B2" w:rsidRDefault="004424B8" w:rsidP="004424B8">
      <w:pPr>
        <w:pStyle w:val="ListNumber"/>
        <w:numPr>
          <w:ilvl w:val="0"/>
          <w:numId w:val="0"/>
        </w:numPr>
        <w:ind w:left="360" w:hanging="360"/>
      </w:pPr>
    </w:p>
    <w:p w14:paraId="3A4BBD3D" w14:textId="77777777" w:rsidR="004424B8" w:rsidRPr="000853B2" w:rsidRDefault="004424B8" w:rsidP="004424B8">
      <w:pPr>
        <w:pStyle w:val="ListNumber"/>
        <w:numPr>
          <w:ilvl w:val="0"/>
          <w:numId w:val="0"/>
        </w:numPr>
        <w:ind w:left="360" w:hanging="360"/>
      </w:pPr>
    </w:p>
    <w:p w14:paraId="68A1BDF7" w14:textId="3BD81ADA" w:rsidR="004424B8" w:rsidRPr="000853B2" w:rsidRDefault="004424B8" w:rsidP="004424B8">
      <w:pPr>
        <w:pStyle w:val="ListNumber"/>
        <w:numPr>
          <w:ilvl w:val="0"/>
          <w:numId w:val="0"/>
        </w:numPr>
        <w:ind w:left="360" w:hanging="360"/>
      </w:pPr>
    </w:p>
    <w:p w14:paraId="2850FBAB" w14:textId="77777777" w:rsidR="004424B8" w:rsidRPr="000853B2" w:rsidRDefault="004424B8" w:rsidP="004424B8">
      <w:pPr>
        <w:pStyle w:val="ListNumber"/>
        <w:numPr>
          <w:ilvl w:val="0"/>
          <w:numId w:val="0"/>
        </w:numPr>
        <w:ind w:left="360" w:hanging="360"/>
      </w:pPr>
    </w:p>
    <w:p w14:paraId="643F3473" w14:textId="77777777" w:rsidR="004424B8" w:rsidRPr="000853B2" w:rsidRDefault="004424B8" w:rsidP="004424B8">
      <w:pPr>
        <w:pStyle w:val="ListNumber"/>
        <w:numPr>
          <w:ilvl w:val="0"/>
          <w:numId w:val="0"/>
        </w:numPr>
        <w:ind w:left="360" w:hanging="360"/>
      </w:pPr>
    </w:p>
    <w:p w14:paraId="1C07FC76" w14:textId="77777777" w:rsidR="004424B8" w:rsidRPr="000853B2" w:rsidRDefault="004424B8" w:rsidP="004424B8">
      <w:pPr>
        <w:pStyle w:val="ListNumber"/>
        <w:numPr>
          <w:ilvl w:val="0"/>
          <w:numId w:val="0"/>
        </w:numPr>
        <w:ind w:left="360" w:hanging="360"/>
      </w:pPr>
    </w:p>
    <w:p w14:paraId="679542E0" w14:textId="77777777" w:rsidR="004424B8" w:rsidRPr="000853B2" w:rsidRDefault="004424B8" w:rsidP="004424B8">
      <w:pPr>
        <w:pStyle w:val="ListNumber"/>
        <w:numPr>
          <w:ilvl w:val="0"/>
          <w:numId w:val="0"/>
        </w:numPr>
        <w:ind w:left="360" w:hanging="360"/>
      </w:pPr>
    </w:p>
    <w:p w14:paraId="23B035CA" w14:textId="77777777" w:rsidR="004424B8" w:rsidRPr="000853B2" w:rsidRDefault="004424B8" w:rsidP="004424B8">
      <w:pPr>
        <w:pStyle w:val="ListNumber"/>
        <w:numPr>
          <w:ilvl w:val="0"/>
          <w:numId w:val="0"/>
        </w:numPr>
        <w:ind w:left="360" w:hanging="360"/>
      </w:pPr>
    </w:p>
    <w:p w14:paraId="07A07EB6" w14:textId="77777777" w:rsidR="004424B8" w:rsidRPr="000853B2" w:rsidRDefault="004424B8" w:rsidP="004424B8">
      <w:pPr>
        <w:pStyle w:val="ListNumber"/>
        <w:numPr>
          <w:ilvl w:val="0"/>
          <w:numId w:val="0"/>
        </w:numPr>
        <w:ind w:left="360" w:hanging="360"/>
      </w:pPr>
    </w:p>
    <w:p w14:paraId="63350110" w14:textId="77777777" w:rsidR="004424B8" w:rsidRPr="000853B2" w:rsidRDefault="004424B8" w:rsidP="004424B8">
      <w:pPr>
        <w:pStyle w:val="ListNumber"/>
        <w:numPr>
          <w:ilvl w:val="0"/>
          <w:numId w:val="0"/>
        </w:numPr>
        <w:ind w:left="360" w:hanging="360"/>
      </w:pPr>
    </w:p>
    <w:p w14:paraId="7A083174" w14:textId="77777777" w:rsidR="004424B8" w:rsidRPr="000853B2" w:rsidRDefault="004424B8" w:rsidP="004424B8">
      <w:pPr>
        <w:pStyle w:val="ListNumber"/>
        <w:numPr>
          <w:ilvl w:val="0"/>
          <w:numId w:val="0"/>
        </w:numPr>
        <w:ind w:left="360" w:hanging="360"/>
      </w:pPr>
    </w:p>
    <w:p w14:paraId="650B808A" w14:textId="77777777" w:rsidR="004424B8" w:rsidRPr="000853B2" w:rsidRDefault="004424B8" w:rsidP="004424B8">
      <w:pPr>
        <w:pStyle w:val="ListNumber"/>
        <w:numPr>
          <w:ilvl w:val="0"/>
          <w:numId w:val="0"/>
        </w:numPr>
        <w:ind w:left="360" w:hanging="360"/>
      </w:pPr>
    </w:p>
    <w:p w14:paraId="465031D7" w14:textId="77777777" w:rsidR="004424B8" w:rsidRPr="000853B2" w:rsidRDefault="004424B8" w:rsidP="004424B8">
      <w:pPr>
        <w:pStyle w:val="ListNumber"/>
        <w:numPr>
          <w:ilvl w:val="0"/>
          <w:numId w:val="0"/>
        </w:numPr>
        <w:ind w:left="360" w:hanging="360"/>
      </w:pPr>
    </w:p>
    <w:p w14:paraId="3B81A326" w14:textId="77777777" w:rsidR="008808A6" w:rsidRPr="000853B2" w:rsidRDefault="008808A6" w:rsidP="00FE5325">
      <w:pPr>
        <w:rPr>
          <w:rFonts w:cs="Arial"/>
          <w:b/>
          <w:bCs/>
        </w:rPr>
      </w:pPr>
    </w:p>
    <w:p w14:paraId="786DD36B" w14:textId="5A74522E" w:rsidR="005D44EA" w:rsidRPr="000853B2" w:rsidRDefault="00AB345F" w:rsidP="00FE5325">
      <w:pPr>
        <w:rPr>
          <w:rFonts w:cs="Arial"/>
          <w:b/>
          <w:bCs/>
        </w:rPr>
      </w:pPr>
      <w:r w:rsidRPr="000853B2">
        <w:rPr>
          <w:rFonts w:cs="Arial"/>
          <w:b/>
          <w:bCs/>
        </w:rPr>
        <w:t>Introduction</w:t>
      </w:r>
    </w:p>
    <w:p w14:paraId="45721B26" w14:textId="77777777" w:rsidR="00D0174D" w:rsidRPr="000853B2" w:rsidRDefault="00D0174D" w:rsidP="00D0174D">
      <w:pPr>
        <w:spacing w:line="360" w:lineRule="auto"/>
        <w:jc w:val="both"/>
        <w:rPr>
          <w:rFonts w:cs="Arial"/>
        </w:rPr>
      </w:pPr>
      <w:r w:rsidRPr="000853B2">
        <w:rPr>
          <w:rFonts w:cs="Arial"/>
        </w:rPr>
        <w:t xml:space="preserve">Schein (2010) describes organisational culture as the pattern of shared values, beliefs and assumptions that shapes how members of an organisation behave and interact, giving it a distinct identity. These deeply held assumptions also influence what an organisation notices, how it interprets information and how quickly it responds to its environment. Hofstede (2001) adds that national cultural values shape these assumptions, which is why organisations in different countries often manage similar problems in different ways. Toyota Motor Corporation, the Japanese automotive manufacturer, is one of the most extensively studied examples of organisational culture in the management literature. Liker (2004) and Liker and </w:t>
      </w:r>
      <w:proofErr w:type="spellStart"/>
      <w:r w:rsidRPr="000853B2">
        <w:rPr>
          <w:rFonts w:cs="Arial"/>
        </w:rPr>
        <w:t>Hoseus</w:t>
      </w:r>
      <w:proofErr w:type="spellEnd"/>
      <w:r w:rsidRPr="000853B2">
        <w:rPr>
          <w:rFonts w:cs="Arial"/>
        </w:rPr>
        <w:t xml:space="preserve"> (2008) credit its rise to global market leadership to the Toyota Way, a philosophy that blends continuous improvement with respect for people.</w:t>
      </w:r>
    </w:p>
    <w:p w14:paraId="45884D4E" w14:textId="77777777" w:rsidR="00D0174D" w:rsidRPr="000853B2" w:rsidRDefault="00D0174D" w:rsidP="00D0174D">
      <w:pPr>
        <w:spacing w:line="360" w:lineRule="auto"/>
        <w:jc w:val="both"/>
        <w:rPr>
          <w:rFonts w:cs="Arial"/>
        </w:rPr>
      </w:pPr>
      <w:r w:rsidRPr="000853B2">
        <w:rPr>
          <w:rFonts w:cs="Arial"/>
        </w:rPr>
        <w:t>Founded in 1937 and today one of the largest automotive manufacturers in the world, with production operations in many countries, Toyota provides a particularly rich case because its scale and longevity have required the same cultural assumptions to be transmitted across generations of employees and across highly diverse national contexts (Liker and Hoseus, 2008). This report critically examines Toyota's organisational culture using established theoretical frameworks, including Schein's (2010) levels of culture, Hofstede's (2001) cultural dimensions, Handy's (1993) typology and Deal and Kennedy's (1982) model. It considers how culture shapes Toyota's structure and decision-making, explores how the company's culture can be classified using recognised models, evaluates culture's role in Toyota's adaptation to its external environment, and considers whether Toyota's culture can also act as a barrier to effective functioning. The report concludes with an assessment of the relationship between culture and organisational performance, together with recommendations for cultural management.</w:t>
      </w:r>
    </w:p>
    <w:p w14:paraId="5227AF57" w14:textId="78414339" w:rsidR="005D44EA" w:rsidRPr="000853B2" w:rsidRDefault="00AB345F" w:rsidP="00997F2A">
      <w:pPr>
        <w:spacing w:line="360" w:lineRule="auto"/>
        <w:jc w:val="both"/>
        <w:rPr>
          <w:rFonts w:cs="Arial"/>
        </w:rPr>
      </w:pPr>
      <w:r w:rsidRPr="000853B2">
        <w:rPr>
          <w:rFonts w:cs="Arial"/>
          <w:b/>
          <w:bCs/>
        </w:rPr>
        <w:t xml:space="preserve">Organisational Culture of </w:t>
      </w:r>
      <w:r w:rsidR="00D4419A" w:rsidRPr="000853B2">
        <w:rPr>
          <w:rFonts w:cs="Arial"/>
          <w:b/>
          <w:bCs/>
        </w:rPr>
        <w:t>Toyota Motor Corporation</w:t>
      </w:r>
    </w:p>
    <w:p w14:paraId="238CF7DD" w14:textId="04D089BE" w:rsidR="00D0174D" w:rsidRPr="000853B2" w:rsidRDefault="00D0174D" w:rsidP="00D0174D">
      <w:pPr>
        <w:spacing w:line="360" w:lineRule="auto"/>
        <w:jc w:val="both"/>
        <w:rPr>
          <w:rFonts w:cs="Arial"/>
        </w:rPr>
      </w:pPr>
      <w:r w:rsidRPr="000853B2">
        <w:rPr>
          <w:rFonts w:cs="Arial"/>
        </w:rPr>
        <w:t xml:space="preserve">Liker (2004) explains that Toyota's culture is most visibly expressed through the Toyota Production System (TPS) and its codified philosophy, The Toyota Way 2001, which rests on two pillars: continuous improvement and respect for people. Continuous improvement encompasses kaizen (incremental improvement), challenge, and </w:t>
      </w:r>
      <w:r w:rsidR="005C025A" w:rsidRPr="000853B2">
        <w:rPr>
          <w:rFonts w:cs="Arial"/>
        </w:rPr>
        <w:t>Genchi</w:t>
      </w:r>
      <w:r w:rsidRPr="000853B2">
        <w:rPr>
          <w:rFonts w:cs="Arial"/>
        </w:rPr>
        <w:t xml:space="preserve"> </w:t>
      </w:r>
      <w:r w:rsidR="005C025A" w:rsidRPr="000853B2">
        <w:rPr>
          <w:rFonts w:cs="Arial"/>
        </w:rPr>
        <w:t>G</w:t>
      </w:r>
      <w:r w:rsidRPr="000853B2">
        <w:rPr>
          <w:rFonts w:cs="Arial"/>
        </w:rPr>
        <w:t xml:space="preserve">enbutsu, or direct, first-hand observation of the workplace, while respect for people encompasses teamwork and the </w:t>
      </w:r>
      <w:r w:rsidRPr="000853B2">
        <w:rPr>
          <w:rFonts w:cs="Arial"/>
        </w:rPr>
        <w:lastRenderedPageBreak/>
        <w:t>empowerment of employees to identify and solve problems themselves (Liker and Hoseus, 2008).</w:t>
      </w:r>
    </w:p>
    <w:p w14:paraId="35B8329F" w14:textId="77777777" w:rsidR="006F4DCC" w:rsidRDefault="00D0174D" w:rsidP="00D0174D">
      <w:pPr>
        <w:spacing w:line="360" w:lineRule="auto"/>
        <w:jc w:val="both"/>
        <w:rPr>
          <w:rFonts w:cs="Arial"/>
        </w:rPr>
      </w:pPr>
      <w:r w:rsidRPr="000853B2">
        <w:rPr>
          <w:rFonts w:cs="Arial"/>
        </w:rPr>
        <w:t xml:space="preserve">Applying Schein's (2010) three-level model helps to unpack this culture. At the surface level of artefacts, visible features include the Andon cord that any assembly-line worker can pull to halt production when a defect is spotted, standardised visual workplace displays, and open-plan offices without separate executive suites. At the level of espoused values, Toyota explicitly promotes principles such as customer focus, quality and long-term thinking over short-term profit, as expressed in its published Guiding Principles (Toyota Motor Corporation, no date). </w:t>
      </w:r>
    </w:p>
    <w:p w14:paraId="720DA4BC" w14:textId="7B8A904D" w:rsidR="00D0174D" w:rsidRPr="000853B2" w:rsidRDefault="00D0174D" w:rsidP="00D0174D">
      <w:pPr>
        <w:spacing w:line="360" w:lineRule="auto"/>
        <w:jc w:val="both"/>
        <w:rPr>
          <w:rFonts w:cs="Arial"/>
        </w:rPr>
      </w:pPr>
      <w:r w:rsidRPr="000853B2">
        <w:rPr>
          <w:rFonts w:cs="Arial"/>
        </w:rPr>
        <w:t xml:space="preserve">At the deepest level, that of basic underlying assumptions, Toyota's culture reflects a taken-for-granted belief that problems are opportunities for learning rather than failures to be concealed, and that employees closest to the work possess the most valuable knowledge for improving it. Liker and </w:t>
      </w:r>
      <w:proofErr w:type="spellStart"/>
      <w:r w:rsidRPr="000853B2">
        <w:rPr>
          <w:rFonts w:cs="Arial"/>
        </w:rPr>
        <w:t>Hoseus</w:t>
      </w:r>
      <w:proofErr w:type="spellEnd"/>
      <w:r w:rsidRPr="000853B2">
        <w:rPr>
          <w:rFonts w:cs="Arial"/>
        </w:rPr>
        <w:t xml:space="preserve"> (2008) explain that this is reinforced through practices such as </w:t>
      </w:r>
      <w:proofErr w:type="spellStart"/>
      <w:r w:rsidRPr="000853B2">
        <w:rPr>
          <w:rFonts w:cs="Arial"/>
        </w:rPr>
        <w:t>Hansei</w:t>
      </w:r>
      <w:proofErr w:type="spellEnd"/>
      <w:r w:rsidRPr="000853B2">
        <w:rPr>
          <w:rFonts w:cs="Arial"/>
        </w:rPr>
        <w:t>, or structured self-reflection after project completion, and through rigorous internal promotion, which socialises leaders into the culture over decades. The consistency between artefacts, values and assumptions is a distinguishing feature of Toyota's culture and a key reason the company is so frequently used as an exemplary case; Barney (1986) argues that a culture of this kind can be a source of sustained competitive advantage precisely because it is valuable, rare and difficult for competitors to imitate.</w:t>
      </w:r>
    </w:p>
    <w:p w14:paraId="1075BD21" w14:textId="77777777" w:rsidR="00D0174D" w:rsidRPr="000853B2" w:rsidRDefault="00D0174D" w:rsidP="00D0174D">
      <w:pPr>
        <w:spacing w:line="360" w:lineRule="auto"/>
        <w:jc w:val="both"/>
        <w:rPr>
          <w:rFonts w:cs="Arial"/>
        </w:rPr>
      </w:pPr>
      <w:r w:rsidRPr="000853B2">
        <w:rPr>
          <w:rFonts w:cs="Arial"/>
        </w:rPr>
        <w:t>Underlying much of this is the broader Japanese cultural value of “</w:t>
      </w:r>
      <w:proofErr w:type="spellStart"/>
      <w:r w:rsidRPr="000853B2">
        <w:rPr>
          <w:rFonts w:cs="Arial"/>
        </w:rPr>
        <w:t>wa</w:t>
      </w:r>
      <w:proofErr w:type="spellEnd"/>
      <w:r w:rsidRPr="000853B2">
        <w:rPr>
          <w:rFonts w:cs="Arial"/>
        </w:rPr>
        <w:t xml:space="preserve">”, translated as “group harmony”. Hofstede (2001) shows that in collectivist cultures the interests of the group take priority over those of the individual, which helps explain why employees at Toyota subordinate individual recognition to collective achievement. This is also why practices such as Andon and </w:t>
      </w:r>
      <w:proofErr w:type="spellStart"/>
      <w:r w:rsidRPr="000853B2">
        <w:rPr>
          <w:rFonts w:cs="Arial"/>
        </w:rPr>
        <w:t>Hansei</w:t>
      </w:r>
      <w:proofErr w:type="spellEnd"/>
      <w:r w:rsidRPr="000853B2">
        <w:rPr>
          <w:rFonts w:cs="Arial"/>
        </w:rPr>
        <w:t>, which effectively invite public acknowledgement of error, are experienced as constructive rather than punitive within Toyota's workforce.</w:t>
      </w:r>
    </w:p>
    <w:p w14:paraId="2BA0CD6C" w14:textId="23B44E08" w:rsidR="005D44EA" w:rsidRPr="000853B2" w:rsidRDefault="00AB345F" w:rsidP="00997F2A">
      <w:pPr>
        <w:spacing w:line="360" w:lineRule="auto"/>
        <w:jc w:val="both"/>
        <w:rPr>
          <w:rFonts w:cs="Arial"/>
        </w:rPr>
      </w:pPr>
      <w:r w:rsidRPr="000853B2">
        <w:rPr>
          <w:rFonts w:cs="Arial"/>
        </w:rPr>
        <w:t xml:space="preserve"> </w:t>
      </w:r>
      <w:r w:rsidRPr="000853B2">
        <w:rPr>
          <w:rFonts w:cs="Arial"/>
          <w:b/>
          <w:bCs/>
        </w:rPr>
        <w:t>Influence of Culture on Structure and Decision-Making</w:t>
      </w:r>
    </w:p>
    <w:p w14:paraId="45A593F4" w14:textId="293B432B" w:rsidR="00D0174D" w:rsidRPr="000853B2" w:rsidRDefault="00D0174D" w:rsidP="00D0174D">
      <w:pPr>
        <w:spacing w:line="360" w:lineRule="auto"/>
        <w:jc w:val="both"/>
        <w:rPr>
          <w:rFonts w:cs="Arial"/>
        </w:rPr>
      </w:pPr>
      <w:r w:rsidRPr="000853B2">
        <w:rPr>
          <w:rFonts w:cs="Arial"/>
        </w:rPr>
        <w:t>Toyota's culture and its organisational structure are closely intertwined. Liker (2004) describes a team-based structure in which employees are grouped into small work teams supported by team leaders and group leaders who coach rather than command. This relatively flat arrangement supports the respect</w:t>
      </w:r>
      <w:r w:rsidR="00561B84">
        <w:rPr>
          <w:rFonts w:cs="Arial"/>
        </w:rPr>
        <w:t>-</w:t>
      </w:r>
      <w:r w:rsidRPr="000853B2">
        <w:rPr>
          <w:rFonts w:cs="Arial"/>
        </w:rPr>
        <w:t>for</w:t>
      </w:r>
      <w:r w:rsidR="00561B84">
        <w:rPr>
          <w:rFonts w:cs="Arial"/>
        </w:rPr>
        <w:t>-</w:t>
      </w:r>
      <w:r w:rsidRPr="000853B2">
        <w:rPr>
          <w:rFonts w:cs="Arial"/>
        </w:rPr>
        <w:t xml:space="preserve">people pillar by pushing operational </w:t>
      </w:r>
      <w:r w:rsidR="000853B2" w:rsidRPr="000853B2">
        <w:rPr>
          <w:rFonts w:cs="Arial"/>
        </w:rPr>
        <w:t>decisions</w:t>
      </w:r>
      <w:r w:rsidRPr="000853B2">
        <w:rPr>
          <w:rFonts w:cs="Arial"/>
        </w:rPr>
        <w:t xml:space="preserve"> down toward the shop floor, consistent with the practice of </w:t>
      </w:r>
      <w:r w:rsidR="005C025A" w:rsidRPr="000853B2">
        <w:rPr>
          <w:rFonts w:cs="Arial"/>
        </w:rPr>
        <w:t>Genchi</w:t>
      </w:r>
      <w:r w:rsidRPr="000853B2">
        <w:rPr>
          <w:rFonts w:cs="Arial"/>
        </w:rPr>
        <w:t xml:space="preserve"> </w:t>
      </w:r>
      <w:r w:rsidR="005C025A" w:rsidRPr="000853B2">
        <w:rPr>
          <w:rFonts w:cs="Arial"/>
        </w:rPr>
        <w:t>G</w:t>
      </w:r>
      <w:r w:rsidRPr="000853B2">
        <w:rPr>
          <w:rFonts w:cs="Arial"/>
        </w:rPr>
        <w:t>enbutsu.</w:t>
      </w:r>
    </w:p>
    <w:p w14:paraId="7C29CAF5" w14:textId="5FC63D25" w:rsidR="00D0174D" w:rsidRPr="000853B2" w:rsidRDefault="00D0174D" w:rsidP="00D0174D">
      <w:pPr>
        <w:spacing w:line="360" w:lineRule="auto"/>
        <w:jc w:val="both"/>
        <w:rPr>
          <w:rFonts w:cs="Arial"/>
        </w:rPr>
      </w:pPr>
      <w:r w:rsidRPr="000853B2">
        <w:rPr>
          <w:rFonts w:cs="Arial"/>
        </w:rPr>
        <w:lastRenderedPageBreak/>
        <w:t xml:space="preserve">Decision-making is also shaped by cultural norms that favour consensus over unilateral authority. Liker's (2004) thirteenth principle is to decide slowly by consensus, considering all options thoroughly, and then </w:t>
      </w:r>
      <w:r w:rsidR="000853B2" w:rsidRPr="000853B2">
        <w:rPr>
          <w:rFonts w:cs="Arial"/>
        </w:rPr>
        <w:t>implementing</w:t>
      </w:r>
      <w:r w:rsidRPr="000853B2">
        <w:rPr>
          <w:rFonts w:cs="Arial"/>
        </w:rPr>
        <w:t xml:space="preserve"> the decision rapidly. In practice, a proposal is informally circulated among all affected stakeholders before it is formally submitted, so that concerns are raised and resolved in advance, historically formalised through a system of sequential managerial approval. While this can slow the pace of decision-making relative to organisations that favour rapid, centralised decisions (Handy, 1993), it tends to produce higher-quality decisions with fewer implementation problems, because commitment has already been </w:t>
      </w:r>
      <w:r w:rsidR="000853B2" w:rsidRPr="000853B2">
        <w:rPr>
          <w:rFonts w:cs="Arial"/>
        </w:rPr>
        <w:t>achieved by</w:t>
      </w:r>
      <w:r w:rsidRPr="000853B2">
        <w:rPr>
          <w:rFonts w:cs="Arial"/>
        </w:rPr>
        <w:t xml:space="preserve"> those who must execute them.</w:t>
      </w:r>
    </w:p>
    <w:p w14:paraId="6A5C189B" w14:textId="77777777" w:rsidR="00D0174D" w:rsidRPr="000853B2" w:rsidRDefault="00D0174D" w:rsidP="00D0174D">
      <w:pPr>
        <w:spacing w:line="360" w:lineRule="auto"/>
        <w:jc w:val="both"/>
        <w:rPr>
          <w:rFonts w:cs="Arial"/>
        </w:rPr>
      </w:pPr>
      <w:r w:rsidRPr="000853B2">
        <w:rPr>
          <w:rFonts w:cs="Arial"/>
        </w:rPr>
        <w:t>The resulting structure is neither purely hierarchical nor purely flat. Formal authority remains concentrated at senior management level, with Toyota's Japanese headquarters retaining significant influence over international subsidiaries, yet operational authority over quality and process improvement is highly decentralised to shop-floor teams (Liker and Hoseus, 2008). Handy (1993) would describe this as a hybrid of role culture, formal, hierarchical and rule-governed at corporate level, and task culture, flexible and team-based at the operational level. Visual management tools such as kanban cards and Andon boards reinforce this arrangement, since they make the status of work visible to the whole team and allow decisions to stop or adjust production to be made at the point of the problem rather than referred upward through several layers of management (Liker, 2004).</w:t>
      </w:r>
    </w:p>
    <w:p w14:paraId="2BB1F0EF" w14:textId="26FCA427" w:rsidR="005D44EA" w:rsidRPr="000853B2" w:rsidRDefault="00AB345F" w:rsidP="0005015C">
      <w:pPr>
        <w:spacing w:line="360" w:lineRule="auto"/>
        <w:jc w:val="both"/>
        <w:rPr>
          <w:rFonts w:cs="Arial"/>
        </w:rPr>
      </w:pPr>
      <w:r w:rsidRPr="000853B2">
        <w:rPr>
          <w:rFonts w:cs="Arial"/>
          <w:b/>
          <w:bCs/>
        </w:rPr>
        <w:t>Identifying Cultural Types: Models and Frameworks</w:t>
      </w:r>
    </w:p>
    <w:p w14:paraId="076B08F8" w14:textId="77777777" w:rsidR="00D0174D" w:rsidRPr="000853B2" w:rsidRDefault="00D0174D" w:rsidP="00D0174D">
      <w:pPr>
        <w:spacing w:line="360" w:lineRule="auto"/>
        <w:jc w:val="both"/>
        <w:rPr>
          <w:rFonts w:cs="Arial"/>
        </w:rPr>
      </w:pPr>
      <w:r w:rsidRPr="000853B2">
        <w:rPr>
          <w:rFonts w:cs="Arial"/>
        </w:rPr>
        <w:t>Several established frameworks can be used to classify Toyota's culture. Handy (1993) distinguishes power, role, task and person cultures. Applying this typology, Toyota shows characteristics of a role culture at corporate level, evident in its documented standard-work procedures, formal reporting lines and seniority-based progression, blended with a task culture at team level, seen in cross-functional kaizen events and problem-solving circles. There is little evidence of a power culture, since authority is distributed and decisions are consensus-based, and the collectivist ethos of the organisation makes a person culture unlikely, because in a person culture individual autonomy takes precedence over shared organisational goals (Handy, 1993).</w:t>
      </w:r>
    </w:p>
    <w:p w14:paraId="3043B66F" w14:textId="77777777" w:rsidR="00D0174D" w:rsidRPr="000853B2" w:rsidRDefault="00D0174D" w:rsidP="00D0174D">
      <w:pPr>
        <w:spacing w:line="360" w:lineRule="auto"/>
        <w:jc w:val="both"/>
        <w:rPr>
          <w:rFonts w:cs="Arial"/>
        </w:rPr>
      </w:pPr>
      <w:r w:rsidRPr="000853B2">
        <w:rPr>
          <w:rFonts w:cs="Arial"/>
        </w:rPr>
        <w:t xml:space="preserve">Deal and Kennedy (1982) classify cultures along two dimensions: the degree of risk in the organisation's activities and the speed of feedback on decisions. Toyota sits closest to what they term a process culture, characterised by low risk, slow feedback and strong attention to </w:t>
      </w:r>
      <w:r w:rsidRPr="000853B2">
        <w:rPr>
          <w:rFonts w:cs="Arial"/>
        </w:rPr>
        <w:lastRenderedPageBreak/>
        <w:t>procedure and precision, which is typical of large manufacturers. This fits Toyota's methodical standard-work procedures and rigorous quality control, although its process orientation is balanced by disciplined kaizen routines that introduce continuous, incremental change rather than radical risk-taking (Liker, 2004).</w:t>
      </w:r>
    </w:p>
    <w:p w14:paraId="30BA9DD6" w14:textId="77777777" w:rsidR="00D0174D" w:rsidRPr="000853B2" w:rsidRDefault="00D0174D" w:rsidP="00D0174D">
      <w:pPr>
        <w:spacing w:line="360" w:lineRule="auto"/>
        <w:jc w:val="both"/>
        <w:rPr>
          <w:rFonts w:cs="Arial"/>
        </w:rPr>
      </w:pPr>
      <w:r w:rsidRPr="000853B2">
        <w:rPr>
          <w:rFonts w:cs="Arial"/>
        </w:rPr>
        <w:t>Hofstede (2001) explains national cultural influences through dimensions such as individualism versus collectivism, uncertainty avoidance and long-term orientation. Because Toyota's headquarters and leadership remain Japanese, its culture is shaped by Japan's comparatively collectivist orientation, strong uncertainty avoidance and long-term outlook. Collectivism supports Toyota's emphasis on teamwork, consensus and group harmony; long-term orientation underpins its willingness to prioritise durability, reputation and employee development over short-term profit (Liker, 2004); and strong uncertainty avoidance is reflected in the extensive standardisation of processes. Applying a national model has limits, however, since Toyota operates plants worldwide and has had to adapt some practices to local labour norms in markets such as the United States and the United Kingdom (Liker and Hoseus, 2008).</w:t>
      </w:r>
    </w:p>
    <w:p w14:paraId="0245E899" w14:textId="77777777" w:rsidR="00D0174D" w:rsidRPr="000853B2" w:rsidRDefault="00D0174D" w:rsidP="00D0174D">
      <w:pPr>
        <w:spacing w:line="360" w:lineRule="auto"/>
        <w:jc w:val="both"/>
        <w:rPr>
          <w:rFonts w:cs="Arial"/>
        </w:rPr>
      </w:pPr>
      <w:r w:rsidRPr="000853B2">
        <w:rPr>
          <w:rFonts w:cs="Arial"/>
        </w:rPr>
        <w:t xml:space="preserve">Cameron and Quinn's (2011) Competing Values Framework offers a complementary, less bureaucratic reading of the same evidence. The authors position culture along two axes, flexibility versus stability and internal versus external focus, generating four types: clan, adhocracy, market and hierarchy. Cameron and Quinn (2011) describe the clan type as an internally focused, flexible culture built on mentoring, teamwork, employee development and a family-like sense of shared identity. Toyota displays strong characteristics of this type, as Liker and </w:t>
      </w:r>
      <w:proofErr w:type="spellStart"/>
      <w:r w:rsidRPr="000853B2">
        <w:rPr>
          <w:rFonts w:cs="Arial"/>
        </w:rPr>
        <w:t>Hoseus</w:t>
      </w:r>
      <w:proofErr w:type="spellEnd"/>
      <w:r w:rsidRPr="000853B2">
        <w:rPr>
          <w:rFonts w:cs="Arial"/>
        </w:rPr>
        <w:t xml:space="preserve"> (2008) show through its long-term employment practices and internal leadership development.</w:t>
      </w:r>
    </w:p>
    <w:p w14:paraId="13DA9070" w14:textId="77777777" w:rsidR="005C025A" w:rsidRPr="000853B2" w:rsidRDefault="00D0174D" w:rsidP="005C025A">
      <w:pPr>
        <w:spacing w:line="360" w:lineRule="auto"/>
        <w:jc w:val="both"/>
        <w:rPr>
          <w:rFonts w:cs="Arial"/>
        </w:rPr>
      </w:pPr>
      <w:r w:rsidRPr="000853B2">
        <w:rPr>
          <w:rFonts w:cs="Arial"/>
        </w:rPr>
        <w:t xml:space="preserve">At the same time, Toyota's disciplined standard work and measurable quality targets introduce elements of the hierarchy type, which Cameron and Quinn (2011) associate with stability, formal procedures and control. This shows that Toyota's culture, like that of many large organisations, does not sit neatly within a single quadrant but blends traits from more than one type. Together, these frameworks show that Toyota's culture cannot be reduced to a single “type”. Hofstede (2001) explains its underlying Japanese national-cultural foundation, Handy (1993) its hybrid role-and-task structure, and Deal and Kennedy (1982) its disciplined, process-oriented operating style, while Schein (2010) identifies the consistent artefacts, values and assumptions that hold </w:t>
      </w:r>
      <w:r w:rsidR="005C025A" w:rsidRPr="000853B2">
        <w:rPr>
          <w:rFonts w:cs="Arial"/>
        </w:rPr>
        <w:t>all</w:t>
      </w:r>
      <w:r w:rsidRPr="000853B2">
        <w:rPr>
          <w:rFonts w:cs="Arial"/>
        </w:rPr>
        <w:t xml:space="preserve"> these together.</w:t>
      </w:r>
    </w:p>
    <w:p w14:paraId="3BD0CE41" w14:textId="77777777" w:rsidR="005C025A" w:rsidRPr="000853B2" w:rsidRDefault="005C025A" w:rsidP="005C025A">
      <w:pPr>
        <w:spacing w:line="360" w:lineRule="auto"/>
        <w:jc w:val="both"/>
        <w:rPr>
          <w:rFonts w:cs="Arial"/>
        </w:rPr>
      </w:pPr>
    </w:p>
    <w:p w14:paraId="7EAB8CAB" w14:textId="42E3E4E4" w:rsidR="005C025A" w:rsidRPr="000853B2" w:rsidRDefault="00AB345F" w:rsidP="005C025A">
      <w:pPr>
        <w:spacing w:line="360" w:lineRule="auto"/>
        <w:jc w:val="both"/>
        <w:rPr>
          <w:rFonts w:cs="Arial"/>
        </w:rPr>
      </w:pPr>
      <w:r w:rsidRPr="000853B2">
        <w:rPr>
          <w:rFonts w:cs="Arial"/>
          <w:b/>
          <w:bCs/>
        </w:rPr>
        <w:lastRenderedPageBreak/>
        <w:t>Culture and the External Environment</w:t>
      </w:r>
    </w:p>
    <w:p w14:paraId="7A344EC9" w14:textId="2148B018" w:rsidR="00426919" w:rsidRPr="000853B2" w:rsidRDefault="00426919" w:rsidP="00426919">
      <w:pPr>
        <w:spacing w:line="360" w:lineRule="auto"/>
        <w:jc w:val="both"/>
        <w:rPr>
          <w:rFonts w:cs="Arial"/>
        </w:rPr>
      </w:pPr>
      <w:r w:rsidRPr="000853B2">
        <w:rPr>
          <w:rFonts w:cs="Arial"/>
        </w:rPr>
        <w:t xml:space="preserve">Toyota's culture has helped the company adapt to external pressures such as global competition, tightening regulation and globalization. Denison (1990) identifies four cultural traits, involvement, consistency, adaptability and mission, that together determine organisational effectiveness, with adaptability describing an organisation's capacity to translate external signals into internal change. Toyota's kaizen philosophy works as an </w:t>
      </w:r>
      <w:r w:rsidR="000853B2" w:rsidRPr="000853B2">
        <w:rPr>
          <w:rFonts w:cs="Arial"/>
        </w:rPr>
        <w:t>institutionalized</w:t>
      </w:r>
      <w:r w:rsidRPr="000853B2">
        <w:rPr>
          <w:rFonts w:cs="Arial"/>
        </w:rPr>
        <w:t xml:space="preserve"> adaptability mechanism: continuous, incremental improvement is built into daily operations, so the </w:t>
      </w:r>
      <w:r w:rsidR="000853B2" w:rsidRPr="000853B2">
        <w:rPr>
          <w:rFonts w:cs="Arial"/>
        </w:rPr>
        <w:t>organization</w:t>
      </w:r>
      <w:r w:rsidRPr="000853B2">
        <w:rPr>
          <w:rFonts w:cs="Arial"/>
        </w:rPr>
        <w:t xml:space="preserve"> recalibrates constantly rather than waiting for periodic strategic reviews (Liker, 2004). At the same time, Toyota's mission trait, expressed through its Guiding Principles and the Toyota Way, provides </w:t>
      </w:r>
      <w:r w:rsidR="000853B2" w:rsidRPr="000853B2">
        <w:rPr>
          <w:rFonts w:cs="Arial"/>
        </w:rPr>
        <w:t>a</w:t>
      </w:r>
      <w:r w:rsidRPr="000853B2">
        <w:rPr>
          <w:rFonts w:cs="Arial"/>
        </w:rPr>
        <w:t xml:space="preserve"> stable sense of purpose that Denison (1990) argues sustains direction amid external change.</w:t>
      </w:r>
    </w:p>
    <w:p w14:paraId="43BF64AA" w14:textId="7B634CA1" w:rsidR="00426919" w:rsidRPr="000853B2" w:rsidRDefault="00426919" w:rsidP="00426919">
      <w:pPr>
        <w:spacing w:line="360" w:lineRule="auto"/>
        <w:jc w:val="both"/>
        <w:rPr>
          <w:rFonts w:cs="Arial"/>
        </w:rPr>
      </w:pPr>
      <w:r w:rsidRPr="000853B2">
        <w:rPr>
          <w:rFonts w:cs="Arial"/>
        </w:rPr>
        <w:t xml:space="preserve">On competition, Liker (2004) argues that Toyota's culture of relentless quality improvement, embedded through </w:t>
      </w:r>
      <w:proofErr w:type="spellStart"/>
      <w:r w:rsidRPr="000853B2">
        <w:rPr>
          <w:rFonts w:cs="Arial"/>
        </w:rPr>
        <w:t>Jidoka</w:t>
      </w:r>
      <w:proofErr w:type="spellEnd"/>
      <w:r w:rsidRPr="000853B2">
        <w:rPr>
          <w:rFonts w:cs="Arial"/>
        </w:rPr>
        <w:t xml:space="preserve"> (automation with a human touch) and close supplier relationships, has allowed it to compete on reliability and cost efficiency against rivals such as General Motors, Volkswagen and Hyundai. On regulation, Toyota's commitment to honour “the language and spirit of the law of every country and region” (Toyota Motor Corporation, no date) helped drive early investment in the Prius hybrid, positioning it ahead of tightening emissions rules. On </w:t>
      </w:r>
      <w:r w:rsidR="000853B2" w:rsidRPr="000853B2">
        <w:rPr>
          <w:rFonts w:cs="Arial"/>
        </w:rPr>
        <w:t>globalization</w:t>
      </w:r>
      <w:r w:rsidRPr="000853B2">
        <w:rPr>
          <w:rFonts w:cs="Arial"/>
        </w:rPr>
        <w:t xml:space="preserve">, Liker and </w:t>
      </w:r>
      <w:proofErr w:type="spellStart"/>
      <w:r w:rsidRPr="000853B2">
        <w:rPr>
          <w:rFonts w:cs="Arial"/>
        </w:rPr>
        <w:t>Hoseus</w:t>
      </w:r>
      <w:proofErr w:type="spellEnd"/>
      <w:r w:rsidRPr="000853B2">
        <w:rPr>
          <w:rFonts w:cs="Arial"/>
        </w:rPr>
        <w:t xml:space="preserve"> (2008) show that Toyota used its culture to maintain shared standards, such as the Toyota Production System, across plants worldwide while adapting practices locally, notably through the NUMMI (New United Motor Manufacturing, Inc.) joint venture in California and the </w:t>
      </w:r>
      <w:proofErr w:type="spellStart"/>
      <w:r w:rsidRPr="000853B2">
        <w:rPr>
          <w:rFonts w:cs="Arial"/>
        </w:rPr>
        <w:t>Burnaston</w:t>
      </w:r>
      <w:proofErr w:type="spellEnd"/>
      <w:r w:rsidRPr="000853B2">
        <w:rPr>
          <w:rFonts w:cs="Arial"/>
        </w:rPr>
        <w:t xml:space="preserve"> plant in the United Kingdom. In Denison's (1990) terms, this consistency, meaning shared values and coordination, allowed international expansion without diluting quality, although, as discussed below, it has occasionally slowed responsiveness to emerging problems.</w:t>
      </w:r>
    </w:p>
    <w:p w14:paraId="3111AFB0" w14:textId="17B50A87" w:rsidR="005D44EA" w:rsidRPr="000853B2" w:rsidRDefault="00AB345F" w:rsidP="00C66EBC">
      <w:pPr>
        <w:spacing w:line="360" w:lineRule="auto"/>
        <w:jc w:val="both"/>
        <w:rPr>
          <w:rFonts w:cs="Arial"/>
        </w:rPr>
      </w:pPr>
      <w:r w:rsidRPr="000853B2">
        <w:rPr>
          <w:rFonts w:cs="Arial"/>
          <w:b/>
          <w:bCs/>
        </w:rPr>
        <w:t>Organisational Culture as a Barrier</w:t>
      </w:r>
    </w:p>
    <w:p w14:paraId="775457AD" w14:textId="77777777" w:rsidR="00D0174D" w:rsidRPr="000853B2" w:rsidRDefault="00D0174D" w:rsidP="00D0174D">
      <w:pPr>
        <w:spacing w:line="360" w:lineRule="auto"/>
        <w:jc w:val="both"/>
        <w:rPr>
          <w:rFonts w:cs="Arial"/>
        </w:rPr>
      </w:pPr>
      <w:r w:rsidRPr="000853B2">
        <w:rPr>
          <w:rFonts w:cs="Arial"/>
        </w:rPr>
        <w:t xml:space="preserve">While Toyota's culture is frequently celebrated, it also acted as a barrier during the 2009–2010 recall crisis. </w:t>
      </w:r>
      <w:proofErr w:type="spellStart"/>
      <w:r w:rsidRPr="000853B2">
        <w:rPr>
          <w:rFonts w:cs="Arial"/>
        </w:rPr>
        <w:t>Chikudate</w:t>
      </w:r>
      <w:proofErr w:type="spellEnd"/>
      <w:r w:rsidRPr="000853B2">
        <w:rPr>
          <w:rFonts w:cs="Arial"/>
        </w:rPr>
        <w:t xml:space="preserve"> and Alpaslan (2018) argue that the crisis was caused not only by technical failure but by Toyota's collective myopia, rooted in hidden, taken-for-granted assumptions of its managers, together with complex new technologies and a misunderstanding of corporate citizenship. Garvin (2014) makes a related general point: even highly successful cultures can become “too strong”, producing conformity that discourages employees from </w:t>
      </w:r>
      <w:r w:rsidRPr="000853B2">
        <w:rPr>
          <w:rFonts w:cs="Arial"/>
        </w:rPr>
        <w:lastRenderedPageBreak/>
        <w:t>raising uncomfortable information. Andrews et al. (2011) add that Toyota's handling of the recall reflected a distinctly Japanese way of managing crisis.</w:t>
      </w:r>
    </w:p>
    <w:p w14:paraId="79B47949" w14:textId="77777777" w:rsidR="00D0174D" w:rsidRPr="000853B2" w:rsidRDefault="00D0174D" w:rsidP="00D0174D">
      <w:pPr>
        <w:spacing w:line="360" w:lineRule="auto"/>
        <w:jc w:val="both"/>
        <w:rPr>
          <w:rFonts w:cs="Arial"/>
        </w:rPr>
      </w:pPr>
      <w:r w:rsidRPr="000853B2">
        <w:rPr>
          <w:rFonts w:cs="Arial"/>
        </w:rPr>
        <w:t>This resonates with Janis's (1972) concept of groupthink, in which strong group cohesion and a shared belief in the group's competence suppress dissent and the critical evaluation of risk, a dynamic that may help explain Toyota's initial handling of the recalls. Kotter and Heskett (1992) similarly warn that strong cultures well adapted to past conditions can become a liability when the environment changes rapidly, because deeply held assumptions, in Toyota's case confidence in its own quality systems, could delay recognition of emerging problems (Schein, 2010).</w:t>
      </w:r>
    </w:p>
    <w:p w14:paraId="1B9DE606" w14:textId="77777777" w:rsidR="00D0174D" w:rsidRPr="000853B2" w:rsidRDefault="00D0174D" w:rsidP="00D0174D">
      <w:pPr>
        <w:spacing w:line="360" w:lineRule="auto"/>
        <w:jc w:val="both"/>
        <w:rPr>
          <w:rFonts w:cs="Arial"/>
        </w:rPr>
      </w:pPr>
      <w:r w:rsidRPr="000853B2">
        <w:rPr>
          <w:rFonts w:cs="Arial"/>
        </w:rPr>
        <w:t>Andrews et al. (2011) suggest that Toyota's drive to become the world's top-selling automaker may have led to unfavourable changes in its supply chain management practices and tarnished some of the core values of the Toyota Way, which they regard as partly responsible for the recall. In Schein's (2010) terms, when growth targets override espoused values in daily practice, the culture's usual safeguards weaken. Handy (1993) also notes that role cultures, which rely on hierarchy and formal procedures, tend to be slow to perceive the need for change, which is consistent with Toyota's emphasis on hierarchy, seniority and formal consensus slowing decisions relative to competitors with flatter structures.</w:t>
      </w:r>
    </w:p>
    <w:p w14:paraId="138E3B71" w14:textId="77777777" w:rsidR="00D0174D" w:rsidRPr="000853B2" w:rsidRDefault="00D0174D" w:rsidP="00D0174D">
      <w:pPr>
        <w:spacing w:line="360" w:lineRule="auto"/>
        <w:jc w:val="both"/>
        <w:rPr>
          <w:rFonts w:cs="Arial"/>
        </w:rPr>
      </w:pPr>
      <w:r w:rsidRPr="000853B2">
        <w:rPr>
          <w:rFonts w:cs="Arial"/>
        </w:rPr>
        <w:t>Overall, Toyota's culture is best understood as a conditional barrier rather than a permanent one. It supported quality and efficiency day to day, but it became a barrier in two circumstances: when growth ambitions weakened adherence to Toyota Way values, and when shared assumptions and consensus-driven hierarchy slowed the recognition and escalation of problems. This conclusion rests on Garvin's (2014) argument that strong cultures become liabilities when conformity discourages dissent, and on Denison's (1990) distinction between consistency and adaptability: Toyota's strong consistency was not matched, at that moment, by the adaptability needed to respond to a changing environment. Because the same culture underpins Toyota's long-term performance, as the next section shows, the evidence supports managing culture actively rather than treating it as the problem.</w:t>
      </w:r>
    </w:p>
    <w:p w14:paraId="6DB70556" w14:textId="7774FDCD" w:rsidR="005D44EA" w:rsidRPr="000853B2" w:rsidRDefault="00AB345F" w:rsidP="00C66EBC">
      <w:pPr>
        <w:spacing w:line="360" w:lineRule="auto"/>
        <w:jc w:val="both"/>
        <w:rPr>
          <w:rFonts w:cs="Arial"/>
        </w:rPr>
      </w:pPr>
      <w:r w:rsidRPr="000853B2">
        <w:rPr>
          <w:rFonts w:cs="Arial"/>
          <w:b/>
          <w:bCs/>
        </w:rPr>
        <w:t>Impact of Culture on Organisational Performance</w:t>
      </w:r>
    </w:p>
    <w:p w14:paraId="6B585E04" w14:textId="1FF9CF73" w:rsidR="008808A6" w:rsidRPr="000853B2" w:rsidRDefault="008808A6" w:rsidP="008808A6">
      <w:pPr>
        <w:spacing w:line="360" w:lineRule="auto"/>
        <w:jc w:val="both"/>
        <w:rPr>
          <w:rFonts w:cs="Arial"/>
        </w:rPr>
      </w:pPr>
      <w:r w:rsidRPr="000853B2">
        <w:rPr>
          <w:rFonts w:cs="Arial"/>
        </w:rPr>
        <w:t xml:space="preserve">Barney (1986) argues that culture can be a source of sustained competitive advantage when it is valuable, rare and difficult for competitors to imitate. Toyota's culture arguably satisfies all three conditions: it is a valuable source of quality and efficiency, it is comparatively rare among </w:t>
      </w:r>
      <w:r w:rsidRPr="000853B2">
        <w:rPr>
          <w:rFonts w:cs="Arial"/>
        </w:rPr>
        <w:lastRenderedPageBreak/>
        <w:t xml:space="preserve">mass manufacturers to sustain this level of discipline across decades, and it is hard to replicate because, as Liker and </w:t>
      </w:r>
      <w:proofErr w:type="spellStart"/>
      <w:r w:rsidRPr="000853B2">
        <w:rPr>
          <w:rFonts w:cs="Arial"/>
        </w:rPr>
        <w:t>Hoseus</w:t>
      </w:r>
      <w:proofErr w:type="spellEnd"/>
      <w:r w:rsidRPr="000853B2">
        <w:rPr>
          <w:rFonts w:cs="Arial"/>
        </w:rPr>
        <w:t xml:space="preserve"> (2008) argue, it depends on deeply embedded assumptions rather than on tools and procedures that can simply be copied, which helps explain why many lean initiatives elsewhere fall short. Keller and Price (2011) extend this logic through the concept of organisational health, defined as an organisation's ability to align, execute and renew itself faster than its competitors </w:t>
      </w:r>
      <w:r w:rsidR="005C025A" w:rsidRPr="000853B2">
        <w:rPr>
          <w:rFonts w:cs="Arial"/>
        </w:rPr>
        <w:t>to</w:t>
      </w:r>
      <w:r w:rsidRPr="000853B2">
        <w:rPr>
          <w:rFonts w:cs="Arial"/>
        </w:rPr>
        <w:t xml:space="preserve"> sustain performance over time. Toyota's culture supports the first two capabilities, aligning employees around the Toyota Way and executing through the Toyota Production System, but the 2009–2010 recall suggests weakness in the third, because taken-for-granted assumptions delayed the recognition of problems (</w:t>
      </w:r>
      <w:proofErr w:type="spellStart"/>
      <w:r w:rsidRPr="000853B2">
        <w:rPr>
          <w:rFonts w:cs="Arial"/>
        </w:rPr>
        <w:t>Chikudate</w:t>
      </w:r>
      <w:proofErr w:type="spellEnd"/>
      <w:r w:rsidRPr="000853B2">
        <w:rPr>
          <w:rFonts w:cs="Arial"/>
        </w:rPr>
        <w:t xml:space="preserve"> and Alpaslan, 2018).</w:t>
      </w:r>
    </w:p>
    <w:p w14:paraId="5C3AC8C4" w14:textId="77777777" w:rsidR="008808A6" w:rsidRPr="000853B2" w:rsidRDefault="008808A6" w:rsidP="008808A6">
      <w:pPr>
        <w:spacing w:line="360" w:lineRule="auto"/>
        <w:jc w:val="both"/>
        <w:rPr>
          <w:rFonts w:cs="Arial"/>
        </w:rPr>
      </w:pPr>
      <w:r w:rsidRPr="000853B2">
        <w:rPr>
          <w:rFonts w:cs="Arial"/>
        </w:rPr>
        <w:t xml:space="preserve">Kotter and Heskett (1992) found that firms whose cultures are aligned with strategy and remain adaptive outperform competitors over the long run, a pattern consistent with Toyota's long record of profitability and market-share growth. Liker and </w:t>
      </w:r>
      <w:proofErr w:type="spellStart"/>
      <w:r w:rsidRPr="000853B2">
        <w:rPr>
          <w:rFonts w:cs="Arial"/>
        </w:rPr>
        <w:t>Hoseus</w:t>
      </w:r>
      <w:proofErr w:type="spellEnd"/>
      <w:r w:rsidRPr="000853B2">
        <w:rPr>
          <w:rFonts w:cs="Arial"/>
        </w:rPr>
        <w:t xml:space="preserve"> (2008) link Toyota's operational excellence to its culture, in particular standardised processes, continuous improvement and the shared purpose fostered by the Toyota Way. The 2009–2010 recall shows, however, that the relationship is conditional. Andrews et al. (2011) argue that the pursuit of global leadership may have eroded supply-chain discipline and some Toyota Way values, and Schein (2010) explains that culture supports performance only while its underlying assumptions remain accurate and are periodically re-examined. Leaders must therefore manage culture actively rather than assume that past success will continue.</w:t>
      </w:r>
    </w:p>
    <w:p w14:paraId="51253154" w14:textId="4846B92D" w:rsidR="008808A6" w:rsidRPr="000853B2" w:rsidRDefault="008808A6" w:rsidP="008808A6">
      <w:pPr>
        <w:spacing w:line="360" w:lineRule="auto"/>
        <w:jc w:val="both"/>
        <w:rPr>
          <w:rFonts w:cs="Arial"/>
          <w:b/>
          <w:bCs/>
        </w:rPr>
      </w:pPr>
      <w:r w:rsidRPr="000853B2">
        <w:rPr>
          <w:rFonts w:cs="Arial"/>
          <w:b/>
          <w:bCs/>
        </w:rPr>
        <w:t>Recommendations for Cultural Management</w:t>
      </w:r>
    </w:p>
    <w:p w14:paraId="3FF643E2" w14:textId="77777777" w:rsidR="008808A6" w:rsidRPr="000853B2" w:rsidRDefault="008808A6" w:rsidP="008808A6">
      <w:pPr>
        <w:spacing w:line="360" w:lineRule="auto"/>
        <w:jc w:val="both"/>
        <w:rPr>
          <w:rFonts w:cs="Arial"/>
        </w:rPr>
      </w:pPr>
      <w:r w:rsidRPr="000853B2">
        <w:rPr>
          <w:rFonts w:cs="Arial"/>
        </w:rPr>
        <w:t xml:space="preserve">Drawing on the theories discussed above, three recommendations follow. First, Toyota should strengthen the adaptability of its culture. Denison (1990) argues that effective cultures balance consistency with adaptability, and Garvin (2014) warns that strong cultures can suppress dissent. Toyota could therefore give overseas subsidiaries clearer authority and a formal route to escalate safety concerns directly to senior management, and bring outside perspectives into major safety reviews, so that the taken-for-granted assumptions </w:t>
      </w:r>
      <w:proofErr w:type="spellStart"/>
      <w:r w:rsidRPr="000853B2">
        <w:rPr>
          <w:rFonts w:cs="Arial"/>
        </w:rPr>
        <w:t>Chikudate</w:t>
      </w:r>
      <w:proofErr w:type="spellEnd"/>
      <w:r w:rsidRPr="000853B2">
        <w:rPr>
          <w:rFonts w:cs="Arial"/>
        </w:rPr>
        <w:t xml:space="preserve"> and Alpaslan (2018) identify as a hidden cause of the crisis can be challenged.</w:t>
      </w:r>
    </w:p>
    <w:p w14:paraId="6597123C" w14:textId="77777777" w:rsidR="008808A6" w:rsidRPr="000853B2" w:rsidRDefault="008808A6" w:rsidP="008808A6">
      <w:pPr>
        <w:spacing w:line="360" w:lineRule="auto"/>
        <w:jc w:val="both"/>
        <w:rPr>
          <w:rFonts w:cs="Arial"/>
        </w:rPr>
      </w:pPr>
      <w:r w:rsidRPr="000853B2">
        <w:rPr>
          <w:rFonts w:cs="Arial"/>
        </w:rPr>
        <w:t xml:space="preserve">Second, expansion should be paced to the speed at which the culture can be taught. Andrews et al. (2011) link the pursuit of global leadership to the erosion of some Toyota Way values. Schein (2010) stresses that leaders embed culture through what they pay attention to, measure and reward, so Toyota should place experienced Toyota Way coaches in new plants before </w:t>
      </w:r>
      <w:r w:rsidRPr="000853B2">
        <w:rPr>
          <w:rFonts w:cs="Arial"/>
        </w:rPr>
        <w:lastRenderedPageBreak/>
        <w:t>increasing output and reward adherence to the Toyota Way alongside volume targets, building on its own tradition of long-term internal leadership development (Liker and Hoseus, 2008).</w:t>
      </w:r>
    </w:p>
    <w:p w14:paraId="2F943A7B" w14:textId="321D2D69" w:rsidR="008808A6" w:rsidRPr="000853B2" w:rsidRDefault="008808A6" w:rsidP="008808A6">
      <w:pPr>
        <w:spacing w:line="360" w:lineRule="auto"/>
        <w:jc w:val="both"/>
        <w:rPr>
          <w:rFonts w:cs="Arial"/>
        </w:rPr>
      </w:pPr>
      <w:r w:rsidRPr="000853B2">
        <w:rPr>
          <w:rFonts w:cs="Arial"/>
        </w:rPr>
        <w:t>Third, Toyota should diagnose its culture regularly. Cameron and Quinn (2011) offer a diagnostic approach based on the Competing Values Framework, which Toyota could use to compare its current culture with the one its strategy requires, in line with Kotter and Heskett's (1992) finding that long-term performance depends on cultures that remain adaptive</w:t>
      </w:r>
    </w:p>
    <w:p w14:paraId="6F8367EC" w14:textId="77777777" w:rsidR="005D67D4" w:rsidRPr="000853B2" w:rsidRDefault="008808A6" w:rsidP="005D67D4">
      <w:pPr>
        <w:spacing w:line="360" w:lineRule="auto"/>
        <w:jc w:val="both"/>
        <w:rPr>
          <w:rFonts w:cs="Arial"/>
        </w:rPr>
      </w:pPr>
      <w:r w:rsidRPr="000853B2">
        <w:rPr>
          <w:rFonts w:cs="Arial"/>
        </w:rPr>
        <w:t xml:space="preserve"> Combined with more proactive disclosure to regulators, consistent with Toyota's own commitment to open and fair business activities (Toyota Motor Corporation, no date), these steps would protect the strengths of the Toyota Way while reducing the risks identified in this report.</w:t>
      </w:r>
    </w:p>
    <w:p w14:paraId="7732F52D" w14:textId="5D35AEE5" w:rsidR="004A5884" w:rsidRPr="000853B2" w:rsidRDefault="004A5884" w:rsidP="005D67D4">
      <w:pPr>
        <w:spacing w:line="360" w:lineRule="auto"/>
        <w:jc w:val="both"/>
        <w:rPr>
          <w:rFonts w:cs="Arial"/>
        </w:rPr>
      </w:pPr>
      <w:r w:rsidRPr="000853B2">
        <w:rPr>
          <w:rFonts w:cs="Arial"/>
          <w:b/>
          <w:bCs/>
        </w:rPr>
        <w:t>Conclusion</w:t>
      </w:r>
    </w:p>
    <w:p w14:paraId="049BED5B" w14:textId="77777777" w:rsidR="008808A6" w:rsidRPr="000853B2" w:rsidRDefault="008808A6" w:rsidP="008808A6">
      <w:pPr>
        <w:spacing w:line="360" w:lineRule="auto"/>
        <w:jc w:val="both"/>
        <w:rPr>
          <w:rFonts w:cs="Arial"/>
        </w:rPr>
      </w:pPr>
      <w:r w:rsidRPr="000853B2">
        <w:rPr>
          <w:rFonts w:cs="Arial"/>
        </w:rPr>
        <w:t>This report has examined organisational culture at Toyota Motor Corporation through established theoretical models. Schein's (2010) framework reveals a highly consistent culture in which visible artefacts, espoused values and underlying assumptions reinforce one another around the twin pillars of continuous improvement and respect for people. Handy's (1993) typology and Deal and Kennedy's (1982) model suggest a culture combining a process-oriented, role-based structure at corporate level with task-based flexibility on the shop floor, while Hofstede's (2001) dimensions highlight the influence of Japanese collectivism, long-term orientation and uncertainty avoidance. Denison's (1990) traits model shows how Toyota has used culture, particularly through kaizen and a clearly articulated mission, to adapt to competition, regulation and globalisation.</w:t>
      </w:r>
    </w:p>
    <w:p w14:paraId="62E54F75" w14:textId="77777777" w:rsidR="005C025A" w:rsidRPr="000853B2" w:rsidRDefault="008808A6" w:rsidP="006062CD">
      <w:pPr>
        <w:spacing w:line="360" w:lineRule="auto"/>
        <w:jc w:val="both"/>
        <w:rPr>
          <w:rFonts w:cs="Arial"/>
        </w:rPr>
      </w:pPr>
      <w:r w:rsidRPr="000853B2">
        <w:rPr>
          <w:rFonts w:cs="Arial"/>
        </w:rPr>
        <w:t>At the same time, the 2009–2010 recall crisis shows that a strong, cohesive culture can become a barrier when collective assumptions go unchallenged or when growth pressure weakens core values (</w:t>
      </w:r>
      <w:proofErr w:type="spellStart"/>
      <w:r w:rsidRPr="000853B2">
        <w:rPr>
          <w:rFonts w:cs="Arial"/>
        </w:rPr>
        <w:t>Chikudate</w:t>
      </w:r>
      <w:proofErr w:type="spellEnd"/>
      <w:r w:rsidRPr="000853B2">
        <w:rPr>
          <w:rFonts w:cs="Arial"/>
        </w:rPr>
        <w:t xml:space="preserve"> and Alpaslan, 2018; Garvin, 2014). On balance, the evidence indicates that Toyota's culture has been a genuine source of sustained competitive advantage (Barney, 1986) and long-term performance (Kotter and Heskett, 1992), but this advantage depends on deliberate cultural management. The recommendations above, strengthening adaptability, pacing expansion to the speed of socialisation and diagnosing culture regularly, follow from this. For Toyota, and for organisations more generally, culture should be treated not as a fixed asset but as a living system that needs regular re-examination as the organisation grows, globalises and faces new external pressures.</w:t>
      </w:r>
    </w:p>
    <w:p w14:paraId="720FF5C1" w14:textId="61C87960" w:rsidR="00905B51" w:rsidRPr="000853B2" w:rsidRDefault="004A5884" w:rsidP="006062CD">
      <w:pPr>
        <w:spacing w:line="360" w:lineRule="auto"/>
        <w:jc w:val="both"/>
        <w:rPr>
          <w:rFonts w:cs="Arial"/>
        </w:rPr>
      </w:pPr>
      <w:r w:rsidRPr="000853B2">
        <w:rPr>
          <w:rFonts w:cs="Arial"/>
          <w:b/>
          <w:bCs/>
          <w:color w:val="000000" w:themeColor="text1"/>
        </w:rPr>
        <w:lastRenderedPageBreak/>
        <w:t>References</w:t>
      </w:r>
    </w:p>
    <w:p w14:paraId="7883726F" w14:textId="4A90540E" w:rsidR="00CE315B" w:rsidRPr="000853B2" w:rsidRDefault="00CE315B" w:rsidP="00CE315B">
      <w:pPr>
        <w:spacing w:after="160" w:line="300" w:lineRule="auto"/>
        <w:ind w:left="720" w:hanging="720"/>
        <w:rPr>
          <w:rFonts w:cs="Arial"/>
        </w:rPr>
      </w:pPr>
      <w:r w:rsidRPr="000853B2">
        <w:rPr>
          <w:rFonts w:eastAsia="Calibri" w:cs="Arial"/>
        </w:rPr>
        <w:t xml:space="preserve">Andrews, A.P., Simon, J., Tian, F. and Zhao, J. (2011) </w:t>
      </w:r>
      <w:r w:rsidRPr="000853B2">
        <w:rPr>
          <w:rFonts w:eastAsia="Calibri" w:cs="Arial"/>
          <w:i/>
          <w:iCs/>
        </w:rPr>
        <w:t>The Toyota crisis: an economic, operational and strategic analysis of the massive recal</w:t>
      </w:r>
      <w:r w:rsidR="00484CE8" w:rsidRPr="000853B2">
        <w:rPr>
          <w:rFonts w:eastAsia="Calibri" w:cs="Arial"/>
          <w:i/>
          <w:iCs/>
        </w:rPr>
        <w:t>l</w:t>
      </w:r>
      <w:r w:rsidRPr="000853B2">
        <w:rPr>
          <w:rFonts w:eastAsia="Calibri" w:cs="Arial"/>
        </w:rPr>
        <w:t>, Management Research Review, 34(10), pp. 1064–1077.</w:t>
      </w:r>
    </w:p>
    <w:p w14:paraId="65CA0FAC" w14:textId="54DDA02A" w:rsidR="00CE315B" w:rsidRPr="000853B2" w:rsidRDefault="00CE315B" w:rsidP="00CE315B">
      <w:pPr>
        <w:spacing w:after="160" w:line="300" w:lineRule="auto"/>
        <w:ind w:left="720" w:hanging="720"/>
        <w:rPr>
          <w:rFonts w:cs="Arial"/>
        </w:rPr>
      </w:pPr>
      <w:r w:rsidRPr="000853B2">
        <w:rPr>
          <w:rFonts w:eastAsia="Calibri" w:cs="Arial"/>
        </w:rPr>
        <w:t>Barney, J.B. (1986</w:t>
      </w:r>
      <w:r w:rsidRPr="000853B2">
        <w:rPr>
          <w:rFonts w:eastAsia="Calibri" w:cs="Arial"/>
          <w:i/>
          <w:iCs/>
        </w:rPr>
        <w:t xml:space="preserve">)'Organizational culture: can it be a source of sustained competitive </w:t>
      </w:r>
      <w:r w:rsidR="005D67D4" w:rsidRPr="000853B2">
        <w:rPr>
          <w:rFonts w:eastAsia="Calibri" w:cs="Arial"/>
          <w:i/>
          <w:iCs/>
        </w:rPr>
        <w:t>advantage?</w:t>
      </w:r>
      <w:r w:rsidR="00484CE8" w:rsidRPr="000853B2">
        <w:rPr>
          <w:rFonts w:eastAsia="Calibri" w:cs="Arial"/>
        </w:rPr>
        <w:t xml:space="preserve"> </w:t>
      </w:r>
      <w:r w:rsidRPr="000853B2">
        <w:rPr>
          <w:rFonts w:eastAsia="Calibri" w:cs="Arial"/>
        </w:rPr>
        <w:t>Academy of Management Review, 11(3), pp. 656–665.</w:t>
      </w:r>
    </w:p>
    <w:p w14:paraId="13C8235C" w14:textId="77777777" w:rsidR="00CE315B" w:rsidRPr="000853B2" w:rsidRDefault="00CE315B" w:rsidP="00CE315B">
      <w:pPr>
        <w:spacing w:after="160" w:line="300" w:lineRule="auto"/>
        <w:ind w:left="720" w:hanging="720"/>
        <w:rPr>
          <w:rFonts w:cs="Arial"/>
        </w:rPr>
      </w:pPr>
      <w:r w:rsidRPr="000853B2">
        <w:rPr>
          <w:rFonts w:eastAsia="Calibri" w:cs="Arial"/>
        </w:rPr>
        <w:t>Cameron, K.S. and Quinn, R.E. (2011</w:t>
      </w:r>
      <w:r w:rsidRPr="000853B2">
        <w:rPr>
          <w:rFonts w:eastAsia="Calibri" w:cs="Arial"/>
          <w:i/>
          <w:iCs/>
        </w:rPr>
        <w:t>) Diagnosing and changing organizational culture: based on the competing values framework</w:t>
      </w:r>
      <w:r w:rsidRPr="000853B2">
        <w:rPr>
          <w:rFonts w:eastAsia="Calibri" w:cs="Arial"/>
        </w:rPr>
        <w:t xml:space="preserve">. 3rd </w:t>
      </w:r>
      <w:proofErr w:type="spellStart"/>
      <w:r w:rsidRPr="000853B2">
        <w:rPr>
          <w:rFonts w:eastAsia="Calibri" w:cs="Arial"/>
        </w:rPr>
        <w:t>edn</w:t>
      </w:r>
      <w:proofErr w:type="spellEnd"/>
      <w:r w:rsidRPr="000853B2">
        <w:rPr>
          <w:rFonts w:eastAsia="Calibri" w:cs="Arial"/>
        </w:rPr>
        <w:t>. San Francisco: Jossey-Bass.</w:t>
      </w:r>
    </w:p>
    <w:p w14:paraId="00014D27" w14:textId="5134E9EC" w:rsidR="00CE315B" w:rsidRPr="000853B2" w:rsidRDefault="00CE315B" w:rsidP="00CE315B">
      <w:pPr>
        <w:spacing w:after="160" w:line="300" w:lineRule="auto"/>
        <w:ind w:left="720" w:hanging="720"/>
        <w:rPr>
          <w:rFonts w:cs="Arial"/>
        </w:rPr>
      </w:pPr>
      <w:proofErr w:type="spellStart"/>
      <w:r w:rsidRPr="000853B2">
        <w:rPr>
          <w:rFonts w:eastAsia="Calibri" w:cs="Arial"/>
        </w:rPr>
        <w:t>Chikudate</w:t>
      </w:r>
      <w:proofErr w:type="spellEnd"/>
      <w:r w:rsidRPr="000853B2">
        <w:rPr>
          <w:rFonts w:eastAsia="Calibri" w:cs="Arial"/>
        </w:rPr>
        <w:t xml:space="preserve">, N. and Alpaslan, C.M. (2018) </w:t>
      </w:r>
      <w:r w:rsidRPr="000853B2">
        <w:rPr>
          <w:rFonts w:eastAsia="Calibri" w:cs="Arial"/>
          <w:i/>
          <w:iCs/>
        </w:rPr>
        <w:t>The curse of the #1 carmaker: Toyota's crisis', Critical Perspectives on International Business</w:t>
      </w:r>
      <w:r w:rsidRPr="000853B2">
        <w:rPr>
          <w:rFonts w:eastAsia="Calibri" w:cs="Arial"/>
        </w:rPr>
        <w:t>, 14(1), pp. 66–82.</w:t>
      </w:r>
    </w:p>
    <w:p w14:paraId="4CF984A5" w14:textId="4F1E5107" w:rsidR="00CE315B" w:rsidRPr="000853B2" w:rsidRDefault="00CE315B" w:rsidP="00CE315B">
      <w:pPr>
        <w:spacing w:after="160" w:line="300" w:lineRule="auto"/>
        <w:ind w:left="720" w:hanging="720"/>
        <w:rPr>
          <w:rFonts w:cs="Arial"/>
        </w:rPr>
      </w:pPr>
      <w:r w:rsidRPr="000853B2">
        <w:rPr>
          <w:rFonts w:eastAsia="Calibri" w:cs="Arial"/>
        </w:rPr>
        <w:t>Deal, T.E. and Kennedy, A.A. (1982</w:t>
      </w:r>
      <w:r w:rsidR="00484CE8" w:rsidRPr="000853B2">
        <w:rPr>
          <w:rFonts w:eastAsia="Calibri" w:cs="Arial"/>
          <w:i/>
          <w:iCs/>
        </w:rPr>
        <w:t>)</w:t>
      </w:r>
      <w:r w:rsidRPr="000853B2">
        <w:rPr>
          <w:rFonts w:eastAsia="Calibri" w:cs="Arial"/>
          <w:i/>
          <w:iCs/>
        </w:rPr>
        <w:t xml:space="preserve"> Corporate cultures: the rites and rituals of corporate life.</w:t>
      </w:r>
      <w:r w:rsidRPr="000853B2">
        <w:rPr>
          <w:rFonts w:eastAsia="Calibri" w:cs="Arial"/>
        </w:rPr>
        <w:t xml:space="preserve"> Reading, Mass.: Addison-Wesley.</w:t>
      </w:r>
    </w:p>
    <w:p w14:paraId="1B627F9E" w14:textId="77777777" w:rsidR="00CE315B" w:rsidRPr="000853B2" w:rsidRDefault="00CE315B" w:rsidP="00CE315B">
      <w:pPr>
        <w:spacing w:after="160" w:line="300" w:lineRule="auto"/>
        <w:ind w:left="720" w:hanging="720"/>
        <w:rPr>
          <w:rFonts w:cs="Arial"/>
        </w:rPr>
      </w:pPr>
      <w:r w:rsidRPr="000853B2">
        <w:rPr>
          <w:rFonts w:eastAsia="Calibri" w:cs="Arial"/>
        </w:rPr>
        <w:t xml:space="preserve">Denison, D.R. (1990) </w:t>
      </w:r>
      <w:r w:rsidRPr="000853B2">
        <w:rPr>
          <w:rFonts w:eastAsia="Calibri" w:cs="Arial"/>
          <w:i/>
          <w:iCs/>
        </w:rPr>
        <w:t>Corporate culture and organizational effectiveness</w:t>
      </w:r>
      <w:r w:rsidRPr="000853B2">
        <w:rPr>
          <w:rFonts w:eastAsia="Calibri" w:cs="Arial"/>
        </w:rPr>
        <w:t>. New York: John Wiley &amp; Sons.</w:t>
      </w:r>
    </w:p>
    <w:p w14:paraId="2CC6914A" w14:textId="3664F769" w:rsidR="00CE315B" w:rsidRPr="000853B2" w:rsidRDefault="00CE315B" w:rsidP="00CE315B">
      <w:pPr>
        <w:spacing w:after="160" w:line="300" w:lineRule="auto"/>
        <w:ind w:left="720" w:hanging="720"/>
        <w:rPr>
          <w:rFonts w:cs="Arial"/>
        </w:rPr>
      </w:pPr>
      <w:r w:rsidRPr="000853B2">
        <w:rPr>
          <w:rFonts w:eastAsia="Calibri" w:cs="Arial"/>
        </w:rPr>
        <w:t xml:space="preserve">Garvin, D.A. (2014) </w:t>
      </w:r>
      <w:r w:rsidRPr="000853B2">
        <w:rPr>
          <w:rFonts w:eastAsia="Calibri" w:cs="Arial"/>
          <w:i/>
          <w:iCs/>
        </w:rPr>
        <w:t xml:space="preserve">Can a strong culture be too </w:t>
      </w:r>
      <w:r w:rsidR="008808A6" w:rsidRPr="000853B2">
        <w:rPr>
          <w:rFonts w:eastAsia="Calibri" w:cs="Arial"/>
          <w:i/>
          <w:iCs/>
        </w:rPr>
        <w:t>strong?</w:t>
      </w:r>
      <w:r w:rsidRPr="000853B2">
        <w:rPr>
          <w:rFonts w:eastAsia="Calibri" w:cs="Arial"/>
        </w:rPr>
        <w:t xml:space="preserve"> Harvard Business Review, 92(1/2), pp. 113–117.</w:t>
      </w:r>
    </w:p>
    <w:p w14:paraId="58C082E5" w14:textId="77777777" w:rsidR="00CE315B" w:rsidRPr="000853B2" w:rsidRDefault="00CE315B" w:rsidP="00CE315B">
      <w:pPr>
        <w:spacing w:after="160" w:line="300" w:lineRule="auto"/>
        <w:ind w:left="720" w:hanging="720"/>
        <w:rPr>
          <w:rFonts w:cs="Arial"/>
        </w:rPr>
      </w:pPr>
      <w:r w:rsidRPr="000853B2">
        <w:rPr>
          <w:rFonts w:eastAsia="Calibri" w:cs="Arial"/>
        </w:rPr>
        <w:t xml:space="preserve">Handy, C. (1993) </w:t>
      </w:r>
      <w:r w:rsidRPr="000853B2">
        <w:rPr>
          <w:rFonts w:eastAsia="Calibri" w:cs="Arial"/>
          <w:i/>
          <w:iCs/>
        </w:rPr>
        <w:t>Understanding organizations</w:t>
      </w:r>
      <w:r w:rsidRPr="000853B2">
        <w:rPr>
          <w:rFonts w:eastAsia="Calibri" w:cs="Arial"/>
        </w:rPr>
        <w:t xml:space="preserve">. 4th </w:t>
      </w:r>
      <w:proofErr w:type="spellStart"/>
      <w:r w:rsidRPr="000853B2">
        <w:rPr>
          <w:rFonts w:eastAsia="Calibri" w:cs="Arial"/>
        </w:rPr>
        <w:t>edn</w:t>
      </w:r>
      <w:proofErr w:type="spellEnd"/>
      <w:r w:rsidRPr="000853B2">
        <w:rPr>
          <w:rFonts w:eastAsia="Calibri" w:cs="Arial"/>
        </w:rPr>
        <w:t>. London: Penguin.</w:t>
      </w:r>
    </w:p>
    <w:p w14:paraId="6C6A822D" w14:textId="77777777" w:rsidR="00CE315B" w:rsidRPr="000853B2" w:rsidRDefault="00CE315B" w:rsidP="00CE315B">
      <w:pPr>
        <w:spacing w:after="160" w:line="300" w:lineRule="auto"/>
        <w:ind w:left="720" w:hanging="720"/>
        <w:rPr>
          <w:rFonts w:cs="Arial"/>
        </w:rPr>
      </w:pPr>
      <w:r w:rsidRPr="000853B2">
        <w:rPr>
          <w:rFonts w:eastAsia="Calibri" w:cs="Arial"/>
        </w:rPr>
        <w:t xml:space="preserve">Hofstede, G. (2001) </w:t>
      </w:r>
      <w:r w:rsidRPr="000853B2">
        <w:rPr>
          <w:rFonts w:eastAsia="Calibri" w:cs="Arial"/>
          <w:i/>
          <w:iCs/>
        </w:rPr>
        <w:t xml:space="preserve">Culture's consequences: comparing values, </w:t>
      </w:r>
      <w:proofErr w:type="spellStart"/>
      <w:r w:rsidRPr="000853B2">
        <w:rPr>
          <w:rFonts w:eastAsia="Calibri" w:cs="Arial"/>
          <w:i/>
          <w:iCs/>
        </w:rPr>
        <w:t>behaviors</w:t>
      </w:r>
      <w:proofErr w:type="spellEnd"/>
      <w:r w:rsidRPr="000853B2">
        <w:rPr>
          <w:rFonts w:eastAsia="Calibri" w:cs="Arial"/>
          <w:i/>
          <w:iCs/>
        </w:rPr>
        <w:t>, institutions and organizations across nations</w:t>
      </w:r>
      <w:r w:rsidRPr="000853B2">
        <w:rPr>
          <w:rFonts w:eastAsia="Calibri" w:cs="Arial"/>
        </w:rPr>
        <w:t xml:space="preserve">. 2nd </w:t>
      </w:r>
      <w:proofErr w:type="spellStart"/>
      <w:r w:rsidRPr="000853B2">
        <w:rPr>
          <w:rFonts w:eastAsia="Calibri" w:cs="Arial"/>
        </w:rPr>
        <w:t>edn</w:t>
      </w:r>
      <w:proofErr w:type="spellEnd"/>
      <w:r w:rsidRPr="000853B2">
        <w:rPr>
          <w:rFonts w:eastAsia="Calibri" w:cs="Arial"/>
        </w:rPr>
        <w:t>. Thousand Oaks: Sage.</w:t>
      </w:r>
    </w:p>
    <w:p w14:paraId="4D10E345" w14:textId="02807B6B" w:rsidR="00CE315B" w:rsidRPr="000853B2" w:rsidRDefault="00CE315B" w:rsidP="00CE315B">
      <w:pPr>
        <w:spacing w:after="160" w:line="300" w:lineRule="auto"/>
        <w:ind w:left="720" w:hanging="720"/>
        <w:rPr>
          <w:rFonts w:eastAsia="Calibri" w:cs="Arial"/>
        </w:rPr>
      </w:pPr>
      <w:r w:rsidRPr="000853B2">
        <w:rPr>
          <w:rFonts w:eastAsia="Calibri" w:cs="Arial"/>
        </w:rPr>
        <w:t>Janis, I.L. (1972</w:t>
      </w:r>
      <w:r w:rsidRPr="000853B2">
        <w:rPr>
          <w:rFonts w:eastAsia="Calibri" w:cs="Arial"/>
          <w:i/>
          <w:iCs/>
        </w:rPr>
        <w:t xml:space="preserve">) Victims of groupthink: a psychological study of </w:t>
      </w:r>
      <w:r w:rsidR="00997F2A" w:rsidRPr="000853B2">
        <w:rPr>
          <w:rFonts w:eastAsia="Calibri" w:cs="Arial"/>
          <w:i/>
          <w:iCs/>
        </w:rPr>
        <w:t>foreign policy</w:t>
      </w:r>
      <w:r w:rsidRPr="000853B2">
        <w:rPr>
          <w:rFonts w:eastAsia="Calibri" w:cs="Arial"/>
          <w:i/>
          <w:iCs/>
        </w:rPr>
        <w:t xml:space="preserve"> decisions and </w:t>
      </w:r>
      <w:proofErr w:type="spellStart"/>
      <w:r w:rsidRPr="000853B2">
        <w:rPr>
          <w:rFonts w:eastAsia="Calibri" w:cs="Arial"/>
          <w:i/>
          <w:iCs/>
        </w:rPr>
        <w:t>fiascoes</w:t>
      </w:r>
      <w:proofErr w:type="spellEnd"/>
      <w:r w:rsidRPr="000853B2">
        <w:rPr>
          <w:rFonts w:eastAsia="Calibri" w:cs="Arial"/>
          <w:i/>
          <w:iCs/>
        </w:rPr>
        <w:t>.</w:t>
      </w:r>
      <w:r w:rsidRPr="000853B2">
        <w:rPr>
          <w:rFonts w:eastAsia="Calibri" w:cs="Arial"/>
        </w:rPr>
        <w:t xml:space="preserve"> Boston: Houghton Mifflin.</w:t>
      </w:r>
    </w:p>
    <w:p w14:paraId="1BEBAFB3" w14:textId="77777777" w:rsidR="00CE315B" w:rsidRPr="000853B2" w:rsidRDefault="00CE315B" w:rsidP="00CE315B">
      <w:pPr>
        <w:spacing w:after="160" w:line="300" w:lineRule="auto"/>
        <w:ind w:left="720" w:hanging="720"/>
        <w:rPr>
          <w:rFonts w:cs="Arial"/>
        </w:rPr>
      </w:pPr>
      <w:r w:rsidRPr="000853B2">
        <w:rPr>
          <w:rFonts w:eastAsia="Calibri" w:cs="Arial"/>
        </w:rPr>
        <w:t xml:space="preserve">Kotter, J.P. and Heskett, J.L. (1992) </w:t>
      </w:r>
      <w:r w:rsidRPr="000853B2">
        <w:rPr>
          <w:rFonts w:eastAsia="Calibri" w:cs="Arial"/>
          <w:i/>
          <w:iCs/>
        </w:rPr>
        <w:t>Corporate culture and performance</w:t>
      </w:r>
      <w:r w:rsidRPr="000853B2">
        <w:rPr>
          <w:rFonts w:eastAsia="Calibri" w:cs="Arial"/>
        </w:rPr>
        <w:t>. New York: Free Press.</w:t>
      </w:r>
    </w:p>
    <w:p w14:paraId="3BC03381" w14:textId="77777777" w:rsidR="00CE315B" w:rsidRPr="000853B2" w:rsidRDefault="00CE315B" w:rsidP="00CE315B">
      <w:pPr>
        <w:spacing w:after="160" w:line="300" w:lineRule="auto"/>
        <w:ind w:left="720" w:hanging="720"/>
        <w:rPr>
          <w:rFonts w:cs="Arial"/>
        </w:rPr>
      </w:pPr>
      <w:r w:rsidRPr="000853B2">
        <w:rPr>
          <w:rFonts w:eastAsia="Calibri" w:cs="Arial"/>
        </w:rPr>
        <w:t xml:space="preserve">Liker, J.K. (2004) </w:t>
      </w:r>
      <w:r w:rsidRPr="000853B2">
        <w:rPr>
          <w:rFonts w:eastAsia="Calibri" w:cs="Arial"/>
          <w:i/>
          <w:iCs/>
        </w:rPr>
        <w:t>The Toyota way: 14 management principles from the world's greatest manufacturer.</w:t>
      </w:r>
      <w:r w:rsidRPr="000853B2">
        <w:rPr>
          <w:rFonts w:eastAsia="Calibri" w:cs="Arial"/>
        </w:rPr>
        <w:t xml:space="preserve"> New York: McGraw-Hill.</w:t>
      </w:r>
    </w:p>
    <w:p w14:paraId="5784AEA8" w14:textId="77777777" w:rsidR="00CE315B" w:rsidRPr="000853B2" w:rsidRDefault="00CE315B" w:rsidP="00CE315B">
      <w:pPr>
        <w:spacing w:after="160" w:line="300" w:lineRule="auto"/>
        <w:ind w:left="720" w:hanging="720"/>
        <w:rPr>
          <w:rFonts w:cs="Arial"/>
        </w:rPr>
      </w:pPr>
      <w:r w:rsidRPr="000853B2">
        <w:rPr>
          <w:rFonts w:eastAsia="Calibri" w:cs="Arial"/>
        </w:rPr>
        <w:t xml:space="preserve">Liker, J.K. and </w:t>
      </w:r>
      <w:proofErr w:type="spellStart"/>
      <w:r w:rsidRPr="000853B2">
        <w:rPr>
          <w:rFonts w:eastAsia="Calibri" w:cs="Arial"/>
        </w:rPr>
        <w:t>Hoseus</w:t>
      </w:r>
      <w:proofErr w:type="spellEnd"/>
      <w:r w:rsidRPr="000853B2">
        <w:rPr>
          <w:rFonts w:eastAsia="Calibri" w:cs="Arial"/>
        </w:rPr>
        <w:t xml:space="preserve">, M. (2008) </w:t>
      </w:r>
      <w:r w:rsidRPr="000853B2">
        <w:rPr>
          <w:rFonts w:eastAsia="Calibri" w:cs="Arial"/>
          <w:i/>
          <w:iCs/>
        </w:rPr>
        <w:t>Toyota culture: the heart and soul of the Toyota way</w:t>
      </w:r>
      <w:r w:rsidRPr="000853B2">
        <w:rPr>
          <w:rFonts w:eastAsia="Calibri" w:cs="Arial"/>
        </w:rPr>
        <w:t>. New York: McGraw-Hill.</w:t>
      </w:r>
    </w:p>
    <w:p w14:paraId="182D5839" w14:textId="77777777" w:rsidR="00CE315B" w:rsidRPr="000853B2" w:rsidRDefault="00CE315B" w:rsidP="00CE315B">
      <w:pPr>
        <w:spacing w:after="160" w:line="300" w:lineRule="auto"/>
        <w:ind w:left="720" w:hanging="720"/>
        <w:rPr>
          <w:rFonts w:cs="Arial"/>
        </w:rPr>
      </w:pPr>
      <w:r w:rsidRPr="000853B2">
        <w:rPr>
          <w:rFonts w:eastAsia="Calibri" w:cs="Arial"/>
        </w:rPr>
        <w:t xml:space="preserve">Schein, E.H. (2010) </w:t>
      </w:r>
      <w:r w:rsidRPr="000853B2">
        <w:rPr>
          <w:rFonts w:eastAsia="Calibri" w:cs="Arial"/>
          <w:i/>
          <w:iCs/>
        </w:rPr>
        <w:t>Organizational culture and leadership</w:t>
      </w:r>
      <w:r w:rsidRPr="000853B2">
        <w:rPr>
          <w:rFonts w:eastAsia="Calibri" w:cs="Arial"/>
        </w:rPr>
        <w:t xml:space="preserve">. 4th </w:t>
      </w:r>
      <w:proofErr w:type="spellStart"/>
      <w:r w:rsidRPr="000853B2">
        <w:rPr>
          <w:rFonts w:eastAsia="Calibri" w:cs="Arial"/>
        </w:rPr>
        <w:t>edn</w:t>
      </w:r>
      <w:proofErr w:type="spellEnd"/>
      <w:r w:rsidRPr="000853B2">
        <w:rPr>
          <w:rFonts w:eastAsia="Calibri" w:cs="Arial"/>
        </w:rPr>
        <w:t>. San Francisco: Jossey-Bass.</w:t>
      </w:r>
    </w:p>
    <w:p w14:paraId="1E9E397B" w14:textId="7E9290FC" w:rsidR="00CE315B" w:rsidRPr="000853B2" w:rsidRDefault="00CE315B" w:rsidP="00CE315B">
      <w:pPr>
        <w:spacing w:after="160" w:line="300" w:lineRule="auto"/>
        <w:ind w:left="720" w:hanging="720"/>
        <w:rPr>
          <w:rFonts w:cs="Arial"/>
        </w:rPr>
      </w:pPr>
      <w:r w:rsidRPr="000853B2">
        <w:rPr>
          <w:rFonts w:eastAsia="Calibri" w:cs="Arial"/>
        </w:rPr>
        <w:t xml:space="preserve">Toyota Motor Corporation (no date) Guiding principles at Toyota. Available at: https://global.toyota/en/company/vision-and-philosophy/guiding-principles/ (Accessed: </w:t>
      </w:r>
      <w:r w:rsidR="00643250" w:rsidRPr="000853B2">
        <w:rPr>
          <w:rFonts w:eastAsia="Calibri" w:cs="Arial"/>
        </w:rPr>
        <w:t>05 October</w:t>
      </w:r>
      <w:r w:rsidRPr="000853B2">
        <w:rPr>
          <w:rFonts w:eastAsia="Calibri" w:cs="Arial"/>
        </w:rPr>
        <w:t xml:space="preserve"> 2026).</w:t>
      </w:r>
    </w:p>
    <w:p w14:paraId="4B723C63" w14:textId="77777777" w:rsidR="00CE315B" w:rsidRPr="000853B2" w:rsidRDefault="00CE315B" w:rsidP="004A5884"/>
    <w:p w14:paraId="605E1A79" w14:textId="102F7947" w:rsidR="00BA0F32" w:rsidRPr="00335227" w:rsidRDefault="00BA0F32" w:rsidP="00335227">
      <w:pPr>
        <w:rPr>
          <w:b/>
          <w:bCs/>
        </w:rPr>
      </w:pPr>
    </w:p>
    <w:sectPr w:rsidR="00BA0F32" w:rsidRPr="00335227" w:rsidSect="007945AB">
      <w:footerReference w:type="default" r:id="rId8"/>
      <w:pgSz w:w="12240" w:h="15840"/>
      <w:pgMar w:top="1440" w:right="1440" w:bottom="1440" w:left="1440"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4BE85" w14:textId="77777777" w:rsidR="00993825" w:rsidRPr="000853B2" w:rsidRDefault="00993825" w:rsidP="00B5481D">
      <w:pPr>
        <w:spacing w:after="0" w:line="240" w:lineRule="auto"/>
      </w:pPr>
      <w:r w:rsidRPr="000853B2">
        <w:separator/>
      </w:r>
    </w:p>
  </w:endnote>
  <w:endnote w:type="continuationSeparator" w:id="0">
    <w:p w14:paraId="156DF64E" w14:textId="77777777" w:rsidR="00993825" w:rsidRPr="000853B2" w:rsidRDefault="00993825" w:rsidP="00B5481D">
      <w:pPr>
        <w:spacing w:after="0" w:line="240" w:lineRule="auto"/>
      </w:pPr>
      <w:r w:rsidRPr="000853B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4396047"/>
      <w:docPartObj>
        <w:docPartGallery w:val="Page Numbers (Bottom of Page)"/>
        <w:docPartUnique/>
      </w:docPartObj>
    </w:sdtPr>
    <w:sdtContent>
      <w:p w14:paraId="24DABF9A" w14:textId="6FAB2F82" w:rsidR="00297EF6" w:rsidRPr="000853B2" w:rsidRDefault="00297EF6">
        <w:pPr>
          <w:pStyle w:val="Footer"/>
          <w:jc w:val="right"/>
        </w:pPr>
        <w:r w:rsidRPr="000853B2">
          <w:fldChar w:fldCharType="begin"/>
        </w:r>
        <w:r w:rsidRPr="000853B2">
          <w:instrText xml:space="preserve"> PAGE   \* MERGEFORMAT </w:instrText>
        </w:r>
        <w:r w:rsidRPr="000853B2">
          <w:fldChar w:fldCharType="separate"/>
        </w:r>
        <w:r w:rsidRPr="000853B2">
          <w:t>2</w:t>
        </w:r>
        <w:r w:rsidRPr="000853B2">
          <w:fldChar w:fldCharType="end"/>
        </w:r>
      </w:p>
    </w:sdtContent>
  </w:sdt>
  <w:p w14:paraId="72AD4124" w14:textId="77777777" w:rsidR="00B5481D" w:rsidRPr="000853B2" w:rsidRDefault="00B548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690EE" w14:textId="77777777" w:rsidR="00993825" w:rsidRPr="000853B2" w:rsidRDefault="00993825" w:rsidP="00B5481D">
      <w:pPr>
        <w:spacing w:after="0" w:line="240" w:lineRule="auto"/>
      </w:pPr>
      <w:r w:rsidRPr="000853B2">
        <w:separator/>
      </w:r>
    </w:p>
  </w:footnote>
  <w:footnote w:type="continuationSeparator" w:id="0">
    <w:p w14:paraId="019BBACF" w14:textId="77777777" w:rsidR="00993825" w:rsidRPr="000853B2" w:rsidRDefault="00993825" w:rsidP="00B5481D">
      <w:pPr>
        <w:spacing w:after="0" w:line="240" w:lineRule="auto"/>
      </w:pPr>
      <w:r w:rsidRPr="000853B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34F60028"/>
    <w:multiLevelType w:val="hybridMultilevel"/>
    <w:tmpl w:val="43882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2F5188"/>
    <w:multiLevelType w:val="hybridMultilevel"/>
    <w:tmpl w:val="5C9429A0"/>
    <w:lvl w:ilvl="0" w:tplc="1EDADC56">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2"/>
  </w:num>
  <w:num w:numId="12" w16cid:durableId="1846822900">
    <w:abstractNumId w:val="11"/>
  </w:num>
  <w:num w:numId="13" w16cid:durableId="1949269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7FDE"/>
    <w:rsid w:val="00034616"/>
    <w:rsid w:val="000401D4"/>
    <w:rsid w:val="0005015C"/>
    <w:rsid w:val="0006063C"/>
    <w:rsid w:val="000853B2"/>
    <w:rsid w:val="000D2692"/>
    <w:rsid w:val="00120E6F"/>
    <w:rsid w:val="0015074B"/>
    <w:rsid w:val="00150E7B"/>
    <w:rsid w:val="00181308"/>
    <w:rsid w:val="001E4DC8"/>
    <w:rsid w:val="00262D29"/>
    <w:rsid w:val="0029639D"/>
    <w:rsid w:val="00297EF6"/>
    <w:rsid w:val="002F5ED1"/>
    <w:rsid w:val="0030733E"/>
    <w:rsid w:val="00322ED7"/>
    <w:rsid w:val="00326F90"/>
    <w:rsid w:val="00334F80"/>
    <w:rsid w:val="00335227"/>
    <w:rsid w:val="00376D76"/>
    <w:rsid w:val="00426919"/>
    <w:rsid w:val="004424B8"/>
    <w:rsid w:val="00475EB8"/>
    <w:rsid w:val="00484CE8"/>
    <w:rsid w:val="00484E26"/>
    <w:rsid w:val="004A5884"/>
    <w:rsid w:val="00501867"/>
    <w:rsid w:val="00561B84"/>
    <w:rsid w:val="0057191B"/>
    <w:rsid w:val="00583297"/>
    <w:rsid w:val="00592A08"/>
    <w:rsid w:val="005A1C98"/>
    <w:rsid w:val="005A3305"/>
    <w:rsid w:val="005C025A"/>
    <w:rsid w:val="005D2B11"/>
    <w:rsid w:val="005D44EA"/>
    <w:rsid w:val="005D67D4"/>
    <w:rsid w:val="005E6A57"/>
    <w:rsid w:val="006062CD"/>
    <w:rsid w:val="00634C8A"/>
    <w:rsid w:val="00643250"/>
    <w:rsid w:val="00657E4B"/>
    <w:rsid w:val="006F4DCC"/>
    <w:rsid w:val="0074777B"/>
    <w:rsid w:val="00760455"/>
    <w:rsid w:val="00785819"/>
    <w:rsid w:val="007945AB"/>
    <w:rsid w:val="007A537E"/>
    <w:rsid w:val="00801C82"/>
    <w:rsid w:val="008808A6"/>
    <w:rsid w:val="008901D2"/>
    <w:rsid w:val="008C311C"/>
    <w:rsid w:val="00905B51"/>
    <w:rsid w:val="009627F5"/>
    <w:rsid w:val="00993825"/>
    <w:rsid w:val="00997F2A"/>
    <w:rsid w:val="009A214C"/>
    <w:rsid w:val="009A30C1"/>
    <w:rsid w:val="009E2ED3"/>
    <w:rsid w:val="009E7B28"/>
    <w:rsid w:val="00A2285C"/>
    <w:rsid w:val="00A3476B"/>
    <w:rsid w:val="00A6490D"/>
    <w:rsid w:val="00A976B5"/>
    <w:rsid w:val="00AA1D8D"/>
    <w:rsid w:val="00AB345F"/>
    <w:rsid w:val="00AF1ED6"/>
    <w:rsid w:val="00B47730"/>
    <w:rsid w:val="00B5481D"/>
    <w:rsid w:val="00B733DB"/>
    <w:rsid w:val="00BA0F32"/>
    <w:rsid w:val="00BA6942"/>
    <w:rsid w:val="00BA7A2A"/>
    <w:rsid w:val="00BD11E1"/>
    <w:rsid w:val="00C2451E"/>
    <w:rsid w:val="00C66EBC"/>
    <w:rsid w:val="00C77953"/>
    <w:rsid w:val="00CB0664"/>
    <w:rsid w:val="00CD6DF9"/>
    <w:rsid w:val="00CE315B"/>
    <w:rsid w:val="00CF0A18"/>
    <w:rsid w:val="00CF655C"/>
    <w:rsid w:val="00D0174D"/>
    <w:rsid w:val="00D14755"/>
    <w:rsid w:val="00D4419A"/>
    <w:rsid w:val="00D53181"/>
    <w:rsid w:val="00D87F62"/>
    <w:rsid w:val="00DA188E"/>
    <w:rsid w:val="00DC1964"/>
    <w:rsid w:val="00E660CB"/>
    <w:rsid w:val="00EA0218"/>
    <w:rsid w:val="00EB476D"/>
    <w:rsid w:val="00EC2A14"/>
    <w:rsid w:val="00EF7819"/>
    <w:rsid w:val="00FB0B84"/>
    <w:rsid w:val="00FC693F"/>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EastAsia" w:hAnsi="Arial"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25A"/>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eastAsia="Arial" w:cs="Arial"/>
    </w:rPr>
  </w:style>
  <w:style w:type="paragraph" w:styleId="NormalWeb">
    <w:name w:val="Normal (Web)"/>
    <w:basedOn w:val="Normal"/>
    <w:uiPriority w:val="99"/>
    <w:semiHidden/>
    <w:unhideWhenUsed/>
    <w:rsid w:val="008808A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1</Pages>
  <Words>3578</Words>
  <Characters>20399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23930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Razvan Pojar (2423339)</cp:lastModifiedBy>
  <cp:revision>28</cp:revision>
  <dcterms:created xsi:type="dcterms:W3CDTF">2025-05-31T06:43:00Z</dcterms:created>
  <dcterms:modified xsi:type="dcterms:W3CDTF">2026-10-22T11:49:00Z</dcterms:modified>
  <cp:category/>
</cp:coreProperties>
</file>