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26E55ABB" wp14:textId="7113CA1E">
      <w:r w:rsidR="28691854">
        <w:rPr/>
        <w:t>Coursework Portfolio</w:t>
      </w:r>
    </w:p>
    <w:p xmlns:wp14="http://schemas.microsoft.com/office/word/2010/wordml" w:rsidP="20CA9CD2" wp14:paraId="63CF63AD" wp14:textId="2E407656">
      <w:pPr>
        <w:pStyle w:val="Normal"/>
      </w:pPr>
      <w:r w:rsidR="28691854">
        <w:rPr/>
        <w:t xml:space="preserve"> </w:t>
      </w:r>
    </w:p>
    <w:p xmlns:wp14="http://schemas.microsoft.com/office/word/2010/wordml" w:rsidP="20CA9CD2" wp14:paraId="7100DC06" wp14:textId="1FA5BC4E">
      <w:pPr>
        <w:pStyle w:val="Normal"/>
      </w:pPr>
      <w:r w:rsidR="28691854">
        <w:rPr/>
        <w:t>Aston Community Mental Health Services</w:t>
      </w:r>
    </w:p>
    <w:p xmlns:wp14="http://schemas.microsoft.com/office/word/2010/wordml" w:rsidP="20CA9CD2" wp14:paraId="255CEB16" wp14:textId="338980EA">
      <w:pPr>
        <w:pStyle w:val="Normal"/>
      </w:pPr>
      <w:r w:rsidR="28691854">
        <w:rPr/>
        <w:t>and Community Antenatal Midwifery</w:t>
      </w:r>
    </w:p>
    <w:p xmlns:wp14="http://schemas.microsoft.com/office/word/2010/wordml" w:rsidP="20CA9CD2" wp14:paraId="5BA667E8" wp14:textId="40341D59">
      <w:pPr>
        <w:pStyle w:val="Normal"/>
      </w:pPr>
      <w:r w:rsidR="28691854">
        <w:rPr/>
        <w:t xml:space="preserve"> </w:t>
      </w:r>
    </w:p>
    <w:p xmlns:wp14="http://schemas.microsoft.com/office/word/2010/wordml" w:rsidP="20CA9CD2" wp14:paraId="6AB8AEAC" wp14:textId="671ACFA0">
      <w:pPr>
        <w:pStyle w:val="Normal"/>
      </w:pPr>
      <w:r w:rsidR="28691854">
        <w:rPr/>
        <w:t xml:space="preserve">Student name: </w:t>
      </w:r>
      <w:r w:rsidR="28691854">
        <w:rPr/>
        <w:t>Shuyebur</w:t>
      </w:r>
      <w:r w:rsidR="28691854">
        <w:rPr/>
        <w:t xml:space="preserve"> Rahman </w:t>
      </w:r>
    </w:p>
    <w:p xmlns:wp14="http://schemas.microsoft.com/office/word/2010/wordml" w:rsidP="20CA9CD2" wp14:paraId="339B614C" wp14:textId="7B3E6CB8">
      <w:pPr>
        <w:pStyle w:val="Normal"/>
      </w:pPr>
      <w:r w:rsidR="28691854">
        <w:rPr/>
        <w:t xml:space="preserve">Student number: </w:t>
      </w:r>
      <w:r w:rsidR="2726896B">
        <w:rPr/>
        <w:t>2542</w:t>
      </w:r>
      <w:r w:rsidR="09A96E56">
        <w:rPr/>
        <w:t>587</w:t>
      </w:r>
    </w:p>
    <w:p xmlns:wp14="http://schemas.microsoft.com/office/word/2010/wordml" w:rsidP="20CA9CD2" wp14:paraId="45C7BD48" wp14:textId="0B68E84E">
      <w:pPr>
        <w:pStyle w:val="Normal"/>
      </w:pPr>
      <w:r w:rsidR="28691854">
        <w:rPr/>
        <w:t>Module code: LCHS4003</w:t>
      </w:r>
    </w:p>
    <w:p xmlns:wp14="http://schemas.microsoft.com/office/word/2010/wordml" w:rsidP="20CA9CD2" wp14:paraId="1592EACF" wp14:textId="52B66CB6">
      <w:pPr>
        <w:pStyle w:val="Normal"/>
      </w:pPr>
      <w:r w:rsidR="28691854">
        <w:rPr/>
        <w:t>Module title: Introduction to Health and Social Care</w:t>
      </w:r>
    </w:p>
    <w:p xmlns:wp14="http://schemas.microsoft.com/office/word/2010/wordml" w:rsidP="20CA9CD2" wp14:paraId="5D695A4B" wp14:textId="4D753C17">
      <w:pPr>
        <w:pStyle w:val="Normal"/>
      </w:pPr>
      <w:r w:rsidR="28691854">
        <w:rPr/>
        <w:t>Lecturer: Dr Helen Parsons</w:t>
      </w:r>
    </w:p>
    <w:p xmlns:wp14="http://schemas.microsoft.com/office/word/2010/wordml" w:rsidP="20CA9CD2" wp14:paraId="3626AEDA" wp14:textId="543135C3">
      <w:pPr>
        <w:pStyle w:val="Normal"/>
      </w:pPr>
      <w:r w:rsidR="28691854">
        <w:rPr/>
        <w:t>Assignment title: Written Assignment</w:t>
      </w:r>
    </w:p>
    <w:p xmlns:wp14="http://schemas.microsoft.com/office/word/2010/wordml" w:rsidP="20CA9CD2" wp14:paraId="09A7D040" wp14:textId="3305F891">
      <w:pPr>
        <w:pStyle w:val="Normal"/>
      </w:pPr>
      <w:r w:rsidR="28691854">
        <w:rPr/>
        <w:t>Word count: 1,651 (Task 1: 750; Task 2: 901)</w:t>
      </w:r>
    </w:p>
    <w:p xmlns:wp14="http://schemas.microsoft.com/office/word/2010/wordml" w:rsidP="20CA9CD2" wp14:paraId="72D04D29" wp14:textId="1E6B3C5D">
      <w:pPr>
        <w:pStyle w:val="Normal"/>
      </w:pPr>
      <w:r w:rsidR="28691854">
        <w:rPr/>
        <w:t xml:space="preserve"> </w:t>
      </w:r>
    </w:p>
    <w:p xmlns:wp14="http://schemas.microsoft.com/office/word/2010/wordml" w:rsidP="20CA9CD2" wp14:paraId="6F59A4D4" wp14:textId="40C3B8F0">
      <w:pPr>
        <w:pStyle w:val="Normal"/>
      </w:pPr>
      <w:r w:rsidR="28691854">
        <w:rPr/>
        <w:t>Table of Contents</w:t>
      </w:r>
    </w:p>
    <w:p xmlns:wp14="http://schemas.microsoft.com/office/word/2010/wordml" w:rsidP="20CA9CD2" wp14:paraId="3D410743" wp14:textId="7AFD290F">
      <w:pPr>
        <w:pStyle w:val="Normal"/>
      </w:pPr>
      <w:r w:rsidR="28691854">
        <w:rPr/>
        <w:t xml:space="preserve"> </w:t>
      </w:r>
    </w:p>
    <w:p xmlns:wp14="http://schemas.microsoft.com/office/word/2010/wordml" w:rsidP="20CA9CD2" wp14:paraId="15C4C9E5" wp14:textId="350FED39">
      <w:pPr>
        <w:pStyle w:val="Normal"/>
      </w:pPr>
      <w:r w:rsidR="28691854">
        <w:rPr/>
        <w:t>Task 1: Community Mental Health Services in Aston 4</w:t>
      </w:r>
    </w:p>
    <w:p xmlns:wp14="http://schemas.microsoft.com/office/word/2010/wordml" w:rsidP="20CA9CD2" wp14:paraId="0FC95B45" wp14:textId="3B1DD5E8">
      <w:pPr>
        <w:pStyle w:val="Normal"/>
      </w:pPr>
      <w:r w:rsidR="28691854">
        <w:rPr/>
        <w:t>Introduction 4</w:t>
      </w:r>
    </w:p>
    <w:p xmlns:wp14="http://schemas.microsoft.com/office/word/2010/wordml" w:rsidP="20CA9CD2" wp14:paraId="06B09023" wp14:textId="7B6C532A">
      <w:pPr>
        <w:pStyle w:val="Normal"/>
      </w:pPr>
      <w:r w:rsidR="28691854">
        <w:rPr/>
        <w:t>Impact on the community 4</w:t>
      </w:r>
    </w:p>
    <w:p xmlns:wp14="http://schemas.microsoft.com/office/word/2010/wordml" w:rsidP="20CA9CD2" wp14:paraId="7F9650DE" wp14:textId="38546F31">
      <w:pPr>
        <w:pStyle w:val="Normal"/>
      </w:pPr>
      <w:r w:rsidR="28691854">
        <w:rPr/>
        <w:t>Recommended response 5</w:t>
      </w:r>
    </w:p>
    <w:p xmlns:wp14="http://schemas.microsoft.com/office/word/2010/wordml" w:rsidP="20CA9CD2" wp14:paraId="335751E1" wp14:textId="543D848B">
      <w:pPr>
        <w:pStyle w:val="Normal"/>
      </w:pPr>
      <w:r w:rsidR="28691854">
        <w:rPr/>
        <w:t>Conclusion 6</w:t>
      </w:r>
    </w:p>
    <w:p xmlns:wp14="http://schemas.microsoft.com/office/word/2010/wordml" w:rsidP="20CA9CD2" wp14:paraId="757929E8" wp14:textId="77857F0C">
      <w:pPr>
        <w:pStyle w:val="Normal"/>
      </w:pPr>
      <w:r w:rsidR="28691854">
        <w:rPr/>
        <w:t>Reference list 7</w:t>
      </w:r>
    </w:p>
    <w:p xmlns:wp14="http://schemas.microsoft.com/office/word/2010/wordml" w:rsidP="20CA9CD2" wp14:paraId="46B66E10" wp14:textId="23E3984E">
      <w:pPr>
        <w:pStyle w:val="Normal"/>
      </w:pPr>
      <w:r w:rsidR="28691854">
        <w:rPr/>
        <w:t>Task 2: Community Antenatal Midwifery 8</w:t>
      </w:r>
    </w:p>
    <w:p xmlns:wp14="http://schemas.microsoft.com/office/word/2010/wordml" w:rsidP="20CA9CD2" wp14:paraId="2C1D1431" wp14:textId="451D4974">
      <w:pPr>
        <w:pStyle w:val="Normal"/>
      </w:pPr>
      <w:r w:rsidR="28691854">
        <w:rPr/>
        <w:t>Reference list 11</w:t>
      </w:r>
    </w:p>
    <w:p xmlns:wp14="http://schemas.microsoft.com/office/word/2010/wordml" w:rsidP="20CA9CD2" wp14:paraId="61460E72" wp14:textId="5148A6B1">
      <w:pPr>
        <w:pStyle w:val="Normal"/>
      </w:pPr>
      <w:r w:rsidR="28691854">
        <w:rPr/>
        <w:t xml:space="preserve"> </w:t>
      </w:r>
    </w:p>
    <w:p xmlns:wp14="http://schemas.microsoft.com/office/word/2010/wordml" w:rsidP="20CA9CD2" wp14:paraId="1A4AED4A" wp14:textId="67E6EB1F">
      <w:pPr>
        <w:pStyle w:val="Normal"/>
      </w:pPr>
      <w:r w:rsidR="28691854">
        <w:rPr/>
        <w:t xml:space="preserve"> </w:t>
      </w:r>
    </w:p>
    <w:p xmlns:wp14="http://schemas.microsoft.com/office/word/2010/wordml" w:rsidP="20CA9CD2" wp14:paraId="144B3817" wp14:textId="61492FD9">
      <w:pPr>
        <w:pStyle w:val="Normal"/>
      </w:pPr>
      <w:r w:rsidR="28691854">
        <w:rPr/>
        <w:t>Task 1: Community Mental Health Services in Aston</w:t>
      </w:r>
    </w:p>
    <w:p xmlns:wp14="http://schemas.microsoft.com/office/word/2010/wordml" w:rsidP="20CA9CD2" wp14:paraId="08C5918D" wp14:textId="0B078704">
      <w:pPr>
        <w:pStyle w:val="Normal"/>
      </w:pPr>
      <w:r w:rsidR="28691854">
        <w:rPr/>
        <w:t xml:space="preserve"> </w:t>
      </w:r>
    </w:p>
    <w:p xmlns:wp14="http://schemas.microsoft.com/office/word/2010/wordml" w:rsidP="20CA9CD2" wp14:paraId="0255D5B3" wp14:textId="7A12A3AF">
      <w:pPr>
        <w:pStyle w:val="Normal"/>
      </w:pPr>
      <w:r w:rsidR="28691854">
        <w:rPr/>
        <w:t>To: Councillor Mumtaz Hussain, Birmingham City Council</w:t>
      </w:r>
    </w:p>
    <w:p xmlns:wp14="http://schemas.microsoft.com/office/word/2010/wordml" w:rsidP="20CA9CD2" wp14:paraId="44031FE2" wp14:textId="2E0AAF83">
      <w:pPr>
        <w:pStyle w:val="Normal"/>
      </w:pPr>
      <w:r w:rsidR="28691854">
        <w:rPr/>
        <w:t>Local area: Aston ward, B6 7BG</w:t>
      </w:r>
    </w:p>
    <w:p xmlns:wp14="http://schemas.microsoft.com/office/word/2010/wordml" w:rsidP="20CA9CD2" wp14:paraId="3BBE2AD6" wp14:textId="08EF425F">
      <w:pPr>
        <w:pStyle w:val="Normal"/>
      </w:pPr>
      <w:r w:rsidR="28691854">
        <w:rPr/>
        <w:t>Date: 19 October 2026</w:t>
      </w:r>
    </w:p>
    <w:p xmlns:wp14="http://schemas.microsoft.com/office/word/2010/wordml" w:rsidP="20CA9CD2" wp14:paraId="38EA06A2" wp14:textId="45722DCF">
      <w:pPr>
        <w:pStyle w:val="Normal"/>
      </w:pPr>
      <w:r w:rsidR="28691854">
        <w:rPr/>
        <w:t>Introduction</w:t>
      </w:r>
    </w:p>
    <w:p xmlns:wp14="http://schemas.microsoft.com/office/word/2010/wordml" w:rsidP="20CA9CD2" wp14:paraId="588981A8" wp14:textId="148FE08D">
      <w:pPr>
        <w:pStyle w:val="Normal"/>
      </w:pPr>
      <w:r w:rsidR="28691854">
        <w:rPr/>
        <w:t>There is a need for a focused response to the lack of accessible community mental health supports for adults with difficulties which impact on their ability to live independently and participate. This report proposes a six month community recovery pilot, which combines practical social support and NHS care. This is because the council should be responsible for coordinating support for daily living, housing, relationships and community participation, with NHS partners responsible for the clinical assessment and treatment. The highest number of out-of-work benefit claimants in Birmingham in 2024 is 3,110 in Aston, part of the working age needs assessment. This shows that there is economic disadvantage, not that there is a shortage of services in Aston, or that there is more mental illness in Aston than in other areas of the city (Birmingham City Council, 2025).</w:t>
      </w:r>
    </w:p>
    <w:p xmlns:wp14="http://schemas.microsoft.com/office/word/2010/wordml" w:rsidP="20CA9CD2" wp14:paraId="15FD15AE" wp14:textId="64497647">
      <w:pPr>
        <w:pStyle w:val="Normal"/>
      </w:pPr>
      <w:r w:rsidR="28691854">
        <w:rPr/>
        <w:t>Impact on the community</w:t>
      </w:r>
    </w:p>
    <w:p xmlns:wp14="http://schemas.microsoft.com/office/word/2010/wordml" w:rsidP="20CA9CD2" wp14:paraId="7A44096A" wp14:textId="12044D45">
      <w:pPr>
        <w:pStyle w:val="Normal"/>
      </w:pPr>
      <w:r w:rsidR="28691854">
        <w:rPr/>
        <w:t>It is not a lack of provision but the lack of timely and coordinated support which is the local concern. The quality account for the mental health trust indicates that wait times for the assessment of adults in community mental health teams are improving, but there are ongoing concerns regarding long initial wait times, the time between appointments and poor communication. Despite the improvement this year, its chart shows the average assessment wait in March 2026 to be around nine weeks. It also acknowledges that for some community service users, there are limited opportunities for meaningful activities, learning and work. This is not a ward-level review and the findings are for the services provided by the trust and not for Aston alone, therefore a ward-level review should determine the level of unmet local need (Birmingham and Solihull Mental Health NHS Foundation Trust, 2026).</w:t>
      </w:r>
    </w:p>
    <w:p xmlns:wp14="http://schemas.microsoft.com/office/word/2010/wordml" w:rsidP="20CA9CD2" wp14:paraId="2AF8DC27" wp14:textId="25469208">
      <w:pPr>
        <w:pStyle w:val="Normal"/>
      </w:pPr>
      <w:r w:rsidR="28691854">
        <w:rPr/>
        <w:t>For adults who are distressed, fragmented support may make it more difficult to cope with appointments, housing, and to re-establish routines. Practical support may be delayed and leave new problems unsolved, thereby heightening the need for family support. It can be difficult for families to balance caring with work and self-care. Other barriers to participation include language barriers, unfamiliar referral processes and limited access to digital resources.</w:t>
      </w:r>
    </w:p>
    <w:p xmlns:wp14="http://schemas.microsoft.com/office/word/2010/wordml" w:rsidP="20CA9CD2" wp14:paraId="2460D12B" wp14:textId="7DE12E5B">
      <w:pPr>
        <w:pStyle w:val="Normal"/>
      </w:pPr>
      <w:r w:rsidR="28691854">
        <w:rPr/>
        <w:t>A recovery approach should therefore acknowledge what it is that residents wish to achieve rather than only consider symptom reduction as a measure of success. Social support and support with confidence and daily activities can be used in addition to treatment. However, community activities should be a choice and not be a substitute for needed clinical care or an assessment of social care needs.</w:t>
      </w:r>
    </w:p>
    <w:p xmlns:wp14="http://schemas.microsoft.com/office/word/2010/wordml" w:rsidP="20CA9CD2" wp14:paraId="289B25F7" wp14:textId="6796143E">
      <w:pPr>
        <w:pStyle w:val="Normal"/>
      </w:pPr>
      <w:r w:rsidR="28691854">
        <w:rPr/>
        <w:t>Recommended response</w:t>
      </w:r>
    </w:p>
    <w:p xmlns:wp14="http://schemas.microsoft.com/office/word/2010/wordml" w:rsidP="20CA9CD2" wp14:paraId="3C1164FE" wp14:textId="23F2AE48">
      <w:pPr>
        <w:pStyle w:val="Normal"/>
      </w:pPr>
      <w:r w:rsidR="28691854">
        <w:rPr/>
        <w:t>Adult Social Care should meet with NHS community teams, primary care, voluntary organisations and Aston residents within 4 weeks to map out the referral pathways, waiting times and lack of practical support. The review should involve those who have ceased to engage, carers and community organisations with the involvement of an interpreter if necessary. This is in line with Birmingham's Creating a Mentally Healthy City Strategy 2025-2035 and the support across communities through partnership (Birmingham City Council, 2026). The councillor should ask for a named Council lead and written response as to what can be achieved locally.</w:t>
      </w:r>
    </w:p>
    <w:p xmlns:wp14="http://schemas.microsoft.com/office/word/2010/wordml" w:rsidP="20CA9CD2" wp14:paraId="17A3F605" wp14:textId="43554E1A">
      <w:pPr>
        <w:pStyle w:val="Normal"/>
      </w:pPr>
      <w:r w:rsidR="28691854">
        <w:rPr/>
        <w:t>The Care Act 2014 is the basis for action – Part 1. Section 1 links to wellbeing, mental health, dignity, control, relationships, accommodation and participation. The prevention and integration with health services is supported by sections 2 and 3. If an adult is seen to need care and support then this needs to be assessed under section 9, and the needs of carers under section 10. Where statutory conditions apply, plans and review arrangements must be agreed and the eligible needs addressed under the following provisions: Care Act 2014, s.41 and Schedule A1. 1-3, 9-10, 18 and 25-27).</w:t>
      </w:r>
    </w:p>
    <w:p xmlns:wp14="http://schemas.microsoft.com/office/word/2010/wordml" w:rsidP="20CA9CD2" wp14:paraId="1F3AA9A1" wp14:textId="4B520419">
      <w:pPr>
        <w:pStyle w:val="Normal"/>
      </w:pPr>
      <w:r w:rsidR="28691854">
        <w:rPr/>
        <w:t>Partners should present a costed pilot two sessions per week in an existing accessible community venue by week 8. A recovery coordinator should be available to provide practical support, peer support contacts and housing, welfare, employment information. Staff in the NHS should discuss escalation pathways for clinical issues and consent to sharing of information with the coordinator, but not to the coordinator taking over the role of a specialist. Residents should be involved in the selection of the times of sessions, the form of communication and activities. Staff hours, anticipated caseload, supervision/arrangements for absence, etc. should be indicated in proposals and affordability and continuity checked prior to approval.</w:t>
      </w:r>
    </w:p>
    <w:p xmlns:wp14="http://schemas.microsoft.com/office/word/2010/wordml" w:rsidP="20CA9CD2" wp14:paraId="44AF7AB9" wp14:textId="7C158942">
      <w:pPr>
        <w:pStyle w:val="Normal"/>
      </w:pPr>
      <w:r w:rsidR="28691854">
        <w:rPr/>
        <w:t>Existing premises will save on property costs, but interpretation, staff supervision, accessible materials and protected interpretation time needs to be funded. Commissioners should consider a small commissioned voluntary-sector service versus a shared staffing arrangement, taking continuity and the impact on workloads into account. Launch should not be based on the assumption that volunteers will take up the unmet need but on agreed staffing and safeguarding arrangements.</w:t>
      </w:r>
    </w:p>
    <w:p xmlns:wp14="http://schemas.microsoft.com/office/word/2010/wordml" w:rsidP="20CA9CD2" wp14:paraId="481F4B0F" wp14:textId="2FC30C81">
      <w:pPr>
        <w:pStyle w:val="Normal"/>
      </w:pPr>
      <w:r w:rsidR="28691854">
        <w:rPr/>
        <w:t>The lead should report monthly from month three on the following: referral to contact time, completed social care assessments, sustained engagement, residents' chosen recovery goals and carers' feedback. Results should be disaggregated by relevant access need to determine if there is unequal participation. A six-month review should be done to see how results meet the baseline and to suggest continued, adjusted or closed, and to plan for the cessation of support.</w:t>
      </w:r>
    </w:p>
    <w:p xmlns:wp14="http://schemas.microsoft.com/office/word/2010/wordml" w:rsidP="20CA9CD2" wp14:paraId="4895C563" wp14:textId="331DAB03">
      <w:pPr>
        <w:pStyle w:val="Normal"/>
      </w:pPr>
      <w:r w:rsidR="28691854">
        <w:rPr/>
        <w:t>Conclusion</w:t>
      </w:r>
    </w:p>
    <w:p xmlns:wp14="http://schemas.microsoft.com/office/word/2010/wordml" w:rsidP="20CA9CD2" wp14:paraId="6AA2A988" wp14:textId="53726F0D">
      <w:pPr>
        <w:pStyle w:val="Normal"/>
      </w:pPr>
      <w:r w:rsidR="28691854">
        <w:rPr/>
        <w:t xml:space="preserve">Aston needs a change in the accessibility and continuity of community mental health social support based on evidence. A small-scale, costed pilot would assess local needs, and link residents to existing services. Practical recovery, choice and reliable partnership, with clear accountability and assessment responsibilities are the priority. Expansion needs to be based on proven benefits and capacity. </w:t>
      </w:r>
    </w:p>
    <w:p xmlns:wp14="http://schemas.microsoft.com/office/word/2010/wordml" w:rsidP="20CA9CD2" wp14:paraId="339F266A" wp14:textId="2EAC2A8D">
      <w:pPr>
        <w:pStyle w:val="Normal"/>
      </w:pPr>
      <w:r w:rsidR="28691854">
        <w:rPr/>
        <w:t>Reference list</w:t>
      </w:r>
    </w:p>
    <w:p xmlns:wp14="http://schemas.microsoft.com/office/word/2010/wordml" w:rsidP="20CA9CD2" wp14:paraId="38852808" wp14:textId="2E78F96F">
      <w:pPr>
        <w:pStyle w:val="Normal"/>
      </w:pPr>
      <w:r w:rsidR="28691854">
        <w:rPr/>
        <w:t xml:space="preserve">Birmingham and Solihull Mental Health NHS Foundation Trust (2026) Quality account 2025/26. Quality account. Birmingham and Solihull Mental Health NHS Foundation Trust. Available at: </w:t>
      </w:r>
      <w:r>
        <w:fldChar w:fldCharType="begin"/>
      </w:r>
      <w:r>
        <w:instrText xml:space="preserve">HYPERLINK "https://www.bsmhft.nhs.uk/wp-content/uploads/2026/07/Quality-Account-202526.pdf" </w:instrText>
      </w:r>
      <w:r>
        <w:fldChar w:fldCharType="separate"/>
      </w:r>
      <w:r w:rsidR="28691854">
        <w:rPr/>
        <w:t>https://www.bsmhft.nhs.uk/wp-content/uploads/2026/07/Quality-Account-202526.pdf</w:t>
      </w:r>
      <w:r>
        <w:fldChar w:fldCharType="end"/>
      </w:r>
      <w:r w:rsidR="28691854">
        <w:rPr/>
        <w:t>.</w:t>
      </w:r>
    </w:p>
    <w:p xmlns:wp14="http://schemas.microsoft.com/office/word/2010/wordml" w:rsidP="20CA9CD2" wp14:paraId="3CF78351" wp14:textId="1E9F6DDA">
      <w:pPr>
        <w:pStyle w:val="Normal"/>
      </w:pPr>
      <w:r w:rsidR="28691854">
        <w:rPr/>
        <w:t xml:space="preserve"> </w:t>
      </w:r>
    </w:p>
    <w:p xmlns:wp14="http://schemas.microsoft.com/office/word/2010/wordml" w:rsidP="20CA9CD2" wp14:paraId="3F43BD1A" wp14:textId="754E7977">
      <w:pPr>
        <w:pStyle w:val="Normal"/>
      </w:pPr>
      <w:r w:rsidR="28691854">
        <w:rPr/>
        <w:t xml:space="preserve">Birmingham City Council (2025) A summary picture of working age and vulnerable adults in Birmingham. Joint Strategic Needs Assessment. Birmingham City Council. Available at: </w:t>
      </w:r>
      <w:r>
        <w:fldChar w:fldCharType="begin"/>
      </w:r>
      <w:r>
        <w:instrText xml:space="preserve">HYPERLINK "https://cityobservatory.birmingham.gov.uk/api/explore/v2.1/catalog/datasets/joint-strategic-needs-assessment-jsna/files/a0172b0a7a4b974426f1f1fd576eee18" </w:instrText>
      </w:r>
      <w:r>
        <w:fldChar w:fldCharType="separate"/>
      </w:r>
      <w:r w:rsidR="28691854">
        <w:rPr/>
        <w:t>https://cityobservatory.birmingham.gov.uk/api/explore/v2.1/catalog/datasets/joint-strategic-needs-assessment-jsna/files/a0172b0a7a4b974426f1f1fd576eee18</w:t>
      </w:r>
      <w:r>
        <w:fldChar w:fldCharType="end"/>
      </w:r>
      <w:r w:rsidR="28691854">
        <w:rPr/>
        <w:t>.</w:t>
      </w:r>
    </w:p>
    <w:p xmlns:wp14="http://schemas.microsoft.com/office/word/2010/wordml" w:rsidP="20CA9CD2" wp14:paraId="0727755F" wp14:textId="33BDAED9">
      <w:pPr>
        <w:pStyle w:val="Normal"/>
      </w:pPr>
      <w:r w:rsidR="28691854">
        <w:rPr/>
        <w:t xml:space="preserve"> </w:t>
      </w:r>
    </w:p>
    <w:p xmlns:wp14="http://schemas.microsoft.com/office/word/2010/wordml" w:rsidP="20CA9CD2" wp14:paraId="39752B64" wp14:textId="69663F62">
      <w:pPr>
        <w:pStyle w:val="Normal"/>
      </w:pPr>
      <w:r w:rsidR="28691854">
        <w:rPr/>
        <w:t xml:space="preserve">Birmingham City Council (2026) Creating a mentally healthy city strategy [Birmingham City Council website]. Available at: </w:t>
      </w:r>
      <w:r>
        <w:fldChar w:fldCharType="begin"/>
      </w:r>
      <w:r>
        <w:instrText xml:space="preserve">HYPERLINK "https://www.birmingham.gov.uk/info/50119/health_and_wellbeing_board/2415/creating_a_mentally_healthy_city_forum/2" </w:instrText>
      </w:r>
      <w:r>
        <w:fldChar w:fldCharType="separate"/>
      </w:r>
      <w:r w:rsidR="28691854">
        <w:rPr/>
        <w:t>https://www.birmingham.gov.uk/info/50119/health_and_wellbeing_board/2415/creating_a_mentally_healthy_city_forum/2</w:t>
      </w:r>
      <w:r>
        <w:fldChar w:fldCharType="end"/>
      </w:r>
      <w:r w:rsidR="28691854">
        <w:rPr/>
        <w:t>.</w:t>
      </w:r>
    </w:p>
    <w:p xmlns:wp14="http://schemas.microsoft.com/office/word/2010/wordml" w:rsidP="20CA9CD2" wp14:paraId="3E5DD1CA" wp14:textId="1E667308">
      <w:pPr>
        <w:pStyle w:val="Normal"/>
      </w:pPr>
      <w:r w:rsidR="28691854">
        <w:rPr/>
        <w:t xml:space="preserve"> </w:t>
      </w:r>
    </w:p>
    <w:p xmlns:wp14="http://schemas.microsoft.com/office/word/2010/wordml" w:rsidP="20CA9CD2" wp14:paraId="08B8FCEA" wp14:textId="62492F71">
      <w:pPr>
        <w:pStyle w:val="Normal"/>
      </w:pPr>
      <w:r w:rsidR="28691854">
        <w:rPr/>
        <w:t xml:space="preserve">Care act 2014 [UK Public General Acts, 2014 c. 23] (2014). Available at: </w:t>
      </w:r>
      <w:r>
        <w:fldChar w:fldCharType="begin"/>
      </w:r>
      <w:r>
        <w:instrText xml:space="preserve">HYPERLINK "https://www.legislation.gov.uk/ukpga/2014/23/part/1" </w:instrText>
      </w:r>
      <w:r>
        <w:fldChar w:fldCharType="separate"/>
      </w:r>
      <w:r w:rsidR="28691854">
        <w:rPr/>
        <w:t>https://www.legislation.gov.uk/ukpga/2014/23/part/1</w:t>
      </w:r>
      <w:r>
        <w:fldChar w:fldCharType="end"/>
      </w:r>
      <w:r w:rsidR="28691854">
        <w:rPr/>
        <w:t>.</w:t>
      </w:r>
    </w:p>
    <w:p xmlns:wp14="http://schemas.microsoft.com/office/word/2010/wordml" w:rsidP="20CA9CD2" wp14:paraId="1910DC97" wp14:textId="2B385069">
      <w:pPr>
        <w:pStyle w:val="Normal"/>
      </w:pPr>
      <w:r w:rsidR="28691854">
        <w:rPr/>
        <w:t xml:space="preserve"> </w:t>
      </w:r>
    </w:p>
    <w:p xmlns:wp14="http://schemas.microsoft.com/office/word/2010/wordml" w:rsidP="20CA9CD2" wp14:paraId="633778DD" wp14:textId="6585BF4F">
      <w:pPr>
        <w:pStyle w:val="Normal"/>
      </w:pPr>
      <w:r w:rsidR="28691854">
        <w:rPr/>
        <w:t xml:space="preserve"> </w:t>
      </w:r>
    </w:p>
    <w:p xmlns:wp14="http://schemas.microsoft.com/office/word/2010/wordml" w:rsidP="20CA9CD2" wp14:paraId="23971385" wp14:textId="66082626">
      <w:pPr>
        <w:pStyle w:val="Normal"/>
      </w:pPr>
      <w:r w:rsidR="28691854">
        <w:rPr/>
        <w:t>Task 2: Community Antenatal Midwifery</w:t>
      </w:r>
    </w:p>
    <w:p xmlns:wp14="http://schemas.microsoft.com/office/word/2010/wordml" w:rsidP="20CA9CD2" wp14:paraId="3CF2A165" wp14:textId="6DB66B87">
      <w:pPr>
        <w:pStyle w:val="Normal"/>
      </w:pPr>
      <w:r w:rsidR="28691854">
        <w:rPr/>
        <w:t xml:space="preserve"> </w:t>
      </w:r>
    </w:p>
    <w:p xmlns:wp14="http://schemas.microsoft.com/office/word/2010/wordml" w:rsidP="20CA9CD2" wp14:paraId="2381A117" wp14:textId="081C2AAC">
      <w:pPr>
        <w:pStyle w:val="Normal"/>
      </w:pPr>
      <w:r w:rsidR="28691854">
        <w:rPr/>
        <w:t>Community antenatal midwifery is the provision of midwifery care for women who are pregnant, in a preventive capacity, out of hospital, monitoring and personalised support. It is important to combine clinical surveillance with relationships which allow women to talk about their situation and make informed decisions. Assessing the service thus needs to take into account accessibility and communication and wellbeing as well as its role in detecting pregnancy complications.</w:t>
      </w:r>
    </w:p>
    <w:p xmlns:wp14="http://schemas.microsoft.com/office/word/2010/wordml" w:rsidP="20CA9CD2" wp14:paraId="2FEA6F0C" wp14:textId="614CC023">
      <w:pPr>
        <w:pStyle w:val="Normal"/>
      </w:pPr>
      <w:r w:rsidR="28691854">
        <w:rPr/>
        <w:t>The organised provision for antenatal care grew out of the concerns about preventable illness of mothers and babies. Peahl and Howell (2021) talk about John William Ballantyne's promotion of antenatal care in Edinburgh in 1901, when an initial antenatal bed became an antenatal ward. This episode focuses on America but there is an important British contribution to organised pregnancy care. Loudon (2008) describes how the Midwives Acts facilitated regulation and development of midwifery and the provision of antenatal and postnatal care became a regular practice from the late 1930s. The NHS was founded in 1948, which offered a broader organisational framework for maternity services, but this was complicated by professional divisions which made it difficult to coordinate. The provision outside hospital was influenced by community midwives' connections with general practice. This history reveals that antenatal services evolved as a result of shifting public provision and professional responsibilities, and did not form a fully integrated system.</w:t>
      </w:r>
    </w:p>
    <w:p xmlns:wp14="http://schemas.microsoft.com/office/word/2010/wordml" w:rsidP="20CA9CD2" wp14:paraId="39E4ED25" wp14:textId="7575DF31">
      <w:pPr>
        <w:pStyle w:val="Normal"/>
      </w:pPr>
      <w:r w:rsidR="28691854">
        <w:rPr/>
        <w:t>Current provision consists of periodic maternal monitoring and screening and information on pregnancy. Antenatal pathways involve midwife contacts, ultrasound scans and screening tests and parent education can be integrated into clinical appointments in England (McLarty et al., 2025). Community midwives link the routine care with specialist assessment when concerns arise. Practical significance is in the connection of the identification of potential issues and a response to the issues, not screening for screening's sake. Hinton et al., (2023) emphasise the possibility of risks at any point during pregnancy and the opportunity for pregnancy monitoring to discuss broader needs. Therefore, a good care is more than just doing routine checks. A person-centred approach that involves listening to women's concerns, providing explanations and ensuring communication between professionals means that the care is based on clinical and social circumstances.</w:t>
      </w:r>
    </w:p>
    <w:p xmlns:wp14="http://schemas.microsoft.com/office/word/2010/wordml" w:rsidP="20CA9CD2" wp14:paraId="257FFED4" wp14:textId="7DEF9C98">
      <w:pPr>
        <w:pStyle w:val="Normal"/>
      </w:pPr>
      <w:r w:rsidR="28691854">
        <w:rPr/>
        <w:t>But, providing services does not mean that they can be used by everyone. McLarty et al. (2025) list factors that impact participation in community antenatal programmes as transport, session timing, cultural safety and practitioner encouragement. They also identify that there is a lack of understanding of those who don't attend, which limits the extent to which they can make assumptions about what changes will be effective. Sharma et al. (2023) reported that an outreach intervention co-produced with the community was well-received in an ethnically diverse and disadvantaged community. This helps to facilitate partnership with local women in the creation of information that is accessible to them. However, positive acceptability results do not prove the intervention had an effect on booking time or pregnancy outcomes. The assessment of accessible communication should therefore be done in practice and positive feedback.</w:t>
      </w:r>
    </w:p>
    <w:p xmlns:wp14="http://schemas.microsoft.com/office/word/2010/wordml" w:rsidP="20CA9CD2" wp14:paraId="57C01F4F" wp14:textId="670FCE35">
      <w:pPr>
        <w:pStyle w:val="Normal"/>
      </w:pPr>
      <w:r w:rsidR="28691854">
        <w:rPr/>
        <w:t>Any changes in the format of the appointments can add additional barriers. Hinton et al. (2023) discovered that remote consultations might make services more difficult to navigate and decrease opportunities to safely share clinical and social concerns. Digital provision can therefore have a negative impact on person-centred care in the absence of appropriate technology, privacy and confidence. These qualitative findings, however, were from the pandemic and would not be able to determine the current prevalence of such issues. They help to make an evaluation of the individual situation and maintain the right personal contact. Labor conditions are also a limiting factor for delivery. Dent et al. (2024) link low recovery, and staffing pressures to poor emotional wellbeing for midwives. Even though they cannot demonstrate harm to patients from their survey, they feel sustainable working arrangements should be considered when evaluating service quality. Staff capacity also has an impact on the level of ambition that service changes can be.</w:t>
      </w:r>
    </w:p>
    <w:p xmlns:wp14="http://schemas.microsoft.com/office/word/2010/wordml" w:rsidP="20CA9CD2" wp14:paraId="4D632930" wp14:textId="6333AC0D">
      <w:pPr>
        <w:pStyle w:val="Normal"/>
      </w:pPr>
      <w:r w:rsidR="28691854">
        <w:rPr/>
        <w:t>Reassurance, belonging and participation are also qualities of life that can be achieved through community antenatal care. Wiseman et al. (2022) report that midwives appreciate the relationships, continuity and peer learning in Pregnancy Circles, which are integrated with assessment. These opportunities can help to create opportunities for pregnancy care that is more responsive to emotional and informational needs. But for implementation, protected time, training and organisational support was required. Wiseman et al. (2024) discovered that for women who speak English as an additional language, mixed-language groups could serve as a means to boost learning and belonging, if facilitated appropriately and supported by language. Having the opportunity to ask questions and comprehend advice can help boost confidence and control over day-to-day decisions. These are all important areas of wellbeing during pregnancy, in addition to physical health. They excluded women with limited English who dropped out of the groups from their small process evaluation, which might have missed some key exclusion experiences. These studies are indicative of psychosocial gains but not of measurable quality of life gains.</w:t>
      </w:r>
    </w:p>
    <w:p xmlns:wp14="http://schemas.microsoft.com/office/word/2010/wordml" w:rsidP="20CA9CD2" wp14:paraId="75142E92" wp14:textId="06BF8458">
      <w:pPr>
        <w:pStyle w:val="Normal"/>
      </w:pPr>
      <w:r w:rsidR="28691854">
        <w:rPr/>
        <w:t>The community antenatal midwifery continues to be important as pregnancy surveillance can be coupled with education and supportive relationships that are readily available. It relies on services acknowledging differential resources, on effective communication and support of staff. Development should maintain individual choice and partnership and experiment to see whether innovations are reaching women who are not served and whether they are enhancing the experience for women, not just by offering services.</w:t>
      </w:r>
    </w:p>
    <w:p xmlns:wp14="http://schemas.microsoft.com/office/word/2010/wordml" w:rsidP="20CA9CD2" wp14:paraId="6E984252" wp14:textId="4BBFFA8B">
      <w:pPr>
        <w:pStyle w:val="Normal"/>
      </w:pPr>
      <w:r w:rsidR="28691854">
        <w:rPr/>
        <w:t>Reference list</w:t>
      </w:r>
    </w:p>
    <w:p xmlns:wp14="http://schemas.microsoft.com/office/word/2010/wordml" w:rsidP="20CA9CD2" wp14:paraId="0926D6EE" wp14:textId="7D4E4DCF">
      <w:pPr>
        <w:pStyle w:val="Normal"/>
      </w:pPr>
      <w:r w:rsidR="28691854">
        <w:rPr/>
        <w:t xml:space="preserve">Dent, J., Smeeton, N., Whiting, L. and Watson, T. (2024) “The importance of recovery and staffing on midwives’ emotional wellbeing: A UK national survey,” Midwifery, 132, p. 103961. Available at: </w:t>
      </w:r>
      <w:r>
        <w:fldChar w:fldCharType="begin"/>
      </w:r>
      <w:r>
        <w:instrText xml:space="preserve">HYPERLINK "https://doi.org/10.1016/j.midw.2024.103961" </w:instrText>
      </w:r>
      <w:r>
        <w:fldChar w:fldCharType="separate"/>
      </w:r>
      <w:r w:rsidR="28691854">
        <w:rPr/>
        <w:t>https://doi.org/10.1016/j.midw.2024.103961</w:t>
      </w:r>
      <w:r>
        <w:fldChar w:fldCharType="end"/>
      </w:r>
      <w:r w:rsidR="28691854">
        <w:rPr/>
        <w:t>.</w:t>
      </w:r>
    </w:p>
    <w:p xmlns:wp14="http://schemas.microsoft.com/office/word/2010/wordml" w:rsidP="20CA9CD2" wp14:paraId="0749C01F" wp14:textId="2D15CE75">
      <w:pPr>
        <w:pStyle w:val="Normal"/>
      </w:pPr>
      <w:r w:rsidR="28691854">
        <w:rPr/>
        <w:t xml:space="preserve"> </w:t>
      </w:r>
    </w:p>
    <w:p xmlns:wp14="http://schemas.microsoft.com/office/word/2010/wordml" w:rsidP="20CA9CD2" wp14:paraId="09FF27ED" wp14:textId="1CC647C6">
      <w:pPr>
        <w:pStyle w:val="Normal"/>
      </w:pPr>
      <w:r w:rsidR="28691854">
        <w:rPr/>
        <w:t xml:space="preserve">Hinton, L. et al. (2023) “A qualitative study of the dynamics of access to remote antenatal care through the lens of candidacy,” Journal of Health Services Research &amp; Policy, 28(4), pp. 222--232. Available at: </w:t>
      </w:r>
      <w:r>
        <w:fldChar w:fldCharType="begin"/>
      </w:r>
      <w:r>
        <w:instrText xml:space="preserve">HYPERLINK "https://doi.org/10.1177/13558196231165361" </w:instrText>
      </w:r>
      <w:r>
        <w:fldChar w:fldCharType="separate"/>
      </w:r>
      <w:r w:rsidR="28691854">
        <w:rPr/>
        <w:t>https://doi.org/10.1177/13558196231165361</w:t>
      </w:r>
      <w:r>
        <w:fldChar w:fldCharType="end"/>
      </w:r>
      <w:r w:rsidR="28691854">
        <w:rPr/>
        <w:t>.</w:t>
      </w:r>
    </w:p>
    <w:p xmlns:wp14="http://schemas.microsoft.com/office/word/2010/wordml" w:rsidP="20CA9CD2" wp14:paraId="73D9793D" wp14:textId="28A84EA7">
      <w:pPr>
        <w:pStyle w:val="Normal"/>
      </w:pPr>
      <w:r w:rsidR="28691854">
        <w:rPr/>
        <w:t xml:space="preserve"> </w:t>
      </w:r>
    </w:p>
    <w:p xmlns:wp14="http://schemas.microsoft.com/office/word/2010/wordml" w:rsidP="20CA9CD2" wp14:paraId="59C4AF0B" wp14:textId="12A8915F">
      <w:pPr>
        <w:pStyle w:val="Normal"/>
      </w:pPr>
      <w:r w:rsidR="28691854">
        <w:rPr/>
        <w:t xml:space="preserve">Loudon, I. (2008) “General Practitioners and obstetrics: A brief history,” Journal of the Royal Society of Medicine, 101(11), pp. 531--535. Available at: </w:t>
      </w:r>
      <w:r>
        <w:fldChar w:fldCharType="begin"/>
      </w:r>
      <w:r>
        <w:instrText xml:space="preserve">HYPERLINK "https://doi.org/10.1258/jrsm.2008.080264" </w:instrText>
      </w:r>
      <w:r>
        <w:fldChar w:fldCharType="separate"/>
      </w:r>
      <w:r w:rsidR="28691854">
        <w:rPr/>
        <w:t>https://doi.org/10.1258/jrsm.2008.080264</w:t>
      </w:r>
      <w:r>
        <w:fldChar w:fldCharType="end"/>
      </w:r>
      <w:r w:rsidR="28691854">
        <w:rPr/>
        <w:t>.</w:t>
      </w:r>
    </w:p>
    <w:p xmlns:wp14="http://schemas.microsoft.com/office/word/2010/wordml" w:rsidP="20CA9CD2" wp14:paraId="7C59DF2B" wp14:textId="45AC37BA">
      <w:pPr>
        <w:pStyle w:val="Normal"/>
      </w:pPr>
      <w:r w:rsidR="28691854">
        <w:rPr/>
        <w:t xml:space="preserve"> </w:t>
      </w:r>
    </w:p>
    <w:p xmlns:wp14="http://schemas.microsoft.com/office/word/2010/wordml" w:rsidP="20CA9CD2" wp14:paraId="25E94B71" wp14:textId="652E84CC">
      <w:pPr>
        <w:pStyle w:val="Normal"/>
      </w:pPr>
      <w:r w:rsidR="28691854">
        <w:rPr/>
        <w:t xml:space="preserve">McLarty, L., Coleman, S., Bryant, M., Thornton, G., McEachan, R.R.C. and Hawkins, R. (2025) “Factors affecting take up of community based antenatal programmes in high income countries: A rapid realist review,” Midwifery, 149, p. 104502. Available at: </w:t>
      </w:r>
      <w:r>
        <w:fldChar w:fldCharType="begin"/>
      </w:r>
      <w:r>
        <w:instrText xml:space="preserve">HYPERLINK "https://doi.org/10.1016/j.midw.2025.104502" </w:instrText>
      </w:r>
      <w:r>
        <w:fldChar w:fldCharType="separate"/>
      </w:r>
      <w:r w:rsidR="28691854">
        <w:rPr/>
        <w:t>https://doi.org/10.1016/j.midw.2025.104502</w:t>
      </w:r>
      <w:r>
        <w:fldChar w:fldCharType="end"/>
      </w:r>
      <w:r w:rsidR="28691854">
        <w:rPr/>
        <w:t>.</w:t>
      </w:r>
    </w:p>
    <w:p xmlns:wp14="http://schemas.microsoft.com/office/word/2010/wordml" w:rsidP="20CA9CD2" wp14:paraId="619C15D9" wp14:textId="2F8B4520">
      <w:pPr>
        <w:pStyle w:val="Normal"/>
      </w:pPr>
      <w:r w:rsidR="28691854">
        <w:rPr/>
        <w:t xml:space="preserve"> </w:t>
      </w:r>
    </w:p>
    <w:p xmlns:wp14="http://schemas.microsoft.com/office/word/2010/wordml" w:rsidP="20CA9CD2" wp14:paraId="28C0D398" wp14:textId="32C79B1A">
      <w:pPr>
        <w:pStyle w:val="Normal"/>
      </w:pPr>
      <w:r w:rsidR="28691854">
        <w:rPr/>
        <w:t xml:space="preserve">Peahl, A.F. and Howell, J.D. (2021) “The evolution of prenatal care delivery guidelines in the United States,” American Journal of Obstetrics and Gynecology, 224(4), pp. 339--347. Available at: </w:t>
      </w:r>
      <w:r>
        <w:fldChar w:fldCharType="begin"/>
      </w:r>
      <w:r>
        <w:instrText xml:space="preserve">HYPERLINK "https://doi.org/10.1016/j.ajog.2020.12.016" </w:instrText>
      </w:r>
      <w:r>
        <w:fldChar w:fldCharType="separate"/>
      </w:r>
      <w:r w:rsidR="28691854">
        <w:rPr/>
        <w:t>https://doi.org/10.1016/j.ajog.2020.12.016</w:t>
      </w:r>
      <w:r>
        <w:fldChar w:fldCharType="end"/>
      </w:r>
      <w:r w:rsidR="28691854">
        <w:rPr/>
        <w:t>.</w:t>
      </w:r>
    </w:p>
    <w:p xmlns:wp14="http://schemas.microsoft.com/office/word/2010/wordml" w:rsidP="20CA9CD2" wp14:paraId="38AAEFF8" wp14:textId="29A28975">
      <w:pPr>
        <w:pStyle w:val="Normal"/>
      </w:pPr>
      <w:r w:rsidR="28691854">
        <w:rPr/>
        <w:t xml:space="preserve"> </w:t>
      </w:r>
    </w:p>
    <w:p xmlns:wp14="http://schemas.microsoft.com/office/word/2010/wordml" w:rsidP="20CA9CD2" wp14:paraId="641509D8" wp14:textId="7845CC84">
      <w:pPr>
        <w:pStyle w:val="Normal"/>
      </w:pPr>
      <w:r w:rsidR="28691854">
        <w:rPr/>
        <w:t xml:space="preserve">Sharma, E., Puthussery, S., Tseng, P.-C., Harden, A. and Li, L. (2023) “Development, acceptability and feasibility of a community-based intervention to increase timely initiation of antenatal care in an area of high ethnic diversity and low socio-economic status in the UK,” Midwifery, 126, p. 103812. Available at: </w:t>
      </w:r>
      <w:r>
        <w:fldChar w:fldCharType="begin"/>
      </w:r>
      <w:r>
        <w:instrText xml:space="preserve">HYPERLINK "https://doi.org/10.1016/j.midw.2023.103812" </w:instrText>
      </w:r>
      <w:r>
        <w:fldChar w:fldCharType="separate"/>
      </w:r>
      <w:r w:rsidR="28691854">
        <w:rPr/>
        <w:t>https://doi.org/10.1016/j.midw.2023.103812</w:t>
      </w:r>
      <w:r>
        <w:fldChar w:fldCharType="end"/>
      </w:r>
      <w:r w:rsidR="28691854">
        <w:rPr/>
        <w:t>.</w:t>
      </w:r>
    </w:p>
    <w:p xmlns:wp14="http://schemas.microsoft.com/office/word/2010/wordml" w:rsidP="20CA9CD2" wp14:paraId="70FF02AA" wp14:textId="5D653488">
      <w:pPr>
        <w:pStyle w:val="Normal"/>
      </w:pPr>
      <w:r w:rsidR="28691854">
        <w:rPr/>
        <w:t xml:space="preserve"> </w:t>
      </w:r>
    </w:p>
    <w:p xmlns:wp14="http://schemas.microsoft.com/office/word/2010/wordml" w:rsidP="20CA9CD2" wp14:paraId="6BF35020" wp14:textId="2656DD92">
      <w:pPr>
        <w:pStyle w:val="Normal"/>
      </w:pPr>
      <w:r w:rsidR="28691854">
        <w:rPr/>
        <w:t xml:space="preserve">Wiseman, O., Emmett, L., Hickford, G., Knight, M., Lazar, J., Yuill, C. and McCourt, C. (2022) “The challenges and opportunities for implementing group Antenatal Care (‘pregnancy circles’) as part of standard NHS maternity care: A co-designed qualitative study,” Midwifery, 109, p. 103333. Available at: </w:t>
      </w:r>
      <w:r>
        <w:fldChar w:fldCharType="begin"/>
      </w:r>
      <w:r>
        <w:instrText xml:space="preserve">HYPERLINK "https://doi.org/10.1016/j.midw.2022.103333" </w:instrText>
      </w:r>
      <w:r>
        <w:fldChar w:fldCharType="separate"/>
      </w:r>
      <w:r w:rsidR="28691854">
        <w:rPr/>
        <w:t>https://doi.org/10.1016/j.midw.2022.103333</w:t>
      </w:r>
      <w:r>
        <w:fldChar w:fldCharType="end"/>
      </w:r>
      <w:r w:rsidR="28691854">
        <w:rPr/>
        <w:t>.</w:t>
      </w:r>
    </w:p>
    <w:p xmlns:wp14="http://schemas.microsoft.com/office/word/2010/wordml" w:rsidP="20CA9CD2" wp14:paraId="38C1F0FE" wp14:textId="265D5D7D">
      <w:pPr>
        <w:pStyle w:val="Normal"/>
      </w:pPr>
      <w:r w:rsidR="28691854">
        <w:rPr/>
        <w:t xml:space="preserve"> </w:t>
      </w:r>
    </w:p>
    <w:p xmlns:wp14="http://schemas.microsoft.com/office/word/2010/wordml" w:rsidP="20CA9CD2" wp14:paraId="2C078E63" wp14:textId="7DF23FC8">
      <w:pPr>
        <w:pStyle w:val="Normal"/>
      </w:pPr>
      <w:r w:rsidR="28691854">
        <w:rPr/>
        <w:t>Wiseman, O. et al. (2024) “Involving women with limited English proficiency in group antenatal care: Findings from the integrated process evaluation of the pregnancy circles pilot trial,” Midwifery, 139, p. 104197. Available at: https://doi.org/10.1016/j.midw.2024.104197.</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15DFB0"/>
    <w:rsid w:val="09A96E56"/>
    <w:rsid w:val="0DBA99C7"/>
    <w:rsid w:val="125B8DAC"/>
    <w:rsid w:val="20CA9CD2"/>
    <w:rsid w:val="2726896B"/>
    <w:rsid w:val="28691854"/>
    <w:rsid w:val="5BD65A85"/>
    <w:rsid w:val="6015DF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80664"/>
  <w15:chartTrackingRefBased/>
  <w15:docId w15:val="{25F9BCF3-36D7-4847-A797-9A9D3695B54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2026-10-19T05:16:22.2017230Z</dcterms:created>
  <dcterms:modified xsi:type="dcterms:W3CDTF">2026-10-19T05:20:24.3753615Z</dcterms:modified>
  <dc:creator>Shuyebur Rahman (2542587)</dc:creator>
  <lastModifiedBy>Shuyebur Rahman (2542587)</lastModifiedBy>
</coreProperties>
</file>